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wp:posOffset>
            </wp:positionH>
            <wp:positionV relativeFrom="page">
              <wp:posOffset>273050</wp:posOffset>
            </wp:positionV>
            <wp:extent cx="7270115" cy="9556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955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3180" w:type="dxa"/>
        <w:tblCellMar>
          <w:top w:w="0" w:type="dxa"/>
          <w:left w:w="0" w:type="dxa"/>
          <w:bottom w:w="0" w:type="dxa"/>
          <w:right w:w="0" w:type="dxa"/>
        </w:tblCellMar>
      </w:tblPr>
      <w:tr>
        <w:trPr>
          <w:trHeight w:val="859"/>
        </w:trPr>
        <w:tc>
          <w:tcPr>
            <w:tcW w:w="2180" w:type="dxa"/>
            <w:vAlign w:val="bottom"/>
          </w:tcPr>
          <w:p>
            <w:pPr>
              <w:spacing w:after="0"/>
              <w:rPr>
                <w:sz w:val="20"/>
                <w:szCs w:val="20"/>
                <w:color w:val="auto"/>
              </w:rPr>
            </w:pPr>
            <w:r>
              <w:rPr>
                <w:rFonts w:ascii="Times New Roman" w:cs="Times New Roman" w:eastAsia="Times New Roman" w:hAnsi="Times New Roman"/>
                <w:sz w:val="56"/>
                <w:szCs w:val="56"/>
                <w:b w:val="1"/>
                <w:bCs w:val="1"/>
                <w:color w:val="auto"/>
              </w:rPr>
              <w:t>~57K</w:t>
            </w:r>
          </w:p>
        </w:tc>
        <w:tc>
          <w:tcPr>
            <w:tcW w:w="2120" w:type="dxa"/>
            <w:vAlign w:val="bottom"/>
          </w:tcPr>
          <w:p>
            <w:pPr>
              <w:ind w:left="100"/>
              <w:spacing w:after="0"/>
              <w:rPr>
                <w:sz w:val="20"/>
                <w:szCs w:val="20"/>
                <w:color w:val="auto"/>
              </w:rPr>
            </w:pPr>
            <w:r>
              <w:rPr>
                <w:rFonts w:ascii="Times New Roman" w:cs="Times New Roman" w:eastAsia="Times New Roman" w:hAnsi="Times New Roman"/>
                <w:sz w:val="56"/>
                <w:szCs w:val="56"/>
                <w:b w:val="1"/>
                <w:bCs w:val="1"/>
                <w:color w:val="auto"/>
              </w:rPr>
              <w:t>12</w:t>
            </w:r>
          </w:p>
        </w:tc>
        <w:tc>
          <w:tcPr>
            <w:tcW w:w="2380" w:type="dxa"/>
            <w:vAlign w:val="bottom"/>
          </w:tcPr>
          <w:p>
            <w:pPr>
              <w:ind w:left="320"/>
              <w:spacing w:after="0"/>
              <w:rPr>
                <w:sz w:val="20"/>
                <w:szCs w:val="20"/>
                <w:color w:val="auto"/>
              </w:rPr>
            </w:pPr>
            <w:r>
              <w:rPr>
                <w:rFonts w:ascii="Times New Roman" w:cs="Times New Roman" w:eastAsia="Times New Roman" w:hAnsi="Times New Roman"/>
                <w:sz w:val="56"/>
                <w:szCs w:val="56"/>
                <w:b w:val="1"/>
                <w:bCs w:val="1"/>
                <w:color w:val="auto"/>
              </w:rPr>
              <w:t>6</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employees in more</w:t>
            </w:r>
          </w:p>
        </w:tc>
        <w:tc>
          <w:tcPr>
            <w:tcW w:w="2120" w:type="dxa"/>
            <w:vAlign w:val="bottom"/>
          </w:tcPr>
          <w:p>
            <w:pPr>
              <w:ind w:left="100"/>
              <w:spacing w:after="0"/>
              <w:rPr>
                <w:sz w:val="20"/>
                <w:szCs w:val="20"/>
                <w:color w:val="auto"/>
              </w:rPr>
            </w:pPr>
            <w:r>
              <w:rPr>
                <w:rFonts w:ascii="Arial" w:cs="Arial" w:eastAsia="Arial" w:hAnsi="Arial"/>
                <w:sz w:val="18"/>
                <w:szCs w:val="18"/>
                <w:color w:val="auto"/>
              </w:rPr>
              <w:t>blockbuster products</w:t>
            </w:r>
          </w:p>
        </w:tc>
        <w:tc>
          <w:tcPr>
            <w:tcW w:w="2380" w:type="dxa"/>
            <w:vAlign w:val="bottom"/>
          </w:tcPr>
          <w:p>
            <w:pPr>
              <w:ind w:left="320"/>
              <w:spacing w:after="0"/>
              <w:rPr>
                <w:sz w:val="20"/>
                <w:szCs w:val="20"/>
                <w:color w:val="auto"/>
              </w:rPr>
            </w:pPr>
            <w:r>
              <w:rPr>
                <w:rFonts w:ascii="Arial" w:cs="Arial" w:eastAsia="Arial" w:hAnsi="Arial"/>
                <w:sz w:val="18"/>
                <w:szCs w:val="18"/>
                <w:color w:val="auto"/>
              </w:rPr>
              <w:t>new product or</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than 70 countries</w:t>
            </w:r>
          </w:p>
        </w:tc>
        <w:tc>
          <w:tcPr>
            <w:tcW w:w="2120" w:type="dxa"/>
            <w:vAlign w:val="bottom"/>
          </w:tcPr>
          <w:p>
            <w:pPr>
              <w:ind w:left="100"/>
              <w:spacing w:after="0"/>
              <w:rPr>
                <w:sz w:val="20"/>
                <w:szCs w:val="20"/>
                <w:color w:val="auto"/>
              </w:rPr>
            </w:pPr>
            <w:r>
              <w:rPr>
                <w:rFonts w:ascii="Arial" w:cs="Arial" w:eastAsia="Arial" w:hAnsi="Arial"/>
                <w:sz w:val="18"/>
                <w:szCs w:val="18"/>
                <w:color w:val="auto"/>
              </w:rPr>
              <w:t>with sales over</w:t>
            </w:r>
          </w:p>
        </w:tc>
        <w:tc>
          <w:tcPr>
            <w:tcW w:w="2380" w:type="dxa"/>
            <w:vAlign w:val="bottom"/>
          </w:tcPr>
          <w:p>
            <w:pPr>
              <w:ind w:left="320"/>
              <w:spacing w:after="0"/>
              <w:rPr>
                <w:sz w:val="20"/>
                <w:szCs w:val="20"/>
                <w:color w:val="auto"/>
              </w:rPr>
            </w:pPr>
            <w:r>
              <w:rPr>
                <w:rFonts w:ascii="Arial" w:cs="Arial" w:eastAsia="Arial" w:hAnsi="Arial"/>
                <w:sz w:val="18"/>
                <w:szCs w:val="18"/>
                <w:color w:val="auto"/>
              </w:rPr>
              <w:t>indication approvals</w:t>
            </w:r>
          </w:p>
        </w:tc>
      </w:tr>
      <w:tr>
        <w:trPr>
          <w:trHeight w:val="238"/>
        </w:trPr>
        <w:tc>
          <w:tcPr>
            <w:tcW w:w="2180" w:type="dxa"/>
            <w:vAlign w:val="bottom"/>
          </w:tcPr>
          <w:p>
            <w:pPr>
              <w:spacing w:after="0"/>
              <w:rPr>
                <w:sz w:val="20"/>
                <w:szCs w:val="20"/>
                <w:color w:val="auto"/>
              </w:rPr>
            </w:pPr>
          </w:p>
        </w:tc>
        <w:tc>
          <w:tcPr>
            <w:tcW w:w="2120" w:type="dxa"/>
            <w:vAlign w:val="bottom"/>
          </w:tcPr>
          <w:p>
            <w:pPr>
              <w:ind w:left="100"/>
              <w:spacing w:after="0"/>
              <w:rPr>
                <w:sz w:val="20"/>
                <w:szCs w:val="20"/>
                <w:color w:val="auto"/>
              </w:rPr>
            </w:pPr>
            <w:r>
              <w:rPr>
                <w:rFonts w:ascii="Arial" w:cs="Arial" w:eastAsia="Arial" w:hAnsi="Arial"/>
                <w:sz w:val="18"/>
                <w:szCs w:val="18"/>
                <w:color w:val="auto"/>
              </w:rPr>
              <w:t>$1B in 2025</w:t>
            </w:r>
          </w:p>
        </w:tc>
        <w:tc>
          <w:tcPr>
            <w:tcW w:w="2380" w:type="dxa"/>
            <w:vAlign w:val="bottom"/>
          </w:tcPr>
          <w:p>
            <w:pPr>
              <w:ind w:left="320"/>
              <w:spacing w:after="0"/>
              <w:rPr>
                <w:sz w:val="20"/>
                <w:szCs w:val="20"/>
                <w:color w:val="auto"/>
              </w:rPr>
            </w:pPr>
            <w:r>
              <w:rPr>
                <w:rFonts w:ascii="Arial" w:cs="Arial" w:eastAsia="Arial" w:hAnsi="Arial"/>
                <w:sz w:val="18"/>
                <w:szCs w:val="18"/>
                <w:color w:val="auto"/>
              </w:rPr>
              <w:t>in 2025</w:t>
            </w:r>
          </w:p>
        </w:tc>
      </w:tr>
      <w:tr>
        <w:trPr>
          <w:trHeight w:val="1164"/>
        </w:trPr>
        <w:tc>
          <w:tcPr>
            <w:tcW w:w="2180" w:type="dxa"/>
            <w:vAlign w:val="bottom"/>
          </w:tcPr>
          <w:p>
            <w:pPr>
              <w:spacing w:after="0"/>
              <w:rPr>
                <w:sz w:val="20"/>
                <w:szCs w:val="20"/>
                <w:color w:val="auto"/>
              </w:rPr>
            </w:pPr>
            <w:r>
              <w:rPr>
                <w:rFonts w:ascii="Times New Roman" w:cs="Times New Roman" w:eastAsia="Times New Roman" w:hAnsi="Times New Roman"/>
                <w:sz w:val="56"/>
                <w:szCs w:val="56"/>
                <w:b w:val="1"/>
                <w:bCs w:val="1"/>
                <w:color w:val="auto"/>
              </w:rPr>
              <w:t>~90</w:t>
            </w:r>
            <w:r>
              <w:rPr>
                <w:rFonts w:ascii="Times New Roman" w:cs="Times New Roman" w:eastAsia="Times New Roman" w:hAnsi="Times New Roman"/>
                <w:sz w:val="32"/>
                <w:szCs w:val="32"/>
                <w:b w:val="1"/>
                <w:bCs w:val="1"/>
                <w:color w:val="auto"/>
              </w:rPr>
              <w:t>*</w:t>
            </w:r>
          </w:p>
        </w:tc>
        <w:tc>
          <w:tcPr>
            <w:tcW w:w="2120" w:type="dxa"/>
            <w:vAlign w:val="bottom"/>
          </w:tcPr>
          <w:p>
            <w:pPr>
              <w:ind w:left="100"/>
              <w:spacing w:after="0"/>
              <w:rPr>
                <w:sz w:val="20"/>
                <w:szCs w:val="20"/>
                <w:color w:val="auto"/>
              </w:rPr>
            </w:pPr>
            <w:r>
              <w:rPr>
                <w:rFonts w:ascii="Times New Roman" w:cs="Times New Roman" w:eastAsia="Times New Roman" w:hAnsi="Times New Roman"/>
                <w:sz w:val="56"/>
                <w:szCs w:val="56"/>
                <w:b w:val="1"/>
                <w:bCs w:val="1"/>
                <w:color w:val="auto"/>
              </w:rPr>
              <w:t>&gt;75</w:t>
            </w:r>
          </w:p>
        </w:tc>
        <w:tc>
          <w:tcPr>
            <w:tcW w:w="2380" w:type="dxa"/>
            <w:vAlign w:val="bottom"/>
          </w:tcPr>
          <w:p>
            <w:pPr>
              <w:ind w:left="320"/>
              <w:spacing w:after="0"/>
              <w:rPr>
                <w:sz w:val="20"/>
                <w:szCs w:val="20"/>
                <w:color w:val="auto"/>
              </w:rPr>
            </w:pPr>
            <w:r>
              <w:rPr>
                <w:rFonts w:ascii="Times New Roman" w:cs="Times New Roman" w:eastAsia="Times New Roman" w:hAnsi="Times New Roman"/>
                <w:sz w:val="56"/>
                <w:szCs w:val="56"/>
                <w:b w:val="1"/>
                <w:bCs w:val="1"/>
                <w:color w:val="auto"/>
              </w:rPr>
              <w:t>$13.8B</w:t>
            </w:r>
            <w:r>
              <w:rPr>
                <w:rFonts w:ascii="Times New Roman" w:cs="Times New Roman" w:eastAsia="Times New Roman" w:hAnsi="Times New Roman"/>
                <w:sz w:val="32"/>
                <w:szCs w:val="32"/>
                <w:b w:val="1"/>
                <w:bCs w:val="1"/>
                <w:color w:val="auto"/>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active clinical and</w:t>
            </w:r>
          </w:p>
        </w:tc>
        <w:tc>
          <w:tcPr>
            <w:tcW w:w="2120" w:type="dxa"/>
            <w:vAlign w:val="bottom"/>
          </w:tcPr>
          <w:p>
            <w:pPr>
              <w:ind w:left="100"/>
              <w:spacing w:after="0"/>
              <w:rPr>
                <w:sz w:val="20"/>
                <w:szCs w:val="20"/>
                <w:color w:val="auto"/>
              </w:rPr>
            </w:pPr>
            <w:r>
              <w:rPr>
                <w:rFonts w:ascii="Arial" w:cs="Arial" w:eastAsia="Arial" w:hAnsi="Arial"/>
                <w:sz w:val="18"/>
                <w:szCs w:val="18"/>
                <w:color w:val="auto"/>
              </w:rPr>
              <w:t>conditions treated</w:t>
            </w:r>
          </w:p>
        </w:tc>
        <w:tc>
          <w:tcPr>
            <w:tcW w:w="2380" w:type="dxa"/>
            <w:vAlign w:val="bottom"/>
          </w:tcPr>
          <w:p>
            <w:pPr>
              <w:ind w:left="320"/>
              <w:spacing w:after="0"/>
              <w:rPr>
                <w:sz w:val="20"/>
                <w:szCs w:val="20"/>
                <w:color w:val="auto"/>
              </w:rPr>
            </w:pPr>
            <w:r>
              <w:rPr>
                <w:rFonts w:ascii="Arial" w:cs="Arial" w:eastAsia="Arial" w:hAnsi="Arial"/>
                <w:sz w:val="18"/>
                <w:szCs w:val="18"/>
                <w:color w:val="auto"/>
              </w:rPr>
              <w:t>in adjusted R&amp;D</w:t>
            </w:r>
          </w:p>
        </w:tc>
      </w:tr>
      <w:tr>
        <w:trPr>
          <w:trHeight w:val="238"/>
        </w:trPr>
        <w:tc>
          <w:tcPr>
            <w:tcW w:w="2180" w:type="dxa"/>
            <w:vAlign w:val="bottom"/>
          </w:tcPr>
          <w:p>
            <w:pPr>
              <w:spacing w:after="0"/>
              <w:rPr>
                <w:sz w:val="20"/>
                <w:szCs w:val="20"/>
                <w:color w:val="auto"/>
              </w:rPr>
            </w:pPr>
            <w:r>
              <w:rPr>
                <w:rFonts w:ascii="Arial" w:cs="Arial" w:eastAsia="Arial" w:hAnsi="Arial"/>
                <w:sz w:val="18"/>
                <w:szCs w:val="18"/>
                <w:color w:val="auto"/>
              </w:rPr>
              <w:t>device programs</w:t>
            </w:r>
          </w:p>
        </w:tc>
        <w:tc>
          <w:tcPr>
            <w:tcW w:w="2120" w:type="dxa"/>
            <w:vAlign w:val="bottom"/>
          </w:tcPr>
          <w:p>
            <w:pPr>
              <w:spacing w:after="0"/>
              <w:rPr>
                <w:sz w:val="20"/>
                <w:szCs w:val="20"/>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investment in 2025</w:t>
            </w:r>
          </w:p>
        </w:tc>
      </w:tr>
      <w:tr>
        <w:trPr>
          <w:trHeight w:val="1186"/>
        </w:trPr>
        <w:tc>
          <w:tcPr>
            <w:tcW w:w="2180" w:type="dxa"/>
            <w:vAlign w:val="bottom"/>
          </w:tcPr>
          <w:p>
            <w:pPr>
              <w:spacing w:after="0"/>
              <w:rPr>
                <w:sz w:val="20"/>
                <w:szCs w:val="20"/>
                <w:color w:val="auto"/>
              </w:rPr>
            </w:pPr>
            <w:r>
              <w:rPr>
                <w:rFonts w:ascii="Times New Roman" w:cs="Times New Roman" w:eastAsia="Times New Roman" w:hAnsi="Times New Roman"/>
                <w:sz w:val="56"/>
                <w:szCs w:val="56"/>
                <w:b w:val="1"/>
                <w:bCs w:val="1"/>
                <w:color w:val="auto"/>
              </w:rPr>
              <w:t>&gt;210K</w:t>
            </w:r>
          </w:p>
        </w:tc>
        <w:tc>
          <w:tcPr>
            <w:tcW w:w="21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4"/>
        </w:trPr>
        <w:tc>
          <w:tcPr>
            <w:tcW w:w="2180" w:type="dxa"/>
            <w:vAlign w:val="bottom"/>
          </w:tcPr>
          <w:p>
            <w:pPr>
              <w:spacing w:after="0"/>
              <w:rPr>
                <w:sz w:val="20"/>
                <w:szCs w:val="20"/>
                <w:color w:val="auto"/>
              </w:rPr>
            </w:pPr>
            <w:r>
              <w:rPr>
                <w:rFonts w:ascii="Arial" w:cs="Arial" w:eastAsia="Arial" w:hAnsi="Arial"/>
                <w:sz w:val="17"/>
                <w:szCs w:val="17"/>
                <w:color w:val="auto"/>
              </w:rPr>
              <w:t>U.S. patients provided</w:t>
            </w:r>
          </w:p>
        </w:tc>
        <w:tc>
          <w:tcPr>
            <w:tcW w:w="21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4"/>
        </w:trPr>
        <w:tc>
          <w:tcPr>
            <w:tcW w:w="2180" w:type="dxa"/>
            <w:vAlign w:val="bottom"/>
          </w:tcPr>
          <w:p>
            <w:pPr>
              <w:spacing w:after="0"/>
              <w:rPr>
                <w:sz w:val="20"/>
                <w:szCs w:val="20"/>
                <w:color w:val="auto"/>
              </w:rPr>
            </w:pPr>
            <w:r>
              <w:rPr>
                <w:rFonts w:ascii="Arial" w:cs="Arial" w:eastAsia="Arial" w:hAnsi="Arial"/>
                <w:sz w:val="17"/>
                <w:szCs w:val="17"/>
                <w:color w:val="auto"/>
              </w:rPr>
              <w:t>medicine at no cost through</w:t>
            </w:r>
          </w:p>
        </w:tc>
        <w:tc>
          <w:tcPr>
            <w:tcW w:w="21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4"/>
        </w:trPr>
        <w:tc>
          <w:tcPr>
            <w:tcW w:w="2180" w:type="dxa"/>
            <w:vAlign w:val="bottom"/>
          </w:tcPr>
          <w:p>
            <w:pPr>
              <w:spacing w:after="0"/>
              <w:rPr>
                <w:sz w:val="20"/>
                <w:szCs w:val="20"/>
                <w:color w:val="auto"/>
              </w:rPr>
            </w:pPr>
            <w:r>
              <w:rPr>
                <w:rFonts w:ascii="Arial" w:cs="Arial" w:eastAsia="Arial" w:hAnsi="Arial"/>
                <w:sz w:val="17"/>
                <w:szCs w:val="17"/>
                <w:color w:val="auto"/>
              </w:rPr>
              <w:t>our patient assistance</w:t>
            </w:r>
          </w:p>
        </w:tc>
        <w:tc>
          <w:tcPr>
            <w:tcW w:w="21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26"/>
        </w:trPr>
        <w:tc>
          <w:tcPr>
            <w:tcW w:w="2180" w:type="dxa"/>
            <w:vAlign w:val="bottom"/>
          </w:tcPr>
          <w:p>
            <w:pPr>
              <w:spacing w:after="0"/>
              <w:rPr>
                <w:sz w:val="20"/>
                <w:szCs w:val="20"/>
                <w:color w:val="auto"/>
              </w:rPr>
            </w:pPr>
            <w:r>
              <w:rPr>
                <w:rFonts w:ascii="Arial" w:cs="Arial" w:eastAsia="Arial" w:hAnsi="Arial"/>
                <w:sz w:val="17"/>
                <w:szCs w:val="17"/>
                <w:color w:val="auto"/>
              </w:rPr>
              <w:t>program in 2025</w:t>
            </w:r>
          </w:p>
        </w:tc>
        <w:tc>
          <w:tcPr>
            <w:tcW w:w="212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-128905</wp:posOffset>
            </wp:positionV>
            <wp:extent cx="126682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12890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-517525</wp:posOffset>
            </wp:positionV>
            <wp:extent cx="1075055" cy="10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5055" cy="10731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-2201545</wp:posOffset>
            </wp:positionV>
            <wp:extent cx="687070" cy="10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070" cy="107315"/>
                    </a:xfrm>
                    <a:prstGeom prst="rect">
                      <a:avLst/>
                    </a:prstGeom>
                    <a:noFill/>
                  </pic:spPr>
                </pic:pic>
              </a:graphicData>
            </a:graphic>
          </wp:anchor>
        </w:drawing>
      </w:r>
    </w:p>
    <w:p>
      <w:pPr>
        <w:sectPr>
          <w:pgSz w:w="11880" w:h="15480" w:orient="portrait"/>
          <w:cols w:equalWidth="0" w:num="1">
            <w:col w:w="9860"/>
          </w:cols>
          <w:pgMar w:left="1440" w:top="1440" w:right="580" w:bottom="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869950</wp:posOffset>
            </wp:positionH>
            <wp:positionV relativeFrom="page">
              <wp:posOffset>669925</wp:posOffset>
            </wp:positionV>
            <wp:extent cx="1711960" cy="319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1960" cy="319405"/>
                    </a:xfrm>
                    <a:prstGeom prst="rect">
                      <a:avLst/>
                    </a:prstGeom>
                    <a:noFill/>
                  </pic:spPr>
                </pic:pic>
              </a:graphicData>
            </a:graphic>
          </wp:anchor>
        </w:drawing>
      </w:r>
    </w:p>
    <w:p>
      <w:pPr>
        <w:spacing w:after="0" w:line="276" w:lineRule="exact"/>
        <w:rPr>
          <w:sz w:val="20"/>
          <w:szCs w:val="20"/>
          <w:color w:val="auto"/>
        </w:rPr>
      </w:pPr>
    </w:p>
    <w:p>
      <w:pPr>
        <w:ind w:left="10"/>
        <w:spacing w:after="0"/>
        <w:rPr>
          <w:sz w:val="20"/>
          <w:szCs w:val="20"/>
          <w:color w:val="auto"/>
        </w:rPr>
      </w:pPr>
      <w:r>
        <w:rPr>
          <w:rFonts w:ascii="Arial" w:cs="Arial" w:eastAsia="Arial" w:hAnsi="Arial"/>
          <w:sz w:val="20"/>
          <w:szCs w:val="20"/>
          <w:color w:val="auto"/>
        </w:rPr>
        <w:t>Dear Shareholders,</w:t>
      </w:r>
    </w:p>
    <w:p>
      <w:pPr>
        <w:spacing w:after="0" w:line="153" w:lineRule="exact"/>
        <w:rPr>
          <w:sz w:val="20"/>
          <w:szCs w:val="20"/>
          <w:color w:val="auto"/>
        </w:rPr>
      </w:pPr>
    </w:p>
    <w:p>
      <w:pPr>
        <w:ind w:left="10" w:firstLine="399"/>
        <w:spacing w:after="0" w:line="249" w:lineRule="auto"/>
        <w:rPr>
          <w:sz w:val="20"/>
          <w:szCs w:val="20"/>
          <w:color w:val="auto"/>
        </w:rPr>
      </w:pPr>
      <w:r>
        <w:rPr>
          <w:rFonts w:ascii="Arial" w:cs="Arial" w:eastAsia="Arial" w:hAnsi="Arial"/>
          <w:sz w:val="20"/>
          <w:szCs w:val="20"/>
          <w:color w:val="auto"/>
        </w:rPr>
        <w:t>AbbVie is committed to transforming the standard of care for millions of patients around the world. In 2025, we demonstrated that our diverse portfolio, dedication to innovation and strong culture allow us to make a remarkable impact for our patients and deliver meaningful returns for our investors. Over the past decade, AbbVie has generated a 485% total shareholder return and increased our market capitalization by $309 billion. We have an impressive track record of success, and this past year has further reinforced the strength of our business.</w:t>
      </w:r>
    </w:p>
    <w:p>
      <w:pPr>
        <w:spacing w:after="0" w:line="129" w:lineRule="exact"/>
        <w:rPr>
          <w:sz w:val="20"/>
          <w:szCs w:val="20"/>
          <w:color w:val="auto"/>
        </w:rPr>
      </w:pPr>
    </w:p>
    <w:p>
      <w:pPr>
        <w:ind w:left="10" w:firstLine="399"/>
        <w:spacing w:after="0" w:line="239" w:lineRule="auto"/>
        <w:rPr>
          <w:sz w:val="20"/>
          <w:szCs w:val="20"/>
          <w:color w:val="auto"/>
        </w:rPr>
      </w:pPr>
      <w:r>
        <w:rPr>
          <w:rFonts w:ascii="Arial" w:cs="Arial" w:eastAsia="Arial" w:hAnsi="Arial"/>
          <w:sz w:val="20"/>
          <w:szCs w:val="20"/>
          <w:color w:val="auto"/>
        </w:rPr>
        <w:t>AbbVie had an outstanding year in 2025, delivering record total net revenues of $61.2 billion, reflecting operational sales growth of 8.5%.</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We surpassed our previous peak revenue by more than $3 billion in just the second full year following the U.S. Humira loss of exclusivity. These results were driven by strong execution across our growth platform, which continues to perform exceptionally well. Our immunology portfolio recorded $30.4 billion in net revenues with impressive performance from Skyrizi and Rinvoq. Neuroscience generated net revenues of $10.8 billion and is our fastest growing therapeutic area, putting us on track to be an industry leader in this space. Our oncology portfolio contributed $6.7 billion of net revenues, while aesthetics delivered $4.9 billion of net revenues.</w:t>
      </w:r>
    </w:p>
    <w:p>
      <w:pPr>
        <w:spacing w:after="0" w:line="142" w:lineRule="exact"/>
        <w:rPr>
          <w:sz w:val="20"/>
          <w:szCs w:val="20"/>
          <w:color w:val="auto"/>
        </w:rPr>
      </w:pPr>
    </w:p>
    <w:p>
      <w:pPr>
        <w:ind w:left="10" w:right="60" w:firstLine="399"/>
        <w:spacing w:after="0" w:line="232" w:lineRule="auto"/>
        <w:rPr>
          <w:sz w:val="20"/>
          <w:szCs w:val="20"/>
          <w:color w:val="auto"/>
        </w:rPr>
      </w:pPr>
      <w:r>
        <w:rPr>
          <w:rFonts w:ascii="Arial" w:cs="Arial" w:eastAsia="Arial" w:hAnsi="Arial"/>
          <w:sz w:val="20"/>
          <w:szCs w:val="20"/>
          <w:color w:val="auto"/>
        </w:rPr>
        <w:t>Advancing our pipeline is a top priority. We increased our adjusted R&amp;D investment significantly in 2025, to $13.8 billion,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fully funding approximately 90 clinical and device programs currently in development.</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We received several important approvals including Rinvoq for giant cell arteritis, Emrelis for non-squamous, non-small cell lung cancer and Epkinly for second-line follicular lymphoma. We also bolstered our pipeline and entered new potential areas of growth with more than $5 billion in new business development. This included a novel, next-generation psychedelic compound for major depressive disorder, novel tri-specifics for multiple myeloma, an in-vivo CAR-T platform, a next-generation siRNA platform and a long-acting amylin analog for obesity.</w:t>
      </w:r>
    </w:p>
    <w:p>
      <w:pPr>
        <w:spacing w:after="0" w:line="142" w:lineRule="exact"/>
        <w:rPr>
          <w:sz w:val="20"/>
          <w:szCs w:val="20"/>
          <w:color w:val="auto"/>
        </w:rPr>
      </w:pPr>
    </w:p>
    <w:p>
      <w:pPr>
        <w:ind w:left="10" w:firstLine="399"/>
        <w:spacing w:after="0" w:line="247" w:lineRule="auto"/>
        <w:rPr>
          <w:sz w:val="20"/>
          <w:szCs w:val="20"/>
          <w:color w:val="auto"/>
        </w:rPr>
      </w:pPr>
      <w:r>
        <w:rPr>
          <w:rFonts w:ascii="Arial" w:cs="Arial" w:eastAsia="Arial" w:hAnsi="Arial"/>
          <w:sz w:val="20"/>
          <w:szCs w:val="20"/>
          <w:color w:val="auto"/>
        </w:rPr>
        <w:t>This excellent progress is backed by our strong culture and shared purpose. We have continually shown determination and an unwavering commitment in serving our patients, shareholders and communities. In 2025, AbbVie was once again recognized by Great Place to Work U.S. and Fortune, ranking #1 in the BioPharma industry. Through our employee impact programs, employees help advance the AbbVie Foundation mission to drive transformative change in communities worldwide so that everyone can live their healthiest life. Our employees make a real difference in people’s lives by generously giving their time, talent and resources. This past year, employees volunteered over 58,000 hours and raised $25 million for charities around the world through donations matched by the AbbVie Foundation. Since our inception in 2013, AbbVie and the AbbVie Foundation have provided more than $775 million to over 500 philanthropic partners.</w:t>
      </w:r>
    </w:p>
    <w:p>
      <w:pPr>
        <w:spacing w:after="0" w:line="136" w:lineRule="exact"/>
        <w:rPr>
          <w:sz w:val="20"/>
          <w:szCs w:val="20"/>
          <w:color w:val="auto"/>
        </w:rPr>
      </w:pPr>
    </w:p>
    <w:p>
      <w:pPr>
        <w:jc w:val="both"/>
        <w:ind w:left="10" w:right="320" w:firstLine="399"/>
        <w:spacing w:after="0" w:line="255" w:lineRule="auto"/>
        <w:rPr>
          <w:sz w:val="20"/>
          <w:szCs w:val="20"/>
          <w:color w:val="auto"/>
        </w:rPr>
      </w:pPr>
      <w:r>
        <w:rPr>
          <w:rFonts w:ascii="Arial" w:cs="Arial" w:eastAsia="Arial" w:hAnsi="Arial"/>
          <w:sz w:val="20"/>
          <w:szCs w:val="20"/>
          <w:color w:val="auto"/>
        </w:rPr>
        <w:t>AbbVie is well-positioned to drive significant growth in 2026 and through the end of the decade, enabling us to deliver top-tier performance and elevate the standard of care for patients for years to come. Thank you for supporting our important mission.</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1589405" cy="306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9405"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rPr>
          <w:sz w:val="20"/>
          <w:szCs w:val="20"/>
          <w:color w:val="auto"/>
        </w:rPr>
      </w:pPr>
      <w:r>
        <w:rPr>
          <w:rFonts w:ascii="Arial" w:cs="Arial" w:eastAsia="Arial" w:hAnsi="Arial"/>
          <w:sz w:val="20"/>
          <w:szCs w:val="20"/>
          <w:color w:val="auto"/>
        </w:rPr>
        <w:t>Robert A. Michael</w:t>
      </w:r>
    </w:p>
    <w:p>
      <w:pPr>
        <w:spacing w:after="0" w:line="18" w:lineRule="exact"/>
        <w:rPr>
          <w:sz w:val="20"/>
          <w:szCs w:val="20"/>
          <w:color w:val="auto"/>
        </w:rPr>
      </w:pPr>
    </w:p>
    <w:p>
      <w:pPr>
        <w:ind w:left="10"/>
        <w:spacing w:after="0"/>
        <w:rPr>
          <w:sz w:val="20"/>
          <w:szCs w:val="20"/>
          <w:color w:val="auto"/>
        </w:rPr>
      </w:pPr>
      <w:r>
        <w:rPr>
          <w:rFonts w:ascii="Arial" w:cs="Arial" w:eastAsia="Arial" w:hAnsi="Arial"/>
          <w:sz w:val="20"/>
          <w:szCs w:val="20"/>
          <w:i w:val="1"/>
          <w:iCs w:val="1"/>
          <w:color w:val="auto"/>
        </w:rPr>
        <w:t>Chairman of the Board and 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54610</wp:posOffset>
                </wp:positionV>
                <wp:extent cx="136842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pt" to="107.75pt,4.3pt" o:allowincell="f" strokecolor="#000000" strokeweight="0.499pt"/>
            </w:pict>
          </mc:Fallback>
        </mc:AlternateContent>
      </w:r>
    </w:p>
    <w:p>
      <w:pPr>
        <w:spacing w:after="0" w:line="194" w:lineRule="exact"/>
        <w:rPr>
          <w:sz w:val="20"/>
          <w:szCs w:val="20"/>
          <w:color w:val="auto"/>
        </w:rPr>
      </w:pPr>
    </w:p>
    <w:p>
      <w:pPr>
        <w:ind w:left="150" w:right="40" w:hanging="150"/>
        <w:spacing w:after="0" w:line="239" w:lineRule="auto"/>
        <w:tabs>
          <w:tab w:leader="none" w:pos="150" w:val="left"/>
        </w:tabs>
        <w:numPr>
          <w:ilvl w:val="0"/>
          <w:numId w:val="1"/>
        </w:numPr>
        <w:rPr>
          <w:rFonts w:ascii="Arial" w:cs="Arial" w:eastAsia="Arial" w:hAnsi="Arial"/>
          <w:sz w:val="20"/>
          <w:szCs w:val="20"/>
          <w:color w:val="auto"/>
          <w:vertAlign w:val="superscript"/>
        </w:rPr>
      </w:pPr>
      <w:r>
        <w:rPr>
          <w:rFonts w:ascii="Arial" w:cs="Arial" w:eastAsia="Arial" w:hAnsi="Arial"/>
          <w:sz w:val="16"/>
          <w:szCs w:val="16"/>
          <w:color w:val="auto"/>
        </w:rPr>
        <w:t>Operational growth is presented at constant currency rates that reflect comparative local currency net revenues at the prior year’s foreign exchange rates. Operational sales growth reflects a non-GAAP measure and is adjusted for certain items, which are reconciled in Appendix B.</w:t>
      </w:r>
    </w:p>
    <w:p>
      <w:pPr>
        <w:spacing w:after="0" w:line="50" w:lineRule="exact"/>
        <w:rPr>
          <w:sz w:val="20"/>
          <w:szCs w:val="20"/>
          <w:color w:val="auto"/>
        </w:rPr>
      </w:pPr>
    </w:p>
    <w:p>
      <w:pPr>
        <w:ind w:left="150" w:hanging="150"/>
        <w:spacing w:after="0"/>
        <w:tabs>
          <w:tab w:leader="none" w:pos="150" w:val="left"/>
        </w:tabs>
        <w:numPr>
          <w:ilvl w:val="0"/>
          <w:numId w:val="2"/>
        </w:numPr>
        <w:rPr>
          <w:rFonts w:ascii="Arial" w:cs="Arial" w:eastAsia="Arial" w:hAnsi="Arial"/>
          <w:sz w:val="20"/>
          <w:szCs w:val="20"/>
          <w:color w:val="auto"/>
          <w:vertAlign w:val="superscript"/>
        </w:rPr>
      </w:pPr>
      <w:r>
        <w:rPr>
          <w:rFonts w:ascii="Arial" w:cs="Arial" w:eastAsia="Arial" w:hAnsi="Arial"/>
          <w:sz w:val="16"/>
          <w:szCs w:val="16"/>
          <w:color w:val="auto"/>
        </w:rPr>
        <w:t>Adjusted R&amp;D investment reflects a non-GAAP measure and is adjusted for certain items, which are reconciled in Appendix B.</w:t>
      </w:r>
    </w:p>
    <w:p>
      <w:pPr>
        <w:spacing w:after="0" w:line="49" w:lineRule="exact"/>
        <w:rPr>
          <w:sz w:val="20"/>
          <w:szCs w:val="20"/>
          <w:color w:val="auto"/>
        </w:rPr>
      </w:pPr>
    </w:p>
    <w:p>
      <w:pPr>
        <w:ind w:left="150" w:hanging="150"/>
        <w:spacing w:after="0"/>
        <w:tabs>
          <w:tab w:leader="none" w:pos="15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Compounds, devices or indications in development individually or under collaboration or license agreements.</w:t>
      </w:r>
    </w:p>
    <w:p>
      <w:pPr>
        <w:sectPr>
          <w:pgSz w:w="11880" w:h="15480" w:orient="portrait"/>
          <w:cols w:equalWidth="0" w:num="1">
            <w:col w:w="9110"/>
          </w:cols>
          <w:pgMar w:left="1390" w:top="1440" w:right="1380" w:bottom="619"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869950</wp:posOffset>
            </wp:positionH>
            <wp:positionV relativeFrom="page">
              <wp:posOffset>669925</wp:posOffset>
            </wp:positionV>
            <wp:extent cx="1711960" cy="319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1711960" cy="319405"/>
                    </a:xfrm>
                    <a:prstGeom prst="rect">
                      <a:avLst/>
                    </a:prstGeom>
                    <a:noFill/>
                  </pic:spPr>
                </pic:pic>
              </a:graphicData>
            </a:graphic>
          </wp:anchor>
        </w:drawing>
      </w:r>
    </w:p>
    <w:p>
      <w:pPr>
        <w:spacing w:after="0" w:line="355" w:lineRule="exact"/>
        <w:rPr>
          <w:sz w:val="20"/>
          <w:szCs w:val="20"/>
          <w:color w:val="auto"/>
        </w:rPr>
      </w:pPr>
    </w:p>
    <w:p>
      <w:pPr>
        <w:ind w:left="1840"/>
        <w:spacing w:after="0"/>
        <w:rPr>
          <w:sz w:val="20"/>
          <w:szCs w:val="20"/>
          <w:color w:val="auto"/>
        </w:rPr>
      </w:pPr>
      <w:r>
        <w:rPr>
          <w:rFonts w:ascii="Arial" w:cs="Arial" w:eastAsia="Arial" w:hAnsi="Arial"/>
          <w:sz w:val="23"/>
          <w:szCs w:val="23"/>
          <w:color w:val="auto"/>
        </w:rPr>
        <w:t>A Message from AbbVie’s Lead Independent Director</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auto"/>
        </w:rPr>
        <w:t>Dear AbbVie Shareholder,</w:t>
      </w:r>
    </w:p>
    <w:p>
      <w:pPr>
        <w:spacing w:after="0" w:line="165" w:lineRule="exact"/>
        <w:rPr>
          <w:sz w:val="20"/>
          <w:szCs w:val="20"/>
          <w:color w:val="auto"/>
        </w:rPr>
      </w:pPr>
    </w:p>
    <w:p>
      <w:pPr>
        <w:jc w:val="both"/>
        <w:ind w:right="280" w:firstLine="399"/>
        <w:spacing w:after="0" w:line="252" w:lineRule="auto"/>
        <w:rPr>
          <w:sz w:val="20"/>
          <w:szCs w:val="20"/>
          <w:color w:val="auto"/>
        </w:rPr>
      </w:pPr>
      <w:r>
        <w:rPr>
          <w:rFonts w:ascii="Arial" w:cs="Arial" w:eastAsia="Arial" w:hAnsi="Arial"/>
          <w:sz w:val="23"/>
          <w:szCs w:val="23"/>
          <w:color w:val="auto"/>
        </w:rPr>
        <w:t>In my first full year as lead independent director, it has been a pleasure to work with AbbVie employees, shareholders, and other stakeholders as the company transitioned into a new chapter of leadership and growth.</w:t>
      </w:r>
    </w:p>
    <w:p>
      <w:pPr>
        <w:spacing w:after="0" w:line="135" w:lineRule="exact"/>
        <w:rPr>
          <w:sz w:val="20"/>
          <w:szCs w:val="20"/>
          <w:color w:val="auto"/>
        </w:rPr>
      </w:pPr>
    </w:p>
    <w:p>
      <w:pPr>
        <w:ind w:right="20" w:firstLine="399"/>
        <w:spacing w:after="0" w:line="248" w:lineRule="auto"/>
        <w:rPr>
          <w:sz w:val="20"/>
          <w:szCs w:val="20"/>
          <w:color w:val="auto"/>
        </w:rPr>
      </w:pPr>
      <w:r>
        <w:rPr>
          <w:rFonts w:ascii="Arial" w:cs="Arial" w:eastAsia="Arial" w:hAnsi="Arial"/>
          <w:sz w:val="23"/>
          <w:szCs w:val="23"/>
          <w:color w:val="auto"/>
        </w:rPr>
        <w:t>On July 1, 2025, the board ushered in new board leadership by appointing Rob Michael as chairman of the board of directors. Since his appointment as AbbVie’s chief executive officer in July 2024, Rob has demonstrated exceptional leadership and strategic vision, providing the board with confidence in his ability to lead both the company and the board.</w:t>
      </w:r>
    </w:p>
    <w:p>
      <w:pPr>
        <w:spacing w:after="0" w:line="140" w:lineRule="exact"/>
        <w:rPr>
          <w:sz w:val="20"/>
          <w:szCs w:val="20"/>
          <w:color w:val="auto"/>
        </w:rPr>
      </w:pPr>
    </w:p>
    <w:p>
      <w:pPr>
        <w:ind w:firstLine="399"/>
        <w:spacing w:after="0" w:line="246" w:lineRule="auto"/>
        <w:rPr>
          <w:sz w:val="20"/>
          <w:szCs w:val="20"/>
          <w:color w:val="auto"/>
        </w:rPr>
      </w:pPr>
      <w:r>
        <w:rPr>
          <w:rFonts w:ascii="Arial" w:cs="Arial" w:eastAsia="Arial" w:hAnsi="Arial"/>
          <w:sz w:val="23"/>
          <w:szCs w:val="23"/>
          <w:color w:val="auto"/>
        </w:rPr>
        <w:t>In addition to this leadership change, the board oversaw AbbVie’s growth in 2025. Over the past several years, a key priority for the board was to oversee the company’s business diversification strategy for returning to growth after Humira’s loss of exclusivity in the U.S. in 2023 — the pharmaceutical industry’s largest patent cliff in history. The board is extraordinarily pleased that AbbVie rapidly returned to growth in 2025, as anticipated. This remarkable achievement was due to thoughtful planning and exceptional execution in our ex-Humira platform, including key products in our Immunology, Neuroscience, and Oncology portfolios.</w:t>
      </w:r>
    </w:p>
    <w:p>
      <w:pPr>
        <w:spacing w:after="0" w:line="146" w:lineRule="exact"/>
        <w:rPr>
          <w:sz w:val="20"/>
          <w:szCs w:val="20"/>
          <w:color w:val="auto"/>
        </w:rPr>
      </w:pPr>
    </w:p>
    <w:p>
      <w:pPr>
        <w:ind w:firstLine="399"/>
        <w:spacing w:after="0" w:line="248" w:lineRule="auto"/>
        <w:rPr>
          <w:sz w:val="20"/>
          <w:szCs w:val="20"/>
          <w:color w:val="auto"/>
        </w:rPr>
      </w:pPr>
      <w:r>
        <w:rPr>
          <w:rFonts w:ascii="Arial" w:cs="Arial" w:eastAsia="Arial" w:hAnsi="Arial"/>
          <w:sz w:val="23"/>
          <w:szCs w:val="23"/>
          <w:color w:val="auto"/>
        </w:rPr>
        <w:t>The board is also working with Rob and his leadership team to drive long-term growth by advancing new and innovative science that has the potential to improve the lives of even more patients, whether through acquisitions, partnerships, or home-grown science. In addition, the board continues to engage in key topics such as the company’s response to the geopolitical landscape and advances in technology like artificial intelligence.</w:t>
      </w:r>
    </w:p>
    <w:p>
      <w:pPr>
        <w:spacing w:after="0" w:line="140" w:lineRule="exact"/>
        <w:rPr>
          <w:sz w:val="20"/>
          <w:szCs w:val="20"/>
          <w:color w:val="auto"/>
        </w:rPr>
      </w:pPr>
    </w:p>
    <w:p>
      <w:pPr>
        <w:ind w:firstLine="399"/>
        <w:spacing w:after="0" w:line="265" w:lineRule="auto"/>
        <w:rPr>
          <w:sz w:val="20"/>
          <w:szCs w:val="20"/>
          <w:color w:val="auto"/>
        </w:rPr>
      </w:pPr>
      <w:r>
        <w:rPr>
          <w:rFonts w:ascii="Arial" w:cs="Arial" w:eastAsia="Arial" w:hAnsi="Arial"/>
          <w:sz w:val="22"/>
          <w:szCs w:val="22"/>
          <w:color w:val="auto"/>
        </w:rPr>
        <w:t>Lastly, on behalf of the full board, I’d like to thank Rick Gonzalez, who retired as executive chairman of the board in July 2025, for his remarkable leadership since AbbVie’s inception in 2013. Rick not only led the company to exceptional growth but also worked with the board to develop strong leaders who can continue AbbVie’s legacy of success.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23"/>
          <w:szCs w:val="23"/>
          <w:color w:val="auto"/>
        </w:rPr>
        <w:t>Thank you for your support as a shareholder of AbbVie.</w:t>
      </w:r>
    </w:p>
    <w:p>
      <w:pPr>
        <w:spacing w:after="0" w:line="244" w:lineRule="exact"/>
        <w:rPr>
          <w:sz w:val="20"/>
          <w:szCs w:val="20"/>
          <w:color w:val="auto"/>
        </w:rPr>
      </w:pPr>
    </w:p>
    <w:p>
      <w:pPr>
        <w:spacing w:after="0"/>
        <w:rPr>
          <w:sz w:val="20"/>
          <w:szCs w:val="20"/>
          <w:color w:val="auto"/>
        </w:rPr>
      </w:pPr>
      <w:r>
        <w:rPr>
          <w:rFonts w:ascii="Arial" w:cs="Arial" w:eastAsia="Arial" w:hAnsi="Arial"/>
          <w:sz w:val="23"/>
          <w:szCs w:val="2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2115185" cy="610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2115185" cy="610235"/>
                    </a:xfrm>
                    <a:prstGeom prst="rect">
                      <a:avLst/>
                    </a:prstGeom>
                    <a:noFill/>
                  </pic:spPr>
                </pic:pic>
              </a:graphicData>
            </a:graphic>
          </wp:anchor>
        </w:drawing>
      </w:r>
    </w:p>
    <w:p>
      <w:pPr>
        <w:sectPr>
          <w:pgSz w:w="11880" w:h="15480" w:orient="portrait"/>
          <w:cols w:equalWidth="0" w:num="1">
            <w:col w:w="9100"/>
          </w:cols>
          <w:pgMar w:left="1400" w:top="1440" w:right="13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3"/>
          <w:szCs w:val="23"/>
          <w:color w:val="auto"/>
        </w:rPr>
        <w:t>Roxanne Austin</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Lead Independent Director</w:t>
      </w:r>
    </w:p>
    <w:p>
      <w:pPr>
        <w:sectPr>
          <w:pgSz w:w="11880" w:h="15480" w:orient="portrait"/>
          <w:cols w:equalWidth="0" w:num="1">
            <w:col w:w="9100"/>
          </w:cols>
          <w:pgMar w:left="1400" w:top="1440" w:right="138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32"/>
          <w:szCs w:val="32"/>
          <w:b w:val="1"/>
          <w:bCs w:val="1"/>
          <w:color w:val="auto"/>
        </w:rPr>
        <mc:AlternateContent>
          <mc:Choice Requires="wps">
            <w:drawing>
              <wp:anchor simplePos="0" relativeHeight="251657728" behindDoc="1" locked="0" layoutInCell="0" allowOverlap="1">
                <wp:simplePos x="0" y="0"/>
                <wp:positionH relativeFrom="page">
                  <wp:posOffset>341630</wp:posOffset>
                </wp:positionH>
                <wp:positionV relativeFrom="page">
                  <wp:posOffset>466725</wp:posOffset>
                </wp:positionV>
                <wp:extent cx="68599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905" cy="4763"/>
                        </a:xfrm>
                        <a:prstGeom prst="line">
                          <a:avLst/>
                        </a:prstGeom>
                        <a:solidFill>
                          <a:srgbClr val="FFFFFF"/>
                        </a:solidFill>
                        <a:ln w="25349">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9pt,36.75pt" to="567.05pt,36.75pt" o:allowincell="f" strokecolor="#000000" strokeweight="1.996pt">
                <w10:wrap anchorx="page" anchory="page"/>
              </v:line>
            </w:pict>
          </mc:Fallback>
        </mc:AlternateContent>
        <mc:AlternateContent>
          <mc:Choice Requires="wps">
            <w:drawing>
              <wp:anchor simplePos="0" relativeHeight="251657728" behindDoc="1" locked="0" layoutInCell="0" allowOverlap="1">
                <wp:simplePos x="0" y="0"/>
                <wp:positionH relativeFrom="page">
                  <wp:posOffset>341630</wp:posOffset>
                </wp:positionH>
                <wp:positionV relativeFrom="page">
                  <wp:posOffset>506095</wp:posOffset>
                </wp:positionV>
                <wp:extent cx="685990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905" cy="4763"/>
                        </a:xfrm>
                        <a:prstGeom prst="line">
                          <a:avLst/>
                        </a:prstGeom>
                        <a:solidFill>
                          <a:srgbClr val="FFFFFF"/>
                        </a:solidFill>
                        <a:ln w="12674">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9pt,39.85pt" to="567.05pt,39.85pt" o:allowincell="f" strokecolor="#000000" strokeweight="0.998pt">
                <w10:wrap anchorx="page" anchory="page"/>
              </v:line>
            </w:pict>
          </mc:Fallback>
        </mc:AlternateContent>
        <w:t>UNITED STATES</w:t>
      </w:r>
    </w:p>
    <w:p>
      <w:pPr>
        <w:jc w:val="center"/>
        <w:spacing w:after="0" w:line="233" w:lineRule="auto"/>
        <w:rPr>
          <w:sz w:val="20"/>
          <w:szCs w:val="20"/>
          <w:color w:val="auto"/>
        </w:rPr>
      </w:pPr>
      <w:r>
        <w:rPr>
          <w:rFonts w:ascii="Arial" w:cs="Arial" w:eastAsia="Arial" w:hAnsi="Arial"/>
          <w:sz w:val="32"/>
          <w:szCs w:val="32"/>
          <w:b w:val="1"/>
          <w:bCs w:val="1"/>
          <w:color w:val="auto"/>
        </w:rPr>
        <w:t>SECURITIES AND EXCHANGE COMMISSION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WASHINGTON, D. C. 20549</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2" w:lineRule="exact"/>
        <w:rPr>
          <w:sz w:val="20"/>
          <w:szCs w:val="20"/>
          <w:color w:val="auto"/>
        </w:rPr>
      </w:pPr>
    </w:p>
    <w:p>
      <w:pPr>
        <w:ind w:left="360"/>
        <w:spacing w:after="0" w:line="295" w:lineRule="exact"/>
        <w:rPr>
          <w:sz w:val="20"/>
          <w:szCs w:val="20"/>
          <w:color w:val="auto"/>
        </w:rPr>
      </w:pPr>
      <w:r>
        <w:rPr>
          <w:rFonts w:ascii="Arial Unicode MS" w:cs="Arial Unicode MS" w:eastAsia="Arial Unicode MS" w:hAnsi="Arial Unicode MS"/>
          <w:sz w:val="22"/>
          <w:szCs w:val="22"/>
          <w:color w:val="auto"/>
        </w:rPr>
        <w:t>☒</w:t>
      </w:r>
      <w:r>
        <w:rPr>
          <w:rFonts w:ascii="Arial" w:cs="Arial" w:eastAsia="Arial" w:hAnsi="Arial"/>
          <w:sz w:val="22"/>
          <w:szCs w:val="22"/>
          <w:b w:val="1"/>
          <w:bCs w:val="1"/>
          <w:color w:val="auto"/>
        </w:rPr>
        <w:t xml:space="preserve"> ANNUAL REPORT PURSUANT TO SECTION 13 OR 15(d) OF THE SECURITIES</w:t>
      </w:r>
    </w:p>
    <w:p>
      <w:pPr>
        <w:ind w:left="840"/>
        <w:spacing w:after="0" w:line="219" w:lineRule="auto"/>
        <w:rPr>
          <w:sz w:val="20"/>
          <w:szCs w:val="20"/>
          <w:color w:val="auto"/>
        </w:rPr>
      </w:pPr>
      <w:r>
        <w:rPr>
          <w:rFonts w:ascii="Arial" w:cs="Arial" w:eastAsia="Arial" w:hAnsi="Arial"/>
          <w:sz w:val="22"/>
          <w:szCs w:val="22"/>
          <w:b w:val="1"/>
          <w:bCs w:val="1"/>
          <w:color w:val="auto"/>
        </w:rPr>
        <w:t>EXCHANGE ACT OF 1934</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fiscal year ended December 31, 2025</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360"/>
        <w:spacing w:after="0" w:line="284" w:lineRule="exact"/>
        <w:rPr>
          <w:sz w:val="20"/>
          <w:szCs w:val="20"/>
          <w:color w:val="auto"/>
        </w:rPr>
      </w:pPr>
      <w:r>
        <w:rPr>
          <w:rFonts w:ascii="Arial Unicode MS" w:cs="Arial Unicode MS" w:eastAsia="Arial Unicode MS" w:hAnsi="Arial Unicode MS"/>
          <w:sz w:val="22"/>
          <w:szCs w:val="22"/>
          <w:color w:val="auto"/>
        </w:rPr>
        <w:t>☐</w:t>
      </w:r>
      <w:r>
        <w:rPr>
          <w:rFonts w:ascii="Arial" w:cs="Arial" w:eastAsia="Arial" w:hAnsi="Arial"/>
          <w:sz w:val="22"/>
          <w:szCs w:val="22"/>
          <w:b w:val="1"/>
          <w:bCs w:val="1"/>
          <w:color w:val="auto"/>
        </w:rPr>
        <w:t xml:space="preserve"> TRANSITION REPORT PURSUANT TO SECTION 13 OR 15(d) OF THE SECURITIES</w:t>
      </w:r>
    </w:p>
    <w:p>
      <w:pPr>
        <w:ind w:left="840"/>
        <w:spacing w:after="0" w:line="206" w:lineRule="auto"/>
        <w:rPr>
          <w:sz w:val="20"/>
          <w:szCs w:val="20"/>
          <w:color w:val="auto"/>
        </w:rPr>
      </w:pPr>
      <w:r>
        <w:rPr>
          <w:rFonts w:ascii="Arial" w:cs="Arial" w:eastAsia="Arial" w:hAnsi="Arial"/>
          <w:sz w:val="22"/>
          <w:szCs w:val="22"/>
          <w:b w:val="1"/>
          <w:bCs w:val="1"/>
          <w:color w:val="auto"/>
        </w:rPr>
        <w:t>EXCHANGE ACT OF 1934</w:t>
      </w:r>
    </w:p>
    <w:p>
      <w:pPr>
        <w:spacing w:after="0" w:line="56"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1263650</wp:posOffset>
                </wp:positionH>
                <wp:positionV relativeFrom="paragraph">
                  <wp:posOffset>-3175</wp:posOffset>
                </wp:positionV>
                <wp:extent cx="51752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5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5pt,-0.2499pt" to="140.25pt,-0.2499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1914525</wp:posOffset>
                </wp:positionH>
                <wp:positionV relativeFrom="paragraph">
                  <wp:posOffset>-3175</wp:posOffset>
                </wp:positionV>
                <wp:extent cx="5175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5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75pt,-0.2499pt" to="191.5pt,-0.2499pt" o:allowincell="f" strokecolor="#000000" strokeweight="0.499pt"/>
            </w:pict>
          </mc:Fallback>
        </mc:AlternateConten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001-35565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39370</wp:posOffset>
            </wp:positionV>
            <wp:extent cx="1290320" cy="245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1290320" cy="2457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880" w:h="15480" w:orient="portrait"/>
          <w:cols w:equalWidth="0" w:num="1">
            <w:col w:w="10800"/>
          </w:cols>
          <w:pgMar w:left="540" w:top="819" w:right="540" w:bottom="359" w:gutter="0" w:footer="0" w:header="0"/>
        </w:sectPr>
      </w:pPr>
    </w:p>
    <w:p>
      <w:pPr>
        <w:spacing w:after="0" w:line="38"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32-0375147</w:t>
      </w:r>
    </w:p>
    <w:p>
      <w:pPr>
        <w:spacing w:after="0" w:line="21" w:lineRule="exact"/>
        <w:rPr>
          <w:sz w:val="20"/>
          <w:szCs w:val="20"/>
          <w:color w:val="auto"/>
        </w:rPr>
      </w:pPr>
    </w:p>
    <w:p>
      <w:pPr>
        <w:sectPr>
          <w:pgSz w:w="11880" w:h="15480" w:orient="portrait"/>
          <w:cols w:equalWidth="0" w:num="2">
            <w:col w:w="7060" w:space="720"/>
            <w:col w:w="3020"/>
          </w:cols>
          <w:pgMar w:left="540" w:top="819" w:right="540" w:bottom="359" w:gutter="0" w:footer="0" w:header="0"/>
          <w:type w:val="continuous"/>
        </w:sectPr>
      </w:pPr>
    </w:p>
    <w:p>
      <w:pPr>
        <w:ind w:left="1740"/>
        <w:spacing w:after="0"/>
        <w:rPr>
          <w:sz w:val="20"/>
          <w:szCs w:val="20"/>
          <w:color w:val="auto"/>
        </w:rPr>
      </w:pPr>
      <w:r>
        <w:rPr>
          <w:rFonts w:ascii="Arial" w:cs="Arial" w:eastAsia="Arial" w:hAnsi="Arial"/>
          <w:sz w:val="14"/>
          <w:szCs w:val="14"/>
          <w:color w:val="auto"/>
        </w:rPr>
        <w:t>(State or other jurisdiction of</w:t>
      </w:r>
    </w:p>
    <w:p>
      <w:pPr>
        <w:ind w:left="17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Arial" w:cs="Arial" w:eastAsia="Arial" w:hAnsi="Arial"/>
          <w:sz w:val="14"/>
          <w:szCs w:val="14"/>
          <w:color w:val="auto"/>
        </w:rPr>
        <w:t>(I.R.S. employer</w:t>
      </w:r>
    </w:p>
    <w:p>
      <w:pPr>
        <w:jc w:val="center"/>
        <w:ind w:right="1960"/>
        <w:spacing w:after="0"/>
        <w:rPr>
          <w:sz w:val="20"/>
          <w:szCs w:val="20"/>
          <w:color w:val="auto"/>
        </w:rPr>
      </w:pPr>
      <w:r>
        <w:rPr>
          <w:rFonts w:ascii="Arial" w:cs="Arial" w:eastAsia="Arial" w:hAnsi="Arial"/>
          <w:sz w:val="14"/>
          <w:szCs w:val="14"/>
          <w:color w:val="auto"/>
        </w:rPr>
        <w:t>identification number)</w:t>
      </w:r>
    </w:p>
    <w:p>
      <w:pPr>
        <w:spacing w:after="0" w:line="1" w:lineRule="exact"/>
        <w:rPr>
          <w:sz w:val="20"/>
          <w:szCs w:val="20"/>
          <w:color w:val="auto"/>
        </w:rPr>
      </w:pPr>
    </w:p>
    <w:p>
      <w:pPr>
        <w:sectPr>
          <w:pgSz w:w="11880" w:h="15480" w:orient="portrait"/>
          <w:cols w:equalWidth="0" w:num="2">
            <w:col w:w="6760" w:space="720"/>
            <w:col w:w="3320"/>
          </w:cols>
          <w:pgMar w:left="540" w:top="819" w:right="540" w:bottom="359" w:gutter="0" w:footer="0" w:header="0"/>
          <w:type w:val="continuous"/>
        </w:sectPr>
      </w:pPr>
    </w:p>
    <w:p>
      <w:pPr>
        <w:jc w:val="center"/>
        <w:spacing w:after="0" w:line="196" w:lineRule="auto"/>
        <w:rPr>
          <w:sz w:val="20"/>
          <w:szCs w:val="20"/>
          <w:color w:val="auto"/>
        </w:rPr>
      </w:pPr>
      <w:r>
        <w:rPr>
          <w:rFonts w:ascii="Arial" w:cs="Arial" w:eastAsia="Arial" w:hAnsi="Arial"/>
          <w:sz w:val="14"/>
          <w:szCs w:val="14"/>
          <w:b w:val="1"/>
          <w:bCs w:val="1"/>
          <w:color w:val="auto"/>
        </w:rPr>
        <w:t>1 North Waukegan Road</w:t>
      </w:r>
    </w:p>
    <w:p>
      <w:pPr>
        <w:jc w:val="center"/>
        <w:spacing w:after="0" w:line="226" w:lineRule="auto"/>
        <w:rPr>
          <w:sz w:val="20"/>
          <w:szCs w:val="20"/>
          <w:color w:val="auto"/>
        </w:rPr>
      </w:pPr>
      <w:r>
        <w:rPr>
          <w:rFonts w:ascii="Arial" w:cs="Arial" w:eastAsia="Arial" w:hAnsi="Arial"/>
          <w:sz w:val="14"/>
          <w:szCs w:val="14"/>
          <w:b w:val="1"/>
          <w:bCs w:val="1"/>
          <w:color w:val="auto"/>
        </w:rPr>
        <w:t>North Chicago, Illinois 60064-6400</w:t>
      </w:r>
    </w:p>
    <w:p>
      <w:pPr>
        <w:jc w:val="center"/>
        <w:spacing w:after="0" w:line="226" w:lineRule="auto"/>
        <w:rPr>
          <w:sz w:val="20"/>
          <w:szCs w:val="20"/>
          <w:color w:val="auto"/>
        </w:rPr>
      </w:pPr>
      <w:r>
        <w:rPr>
          <w:rFonts w:ascii="Arial" w:cs="Arial" w:eastAsia="Arial" w:hAnsi="Arial"/>
          <w:sz w:val="14"/>
          <w:szCs w:val="14"/>
          <w:b w:val="1"/>
          <w:bCs w:val="1"/>
          <w:color w:val="auto"/>
        </w:rPr>
        <w:t>(847) 932-7900</w:t>
      </w:r>
    </w:p>
    <w:p>
      <w:pPr>
        <w:sectPr>
          <w:pgSz w:w="11880" w:h="15480" w:orient="portrait"/>
          <w:cols w:equalWidth="0" w:num="1">
            <w:col w:w="10800"/>
          </w:cols>
          <w:pgMar w:left="540" w:top="819" w:right="540" w:bottom="359" w:gutter="0" w:footer="0" w:header="0"/>
          <w:type w:val="continuous"/>
        </w:sectPr>
      </w:pPr>
    </w:p>
    <w:p>
      <w:pPr>
        <w:jc w:val="center"/>
        <w:spacing w:after="0" w:line="229" w:lineRule="auto"/>
        <w:rPr>
          <w:sz w:val="20"/>
          <w:szCs w:val="20"/>
          <w:color w:val="auto"/>
        </w:rPr>
      </w:pPr>
      <w:r>
        <w:rPr>
          <w:rFonts w:ascii="Arial" w:cs="Arial" w:eastAsia="Arial" w:hAnsi="Arial"/>
          <w:sz w:val="14"/>
          <w:szCs w:val="14"/>
          <w:color w:val="auto"/>
        </w:rPr>
        <w:t>(Address, including zip code, and telephone number of principal executive offices)</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38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215"/>
        </w:trPr>
        <w:tc>
          <w:tcPr>
            <w:tcW w:w="40" w:type="dxa"/>
            <w:vAlign w:val="bottom"/>
          </w:tcPr>
          <w:p>
            <w:pPr>
              <w:spacing w:after="0"/>
              <w:rPr>
                <w:sz w:val="18"/>
                <w:szCs w:val="18"/>
                <w:color w:val="auto"/>
              </w:rPr>
            </w:pPr>
          </w:p>
        </w:tc>
        <w:tc>
          <w:tcPr>
            <w:tcW w:w="3840" w:type="dxa"/>
            <w:vAlign w:val="bottom"/>
            <w:gridSpan w:val="3"/>
          </w:tcPr>
          <w:p>
            <w:pPr>
              <w:jc w:val="center"/>
              <w:ind w:right="740"/>
              <w:spacing w:after="0"/>
              <w:rPr>
                <w:sz w:val="20"/>
                <w:szCs w:val="20"/>
                <w:color w:val="auto"/>
              </w:rPr>
            </w:pPr>
            <w:r>
              <w:rPr>
                <w:rFonts w:ascii="Arial" w:cs="Arial" w:eastAsia="Arial" w:hAnsi="Arial"/>
                <w:sz w:val="15"/>
                <w:szCs w:val="15"/>
                <w:b w:val="1"/>
                <w:bCs w:val="1"/>
                <w:color w:val="auto"/>
              </w:rPr>
              <w:t>Title of Each Class</w:t>
            </w:r>
          </w:p>
        </w:tc>
        <w:tc>
          <w:tcPr>
            <w:tcW w:w="2480" w:type="dxa"/>
            <w:vAlign w:val="bottom"/>
          </w:tcPr>
          <w:p>
            <w:pPr>
              <w:jc w:val="center"/>
              <w:ind w:right="585"/>
              <w:spacing w:after="0"/>
              <w:rPr>
                <w:sz w:val="20"/>
                <w:szCs w:val="20"/>
                <w:color w:val="auto"/>
              </w:rPr>
            </w:pPr>
            <w:r>
              <w:rPr>
                <w:rFonts w:ascii="Arial" w:cs="Arial" w:eastAsia="Arial" w:hAnsi="Arial"/>
                <w:sz w:val="15"/>
                <w:szCs w:val="15"/>
                <w:b w:val="1"/>
                <w:bCs w:val="1"/>
                <w:color w:val="auto"/>
                <w:w w:val="98"/>
              </w:rPr>
              <w:t>Trading Symbol(s)</w:t>
            </w:r>
          </w:p>
        </w:tc>
        <w:tc>
          <w:tcPr>
            <w:tcW w:w="8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99"/>
              </w:rPr>
              <w:t>Name of Each Exchange on Which Registered</w:t>
            </w:r>
          </w:p>
        </w:tc>
      </w:tr>
      <w:tr>
        <w:trPr>
          <w:trHeight w:val="36"/>
        </w:trPr>
        <w:tc>
          <w:tcPr>
            <w:tcW w:w="4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r>
      <w:tr>
        <w:trPr>
          <w:trHeight w:val="218"/>
        </w:trPr>
        <w:tc>
          <w:tcPr>
            <w:tcW w:w="40" w:type="dxa"/>
            <w:vAlign w:val="bottom"/>
          </w:tcPr>
          <w:p>
            <w:pPr>
              <w:spacing w:after="0"/>
              <w:rPr>
                <w:sz w:val="18"/>
                <w:szCs w:val="18"/>
                <w:color w:val="auto"/>
              </w:rPr>
            </w:pPr>
          </w:p>
        </w:tc>
        <w:tc>
          <w:tcPr>
            <w:tcW w:w="3840" w:type="dxa"/>
            <w:vAlign w:val="bottom"/>
            <w:gridSpan w:val="3"/>
          </w:tcPr>
          <w:p>
            <w:pPr>
              <w:jc w:val="center"/>
              <w:ind w:right="740"/>
              <w:spacing w:after="0"/>
              <w:rPr>
                <w:sz w:val="20"/>
                <w:szCs w:val="20"/>
                <w:color w:val="auto"/>
              </w:rPr>
            </w:pPr>
            <w:r>
              <w:rPr>
                <w:rFonts w:ascii="Arial" w:cs="Arial" w:eastAsia="Arial" w:hAnsi="Arial"/>
                <w:sz w:val="15"/>
                <w:szCs w:val="15"/>
                <w:color w:val="auto"/>
              </w:rPr>
              <w:t>Common Stock, par value $0.01 per share</w:t>
            </w:r>
          </w:p>
        </w:tc>
        <w:tc>
          <w:tcPr>
            <w:tcW w:w="2480" w:type="dxa"/>
            <w:vAlign w:val="bottom"/>
          </w:tcPr>
          <w:p>
            <w:pPr>
              <w:jc w:val="center"/>
              <w:ind w:right="565"/>
              <w:spacing w:after="0"/>
              <w:rPr>
                <w:sz w:val="20"/>
                <w:szCs w:val="20"/>
                <w:color w:val="auto"/>
              </w:rPr>
            </w:pPr>
            <w:r>
              <w:rPr>
                <w:rFonts w:ascii="Arial" w:cs="Arial" w:eastAsia="Arial" w:hAnsi="Arial"/>
                <w:sz w:val="15"/>
                <w:szCs w:val="15"/>
                <w:color w:val="auto"/>
                <w:w w:val="99"/>
              </w:rPr>
              <w:t>ABBV</w:t>
            </w:r>
          </w:p>
        </w:tc>
        <w:tc>
          <w:tcPr>
            <w:tcW w:w="8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5"/>
                <w:szCs w:val="15"/>
                <w:color w:val="auto"/>
                <w:w w:val="99"/>
              </w:rPr>
              <w:t>New York Stock Exchange</w:t>
            </w:r>
          </w:p>
        </w:tc>
      </w:tr>
      <w:tr>
        <w:trPr>
          <w:trHeight w:val="200"/>
        </w:trPr>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5"/>
                <w:szCs w:val="15"/>
                <w:color w:val="auto"/>
                <w:w w:val="95"/>
              </w:rPr>
              <w:t>NYSE Texas</w:t>
            </w:r>
          </w:p>
        </w:tc>
      </w:tr>
      <w:tr>
        <w:trPr>
          <w:trHeight w:val="200"/>
        </w:trPr>
        <w:tc>
          <w:tcPr>
            <w:tcW w:w="40" w:type="dxa"/>
            <w:vAlign w:val="bottom"/>
          </w:tcPr>
          <w:p>
            <w:pPr>
              <w:spacing w:after="0"/>
              <w:rPr>
                <w:sz w:val="17"/>
                <w:szCs w:val="17"/>
                <w:color w:val="auto"/>
              </w:rPr>
            </w:pPr>
          </w:p>
        </w:tc>
        <w:tc>
          <w:tcPr>
            <w:tcW w:w="3840" w:type="dxa"/>
            <w:vAlign w:val="bottom"/>
            <w:gridSpan w:val="3"/>
          </w:tcPr>
          <w:p>
            <w:pPr>
              <w:jc w:val="center"/>
              <w:ind w:right="720"/>
              <w:spacing w:after="0"/>
              <w:rPr>
                <w:sz w:val="20"/>
                <w:szCs w:val="20"/>
                <w:color w:val="auto"/>
              </w:rPr>
            </w:pPr>
            <w:r>
              <w:rPr>
                <w:rFonts w:ascii="Arial" w:cs="Arial" w:eastAsia="Arial" w:hAnsi="Arial"/>
                <w:sz w:val="15"/>
                <w:szCs w:val="15"/>
                <w:color w:val="auto"/>
                <w:w w:val="99"/>
              </w:rPr>
              <w:t>0.750% Senior Notes due 2027</w:t>
            </w:r>
          </w:p>
        </w:tc>
        <w:tc>
          <w:tcPr>
            <w:tcW w:w="2480" w:type="dxa"/>
            <w:vAlign w:val="bottom"/>
          </w:tcPr>
          <w:p>
            <w:pPr>
              <w:jc w:val="center"/>
              <w:ind w:right="565"/>
              <w:spacing w:after="0"/>
              <w:rPr>
                <w:sz w:val="20"/>
                <w:szCs w:val="20"/>
                <w:color w:val="auto"/>
              </w:rPr>
            </w:pPr>
            <w:r>
              <w:rPr>
                <w:rFonts w:ascii="Arial" w:cs="Arial" w:eastAsia="Arial" w:hAnsi="Arial"/>
                <w:sz w:val="15"/>
                <w:szCs w:val="15"/>
                <w:color w:val="auto"/>
                <w:w w:val="98"/>
              </w:rPr>
              <w:t>ABBV27</w:t>
            </w:r>
          </w:p>
        </w:tc>
        <w:tc>
          <w:tcPr>
            <w:tcW w:w="8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5"/>
                <w:szCs w:val="15"/>
                <w:color w:val="auto"/>
                <w:w w:val="99"/>
              </w:rPr>
              <w:t>New York Stock Exchange</w:t>
            </w:r>
          </w:p>
        </w:tc>
      </w:tr>
      <w:tr>
        <w:trPr>
          <w:trHeight w:val="200"/>
        </w:trPr>
        <w:tc>
          <w:tcPr>
            <w:tcW w:w="40" w:type="dxa"/>
            <w:vAlign w:val="bottom"/>
          </w:tcPr>
          <w:p>
            <w:pPr>
              <w:spacing w:after="0"/>
              <w:rPr>
                <w:sz w:val="17"/>
                <w:szCs w:val="17"/>
                <w:color w:val="auto"/>
              </w:rPr>
            </w:pPr>
          </w:p>
        </w:tc>
        <w:tc>
          <w:tcPr>
            <w:tcW w:w="3840" w:type="dxa"/>
            <w:vAlign w:val="bottom"/>
            <w:gridSpan w:val="3"/>
          </w:tcPr>
          <w:p>
            <w:pPr>
              <w:jc w:val="center"/>
              <w:ind w:right="720"/>
              <w:spacing w:after="0"/>
              <w:rPr>
                <w:sz w:val="20"/>
                <w:szCs w:val="20"/>
                <w:color w:val="auto"/>
              </w:rPr>
            </w:pPr>
            <w:r>
              <w:rPr>
                <w:rFonts w:ascii="Arial" w:cs="Arial" w:eastAsia="Arial" w:hAnsi="Arial"/>
                <w:sz w:val="15"/>
                <w:szCs w:val="15"/>
                <w:color w:val="auto"/>
                <w:w w:val="99"/>
              </w:rPr>
              <w:t>2.125% Senior Notes due 2028</w:t>
            </w:r>
          </w:p>
        </w:tc>
        <w:tc>
          <w:tcPr>
            <w:tcW w:w="2480" w:type="dxa"/>
            <w:vAlign w:val="bottom"/>
          </w:tcPr>
          <w:p>
            <w:pPr>
              <w:jc w:val="center"/>
              <w:ind w:right="565"/>
              <w:spacing w:after="0"/>
              <w:rPr>
                <w:sz w:val="20"/>
                <w:szCs w:val="20"/>
                <w:color w:val="auto"/>
              </w:rPr>
            </w:pPr>
            <w:r>
              <w:rPr>
                <w:rFonts w:ascii="Arial" w:cs="Arial" w:eastAsia="Arial" w:hAnsi="Arial"/>
                <w:sz w:val="15"/>
                <w:szCs w:val="15"/>
                <w:color w:val="auto"/>
                <w:w w:val="98"/>
              </w:rPr>
              <w:t>ABBV28</w:t>
            </w:r>
          </w:p>
        </w:tc>
        <w:tc>
          <w:tcPr>
            <w:tcW w:w="8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5"/>
                <w:szCs w:val="15"/>
                <w:color w:val="auto"/>
                <w:w w:val="99"/>
              </w:rPr>
              <w:t>New York Stock Exchange</w:t>
            </w:r>
          </w:p>
        </w:tc>
      </w:tr>
      <w:tr>
        <w:trPr>
          <w:trHeight w:val="200"/>
        </w:trPr>
        <w:tc>
          <w:tcPr>
            <w:tcW w:w="40" w:type="dxa"/>
            <w:vAlign w:val="bottom"/>
          </w:tcPr>
          <w:p>
            <w:pPr>
              <w:spacing w:after="0"/>
              <w:rPr>
                <w:sz w:val="17"/>
                <w:szCs w:val="17"/>
                <w:color w:val="auto"/>
              </w:rPr>
            </w:pPr>
          </w:p>
        </w:tc>
        <w:tc>
          <w:tcPr>
            <w:tcW w:w="3840" w:type="dxa"/>
            <w:vAlign w:val="bottom"/>
            <w:gridSpan w:val="3"/>
          </w:tcPr>
          <w:p>
            <w:pPr>
              <w:jc w:val="center"/>
              <w:ind w:right="720"/>
              <w:spacing w:after="0"/>
              <w:rPr>
                <w:sz w:val="20"/>
                <w:szCs w:val="20"/>
                <w:color w:val="auto"/>
              </w:rPr>
            </w:pPr>
            <w:r>
              <w:rPr>
                <w:rFonts w:ascii="Arial" w:cs="Arial" w:eastAsia="Arial" w:hAnsi="Arial"/>
                <w:sz w:val="15"/>
                <w:szCs w:val="15"/>
                <w:color w:val="auto"/>
                <w:w w:val="99"/>
              </w:rPr>
              <w:t>2.625% Senior Notes due 2028</w:t>
            </w:r>
          </w:p>
        </w:tc>
        <w:tc>
          <w:tcPr>
            <w:tcW w:w="2480" w:type="dxa"/>
            <w:vAlign w:val="bottom"/>
          </w:tcPr>
          <w:p>
            <w:pPr>
              <w:jc w:val="center"/>
              <w:ind w:right="585"/>
              <w:spacing w:after="0"/>
              <w:rPr>
                <w:sz w:val="20"/>
                <w:szCs w:val="20"/>
                <w:color w:val="auto"/>
              </w:rPr>
            </w:pPr>
            <w:r>
              <w:rPr>
                <w:rFonts w:ascii="Arial" w:cs="Arial" w:eastAsia="Arial" w:hAnsi="Arial"/>
                <w:sz w:val="15"/>
                <w:szCs w:val="15"/>
                <w:color w:val="auto"/>
                <w:w w:val="98"/>
              </w:rPr>
              <w:t>ABBV28B</w:t>
            </w:r>
          </w:p>
        </w:tc>
        <w:tc>
          <w:tcPr>
            <w:tcW w:w="8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5"/>
                <w:szCs w:val="15"/>
                <w:color w:val="auto"/>
                <w:w w:val="99"/>
              </w:rPr>
              <w:t>New York Stock Exchange</w:t>
            </w:r>
          </w:p>
        </w:tc>
      </w:tr>
      <w:tr>
        <w:trPr>
          <w:trHeight w:val="200"/>
        </w:trPr>
        <w:tc>
          <w:tcPr>
            <w:tcW w:w="40" w:type="dxa"/>
            <w:vAlign w:val="bottom"/>
          </w:tcPr>
          <w:p>
            <w:pPr>
              <w:spacing w:after="0"/>
              <w:rPr>
                <w:sz w:val="17"/>
                <w:szCs w:val="17"/>
                <w:color w:val="auto"/>
              </w:rPr>
            </w:pPr>
          </w:p>
        </w:tc>
        <w:tc>
          <w:tcPr>
            <w:tcW w:w="3840" w:type="dxa"/>
            <w:vAlign w:val="bottom"/>
            <w:gridSpan w:val="3"/>
          </w:tcPr>
          <w:p>
            <w:pPr>
              <w:jc w:val="center"/>
              <w:ind w:right="720"/>
              <w:spacing w:after="0"/>
              <w:rPr>
                <w:sz w:val="20"/>
                <w:szCs w:val="20"/>
                <w:color w:val="auto"/>
              </w:rPr>
            </w:pPr>
            <w:r>
              <w:rPr>
                <w:rFonts w:ascii="Arial" w:cs="Arial" w:eastAsia="Arial" w:hAnsi="Arial"/>
                <w:sz w:val="15"/>
                <w:szCs w:val="15"/>
                <w:color w:val="auto"/>
                <w:w w:val="99"/>
              </w:rPr>
              <w:t>2.125% Senior Notes due 2029</w:t>
            </w:r>
          </w:p>
        </w:tc>
        <w:tc>
          <w:tcPr>
            <w:tcW w:w="2480" w:type="dxa"/>
            <w:vAlign w:val="bottom"/>
          </w:tcPr>
          <w:p>
            <w:pPr>
              <w:jc w:val="center"/>
              <w:ind w:right="565"/>
              <w:spacing w:after="0"/>
              <w:rPr>
                <w:sz w:val="20"/>
                <w:szCs w:val="20"/>
                <w:color w:val="auto"/>
              </w:rPr>
            </w:pPr>
            <w:r>
              <w:rPr>
                <w:rFonts w:ascii="Arial" w:cs="Arial" w:eastAsia="Arial" w:hAnsi="Arial"/>
                <w:sz w:val="15"/>
                <w:szCs w:val="15"/>
                <w:color w:val="auto"/>
                <w:w w:val="98"/>
              </w:rPr>
              <w:t>ABBV29</w:t>
            </w:r>
          </w:p>
        </w:tc>
        <w:tc>
          <w:tcPr>
            <w:tcW w:w="8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5"/>
                <w:szCs w:val="15"/>
                <w:color w:val="auto"/>
                <w:w w:val="99"/>
              </w:rPr>
              <w:t>New York Stock Exchange</w:t>
            </w:r>
          </w:p>
        </w:tc>
      </w:tr>
      <w:tr>
        <w:trPr>
          <w:trHeight w:val="200"/>
        </w:trPr>
        <w:tc>
          <w:tcPr>
            <w:tcW w:w="40" w:type="dxa"/>
            <w:vAlign w:val="bottom"/>
          </w:tcPr>
          <w:p>
            <w:pPr>
              <w:spacing w:after="0"/>
              <w:rPr>
                <w:sz w:val="17"/>
                <w:szCs w:val="17"/>
                <w:color w:val="auto"/>
              </w:rPr>
            </w:pPr>
          </w:p>
        </w:tc>
        <w:tc>
          <w:tcPr>
            <w:tcW w:w="3840" w:type="dxa"/>
            <w:vAlign w:val="bottom"/>
            <w:gridSpan w:val="3"/>
          </w:tcPr>
          <w:p>
            <w:pPr>
              <w:jc w:val="center"/>
              <w:ind w:right="720"/>
              <w:spacing w:after="0"/>
              <w:rPr>
                <w:sz w:val="20"/>
                <w:szCs w:val="20"/>
                <w:color w:val="auto"/>
              </w:rPr>
            </w:pPr>
            <w:r>
              <w:rPr>
                <w:rFonts w:ascii="Arial" w:cs="Arial" w:eastAsia="Arial" w:hAnsi="Arial"/>
                <w:sz w:val="15"/>
                <w:szCs w:val="15"/>
                <w:color w:val="auto"/>
                <w:w w:val="99"/>
              </w:rPr>
              <w:t>1.250% Senior Notes due 2031</w:t>
            </w:r>
          </w:p>
        </w:tc>
        <w:tc>
          <w:tcPr>
            <w:tcW w:w="2480" w:type="dxa"/>
            <w:vAlign w:val="bottom"/>
          </w:tcPr>
          <w:p>
            <w:pPr>
              <w:jc w:val="center"/>
              <w:ind w:right="565"/>
              <w:spacing w:after="0"/>
              <w:rPr>
                <w:sz w:val="20"/>
                <w:szCs w:val="20"/>
                <w:color w:val="auto"/>
              </w:rPr>
            </w:pPr>
            <w:r>
              <w:rPr>
                <w:rFonts w:ascii="Arial" w:cs="Arial" w:eastAsia="Arial" w:hAnsi="Arial"/>
                <w:sz w:val="15"/>
                <w:szCs w:val="15"/>
                <w:color w:val="auto"/>
                <w:w w:val="98"/>
              </w:rPr>
              <w:t>ABBV31</w:t>
            </w:r>
          </w:p>
        </w:tc>
        <w:tc>
          <w:tcPr>
            <w:tcW w:w="8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5"/>
                <w:szCs w:val="15"/>
                <w:color w:val="auto"/>
                <w:w w:val="99"/>
              </w:rPr>
              <w:t>New York Stock Exchange</w:t>
            </w:r>
          </w:p>
        </w:tc>
      </w:tr>
    </w:tbl>
    <w:p>
      <w:pPr>
        <w:spacing w:after="0" w:line="1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36" w:lineRule="exact"/>
        <w:rPr>
          <w:sz w:val="20"/>
          <w:szCs w:val="20"/>
          <w:color w:val="auto"/>
        </w:rPr>
      </w:pPr>
    </w:p>
    <w:p>
      <w:pPr>
        <w:ind w:left="4880"/>
        <w:spacing w:after="0" w:line="188" w:lineRule="exact"/>
        <w:tabs>
          <w:tab w:leader="none" w:pos="5540" w:val="left"/>
        </w:tabs>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w:t>
      </w:r>
    </w:p>
    <w:p>
      <w:pPr>
        <w:spacing w:after="0" w:line="36" w:lineRule="exact"/>
        <w:rPr>
          <w:sz w:val="20"/>
          <w:szCs w:val="20"/>
          <w:color w:val="auto"/>
        </w:rPr>
      </w:pPr>
    </w:p>
    <w:p>
      <w:pPr>
        <w:ind w:left="4880"/>
        <w:spacing w:after="0" w:line="188" w:lineRule="exact"/>
        <w:tabs>
          <w:tab w:leader="none" w:pos="5540" w:val="left"/>
        </w:tabs>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p>
      <w:pPr>
        <w:spacing w:after="0" w:line="5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preceding 12 months (or for such shorter period that the registrant was required to file such reports) and (2) has been subject to such filing requirements for the past 90 days.</w:t>
      </w:r>
    </w:p>
    <w:p>
      <w:pPr>
        <w:spacing w:after="0" w:line="26" w:lineRule="exact"/>
        <w:rPr>
          <w:sz w:val="20"/>
          <w:szCs w:val="20"/>
          <w:color w:val="auto"/>
        </w:rPr>
      </w:pPr>
    </w:p>
    <w:p>
      <w:pPr>
        <w:jc w:val="center"/>
        <w:spacing w:after="0" w:line="188" w:lineRule="exact"/>
        <w:tabs>
          <w:tab w:leader="none" w:pos="260" w:val="left"/>
        </w:tabs>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p>
      <w:pPr>
        <w:spacing w:after="0" w:line="39" w:lineRule="exact"/>
        <w:rPr>
          <w:sz w:val="20"/>
          <w:szCs w:val="20"/>
          <w:color w:val="auto"/>
        </w:rPr>
      </w:pPr>
    </w:p>
    <w:p>
      <w:pPr>
        <w:ind w:right="200" w:firstLine="359"/>
        <w:spacing w:after="0" w:line="24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2" w:lineRule="exact"/>
        <w:rPr>
          <w:sz w:val="20"/>
          <w:szCs w:val="20"/>
          <w:color w:val="auto"/>
        </w:rPr>
      </w:pPr>
    </w:p>
    <w:p>
      <w:pPr>
        <w:jc w:val="center"/>
        <w:spacing w:after="0" w:line="188" w:lineRule="exact"/>
        <w:tabs>
          <w:tab w:leader="none" w:pos="260" w:val="left"/>
        </w:tabs>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p>
      <w:pPr>
        <w:spacing w:after="0" w:line="59" w:lineRule="exact"/>
        <w:rPr>
          <w:sz w:val="20"/>
          <w:szCs w:val="20"/>
          <w:color w:val="auto"/>
        </w:rPr>
      </w:pPr>
    </w:p>
    <w:p>
      <w:pPr>
        <w:ind w:firstLine="359"/>
        <w:spacing w:after="0" w:line="28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188" w:lineRule="exact"/>
        <w:tabs>
          <w:tab w:leader="none" w:pos="3120" w:val="left"/>
          <w:tab w:leader="none" w:pos="5880" w:val="left"/>
          <w:tab w:leader="none" w:pos="8920" w:val="left"/>
        </w:tabs>
        <w:rPr>
          <w:sz w:val="20"/>
          <w:szCs w:val="20"/>
          <w:color w:val="auto"/>
        </w:rPr>
      </w:pPr>
      <w:r>
        <w:rPr>
          <w:rFonts w:ascii="Arial" w:cs="Arial" w:eastAsia="Arial" w:hAnsi="Arial"/>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24" w:lineRule="exact"/>
        <w:rPr>
          <w:sz w:val="20"/>
          <w:szCs w:val="20"/>
          <w:color w:val="auto"/>
        </w:rPr>
      </w:pPr>
    </w:p>
    <w:p>
      <w:pPr>
        <w:ind w:left="8960"/>
        <w:spacing w:after="0" w:line="188" w:lineRule="exact"/>
        <w:rPr>
          <w:sz w:val="20"/>
          <w:szCs w:val="20"/>
          <w:color w:val="auto"/>
        </w:rPr>
      </w:pPr>
      <w:r>
        <w:rPr>
          <w:rFonts w:ascii="Arial" w:cs="Arial" w:eastAsia="Arial" w:hAnsi="Arial"/>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39" w:lineRule="exact"/>
        <w:rPr>
          <w:sz w:val="20"/>
          <w:szCs w:val="20"/>
          <w:color w:val="auto"/>
        </w:rPr>
      </w:pPr>
    </w:p>
    <w:p>
      <w:pPr>
        <w:ind w:right="360" w:firstLine="359"/>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39" w:lineRule="exact"/>
        <w:rPr>
          <w:sz w:val="20"/>
          <w:szCs w:val="20"/>
          <w:color w:val="auto"/>
        </w:rPr>
      </w:pPr>
    </w:p>
    <w:p>
      <w:pPr>
        <w:ind w:right="340" w:firstLine="359"/>
        <w:spacing w:after="0" w:line="16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39" w:lineRule="exact"/>
        <w:rPr>
          <w:sz w:val="20"/>
          <w:szCs w:val="20"/>
          <w:color w:val="auto"/>
        </w:rPr>
      </w:pPr>
    </w:p>
    <w:p>
      <w:pPr>
        <w:ind w:right="120" w:firstLine="359"/>
        <w:spacing w:after="0" w:line="16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39" w:lineRule="exact"/>
        <w:rPr>
          <w:sz w:val="20"/>
          <w:szCs w:val="20"/>
          <w:color w:val="auto"/>
        </w:rPr>
      </w:pPr>
    </w:p>
    <w:p>
      <w:pPr>
        <w:ind w:right="200" w:firstLine="359"/>
        <w:spacing w:after="0" w:line="16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36" w:lineRule="exact"/>
        <w:rPr>
          <w:sz w:val="20"/>
          <w:szCs w:val="20"/>
          <w:color w:val="auto"/>
        </w:rPr>
      </w:pPr>
    </w:p>
    <w:p>
      <w:pPr>
        <w:ind w:left="4880"/>
        <w:spacing w:after="0" w:line="188" w:lineRule="exact"/>
        <w:tabs>
          <w:tab w:leader="none" w:pos="5540" w:val="left"/>
        </w:tabs>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p>
      <w:pPr>
        <w:spacing w:after="0" w:line="39" w:lineRule="exact"/>
        <w:rPr>
          <w:sz w:val="20"/>
          <w:szCs w:val="20"/>
          <w:color w:val="auto"/>
        </w:rPr>
      </w:pPr>
    </w:p>
    <w:p>
      <w:pPr>
        <w:ind w:right="60" w:firstLine="359"/>
        <w:spacing w:after="0" w:line="236" w:lineRule="auto"/>
        <w:rPr>
          <w:sz w:val="20"/>
          <w:szCs w:val="20"/>
          <w:color w:val="auto"/>
        </w:rPr>
      </w:pPr>
      <w:r>
        <w:rPr>
          <w:rFonts w:ascii="Arial" w:cs="Arial" w:eastAsia="Arial" w:hAnsi="Arial"/>
          <w:sz w:val="14"/>
          <w:szCs w:val="14"/>
          <w:color w:val="auto"/>
        </w:rPr>
        <w:t>The aggregate market value of the 1,751,219,130 shares of voting stock held by non-affiliates of the registrant, computed by reference to the closing price as reported on the New York Stock Exchange, as of the last business day of AbbVie Inc.’s most recently completed second fiscal quarter (June 30, 2025), was $325,061,294,916. AbbVie has no non-voting common equity.</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Number of common shares outstanding as of February 10, 2026: 1,768,169,012</w:t>
      </w:r>
    </w:p>
    <w:p>
      <w:pPr>
        <w:spacing w:after="0" w:line="4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Portions of the 2026 AbbVie Inc. Proxy Statement are incorporated by reference into Part III. The Definitive Proxy Statement will be filed on or about March 23,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57785</wp:posOffset>
                </wp:positionV>
                <wp:extent cx="685927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12674">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55pt" to="540.05pt,4.55pt" o:allowincell="f" strokecolor="#000000" strokeweight="0.99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98425</wp:posOffset>
                </wp:positionV>
                <wp:extent cx="685927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25349">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75pt" to="540.05pt,7.75pt" o:allowincell="f" strokecolor="#000000" strokeweight="1.996pt"/>
            </w:pict>
          </mc:Fallback>
        </mc:AlternateContent>
      </w:r>
    </w:p>
    <w:p>
      <w:pPr>
        <w:sectPr>
          <w:pgSz w:w="11880" w:h="15480" w:orient="portrait"/>
          <w:cols w:equalWidth="0" w:num="1">
            <w:col w:w="10800"/>
          </w:cols>
          <w:pgMar w:left="540" w:top="819" w:right="540" w:bottom="359"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23"/>
          <w:szCs w:val="23"/>
          <w:b w:val="1"/>
          <w:bCs w:val="1"/>
          <w:color w:val="000039"/>
        </w:rPr>
        <w:t>ABBVIE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000039"/>
        </w:rPr>
        <w:t>FORM 10-K</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000039"/>
        </w:rPr>
        <w:t>FOR THE YEAR ENDED DECEMBER 31, 2025</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000039"/>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Borders>
              <w:bottom w:val="single" w:sz="8" w:color="auto"/>
            </w:tcBorders>
          </w:tcPr>
          <w:p>
            <w:pPr>
              <w:spacing w:after="0"/>
              <w:rPr>
                <w:sz w:val="17"/>
                <w:szCs w:val="17"/>
                <w:color w:val="auto"/>
              </w:rPr>
            </w:pPr>
          </w:p>
        </w:tc>
        <w:tc>
          <w:tcPr>
            <w:tcW w:w="7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r>
      <w:tr>
        <w:trPr>
          <w:trHeight w:val="255"/>
        </w:trPr>
        <w:tc>
          <w:tcPr>
            <w:tcW w:w="86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7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Item 1.</w:t>
            </w:r>
          </w:p>
        </w:tc>
        <w:tc>
          <w:tcPr>
            <w:tcW w:w="7700" w:type="dxa"/>
            <w:vAlign w:val="bottom"/>
          </w:tcPr>
          <w:p>
            <w:pPr>
              <w:ind w:left="100"/>
              <w:spacing w:after="0"/>
              <w:rPr>
                <w:sz w:val="20"/>
                <w:szCs w:val="20"/>
                <w:color w:val="auto"/>
              </w:rPr>
            </w:pPr>
            <w:r>
              <w:rPr>
                <w:rFonts w:ascii="Arial" w:cs="Arial" w:eastAsia="Arial" w:hAnsi="Arial"/>
                <w:sz w:val="20"/>
                <w:szCs w:val="20"/>
                <w:color w:val="auto"/>
              </w:rPr>
              <w:t>BUSINESS</w:t>
            </w:r>
          </w:p>
        </w:tc>
        <w:tc>
          <w:tcPr>
            <w:tcW w:w="5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1A.</w:t>
            </w:r>
          </w:p>
        </w:tc>
        <w:tc>
          <w:tcPr>
            <w:tcW w:w="7700" w:type="dxa"/>
            <w:vAlign w:val="bottom"/>
          </w:tcPr>
          <w:p>
            <w:pPr>
              <w:ind w:left="100"/>
              <w:spacing w:after="0"/>
              <w:rPr>
                <w:sz w:val="20"/>
                <w:szCs w:val="20"/>
                <w:color w:val="auto"/>
              </w:rPr>
            </w:pPr>
            <w:r>
              <w:rPr>
                <w:rFonts w:ascii="Arial" w:cs="Arial" w:eastAsia="Arial" w:hAnsi="Arial"/>
                <w:sz w:val="20"/>
                <w:szCs w:val="20"/>
                <w:color w:val="auto"/>
              </w:rPr>
              <w:t>RISK FACTORS</w:t>
            </w:r>
          </w:p>
        </w:tc>
        <w:tc>
          <w:tcPr>
            <w:tcW w:w="5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1B.</w:t>
            </w:r>
          </w:p>
        </w:tc>
        <w:tc>
          <w:tcPr>
            <w:tcW w:w="7700" w:type="dxa"/>
            <w:vAlign w:val="bottom"/>
          </w:tcPr>
          <w:p>
            <w:pPr>
              <w:ind w:left="100"/>
              <w:spacing w:after="0"/>
              <w:rPr>
                <w:sz w:val="20"/>
                <w:szCs w:val="20"/>
                <w:color w:val="auto"/>
              </w:rPr>
            </w:pPr>
            <w:r>
              <w:rPr>
                <w:rFonts w:ascii="Arial" w:cs="Arial" w:eastAsia="Arial" w:hAnsi="Arial"/>
                <w:sz w:val="20"/>
                <w:szCs w:val="20"/>
                <w:color w:val="auto"/>
              </w:rPr>
              <w:t>UNRESOLVED STAFF COMMENTS</w:t>
            </w:r>
          </w:p>
        </w:tc>
        <w:tc>
          <w:tcPr>
            <w:tcW w:w="5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1C</w:t>
            </w:r>
          </w:p>
        </w:tc>
        <w:tc>
          <w:tcPr>
            <w:tcW w:w="7700" w:type="dxa"/>
            <w:vAlign w:val="bottom"/>
          </w:tcPr>
          <w:p>
            <w:pPr>
              <w:ind w:left="100"/>
              <w:spacing w:after="0"/>
              <w:rPr>
                <w:sz w:val="20"/>
                <w:szCs w:val="20"/>
                <w:color w:val="auto"/>
              </w:rPr>
            </w:pPr>
            <w:r>
              <w:rPr>
                <w:rFonts w:ascii="Arial" w:cs="Arial" w:eastAsia="Arial" w:hAnsi="Arial"/>
                <w:sz w:val="20"/>
                <w:szCs w:val="20"/>
                <w:color w:val="auto"/>
              </w:rPr>
              <w:t>CYBERSECURITY</w:t>
            </w:r>
          </w:p>
        </w:tc>
        <w:tc>
          <w:tcPr>
            <w:tcW w:w="5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2.</w:t>
            </w:r>
          </w:p>
        </w:tc>
        <w:tc>
          <w:tcPr>
            <w:tcW w:w="7700" w:type="dxa"/>
            <w:vAlign w:val="bottom"/>
          </w:tcPr>
          <w:p>
            <w:pPr>
              <w:ind w:left="100"/>
              <w:spacing w:after="0"/>
              <w:rPr>
                <w:sz w:val="20"/>
                <w:szCs w:val="20"/>
                <w:color w:val="auto"/>
              </w:rPr>
            </w:pPr>
            <w:r>
              <w:rPr>
                <w:rFonts w:ascii="Arial" w:cs="Arial" w:eastAsia="Arial" w:hAnsi="Arial"/>
                <w:sz w:val="20"/>
                <w:szCs w:val="20"/>
                <w:color w:val="auto"/>
              </w:rPr>
              <w:t>PROPERTIES</w:t>
            </w:r>
          </w:p>
        </w:tc>
        <w:tc>
          <w:tcPr>
            <w:tcW w:w="5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3.</w:t>
            </w:r>
          </w:p>
        </w:tc>
        <w:tc>
          <w:tcPr>
            <w:tcW w:w="7700" w:type="dxa"/>
            <w:vAlign w:val="bottom"/>
          </w:tcPr>
          <w:p>
            <w:pPr>
              <w:ind w:left="100"/>
              <w:spacing w:after="0"/>
              <w:rPr>
                <w:sz w:val="20"/>
                <w:szCs w:val="20"/>
                <w:color w:val="auto"/>
              </w:rPr>
            </w:pPr>
            <w:r>
              <w:rPr>
                <w:rFonts w:ascii="Arial" w:cs="Arial" w:eastAsia="Arial" w:hAnsi="Arial"/>
                <w:sz w:val="20"/>
                <w:szCs w:val="20"/>
                <w:color w:val="auto"/>
              </w:rPr>
              <w:t>LEGAL PROCEEDINGS</w:t>
            </w:r>
          </w:p>
        </w:tc>
        <w:tc>
          <w:tcPr>
            <w:tcW w:w="5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4.</w:t>
            </w:r>
          </w:p>
        </w:tc>
        <w:tc>
          <w:tcPr>
            <w:tcW w:w="7700" w:type="dxa"/>
            <w:vAlign w:val="bottom"/>
          </w:tcPr>
          <w:p>
            <w:pPr>
              <w:ind w:left="100"/>
              <w:spacing w:after="0"/>
              <w:rPr>
                <w:sz w:val="20"/>
                <w:szCs w:val="20"/>
                <w:color w:val="auto"/>
              </w:rPr>
            </w:pPr>
            <w:r>
              <w:rPr>
                <w:rFonts w:ascii="Arial" w:cs="Arial" w:eastAsia="Arial" w:hAnsi="Arial"/>
                <w:sz w:val="20"/>
                <w:szCs w:val="20"/>
                <w:color w:val="auto"/>
              </w:rPr>
              <w:t>MINE SAFETY DISCLOSURES</w:t>
            </w:r>
          </w:p>
        </w:tc>
        <w:tc>
          <w:tcPr>
            <w:tcW w:w="5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59"/>
        </w:trPr>
        <w:tc>
          <w:tcPr>
            <w:tcW w:w="860" w:type="dxa"/>
            <w:vAlign w:val="bottom"/>
          </w:tcPr>
          <w:p>
            <w:pPr>
              <w:spacing w:after="0"/>
              <w:rPr>
                <w:sz w:val="22"/>
                <w:szCs w:val="22"/>
                <w:color w:val="auto"/>
              </w:rPr>
            </w:pPr>
          </w:p>
        </w:tc>
        <w:tc>
          <w:tcPr>
            <w:tcW w:w="7700" w:type="dxa"/>
            <w:vAlign w:val="bottom"/>
          </w:tcPr>
          <w:p>
            <w:pPr>
              <w:ind w:left="100"/>
              <w:spacing w:after="0"/>
              <w:rPr>
                <w:sz w:val="20"/>
                <w:szCs w:val="20"/>
                <w:color w:val="auto"/>
              </w:rPr>
            </w:pPr>
            <w:r>
              <w:rPr>
                <w:rFonts w:ascii="Arial" w:cs="Arial" w:eastAsia="Arial" w:hAnsi="Arial"/>
                <w:sz w:val="20"/>
                <w:szCs w:val="20"/>
                <w:color w:val="auto"/>
              </w:rPr>
              <w:t>INFORMATION ABOUT OUR EXECUTIVE OFFICERS</w:t>
            </w:r>
          </w:p>
        </w:tc>
        <w:tc>
          <w:tcPr>
            <w:tcW w:w="5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55"/>
        </w:trPr>
        <w:tc>
          <w:tcPr>
            <w:tcW w:w="86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7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5"/>
        </w:trPr>
        <w:tc>
          <w:tcPr>
            <w:tcW w:w="860" w:type="dxa"/>
            <w:vAlign w:val="bottom"/>
          </w:tcPr>
          <w:p>
            <w:pPr>
              <w:spacing w:after="0"/>
              <w:rPr>
                <w:sz w:val="20"/>
                <w:szCs w:val="20"/>
                <w:color w:val="auto"/>
              </w:rPr>
            </w:pPr>
            <w:r>
              <w:rPr>
                <w:rFonts w:ascii="Arial" w:cs="Arial" w:eastAsia="Arial" w:hAnsi="Arial"/>
                <w:sz w:val="20"/>
                <w:szCs w:val="20"/>
                <w:color w:val="auto"/>
              </w:rPr>
              <w:t>Item 5.</w:t>
            </w:r>
          </w:p>
        </w:tc>
        <w:tc>
          <w:tcPr>
            <w:tcW w:w="7700" w:type="dxa"/>
            <w:vAlign w:val="bottom"/>
          </w:tcPr>
          <w:p>
            <w:pPr>
              <w:ind w:left="100"/>
              <w:spacing w:after="0"/>
              <w:rPr>
                <w:sz w:val="20"/>
                <w:szCs w:val="20"/>
                <w:color w:val="auto"/>
              </w:rPr>
            </w:pPr>
            <w:r>
              <w:rPr>
                <w:rFonts w:ascii="Arial" w:cs="Arial" w:eastAsia="Arial" w:hAnsi="Arial"/>
                <w:sz w:val="20"/>
                <w:szCs w:val="20"/>
                <w:color w:val="auto"/>
              </w:rPr>
              <w:t>MARKET FOR REGISTRANT’S COMMON EQUITY, RELATED STOCKHOLDER</w:t>
            </w:r>
          </w:p>
        </w:tc>
        <w:tc>
          <w:tcPr>
            <w:tcW w:w="540" w:type="dxa"/>
            <w:vAlign w:val="bottom"/>
          </w:tcPr>
          <w:p>
            <w:pPr>
              <w:spacing w:after="0"/>
              <w:rPr>
                <w:sz w:val="22"/>
                <w:szCs w:val="22"/>
                <w:color w:val="auto"/>
              </w:rPr>
            </w:pPr>
          </w:p>
        </w:tc>
      </w:tr>
      <w:tr>
        <w:trPr>
          <w:trHeight w:val="248"/>
        </w:trPr>
        <w:tc>
          <w:tcPr>
            <w:tcW w:w="860" w:type="dxa"/>
            <w:vAlign w:val="bottom"/>
          </w:tcPr>
          <w:p>
            <w:pPr>
              <w:spacing w:after="0"/>
              <w:rPr>
                <w:sz w:val="21"/>
                <w:szCs w:val="21"/>
                <w:color w:val="auto"/>
              </w:rPr>
            </w:pPr>
          </w:p>
        </w:tc>
        <w:tc>
          <w:tcPr>
            <w:tcW w:w="7700" w:type="dxa"/>
            <w:vAlign w:val="bottom"/>
          </w:tcPr>
          <w:p>
            <w:pPr>
              <w:ind w:left="100"/>
              <w:spacing w:after="0"/>
              <w:rPr>
                <w:sz w:val="20"/>
                <w:szCs w:val="20"/>
                <w:color w:val="auto"/>
              </w:rPr>
            </w:pPr>
            <w:r>
              <w:rPr>
                <w:rFonts w:ascii="Arial" w:cs="Arial" w:eastAsia="Arial" w:hAnsi="Arial"/>
                <w:sz w:val="20"/>
                <w:szCs w:val="20"/>
                <w:color w:val="auto"/>
              </w:rPr>
              <w:t>MATTERS AND ISSUER PURCHASES OF EQUITY SECURITIES</w:t>
            </w:r>
          </w:p>
        </w:tc>
        <w:tc>
          <w:tcPr>
            <w:tcW w:w="5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6.</w:t>
            </w:r>
          </w:p>
        </w:tc>
        <w:tc>
          <w:tcPr>
            <w:tcW w:w="7700" w:type="dxa"/>
            <w:vAlign w:val="bottom"/>
          </w:tcPr>
          <w:p>
            <w:pPr>
              <w:ind w:left="100"/>
              <w:spacing w:after="0"/>
              <w:rPr>
                <w:sz w:val="20"/>
                <w:szCs w:val="20"/>
                <w:color w:val="auto"/>
              </w:rPr>
            </w:pPr>
            <w:r>
              <w:rPr>
                <w:rFonts w:ascii="Arial" w:cs="Arial" w:eastAsia="Arial" w:hAnsi="Arial"/>
                <w:sz w:val="20"/>
                <w:szCs w:val="20"/>
                <w:color w:val="auto"/>
              </w:rPr>
              <w:t>[RESERVED]</w:t>
            </w:r>
          </w:p>
        </w:tc>
        <w:tc>
          <w:tcPr>
            <w:tcW w:w="5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51"/>
        </w:trPr>
        <w:tc>
          <w:tcPr>
            <w:tcW w:w="860" w:type="dxa"/>
            <w:vAlign w:val="bottom"/>
          </w:tcPr>
          <w:p>
            <w:pPr>
              <w:spacing w:after="0"/>
              <w:rPr>
                <w:sz w:val="20"/>
                <w:szCs w:val="20"/>
                <w:color w:val="auto"/>
              </w:rPr>
            </w:pPr>
            <w:r>
              <w:rPr>
                <w:rFonts w:ascii="Arial" w:cs="Arial" w:eastAsia="Arial" w:hAnsi="Arial"/>
                <w:sz w:val="20"/>
                <w:szCs w:val="20"/>
                <w:color w:val="auto"/>
              </w:rPr>
              <w:t>Item 7.</w:t>
            </w:r>
          </w:p>
        </w:tc>
        <w:tc>
          <w:tcPr>
            <w:tcW w:w="7700" w:type="dxa"/>
            <w:vAlign w:val="bottom"/>
          </w:tcPr>
          <w:p>
            <w:pPr>
              <w:ind w:left="100"/>
              <w:spacing w:after="0"/>
              <w:rPr>
                <w:sz w:val="20"/>
                <w:szCs w:val="20"/>
                <w:color w:val="auto"/>
              </w:rPr>
            </w:pPr>
            <w:r>
              <w:rPr>
                <w:rFonts w:ascii="Arial" w:cs="Arial" w:eastAsia="Arial" w:hAnsi="Arial"/>
                <w:sz w:val="20"/>
                <w:szCs w:val="20"/>
                <w:color w:val="auto"/>
              </w:rPr>
              <w:t>MANAGEMENT’S DISCUSSION AND ANALYSIS OF FINANCIAL CONDITION AND</w:t>
            </w:r>
          </w:p>
        </w:tc>
        <w:tc>
          <w:tcPr>
            <w:tcW w:w="540" w:type="dxa"/>
            <w:vAlign w:val="bottom"/>
          </w:tcPr>
          <w:p>
            <w:pPr>
              <w:spacing w:after="0"/>
              <w:rPr>
                <w:sz w:val="21"/>
                <w:szCs w:val="21"/>
                <w:color w:val="auto"/>
              </w:rPr>
            </w:pPr>
          </w:p>
        </w:tc>
      </w:tr>
      <w:tr>
        <w:trPr>
          <w:trHeight w:val="248"/>
        </w:trPr>
        <w:tc>
          <w:tcPr>
            <w:tcW w:w="860" w:type="dxa"/>
            <w:vAlign w:val="bottom"/>
          </w:tcPr>
          <w:p>
            <w:pPr>
              <w:spacing w:after="0"/>
              <w:rPr>
                <w:sz w:val="21"/>
                <w:szCs w:val="21"/>
                <w:color w:val="auto"/>
              </w:rPr>
            </w:pPr>
          </w:p>
        </w:tc>
        <w:tc>
          <w:tcPr>
            <w:tcW w:w="7700" w:type="dxa"/>
            <w:vAlign w:val="bottom"/>
          </w:tcPr>
          <w:p>
            <w:pPr>
              <w:ind w:left="100"/>
              <w:spacing w:after="0"/>
              <w:rPr>
                <w:sz w:val="20"/>
                <w:szCs w:val="20"/>
                <w:color w:val="auto"/>
              </w:rPr>
            </w:pPr>
            <w:r>
              <w:rPr>
                <w:rFonts w:ascii="Arial" w:cs="Arial" w:eastAsia="Arial" w:hAnsi="Arial"/>
                <w:sz w:val="20"/>
                <w:szCs w:val="20"/>
                <w:color w:val="auto"/>
              </w:rPr>
              <w:t>RESULTS OF OPERATIONS</w:t>
            </w:r>
          </w:p>
        </w:tc>
        <w:tc>
          <w:tcPr>
            <w:tcW w:w="5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7A.</w:t>
            </w:r>
          </w:p>
        </w:tc>
        <w:tc>
          <w:tcPr>
            <w:tcW w:w="7700" w:type="dxa"/>
            <w:vAlign w:val="bottom"/>
          </w:tcPr>
          <w:p>
            <w:pPr>
              <w:ind w:left="100"/>
              <w:spacing w:after="0"/>
              <w:rPr>
                <w:sz w:val="20"/>
                <w:szCs w:val="20"/>
                <w:color w:val="auto"/>
              </w:rPr>
            </w:pPr>
            <w:r>
              <w:rPr>
                <w:rFonts w:ascii="Arial" w:cs="Arial" w:eastAsia="Arial" w:hAnsi="Arial"/>
                <w:sz w:val="20"/>
                <w:szCs w:val="20"/>
                <w:color w:val="auto"/>
              </w:rPr>
              <w:t>QUANTITATIVE AND QUALITATIVE DISCLOSURES ABOUT MARKET RISK</w:t>
            </w:r>
          </w:p>
        </w:tc>
        <w:tc>
          <w:tcPr>
            <w:tcW w:w="5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8.</w:t>
            </w:r>
          </w:p>
        </w:tc>
        <w:tc>
          <w:tcPr>
            <w:tcW w:w="7700" w:type="dxa"/>
            <w:vAlign w:val="bottom"/>
          </w:tcPr>
          <w:p>
            <w:pPr>
              <w:ind w:left="100"/>
              <w:spacing w:after="0"/>
              <w:rPr>
                <w:sz w:val="20"/>
                <w:szCs w:val="20"/>
                <w:color w:val="auto"/>
              </w:rPr>
            </w:pPr>
            <w:r>
              <w:rPr>
                <w:rFonts w:ascii="Arial" w:cs="Arial" w:eastAsia="Arial" w:hAnsi="Arial"/>
                <w:sz w:val="20"/>
                <w:szCs w:val="20"/>
                <w:color w:val="auto"/>
              </w:rPr>
              <w:t>FINANCIAL STATEMENTS AND SUPPLEMENTARY DATA</w:t>
            </w:r>
          </w:p>
        </w:tc>
        <w:tc>
          <w:tcPr>
            <w:tcW w:w="5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1"/>
        </w:trPr>
        <w:tc>
          <w:tcPr>
            <w:tcW w:w="860" w:type="dxa"/>
            <w:vAlign w:val="bottom"/>
          </w:tcPr>
          <w:p>
            <w:pPr>
              <w:spacing w:after="0"/>
              <w:rPr>
                <w:sz w:val="20"/>
                <w:szCs w:val="20"/>
                <w:color w:val="auto"/>
              </w:rPr>
            </w:pPr>
            <w:r>
              <w:rPr>
                <w:rFonts w:ascii="Arial" w:cs="Arial" w:eastAsia="Arial" w:hAnsi="Arial"/>
                <w:sz w:val="20"/>
                <w:szCs w:val="20"/>
                <w:color w:val="auto"/>
              </w:rPr>
              <w:t>Item 9.</w:t>
            </w:r>
          </w:p>
        </w:tc>
        <w:tc>
          <w:tcPr>
            <w:tcW w:w="7700" w:type="dxa"/>
            <w:vAlign w:val="bottom"/>
          </w:tcPr>
          <w:p>
            <w:pPr>
              <w:ind w:left="100"/>
              <w:spacing w:after="0"/>
              <w:rPr>
                <w:sz w:val="20"/>
                <w:szCs w:val="20"/>
                <w:color w:val="auto"/>
              </w:rPr>
            </w:pPr>
            <w:r>
              <w:rPr>
                <w:rFonts w:ascii="Arial" w:cs="Arial" w:eastAsia="Arial" w:hAnsi="Arial"/>
                <w:sz w:val="20"/>
                <w:szCs w:val="20"/>
                <w:color w:val="auto"/>
              </w:rPr>
              <w:t>CHANGES IN AND DISAGREEMENTS WITH ACCOUNTANTS ON ACCOUNTING</w:t>
            </w:r>
          </w:p>
        </w:tc>
        <w:tc>
          <w:tcPr>
            <w:tcW w:w="540" w:type="dxa"/>
            <w:vAlign w:val="bottom"/>
          </w:tcPr>
          <w:p>
            <w:pPr>
              <w:spacing w:after="0"/>
              <w:rPr>
                <w:sz w:val="21"/>
                <w:szCs w:val="21"/>
                <w:color w:val="auto"/>
              </w:rPr>
            </w:pPr>
          </w:p>
        </w:tc>
      </w:tr>
      <w:tr>
        <w:trPr>
          <w:trHeight w:val="248"/>
        </w:trPr>
        <w:tc>
          <w:tcPr>
            <w:tcW w:w="860" w:type="dxa"/>
            <w:vAlign w:val="bottom"/>
          </w:tcPr>
          <w:p>
            <w:pPr>
              <w:spacing w:after="0"/>
              <w:rPr>
                <w:sz w:val="21"/>
                <w:szCs w:val="21"/>
                <w:color w:val="auto"/>
              </w:rPr>
            </w:pPr>
          </w:p>
        </w:tc>
        <w:tc>
          <w:tcPr>
            <w:tcW w:w="7700" w:type="dxa"/>
            <w:vAlign w:val="bottom"/>
          </w:tcPr>
          <w:p>
            <w:pPr>
              <w:ind w:left="100"/>
              <w:spacing w:after="0"/>
              <w:rPr>
                <w:sz w:val="20"/>
                <w:szCs w:val="20"/>
                <w:color w:val="auto"/>
              </w:rPr>
            </w:pPr>
            <w:r>
              <w:rPr>
                <w:rFonts w:ascii="Arial" w:cs="Arial" w:eastAsia="Arial" w:hAnsi="Arial"/>
                <w:sz w:val="20"/>
                <w:szCs w:val="20"/>
                <w:color w:val="auto"/>
              </w:rPr>
              <w:t>AND FINANCIAL DISCLOSURE</w:t>
            </w:r>
          </w:p>
        </w:tc>
        <w:tc>
          <w:tcPr>
            <w:tcW w:w="54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9A.</w:t>
            </w:r>
          </w:p>
        </w:tc>
        <w:tc>
          <w:tcPr>
            <w:tcW w:w="7700" w:type="dxa"/>
            <w:vAlign w:val="bottom"/>
          </w:tcPr>
          <w:p>
            <w:pPr>
              <w:ind w:left="100"/>
              <w:spacing w:after="0"/>
              <w:rPr>
                <w:sz w:val="20"/>
                <w:szCs w:val="20"/>
                <w:color w:val="auto"/>
              </w:rPr>
            </w:pPr>
            <w:r>
              <w:rPr>
                <w:rFonts w:ascii="Arial" w:cs="Arial" w:eastAsia="Arial" w:hAnsi="Arial"/>
                <w:sz w:val="20"/>
                <w:szCs w:val="20"/>
                <w:color w:val="auto"/>
              </w:rPr>
              <w:t>CONTROLS AND PROCEDURES</w:t>
            </w:r>
          </w:p>
        </w:tc>
        <w:tc>
          <w:tcPr>
            <w:tcW w:w="54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9B.</w:t>
            </w:r>
          </w:p>
        </w:tc>
        <w:tc>
          <w:tcPr>
            <w:tcW w:w="7700" w:type="dxa"/>
            <w:vAlign w:val="bottom"/>
          </w:tcPr>
          <w:p>
            <w:pPr>
              <w:ind w:left="100"/>
              <w:spacing w:after="0"/>
              <w:rPr>
                <w:sz w:val="20"/>
                <w:szCs w:val="20"/>
                <w:color w:val="auto"/>
              </w:rPr>
            </w:pPr>
            <w:r>
              <w:rPr>
                <w:rFonts w:ascii="Arial" w:cs="Arial" w:eastAsia="Arial" w:hAnsi="Arial"/>
                <w:sz w:val="20"/>
                <w:szCs w:val="20"/>
                <w:color w:val="auto"/>
              </w:rPr>
              <w:t>OTHER INFORMATION</w:t>
            </w:r>
          </w:p>
        </w:tc>
        <w:tc>
          <w:tcPr>
            <w:tcW w:w="54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51"/>
        </w:trPr>
        <w:tc>
          <w:tcPr>
            <w:tcW w:w="860" w:type="dxa"/>
            <w:vAlign w:val="bottom"/>
          </w:tcPr>
          <w:p>
            <w:pPr>
              <w:spacing w:after="0"/>
              <w:rPr>
                <w:sz w:val="20"/>
                <w:szCs w:val="20"/>
                <w:color w:val="auto"/>
              </w:rPr>
            </w:pPr>
            <w:r>
              <w:rPr>
                <w:rFonts w:ascii="Arial" w:cs="Arial" w:eastAsia="Arial" w:hAnsi="Arial"/>
                <w:sz w:val="20"/>
                <w:szCs w:val="20"/>
                <w:color w:val="auto"/>
              </w:rPr>
              <w:t>Item 9C.</w:t>
            </w:r>
          </w:p>
        </w:tc>
        <w:tc>
          <w:tcPr>
            <w:tcW w:w="7700" w:type="dxa"/>
            <w:vAlign w:val="bottom"/>
          </w:tcPr>
          <w:p>
            <w:pPr>
              <w:ind w:left="100"/>
              <w:spacing w:after="0"/>
              <w:rPr>
                <w:sz w:val="20"/>
                <w:szCs w:val="20"/>
                <w:color w:val="auto"/>
              </w:rPr>
            </w:pPr>
            <w:r>
              <w:rPr>
                <w:rFonts w:ascii="Arial" w:cs="Arial" w:eastAsia="Arial" w:hAnsi="Arial"/>
                <w:sz w:val="20"/>
                <w:szCs w:val="20"/>
                <w:color w:val="auto"/>
              </w:rPr>
              <w:t>DISCLOSURE REGARDING FOREIGN JURISDICTIONS THAT PREVENT</w:t>
            </w:r>
          </w:p>
        </w:tc>
        <w:tc>
          <w:tcPr>
            <w:tcW w:w="540" w:type="dxa"/>
            <w:vAlign w:val="bottom"/>
          </w:tcPr>
          <w:p>
            <w:pPr>
              <w:spacing w:after="0"/>
              <w:rPr>
                <w:sz w:val="21"/>
                <w:szCs w:val="21"/>
                <w:color w:val="auto"/>
              </w:rPr>
            </w:pPr>
          </w:p>
        </w:tc>
      </w:tr>
      <w:tr>
        <w:trPr>
          <w:trHeight w:val="248"/>
        </w:trPr>
        <w:tc>
          <w:tcPr>
            <w:tcW w:w="860" w:type="dxa"/>
            <w:vAlign w:val="bottom"/>
          </w:tcPr>
          <w:p>
            <w:pPr>
              <w:spacing w:after="0"/>
              <w:rPr>
                <w:sz w:val="21"/>
                <w:szCs w:val="21"/>
                <w:color w:val="auto"/>
              </w:rPr>
            </w:pPr>
          </w:p>
        </w:tc>
        <w:tc>
          <w:tcPr>
            <w:tcW w:w="7700" w:type="dxa"/>
            <w:vAlign w:val="bottom"/>
          </w:tcPr>
          <w:p>
            <w:pPr>
              <w:ind w:left="100"/>
              <w:spacing w:after="0"/>
              <w:rPr>
                <w:sz w:val="20"/>
                <w:szCs w:val="20"/>
                <w:color w:val="auto"/>
              </w:rPr>
            </w:pPr>
            <w:r>
              <w:rPr>
                <w:rFonts w:ascii="Arial" w:cs="Arial" w:eastAsia="Arial" w:hAnsi="Arial"/>
                <w:sz w:val="20"/>
                <w:szCs w:val="20"/>
                <w:color w:val="auto"/>
              </w:rPr>
              <w:t>INSPECTIONS</w:t>
            </w:r>
          </w:p>
        </w:tc>
        <w:tc>
          <w:tcPr>
            <w:tcW w:w="54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55"/>
        </w:trPr>
        <w:tc>
          <w:tcPr>
            <w:tcW w:w="86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7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Item 10.</w:t>
            </w:r>
          </w:p>
        </w:tc>
        <w:tc>
          <w:tcPr>
            <w:tcW w:w="7700" w:type="dxa"/>
            <w:vAlign w:val="bottom"/>
          </w:tcPr>
          <w:p>
            <w:pPr>
              <w:ind w:left="100"/>
              <w:spacing w:after="0"/>
              <w:rPr>
                <w:sz w:val="20"/>
                <w:szCs w:val="20"/>
                <w:color w:val="auto"/>
              </w:rPr>
            </w:pPr>
            <w:r>
              <w:rPr>
                <w:rFonts w:ascii="Arial" w:cs="Arial" w:eastAsia="Arial" w:hAnsi="Arial"/>
                <w:sz w:val="20"/>
                <w:szCs w:val="20"/>
                <w:color w:val="auto"/>
              </w:rPr>
              <w:t>DIRECTORS, EXECUTIVE OFFICERS AND CORPORATE GOVERNANCE</w:t>
            </w:r>
          </w:p>
        </w:tc>
        <w:tc>
          <w:tcPr>
            <w:tcW w:w="54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11.</w:t>
            </w:r>
          </w:p>
        </w:tc>
        <w:tc>
          <w:tcPr>
            <w:tcW w:w="7700" w:type="dxa"/>
            <w:vAlign w:val="bottom"/>
          </w:tcPr>
          <w:p>
            <w:pPr>
              <w:ind w:left="100"/>
              <w:spacing w:after="0"/>
              <w:rPr>
                <w:sz w:val="20"/>
                <w:szCs w:val="20"/>
                <w:color w:val="auto"/>
              </w:rPr>
            </w:pPr>
            <w:r>
              <w:rPr>
                <w:rFonts w:ascii="Arial" w:cs="Arial" w:eastAsia="Arial" w:hAnsi="Arial"/>
                <w:sz w:val="20"/>
                <w:szCs w:val="20"/>
                <w:color w:val="auto"/>
              </w:rPr>
              <w:t>EXECUTIVE COMPENSATION</w:t>
            </w:r>
          </w:p>
        </w:tc>
        <w:tc>
          <w:tcPr>
            <w:tcW w:w="54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51"/>
        </w:trPr>
        <w:tc>
          <w:tcPr>
            <w:tcW w:w="860" w:type="dxa"/>
            <w:vAlign w:val="bottom"/>
          </w:tcPr>
          <w:p>
            <w:pPr>
              <w:spacing w:after="0"/>
              <w:rPr>
                <w:sz w:val="20"/>
                <w:szCs w:val="20"/>
                <w:color w:val="auto"/>
              </w:rPr>
            </w:pPr>
            <w:r>
              <w:rPr>
                <w:rFonts w:ascii="Arial" w:cs="Arial" w:eastAsia="Arial" w:hAnsi="Arial"/>
                <w:sz w:val="20"/>
                <w:szCs w:val="20"/>
                <w:color w:val="auto"/>
              </w:rPr>
              <w:t>Item 12.</w:t>
            </w:r>
          </w:p>
        </w:tc>
        <w:tc>
          <w:tcPr>
            <w:tcW w:w="7700" w:type="dxa"/>
            <w:vAlign w:val="bottom"/>
          </w:tcPr>
          <w:p>
            <w:pPr>
              <w:ind w:left="100"/>
              <w:spacing w:after="0"/>
              <w:rPr>
                <w:sz w:val="20"/>
                <w:szCs w:val="20"/>
                <w:color w:val="auto"/>
              </w:rPr>
            </w:pPr>
            <w:r>
              <w:rPr>
                <w:rFonts w:ascii="Arial" w:cs="Arial" w:eastAsia="Arial" w:hAnsi="Arial"/>
                <w:sz w:val="20"/>
                <w:szCs w:val="20"/>
                <w:color w:val="auto"/>
              </w:rPr>
              <w:t>SECURITY OWNERSHIP OF CERTAIN BENEFICIAL OWNERS AND</w:t>
            </w:r>
          </w:p>
        </w:tc>
        <w:tc>
          <w:tcPr>
            <w:tcW w:w="540" w:type="dxa"/>
            <w:vAlign w:val="bottom"/>
          </w:tcPr>
          <w:p>
            <w:pPr>
              <w:spacing w:after="0"/>
              <w:rPr>
                <w:sz w:val="21"/>
                <w:szCs w:val="21"/>
                <w:color w:val="auto"/>
              </w:rPr>
            </w:pPr>
          </w:p>
        </w:tc>
      </w:tr>
      <w:tr>
        <w:trPr>
          <w:trHeight w:val="248"/>
        </w:trPr>
        <w:tc>
          <w:tcPr>
            <w:tcW w:w="860" w:type="dxa"/>
            <w:vAlign w:val="bottom"/>
          </w:tcPr>
          <w:p>
            <w:pPr>
              <w:spacing w:after="0"/>
              <w:rPr>
                <w:sz w:val="21"/>
                <w:szCs w:val="21"/>
                <w:color w:val="auto"/>
              </w:rPr>
            </w:pPr>
          </w:p>
        </w:tc>
        <w:tc>
          <w:tcPr>
            <w:tcW w:w="7700" w:type="dxa"/>
            <w:vAlign w:val="bottom"/>
          </w:tcPr>
          <w:p>
            <w:pPr>
              <w:ind w:left="100"/>
              <w:spacing w:after="0"/>
              <w:rPr>
                <w:sz w:val="20"/>
                <w:szCs w:val="20"/>
                <w:color w:val="auto"/>
              </w:rPr>
            </w:pPr>
            <w:r>
              <w:rPr>
                <w:rFonts w:ascii="Arial" w:cs="Arial" w:eastAsia="Arial" w:hAnsi="Arial"/>
                <w:sz w:val="20"/>
                <w:szCs w:val="20"/>
                <w:color w:val="auto"/>
              </w:rPr>
              <w:t>MANAGEMENT AND RELATED STOCKHOLDER MATTERS</w:t>
            </w:r>
          </w:p>
        </w:tc>
        <w:tc>
          <w:tcPr>
            <w:tcW w:w="5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51"/>
        </w:trPr>
        <w:tc>
          <w:tcPr>
            <w:tcW w:w="860" w:type="dxa"/>
            <w:vAlign w:val="bottom"/>
          </w:tcPr>
          <w:p>
            <w:pPr>
              <w:spacing w:after="0"/>
              <w:rPr>
                <w:sz w:val="20"/>
                <w:szCs w:val="20"/>
                <w:color w:val="auto"/>
              </w:rPr>
            </w:pPr>
            <w:r>
              <w:rPr>
                <w:rFonts w:ascii="Arial" w:cs="Arial" w:eastAsia="Arial" w:hAnsi="Arial"/>
                <w:sz w:val="20"/>
                <w:szCs w:val="20"/>
                <w:color w:val="auto"/>
              </w:rPr>
              <w:t>Item 13.</w:t>
            </w:r>
          </w:p>
        </w:tc>
        <w:tc>
          <w:tcPr>
            <w:tcW w:w="7700" w:type="dxa"/>
            <w:vAlign w:val="bottom"/>
          </w:tcPr>
          <w:p>
            <w:pPr>
              <w:ind w:left="100"/>
              <w:spacing w:after="0"/>
              <w:rPr>
                <w:sz w:val="20"/>
                <w:szCs w:val="20"/>
                <w:color w:val="auto"/>
              </w:rPr>
            </w:pPr>
            <w:r>
              <w:rPr>
                <w:rFonts w:ascii="Arial" w:cs="Arial" w:eastAsia="Arial" w:hAnsi="Arial"/>
                <w:sz w:val="20"/>
                <w:szCs w:val="20"/>
                <w:color w:val="auto"/>
              </w:rPr>
              <w:t>CERTAIN RELATIONSHIPS AND RELATED TRANSACTIONS, AND DIRECTOR</w:t>
            </w:r>
          </w:p>
        </w:tc>
        <w:tc>
          <w:tcPr>
            <w:tcW w:w="540" w:type="dxa"/>
            <w:vAlign w:val="bottom"/>
          </w:tcPr>
          <w:p>
            <w:pPr>
              <w:spacing w:after="0"/>
              <w:rPr>
                <w:sz w:val="21"/>
                <w:szCs w:val="21"/>
                <w:color w:val="auto"/>
              </w:rPr>
            </w:pPr>
          </w:p>
        </w:tc>
      </w:tr>
      <w:tr>
        <w:trPr>
          <w:trHeight w:val="248"/>
        </w:trPr>
        <w:tc>
          <w:tcPr>
            <w:tcW w:w="860" w:type="dxa"/>
            <w:vAlign w:val="bottom"/>
          </w:tcPr>
          <w:p>
            <w:pPr>
              <w:spacing w:after="0"/>
              <w:rPr>
                <w:sz w:val="21"/>
                <w:szCs w:val="21"/>
                <w:color w:val="auto"/>
              </w:rPr>
            </w:pPr>
          </w:p>
        </w:tc>
        <w:tc>
          <w:tcPr>
            <w:tcW w:w="7700" w:type="dxa"/>
            <w:vAlign w:val="bottom"/>
          </w:tcPr>
          <w:p>
            <w:pPr>
              <w:ind w:left="100"/>
              <w:spacing w:after="0"/>
              <w:rPr>
                <w:sz w:val="20"/>
                <w:szCs w:val="20"/>
                <w:color w:val="auto"/>
              </w:rPr>
            </w:pPr>
            <w:r>
              <w:rPr>
                <w:rFonts w:ascii="Arial" w:cs="Arial" w:eastAsia="Arial" w:hAnsi="Arial"/>
                <w:sz w:val="20"/>
                <w:szCs w:val="20"/>
                <w:color w:val="auto"/>
              </w:rPr>
              <w:t>INDEPENDENCE</w:t>
            </w:r>
          </w:p>
        </w:tc>
        <w:tc>
          <w:tcPr>
            <w:tcW w:w="5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14.</w:t>
            </w:r>
          </w:p>
        </w:tc>
        <w:tc>
          <w:tcPr>
            <w:tcW w:w="7700" w:type="dxa"/>
            <w:vAlign w:val="bottom"/>
          </w:tcPr>
          <w:p>
            <w:pPr>
              <w:ind w:left="100"/>
              <w:spacing w:after="0"/>
              <w:rPr>
                <w:sz w:val="20"/>
                <w:szCs w:val="20"/>
                <w:color w:val="auto"/>
              </w:rPr>
            </w:pPr>
            <w:r>
              <w:rPr>
                <w:rFonts w:ascii="Arial" w:cs="Arial" w:eastAsia="Arial" w:hAnsi="Arial"/>
                <w:sz w:val="20"/>
                <w:szCs w:val="20"/>
                <w:color w:val="auto"/>
              </w:rPr>
              <w:t>PRINCIPAL ACCOUNTING FEES AND SERVICES</w:t>
            </w:r>
          </w:p>
        </w:tc>
        <w:tc>
          <w:tcPr>
            <w:tcW w:w="5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55"/>
        </w:trPr>
        <w:tc>
          <w:tcPr>
            <w:tcW w:w="86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7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Item 15.</w:t>
            </w:r>
          </w:p>
        </w:tc>
        <w:tc>
          <w:tcPr>
            <w:tcW w:w="7700" w:type="dxa"/>
            <w:vAlign w:val="bottom"/>
          </w:tcPr>
          <w:p>
            <w:pPr>
              <w:ind w:left="100"/>
              <w:spacing w:after="0"/>
              <w:rPr>
                <w:sz w:val="20"/>
                <w:szCs w:val="20"/>
                <w:color w:val="auto"/>
              </w:rPr>
            </w:pPr>
            <w:r>
              <w:rPr>
                <w:rFonts w:ascii="Arial" w:cs="Arial" w:eastAsia="Arial" w:hAnsi="Arial"/>
                <w:sz w:val="20"/>
                <w:szCs w:val="20"/>
                <w:color w:val="auto"/>
              </w:rPr>
              <w:t>EXHIBITS, FINANCIAL STATEMENT SCHEDULES</w:t>
            </w:r>
          </w:p>
        </w:tc>
        <w:tc>
          <w:tcPr>
            <w:tcW w:w="54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59"/>
        </w:trPr>
        <w:tc>
          <w:tcPr>
            <w:tcW w:w="860" w:type="dxa"/>
            <w:vAlign w:val="bottom"/>
          </w:tcPr>
          <w:p>
            <w:pPr>
              <w:spacing w:after="0"/>
              <w:rPr>
                <w:sz w:val="20"/>
                <w:szCs w:val="20"/>
                <w:color w:val="auto"/>
              </w:rPr>
            </w:pPr>
            <w:r>
              <w:rPr>
                <w:rFonts w:ascii="Arial" w:cs="Arial" w:eastAsia="Arial" w:hAnsi="Arial"/>
                <w:sz w:val="20"/>
                <w:szCs w:val="20"/>
                <w:color w:val="auto"/>
              </w:rPr>
              <w:t>Item 16.</w:t>
            </w:r>
          </w:p>
        </w:tc>
        <w:tc>
          <w:tcPr>
            <w:tcW w:w="7700" w:type="dxa"/>
            <w:vAlign w:val="bottom"/>
          </w:tcPr>
          <w:p>
            <w:pPr>
              <w:ind w:left="100"/>
              <w:spacing w:after="0"/>
              <w:rPr>
                <w:sz w:val="20"/>
                <w:szCs w:val="20"/>
                <w:color w:val="auto"/>
              </w:rPr>
            </w:pPr>
            <w:r>
              <w:rPr>
                <w:rFonts w:ascii="Arial" w:cs="Arial" w:eastAsia="Arial" w:hAnsi="Arial"/>
                <w:sz w:val="20"/>
                <w:szCs w:val="20"/>
                <w:color w:val="auto"/>
              </w:rPr>
              <w:t>FORM 10-K SUMMARY</w:t>
            </w:r>
          </w:p>
        </w:tc>
        <w:tc>
          <w:tcPr>
            <w:tcW w:w="54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59"/>
        </w:trPr>
        <w:tc>
          <w:tcPr>
            <w:tcW w:w="860" w:type="dxa"/>
            <w:vAlign w:val="bottom"/>
          </w:tcPr>
          <w:p>
            <w:pPr>
              <w:spacing w:after="0"/>
              <w:rPr>
                <w:sz w:val="22"/>
                <w:szCs w:val="22"/>
                <w:color w:val="auto"/>
              </w:rPr>
            </w:pPr>
          </w:p>
        </w:tc>
        <w:tc>
          <w:tcPr>
            <w:tcW w:w="7700" w:type="dxa"/>
            <w:vAlign w:val="bottom"/>
          </w:tcPr>
          <w:p>
            <w:pPr>
              <w:ind w:left="100"/>
              <w:spacing w:after="0"/>
              <w:rPr>
                <w:sz w:val="20"/>
                <w:szCs w:val="20"/>
                <w:color w:val="auto"/>
              </w:rPr>
            </w:pPr>
            <w:r>
              <w:rPr>
                <w:rFonts w:ascii="Arial" w:cs="Arial" w:eastAsia="Arial" w:hAnsi="Arial"/>
                <w:sz w:val="20"/>
                <w:szCs w:val="20"/>
                <w:color w:val="auto"/>
              </w:rPr>
              <w:t>SIGNATURES</w:t>
            </w:r>
          </w:p>
        </w:tc>
        <w:tc>
          <w:tcPr>
            <w:tcW w:w="540" w:type="dxa"/>
            <w:vAlign w:val="bottom"/>
          </w:tcPr>
          <w:p>
            <w:pPr>
              <w:jc w:val="right"/>
              <w:spacing w:after="0"/>
              <w:rPr>
                <w:sz w:val="20"/>
                <w:szCs w:val="20"/>
                <w:color w:val="auto"/>
              </w:rPr>
            </w:pPr>
            <w:r>
              <w:rPr>
                <w:rFonts w:ascii="Arial" w:cs="Arial" w:eastAsia="Arial" w:hAnsi="Arial"/>
                <w:sz w:val="20"/>
                <w:szCs w:val="20"/>
                <w:color w:val="auto"/>
              </w:rPr>
              <w:t>121</w:t>
            </w:r>
          </w:p>
        </w:tc>
      </w:tr>
    </w:tbl>
    <w:p>
      <w:pPr>
        <w:sectPr>
          <w:pgSz w:w="11880" w:h="15480" w:orient="portrait"/>
          <w:cols w:equalWidth="0" w:num="1">
            <w:col w:w="9100"/>
          </w:cols>
          <w:pgMar w:left="1400" w:top="1019" w:right="1380" w:bottom="1440" w:gutter="0" w:footer="0" w:header="0"/>
        </w:sectPr>
      </w:pPr>
    </w:p>
    <w:bookmarkStart w:id="6" w:name="page7"/>
    <w:bookmarkEnd w:id="6"/>
    <w:p>
      <w:pPr>
        <w:jc w:val="center"/>
        <w:spacing w:after="0"/>
        <w:rPr>
          <w:sz w:val="20"/>
          <w:szCs w:val="20"/>
          <w:color w:val="auto"/>
        </w:rPr>
      </w:pPr>
      <w:r>
        <w:rPr>
          <w:rFonts w:ascii="Arial" w:cs="Arial" w:eastAsia="Arial" w:hAnsi="Arial"/>
          <w:sz w:val="23"/>
          <w:szCs w:val="23"/>
          <w:b w:val="1"/>
          <w:bCs w:val="1"/>
          <w:color w:val="000039"/>
        </w:rPr>
        <w:t>PART I</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ITEM 1. BUSINESS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Overview</w:t>
      </w:r>
    </w:p>
    <w:p>
      <w:pPr>
        <w:spacing w:after="0" w:line="131" w:lineRule="exact"/>
        <w:rPr>
          <w:sz w:val="20"/>
          <w:szCs w:val="20"/>
          <w:color w:val="auto"/>
        </w:rPr>
      </w:pPr>
    </w:p>
    <w:p>
      <w:pPr>
        <w:ind w:right="40" w:firstLine="359"/>
        <w:spacing w:after="0" w:line="258" w:lineRule="auto"/>
        <w:rPr>
          <w:sz w:val="20"/>
          <w:szCs w:val="20"/>
          <w:color w:val="auto"/>
        </w:rPr>
      </w:pPr>
      <w:r>
        <w:rPr>
          <w:rFonts w:ascii="Arial" w:cs="Arial" w:eastAsia="Arial" w:hAnsi="Arial"/>
          <w:sz w:val="20"/>
          <w:szCs w:val="20"/>
          <w:color w:val="auto"/>
        </w:rPr>
        <w:t>AbbVie or “the company” refer to AbbVie Inc., or AbbVie Inc. and its consolidated subsidiaries, as the context requires. 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 AbbVie was incorporated in Delaware on April 10, 2012. On January 1, 2013, AbbVie became an independent, publicly-traded company as a result of the distribution by Abbott Laboratories (Abbott) of 100% of the outstanding common stock of AbbVie to Abbott’s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Segments</w:t>
      </w:r>
    </w:p>
    <w:p>
      <w:pPr>
        <w:spacing w:after="0" w:line="131" w:lineRule="exact"/>
        <w:rPr>
          <w:sz w:val="20"/>
          <w:szCs w:val="20"/>
          <w:color w:val="auto"/>
        </w:rPr>
      </w:pPr>
    </w:p>
    <w:p>
      <w:pPr>
        <w:ind w:firstLine="359"/>
        <w:spacing w:after="0" w:line="257" w:lineRule="auto"/>
        <w:rPr>
          <w:sz w:val="20"/>
          <w:szCs w:val="20"/>
          <w:color w:val="auto"/>
        </w:rPr>
      </w:pPr>
      <w:r>
        <w:rPr>
          <w:rFonts w:ascii="Arial" w:cs="Arial" w:eastAsia="Arial" w:hAnsi="Arial"/>
          <w:sz w:val="20"/>
          <w:szCs w:val="20"/>
          <w:color w:val="auto"/>
        </w:rPr>
        <w:t>AbbVie operates as a single global business segment dedicated to the research and development, manufacturing, commercialization and sale of innovative medicines and therapies. This operating structure enables the Chief Executive Officer, as Chief Operating Decision Maker (CODM), to allocate resources and assess business performance on a global basis in order to achieve established long-term strategic goals. Consistent with this structure, a global research and development and supply chain organization is responsible for the discovery, development, manufacturing and supply of products. Commercial efforts that coordinate the marketing, sales and distribution of these products are organized by geographic region or therapeutic area. All of these activities are supported by a global corporate administrative staff. The determination of a single business segment is consistent with the consolidated financial information regularly reviewed by the CODM for purposes of assessing performance, allocating resources and planning and forecasting future periods. See Note 16, “Segment and Geographic Area Information” to the Consolidated Financial Statements included under Item 8, “Financial Statements and Supplementary Data” and the sales information related to AbbVie’s key products and geographies included under 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Products</w:t>
      </w:r>
    </w:p>
    <w:p>
      <w:pPr>
        <w:spacing w:after="0" w:line="131" w:lineRule="exact"/>
        <w:rPr>
          <w:sz w:val="20"/>
          <w:szCs w:val="20"/>
          <w:color w:val="auto"/>
        </w:rPr>
      </w:pPr>
    </w:p>
    <w:p>
      <w:pPr>
        <w:ind w:right="160" w:firstLine="359"/>
        <w:spacing w:after="0" w:line="275" w:lineRule="auto"/>
        <w:rPr>
          <w:sz w:val="20"/>
          <w:szCs w:val="20"/>
          <w:color w:val="auto"/>
        </w:rPr>
      </w:pPr>
      <w:r>
        <w:rPr>
          <w:rFonts w:ascii="Arial" w:cs="Arial" w:eastAsia="Arial" w:hAnsi="Arial"/>
          <w:sz w:val="20"/>
          <w:szCs w:val="20"/>
          <w:color w:val="auto"/>
        </w:rPr>
        <w:t>AbbVie’s portfolio of products includes a broad line of therapies that address some of the world’s most complex and serious diseases.</w:t>
      </w:r>
    </w:p>
    <w:p>
      <w:pPr>
        <w:spacing w:after="0" w:line="102" w:lineRule="exact"/>
        <w:rPr>
          <w:sz w:val="20"/>
          <w:szCs w:val="20"/>
          <w:color w:val="auto"/>
        </w:rPr>
      </w:pPr>
    </w:p>
    <w:p>
      <w:pPr>
        <w:ind w:firstLine="359"/>
        <w:spacing w:after="0" w:line="265" w:lineRule="auto"/>
        <w:rPr>
          <w:sz w:val="20"/>
          <w:szCs w:val="20"/>
          <w:color w:val="auto"/>
        </w:rPr>
      </w:pPr>
      <w:r>
        <w:rPr>
          <w:rFonts w:ascii="Arial" w:cs="Arial" w:eastAsia="Arial" w:hAnsi="Arial"/>
          <w:sz w:val="20"/>
          <w:szCs w:val="20"/>
          <w:b w:val="1"/>
          <w:bCs w:val="1"/>
          <w:i w:val="1"/>
          <w:iCs w:val="1"/>
          <w:color w:val="000039"/>
        </w:rPr>
        <w:t xml:space="preserve">Immunology products. </w:t>
      </w:r>
      <w:r>
        <w:rPr>
          <w:rFonts w:ascii="Arial" w:cs="Arial" w:eastAsia="Arial" w:hAnsi="Arial"/>
          <w:sz w:val="20"/>
          <w:szCs w:val="20"/>
          <w:color w:val="000000"/>
        </w:rPr>
        <w:t>AbbVie maintains an extensive immunology portfolio across rheumatology,</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dermatology and gastroenterology. AbbVie’s immunology products address unmet needs for patients with autoimmune diseases. These products are:</w:t>
      </w:r>
    </w:p>
    <w:p>
      <w:pPr>
        <w:spacing w:after="0" w:line="110" w:lineRule="exact"/>
        <w:rPr>
          <w:sz w:val="20"/>
          <w:szCs w:val="20"/>
          <w:color w:val="auto"/>
        </w:rPr>
      </w:pPr>
    </w:p>
    <w:p>
      <w:pPr>
        <w:ind w:right="40" w:firstLine="359"/>
        <w:spacing w:after="0" w:line="284" w:lineRule="auto"/>
        <w:rPr>
          <w:sz w:val="20"/>
          <w:szCs w:val="20"/>
          <w:color w:val="auto"/>
        </w:rPr>
      </w:pPr>
      <w:r>
        <w:rPr>
          <w:rFonts w:ascii="Arial" w:cs="Arial" w:eastAsia="Arial" w:hAnsi="Arial"/>
          <w:sz w:val="19"/>
          <w:szCs w:val="19"/>
          <w:i w:val="1"/>
          <w:iCs w:val="1"/>
          <w:color w:val="auto"/>
        </w:rPr>
        <w:t xml:space="preserve">Skyrizi. </w:t>
      </w:r>
      <w:r>
        <w:rPr>
          <w:rFonts w:ascii="Arial" w:cs="Arial" w:eastAsia="Arial" w:hAnsi="Arial"/>
          <w:sz w:val="19"/>
          <w:szCs w:val="19"/>
          <w:color w:val="auto"/>
        </w:rPr>
        <w:t>Skyrizi (risankizumab) is an interleukin-23 (IL-23) inhibitor that selectively blocks IL-23 by</w:t>
      </w:r>
      <w:r>
        <w:rPr>
          <w:rFonts w:ascii="Arial" w:cs="Arial" w:eastAsia="Arial" w:hAnsi="Arial"/>
          <w:sz w:val="19"/>
          <w:szCs w:val="19"/>
          <w:i w:val="1"/>
          <w:iCs w:val="1"/>
          <w:color w:val="auto"/>
        </w:rPr>
        <w:t xml:space="preserve"> </w:t>
      </w:r>
      <w:r>
        <w:rPr>
          <w:rFonts w:ascii="Arial" w:cs="Arial" w:eastAsia="Arial" w:hAnsi="Arial"/>
          <w:sz w:val="19"/>
          <w:szCs w:val="19"/>
          <w:color w:val="auto"/>
        </w:rPr>
        <w:t>binding to its p19 subunit. It is a biologic therapy approved to treat the following autoimmune diseases in the United States, Canada and Mexico (collectively, North America), the European Union and Japan: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20"/>
                <w:szCs w:val="20"/>
                <w:color w:val="auto"/>
              </w:rPr>
            </w:pPr>
            <w:r>
              <w:rPr>
                <w:rFonts w:ascii="Arial" w:cs="Arial" w:eastAsia="Arial" w:hAnsi="Arial"/>
                <w:sz w:val="16"/>
                <w:szCs w:val="16"/>
                <w:b w:val="1"/>
                <w:bCs w:val="1"/>
                <w:color w:val="auto"/>
              </w:rPr>
              <w:t>Condition</w:t>
            </w:r>
          </w:p>
        </w:tc>
        <w:tc>
          <w:tcPr>
            <w:tcW w:w="4620" w:type="dxa"/>
            <w:vAlign w:val="bottom"/>
          </w:tcPr>
          <w:p>
            <w:pPr>
              <w:ind w:left="1120"/>
              <w:spacing w:after="0"/>
              <w:rPr>
                <w:sz w:val="20"/>
                <w:szCs w:val="20"/>
                <w:color w:val="auto"/>
              </w:rPr>
            </w:pPr>
            <w:r>
              <w:rPr>
                <w:rFonts w:ascii="Arial" w:cs="Arial" w:eastAsia="Arial" w:hAnsi="Arial"/>
                <w:sz w:val="16"/>
                <w:szCs w:val="16"/>
                <w:b w:val="1"/>
                <w:bCs w:val="1"/>
                <w:color w:val="auto"/>
              </w:rPr>
              <w:t>Principal Markets</w:t>
            </w:r>
          </w:p>
        </w:tc>
      </w:tr>
      <w:tr>
        <w:trPr>
          <w:trHeight w:val="32"/>
        </w:trPr>
        <w:tc>
          <w:tcPr>
            <w:tcW w:w="44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73"/>
        </w:trPr>
        <w:tc>
          <w:tcPr>
            <w:tcW w:w="4480" w:type="dxa"/>
            <w:vAlign w:val="bottom"/>
          </w:tcPr>
          <w:p>
            <w:pPr>
              <w:spacing w:after="0"/>
              <w:rPr>
                <w:sz w:val="20"/>
                <w:szCs w:val="20"/>
                <w:color w:val="auto"/>
              </w:rPr>
            </w:pPr>
            <w:r>
              <w:rPr>
                <w:rFonts w:ascii="Arial" w:cs="Arial" w:eastAsia="Arial" w:hAnsi="Arial"/>
                <w:sz w:val="20"/>
                <w:szCs w:val="20"/>
                <w:color w:val="auto"/>
              </w:rPr>
              <w:t>Plaque psoriasis (moderate to severe)</w:t>
            </w:r>
          </w:p>
        </w:tc>
        <w:tc>
          <w:tcPr>
            <w:tcW w:w="4620" w:type="dxa"/>
            <w:vAlign w:val="bottom"/>
          </w:tcPr>
          <w:p>
            <w:pPr>
              <w:ind w:left="1120"/>
              <w:spacing w:after="0"/>
              <w:rPr>
                <w:sz w:val="20"/>
                <w:szCs w:val="20"/>
                <w:color w:val="auto"/>
              </w:rPr>
            </w:pPr>
            <w:r>
              <w:rPr>
                <w:rFonts w:ascii="Arial" w:cs="Arial" w:eastAsia="Arial" w:hAnsi="Arial"/>
                <w:sz w:val="20"/>
                <w:szCs w:val="20"/>
                <w:color w:val="auto"/>
                <w:w w:val="99"/>
              </w:rPr>
              <w:t>North America, European Union, Japan</w:t>
            </w:r>
          </w:p>
        </w:tc>
      </w:tr>
      <w:tr>
        <w:trPr>
          <w:trHeight w:val="299"/>
        </w:trPr>
        <w:tc>
          <w:tcPr>
            <w:tcW w:w="4480" w:type="dxa"/>
            <w:vAlign w:val="bottom"/>
          </w:tcPr>
          <w:p>
            <w:pPr>
              <w:spacing w:after="0"/>
              <w:rPr>
                <w:sz w:val="20"/>
                <w:szCs w:val="20"/>
                <w:color w:val="auto"/>
              </w:rPr>
            </w:pPr>
            <w:r>
              <w:rPr>
                <w:rFonts w:ascii="Arial" w:cs="Arial" w:eastAsia="Arial" w:hAnsi="Arial"/>
                <w:sz w:val="20"/>
                <w:szCs w:val="20"/>
                <w:color w:val="auto"/>
              </w:rPr>
              <w:t>Psoriatic arthritis</w:t>
            </w:r>
          </w:p>
        </w:tc>
        <w:tc>
          <w:tcPr>
            <w:tcW w:w="4620" w:type="dxa"/>
            <w:vAlign w:val="bottom"/>
          </w:tcPr>
          <w:p>
            <w:pPr>
              <w:ind w:left="1120"/>
              <w:spacing w:after="0"/>
              <w:rPr>
                <w:sz w:val="20"/>
                <w:szCs w:val="20"/>
                <w:color w:val="auto"/>
              </w:rPr>
            </w:pPr>
            <w:r>
              <w:rPr>
                <w:rFonts w:ascii="Arial" w:cs="Arial" w:eastAsia="Arial" w:hAnsi="Arial"/>
                <w:sz w:val="20"/>
                <w:szCs w:val="20"/>
                <w:color w:val="auto"/>
                <w:w w:val="99"/>
              </w:rPr>
              <w:t>North America, European Union, Japan</w:t>
            </w:r>
          </w:p>
        </w:tc>
      </w:tr>
      <w:tr>
        <w:trPr>
          <w:trHeight w:val="299"/>
        </w:trPr>
        <w:tc>
          <w:tcPr>
            <w:tcW w:w="4480" w:type="dxa"/>
            <w:vAlign w:val="bottom"/>
          </w:tcPr>
          <w:p>
            <w:pPr>
              <w:spacing w:after="0"/>
              <w:rPr>
                <w:sz w:val="20"/>
                <w:szCs w:val="20"/>
                <w:color w:val="auto"/>
              </w:rPr>
            </w:pPr>
            <w:r>
              <w:rPr>
                <w:rFonts w:ascii="Arial" w:cs="Arial" w:eastAsia="Arial" w:hAnsi="Arial"/>
                <w:sz w:val="20"/>
                <w:szCs w:val="20"/>
                <w:color w:val="auto"/>
              </w:rPr>
              <w:t>Crohn’s disease (moderate to severe)</w:t>
            </w:r>
          </w:p>
        </w:tc>
        <w:tc>
          <w:tcPr>
            <w:tcW w:w="4620" w:type="dxa"/>
            <w:vAlign w:val="bottom"/>
          </w:tcPr>
          <w:p>
            <w:pPr>
              <w:ind w:left="1120"/>
              <w:spacing w:after="0"/>
              <w:rPr>
                <w:sz w:val="20"/>
                <w:szCs w:val="20"/>
                <w:color w:val="auto"/>
              </w:rPr>
            </w:pPr>
            <w:r>
              <w:rPr>
                <w:rFonts w:ascii="Arial" w:cs="Arial" w:eastAsia="Arial" w:hAnsi="Arial"/>
                <w:sz w:val="20"/>
                <w:szCs w:val="20"/>
                <w:color w:val="auto"/>
                <w:w w:val="99"/>
              </w:rPr>
              <w:t>North America, European Union, Japan</w:t>
            </w:r>
          </w:p>
        </w:tc>
      </w:tr>
      <w:tr>
        <w:trPr>
          <w:trHeight w:val="299"/>
        </w:trPr>
        <w:tc>
          <w:tcPr>
            <w:tcW w:w="4480" w:type="dxa"/>
            <w:vAlign w:val="bottom"/>
          </w:tcPr>
          <w:p>
            <w:pPr>
              <w:spacing w:after="0"/>
              <w:rPr>
                <w:sz w:val="20"/>
                <w:szCs w:val="20"/>
                <w:color w:val="auto"/>
              </w:rPr>
            </w:pPr>
            <w:r>
              <w:rPr>
                <w:rFonts w:ascii="Arial" w:cs="Arial" w:eastAsia="Arial" w:hAnsi="Arial"/>
                <w:sz w:val="20"/>
                <w:szCs w:val="20"/>
                <w:color w:val="auto"/>
              </w:rPr>
              <w:t>Ulcerative colitis (moderate to severe)</w:t>
            </w:r>
          </w:p>
        </w:tc>
        <w:tc>
          <w:tcPr>
            <w:tcW w:w="4620" w:type="dxa"/>
            <w:vAlign w:val="bottom"/>
          </w:tcPr>
          <w:p>
            <w:pPr>
              <w:ind w:left="1120"/>
              <w:spacing w:after="0"/>
              <w:rPr>
                <w:sz w:val="20"/>
                <w:szCs w:val="20"/>
                <w:color w:val="auto"/>
              </w:rPr>
            </w:pPr>
            <w:r>
              <w:rPr>
                <w:rFonts w:ascii="Arial" w:cs="Arial" w:eastAsia="Arial" w:hAnsi="Arial"/>
                <w:sz w:val="20"/>
                <w:szCs w:val="20"/>
                <w:color w:val="auto"/>
                <w:w w:val="99"/>
              </w:rPr>
              <w:t>North America, European Union, Japan</w:t>
            </w:r>
          </w:p>
        </w:tc>
      </w:tr>
    </w:tbl>
    <w:p>
      <w:pPr>
        <w:spacing w:after="0" w:line="195" w:lineRule="exact"/>
        <w:rPr>
          <w:sz w:val="20"/>
          <w:szCs w:val="20"/>
          <w:color w:val="auto"/>
        </w:rPr>
      </w:pPr>
    </w:p>
    <w:p>
      <w:pPr>
        <w:ind w:firstLine="359"/>
        <w:spacing w:after="0" w:line="278" w:lineRule="auto"/>
        <w:rPr>
          <w:sz w:val="20"/>
          <w:szCs w:val="20"/>
          <w:color w:val="auto"/>
        </w:rPr>
      </w:pPr>
      <w:r>
        <w:rPr>
          <w:rFonts w:ascii="Arial" w:cs="Arial" w:eastAsia="Arial" w:hAnsi="Arial"/>
          <w:sz w:val="19"/>
          <w:szCs w:val="19"/>
          <w:color w:val="auto"/>
        </w:rPr>
        <w:t>In psoriatic disease (plaque psoriasis or psoriatic arthritis), Skyrizi is administered as a quarterly subcutaneous injection following two induction doses. When administered for Crohn’s disease and ulcerative colitis, Skyrizi is given as three induction doses via IV infusion, followed by subcutaneous injection via an on-body injector every eight weeks. Skyrizi is sold in numerous other markets worldwide.</w:t>
      </w:r>
    </w:p>
    <w:p>
      <w:pPr>
        <w:sectPr>
          <w:pgSz w:w="11880" w:h="15480" w:orient="portrait"/>
          <w:cols w:equalWidth="0" w:num="1">
            <w:col w:w="9100"/>
          </w:cols>
          <w:pgMar w:left="1400" w:top="1019" w:right="1380" w:bottom="87" w:gutter="0" w:footer="0" w:header="0"/>
        </w:sectPr>
      </w:pPr>
    </w:p>
    <w:p>
      <w:pPr>
        <w:spacing w:after="0" w:line="222"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w:t>
      </w:r>
    </w:p>
    <w:p>
      <w:pPr>
        <w:sectPr>
          <w:pgSz w:w="11880" w:h="15480" w:orient="portrait"/>
          <w:cols w:equalWidth="0" w:num="1">
            <w:col w:w="9100"/>
          </w:cols>
          <w:pgMar w:left="1400" w:top="1019" w:right="1380" w:bottom="87" w:gutter="0" w:footer="0" w:header="0"/>
          <w:type w:val="continuous"/>
        </w:sectPr>
      </w:pPr>
    </w:p>
    <w:bookmarkStart w:id="7" w:name="page8"/>
    <w:bookmarkEnd w:id="7"/>
    <w:p>
      <w:pPr>
        <w:ind w:firstLine="359"/>
        <w:spacing w:after="0" w:line="293" w:lineRule="auto"/>
        <w:rPr>
          <w:sz w:val="20"/>
          <w:szCs w:val="20"/>
          <w:color w:val="auto"/>
        </w:rPr>
      </w:pPr>
      <w:r>
        <w:rPr>
          <w:rFonts w:ascii="Arial" w:cs="Arial" w:eastAsia="Arial" w:hAnsi="Arial"/>
          <w:sz w:val="19"/>
          <w:szCs w:val="19"/>
          <w:i w:val="1"/>
          <w:iCs w:val="1"/>
          <w:color w:val="auto"/>
        </w:rPr>
        <w:t>Rinvoq</w:t>
      </w:r>
      <w:r>
        <w:rPr>
          <w:rFonts w:ascii="Arial" w:cs="Arial" w:eastAsia="Arial" w:hAnsi="Arial"/>
          <w:sz w:val="19"/>
          <w:szCs w:val="19"/>
          <w:color w:val="auto"/>
        </w:rPr>
        <w:t>. Rinvoq (upadacitinib) is an oral, once-daily selective and reversible JAK inhibitor that is</w:t>
      </w:r>
      <w:r>
        <w:rPr>
          <w:rFonts w:ascii="Arial" w:cs="Arial" w:eastAsia="Arial" w:hAnsi="Arial"/>
          <w:sz w:val="19"/>
          <w:szCs w:val="19"/>
          <w:i w:val="1"/>
          <w:iCs w:val="1"/>
          <w:color w:val="auto"/>
        </w:rPr>
        <w:t xml:space="preserve"> </w:t>
      </w:r>
      <w:r>
        <w:rPr>
          <w:rFonts w:ascii="Arial" w:cs="Arial" w:eastAsia="Arial" w:hAnsi="Arial"/>
          <w:sz w:val="19"/>
          <w:szCs w:val="19"/>
          <w:color w:val="auto"/>
        </w:rPr>
        <w:t>approved to treat the following inflammatory diseases in North America, the European Union and Japan: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20"/>
                <w:szCs w:val="20"/>
                <w:color w:val="auto"/>
              </w:rPr>
            </w:pPr>
            <w:r>
              <w:rPr>
                <w:rFonts w:ascii="Arial" w:cs="Arial" w:eastAsia="Arial" w:hAnsi="Arial"/>
                <w:sz w:val="16"/>
                <w:szCs w:val="16"/>
                <w:b w:val="1"/>
                <w:bCs w:val="1"/>
                <w:color w:val="auto"/>
              </w:rPr>
              <w:t>Condition</w:t>
            </w:r>
          </w:p>
        </w:tc>
        <w:tc>
          <w:tcPr>
            <w:tcW w:w="4300" w:type="dxa"/>
            <w:vAlign w:val="bottom"/>
          </w:tcPr>
          <w:p>
            <w:pPr>
              <w:ind w:left="800"/>
              <w:spacing w:after="0"/>
              <w:rPr>
                <w:sz w:val="20"/>
                <w:szCs w:val="20"/>
                <w:color w:val="auto"/>
              </w:rPr>
            </w:pPr>
            <w:r>
              <w:rPr>
                <w:rFonts w:ascii="Arial" w:cs="Arial" w:eastAsia="Arial" w:hAnsi="Arial"/>
                <w:sz w:val="16"/>
                <w:szCs w:val="16"/>
                <w:b w:val="1"/>
                <w:bCs w:val="1"/>
                <w:color w:val="auto"/>
              </w:rPr>
              <w:t>Principal Markets</w:t>
            </w:r>
          </w:p>
        </w:tc>
      </w:tr>
      <w:tr>
        <w:trPr>
          <w:trHeight w:val="32"/>
        </w:trPr>
        <w:tc>
          <w:tcPr>
            <w:tcW w:w="48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73"/>
        </w:trPr>
        <w:tc>
          <w:tcPr>
            <w:tcW w:w="4800" w:type="dxa"/>
            <w:vAlign w:val="bottom"/>
          </w:tcPr>
          <w:p>
            <w:pPr>
              <w:spacing w:after="0"/>
              <w:rPr>
                <w:sz w:val="20"/>
                <w:szCs w:val="20"/>
                <w:color w:val="auto"/>
              </w:rPr>
            </w:pPr>
            <w:r>
              <w:rPr>
                <w:rFonts w:ascii="Arial" w:cs="Arial" w:eastAsia="Arial" w:hAnsi="Arial"/>
                <w:sz w:val="20"/>
                <w:szCs w:val="20"/>
                <w:color w:val="auto"/>
              </w:rPr>
              <w:t>Rheumatoid arthritis (moderate to severe)</w:t>
            </w:r>
          </w:p>
        </w:tc>
        <w:tc>
          <w:tcPr>
            <w:tcW w:w="4300" w:type="dxa"/>
            <w:vAlign w:val="bottom"/>
          </w:tcPr>
          <w:p>
            <w:pPr>
              <w:ind w:left="800"/>
              <w:spacing w:after="0"/>
              <w:rPr>
                <w:sz w:val="20"/>
                <w:szCs w:val="20"/>
                <w:color w:val="auto"/>
              </w:rPr>
            </w:pPr>
            <w:r>
              <w:rPr>
                <w:rFonts w:ascii="Arial" w:cs="Arial" w:eastAsia="Arial" w:hAnsi="Arial"/>
                <w:sz w:val="20"/>
                <w:szCs w:val="20"/>
                <w:color w:val="auto"/>
                <w:w w:val="99"/>
              </w:rPr>
              <w:t>North America, European Union, Japan</w:t>
            </w:r>
          </w:p>
        </w:tc>
      </w:tr>
      <w:tr>
        <w:trPr>
          <w:trHeight w:val="299"/>
        </w:trPr>
        <w:tc>
          <w:tcPr>
            <w:tcW w:w="4800" w:type="dxa"/>
            <w:vAlign w:val="bottom"/>
          </w:tcPr>
          <w:p>
            <w:pPr>
              <w:spacing w:after="0"/>
              <w:rPr>
                <w:sz w:val="20"/>
                <w:szCs w:val="20"/>
                <w:color w:val="auto"/>
              </w:rPr>
            </w:pPr>
            <w:r>
              <w:rPr>
                <w:rFonts w:ascii="Arial" w:cs="Arial" w:eastAsia="Arial" w:hAnsi="Arial"/>
                <w:sz w:val="20"/>
                <w:szCs w:val="20"/>
                <w:color w:val="auto"/>
              </w:rPr>
              <w:t>Psoriatic arthritis</w:t>
            </w:r>
          </w:p>
        </w:tc>
        <w:tc>
          <w:tcPr>
            <w:tcW w:w="4300" w:type="dxa"/>
            <w:vAlign w:val="bottom"/>
          </w:tcPr>
          <w:p>
            <w:pPr>
              <w:ind w:left="800"/>
              <w:spacing w:after="0"/>
              <w:rPr>
                <w:sz w:val="20"/>
                <w:szCs w:val="20"/>
                <w:color w:val="auto"/>
              </w:rPr>
            </w:pPr>
            <w:r>
              <w:rPr>
                <w:rFonts w:ascii="Arial" w:cs="Arial" w:eastAsia="Arial" w:hAnsi="Arial"/>
                <w:sz w:val="20"/>
                <w:szCs w:val="20"/>
                <w:color w:val="auto"/>
                <w:w w:val="99"/>
              </w:rPr>
              <w:t>North America, European Union, Japan</w:t>
            </w:r>
          </w:p>
        </w:tc>
      </w:tr>
      <w:tr>
        <w:trPr>
          <w:trHeight w:val="299"/>
        </w:trPr>
        <w:tc>
          <w:tcPr>
            <w:tcW w:w="4800" w:type="dxa"/>
            <w:vAlign w:val="bottom"/>
          </w:tcPr>
          <w:p>
            <w:pPr>
              <w:spacing w:after="0"/>
              <w:rPr>
                <w:sz w:val="20"/>
                <w:szCs w:val="20"/>
                <w:color w:val="auto"/>
              </w:rPr>
            </w:pPr>
            <w:r>
              <w:rPr>
                <w:rFonts w:ascii="Arial" w:cs="Arial" w:eastAsia="Arial" w:hAnsi="Arial"/>
                <w:sz w:val="20"/>
                <w:szCs w:val="20"/>
                <w:color w:val="auto"/>
              </w:rPr>
              <w:t>Ankylosing spondylitis</w:t>
            </w:r>
          </w:p>
        </w:tc>
        <w:tc>
          <w:tcPr>
            <w:tcW w:w="4300" w:type="dxa"/>
            <w:vAlign w:val="bottom"/>
          </w:tcPr>
          <w:p>
            <w:pPr>
              <w:ind w:left="800"/>
              <w:spacing w:after="0"/>
              <w:rPr>
                <w:sz w:val="20"/>
                <w:szCs w:val="20"/>
                <w:color w:val="auto"/>
              </w:rPr>
            </w:pPr>
            <w:r>
              <w:rPr>
                <w:rFonts w:ascii="Arial" w:cs="Arial" w:eastAsia="Arial" w:hAnsi="Arial"/>
                <w:sz w:val="20"/>
                <w:szCs w:val="20"/>
                <w:color w:val="auto"/>
                <w:w w:val="99"/>
              </w:rPr>
              <w:t>North America, European Union, Japan</w:t>
            </w:r>
          </w:p>
        </w:tc>
      </w:tr>
      <w:tr>
        <w:trPr>
          <w:trHeight w:val="299"/>
        </w:trPr>
        <w:tc>
          <w:tcPr>
            <w:tcW w:w="4800" w:type="dxa"/>
            <w:vAlign w:val="bottom"/>
          </w:tcPr>
          <w:p>
            <w:pPr>
              <w:spacing w:after="0"/>
              <w:rPr>
                <w:sz w:val="20"/>
                <w:szCs w:val="20"/>
                <w:color w:val="auto"/>
              </w:rPr>
            </w:pPr>
            <w:r>
              <w:rPr>
                <w:rFonts w:ascii="Arial" w:cs="Arial" w:eastAsia="Arial" w:hAnsi="Arial"/>
                <w:sz w:val="20"/>
                <w:szCs w:val="20"/>
                <w:color w:val="auto"/>
              </w:rPr>
              <w:t>Atopic dermatitis (moderate to severe)</w:t>
            </w:r>
          </w:p>
        </w:tc>
        <w:tc>
          <w:tcPr>
            <w:tcW w:w="4300" w:type="dxa"/>
            <w:vAlign w:val="bottom"/>
          </w:tcPr>
          <w:p>
            <w:pPr>
              <w:ind w:left="800"/>
              <w:spacing w:after="0"/>
              <w:rPr>
                <w:sz w:val="20"/>
                <w:szCs w:val="20"/>
                <w:color w:val="auto"/>
              </w:rPr>
            </w:pPr>
            <w:r>
              <w:rPr>
                <w:rFonts w:ascii="Arial" w:cs="Arial" w:eastAsia="Arial" w:hAnsi="Arial"/>
                <w:sz w:val="20"/>
                <w:szCs w:val="20"/>
                <w:color w:val="auto"/>
                <w:w w:val="99"/>
              </w:rPr>
              <w:t>North America, European Union, Japan</w:t>
            </w:r>
          </w:p>
        </w:tc>
      </w:tr>
      <w:tr>
        <w:trPr>
          <w:trHeight w:val="299"/>
        </w:trPr>
        <w:tc>
          <w:tcPr>
            <w:tcW w:w="4800" w:type="dxa"/>
            <w:vAlign w:val="bottom"/>
          </w:tcPr>
          <w:p>
            <w:pPr>
              <w:spacing w:after="0"/>
              <w:rPr>
                <w:sz w:val="20"/>
                <w:szCs w:val="20"/>
                <w:color w:val="auto"/>
              </w:rPr>
            </w:pPr>
            <w:r>
              <w:rPr>
                <w:rFonts w:ascii="Arial" w:cs="Arial" w:eastAsia="Arial" w:hAnsi="Arial"/>
                <w:sz w:val="20"/>
                <w:szCs w:val="20"/>
                <w:color w:val="auto"/>
              </w:rPr>
              <w:t>Non-radiographic axial spondyloarthritis</w:t>
            </w:r>
          </w:p>
        </w:tc>
        <w:tc>
          <w:tcPr>
            <w:tcW w:w="4300" w:type="dxa"/>
            <w:vAlign w:val="bottom"/>
          </w:tcPr>
          <w:p>
            <w:pPr>
              <w:ind w:left="800"/>
              <w:spacing w:after="0"/>
              <w:rPr>
                <w:sz w:val="20"/>
                <w:szCs w:val="20"/>
                <w:color w:val="auto"/>
              </w:rPr>
            </w:pPr>
            <w:r>
              <w:rPr>
                <w:rFonts w:ascii="Arial" w:cs="Arial" w:eastAsia="Arial" w:hAnsi="Arial"/>
                <w:sz w:val="20"/>
                <w:szCs w:val="20"/>
                <w:color w:val="auto"/>
                <w:w w:val="99"/>
              </w:rPr>
              <w:t>North America, European Union, Japan</w:t>
            </w:r>
          </w:p>
        </w:tc>
      </w:tr>
      <w:tr>
        <w:trPr>
          <w:trHeight w:val="299"/>
        </w:trPr>
        <w:tc>
          <w:tcPr>
            <w:tcW w:w="4800" w:type="dxa"/>
            <w:vAlign w:val="bottom"/>
          </w:tcPr>
          <w:p>
            <w:pPr>
              <w:spacing w:after="0"/>
              <w:rPr>
                <w:sz w:val="20"/>
                <w:szCs w:val="20"/>
                <w:color w:val="auto"/>
              </w:rPr>
            </w:pPr>
            <w:r>
              <w:rPr>
                <w:rFonts w:ascii="Arial" w:cs="Arial" w:eastAsia="Arial" w:hAnsi="Arial"/>
                <w:sz w:val="20"/>
                <w:szCs w:val="20"/>
                <w:color w:val="auto"/>
              </w:rPr>
              <w:t>Ulcerative colitis (moderate to severe)</w:t>
            </w:r>
          </w:p>
        </w:tc>
        <w:tc>
          <w:tcPr>
            <w:tcW w:w="4300" w:type="dxa"/>
            <w:vAlign w:val="bottom"/>
          </w:tcPr>
          <w:p>
            <w:pPr>
              <w:ind w:left="800"/>
              <w:spacing w:after="0"/>
              <w:rPr>
                <w:sz w:val="20"/>
                <w:szCs w:val="20"/>
                <w:color w:val="auto"/>
              </w:rPr>
            </w:pPr>
            <w:r>
              <w:rPr>
                <w:rFonts w:ascii="Arial" w:cs="Arial" w:eastAsia="Arial" w:hAnsi="Arial"/>
                <w:sz w:val="20"/>
                <w:szCs w:val="20"/>
                <w:color w:val="auto"/>
                <w:w w:val="99"/>
              </w:rPr>
              <w:t>North America, European Union, Japan</w:t>
            </w:r>
          </w:p>
        </w:tc>
      </w:tr>
      <w:tr>
        <w:trPr>
          <w:trHeight w:val="299"/>
        </w:trPr>
        <w:tc>
          <w:tcPr>
            <w:tcW w:w="4800" w:type="dxa"/>
            <w:vAlign w:val="bottom"/>
          </w:tcPr>
          <w:p>
            <w:pPr>
              <w:spacing w:after="0"/>
              <w:rPr>
                <w:sz w:val="20"/>
                <w:szCs w:val="20"/>
                <w:color w:val="auto"/>
              </w:rPr>
            </w:pPr>
            <w:r>
              <w:rPr>
                <w:rFonts w:ascii="Arial" w:cs="Arial" w:eastAsia="Arial" w:hAnsi="Arial"/>
                <w:sz w:val="20"/>
                <w:szCs w:val="20"/>
                <w:color w:val="auto"/>
              </w:rPr>
              <w:t>Crohn’s disease (moderate to severe)</w:t>
            </w:r>
          </w:p>
        </w:tc>
        <w:tc>
          <w:tcPr>
            <w:tcW w:w="4300" w:type="dxa"/>
            <w:vAlign w:val="bottom"/>
          </w:tcPr>
          <w:p>
            <w:pPr>
              <w:ind w:left="800"/>
              <w:spacing w:after="0"/>
              <w:rPr>
                <w:sz w:val="20"/>
                <w:szCs w:val="20"/>
                <w:color w:val="auto"/>
              </w:rPr>
            </w:pPr>
            <w:r>
              <w:rPr>
                <w:rFonts w:ascii="Arial" w:cs="Arial" w:eastAsia="Arial" w:hAnsi="Arial"/>
                <w:sz w:val="20"/>
                <w:szCs w:val="20"/>
                <w:color w:val="auto"/>
              </w:rPr>
              <w:t>U.S., Canada, European Union, Japan</w:t>
            </w:r>
          </w:p>
        </w:tc>
      </w:tr>
      <w:tr>
        <w:trPr>
          <w:trHeight w:val="299"/>
        </w:trPr>
        <w:tc>
          <w:tcPr>
            <w:tcW w:w="4800" w:type="dxa"/>
            <w:vAlign w:val="bottom"/>
          </w:tcPr>
          <w:p>
            <w:pPr>
              <w:spacing w:after="0"/>
              <w:rPr>
                <w:sz w:val="20"/>
                <w:szCs w:val="20"/>
                <w:color w:val="auto"/>
              </w:rPr>
            </w:pPr>
            <w:r>
              <w:rPr>
                <w:rFonts w:ascii="Arial" w:cs="Arial" w:eastAsia="Arial" w:hAnsi="Arial"/>
                <w:sz w:val="20"/>
                <w:szCs w:val="20"/>
                <w:color w:val="auto"/>
              </w:rPr>
              <w:t>Giant cell arteritis</w:t>
            </w:r>
          </w:p>
        </w:tc>
        <w:tc>
          <w:tcPr>
            <w:tcW w:w="4300" w:type="dxa"/>
            <w:vAlign w:val="bottom"/>
          </w:tcPr>
          <w:p>
            <w:pPr>
              <w:ind w:left="800"/>
              <w:spacing w:after="0"/>
              <w:rPr>
                <w:sz w:val="20"/>
                <w:szCs w:val="20"/>
                <w:color w:val="auto"/>
              </w:rPr>
            </w:pPr>
            <w:r>
              <w:rPr>
                <w:rFonts w:ascii="Arial" w:cs="Arial" w:eastAsia="Arial" w:hAnsi="Arial"/>
                <w:sz w:val="20"/>
                <w:szCs w:val="20"/>
                <w:color w:val="auto"/>
              </w:rPr>
              <w:t>U.S., Canada, European Union, Japan</w:t>
            </w:r>
          </w:p>
        </w:tc>
      </w:tr>
      <w:tr>
        <w:trPr>
          <w:trHeight w:val="299"/>
        </w:trPr>
        <w:tc>
          <w:tcPr>
            <w:tcW w:w="4800" w:type="dxa"/>
            <w:vAlign w:val="bottom"/>
          </w:tcPr>
          <w:p>
            <w:pPr>
              <w:spacing w:after="0"/>
              <w:rPr>
                <w:sz w:val="20"/>
                <w:szCs w:val="20"/>
                <w:color w:val="auto"/>
              </w:rPr>
            </w:pPr>
            <w:r>
              <w:rPr>
                <w:rFonts w:ascii="Arial" w:cs="Arial" w:eastAsia="Arial" w:hAnsi="Arial"/>
                <w:sz w:val="20"/>
                <w:szCs w:val="20"/>
                <w:color w:val="auto"/>
              </w:rPr>
              <w:t>Active polyarticular juvenile idiopathic arthritis</w:t>
            </w:r>
          </w:p>
        </w:tc>
        <w:tc>
          <w:tcPr>
            <w:tcW w:w="4300" w:type="dxa"/>
            <w:vAlign w:val="bottom"/>
          </w:tcPr>
          <w:p>
            <w:pPr>
              <w:ind w:left="800"/>
              <w:spacing w:after="0"/>
              <w:rPr>
                <w:sz w:val="20"/>
                <w:szCs w:val="20"/>
                <w:color w:val="auto"/>
              </w:rPr>
            </w:pPr>
            <w:r>
              <w:rPr>
                <w:rFonts w:ascii="Arial" w:cs="Arial" w:eastAsia="Arial" w:hAnsi="Arial"/>
                <w:sz w:val="20"/>
                <w:szCs w:val="20"/>
                <w:color w:val="auto"/>
              </w:rPr>
              <w:t>U.S.</w:t>
            </w:r>
          </w:p>
        </w:tc>
      </w:tr>
    </w:tbl>
    <w:p>
      <w:pPr>
        <w:spacing w:after="0" w:line="187" w:lineRule="exact"/>
        <w:rPr>
          <w:sz w:val="20"/>
          <w:szCs w:val="20"/>
          <w:color w:val="auto"/>
        </w:rPr>
      </w:pPr>
    </w:p>
    <w:p>
      <w:pPr>
        <w:ind w:firstLine="359"/>
        <w:spacing w:after="0" w:line="263" w:lineRule="auto"/>
        <w:rPr>
          <w:sz w:val="20"/>
          <w:szCs w:val="20"/>
          <w:color w:val="auto"/>
        </w:rPr>
      </w:pPr>
      <w:r>
        <w:rPr>
          <w:rFonts w:ascii="Arial" w:cs="Arial" w:eastAsia="Arial" w:hAnsi="Arial"/>
          <w:sz w:val="19"/>
          <w:szCs w:val="19"/>
          <w:color w:val="auto"/>
        </w:rPr>
        <w:t>In the United States, Rinvoq is indicated for the treatment of moderate to severe active rheumatoid arthritis, active ankylosing spondylitis, active non-radiographic axial spondyloarthritis, moderate to severe ulcerative colitis and moderate to severe active Crohn’s disease in adult patients who have an inadequate response or intolerance to one or more tumor necrosis factor (TNF) blockers. For Crohn’s disease and ulcerative colitis, it is additionally approved prior to the use of TNF blockers in patients for whom the use of these treatments is clinically inadvisable and who have received at least one approved systemic therapy. It is also indicated for the treatment of adult and pediatric patients two years of age and older with active psoriatic arthritis and for the treatment of patients two years of age and older with active polyarticular juvenile idiopathic arthritis who have had an inadequate response or intolerance to one or more TNF blockers. It is also indicated for the treatment of adults and adolescents 12 years of age and older with moderate to severe atopic dermatitis whose disease is not adequately controlled with other systemic drug products, including biologics, or when use of those therapies are inadvisable.</w:t>
      </w:r>
    </w:p>
    <w:p>
      <w:pPr>
        <w:spacing w:after="0" w:line="112"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In the European Union, Rinvoq is indicated for the treatment of moderate to severe active rheumatoid arthritis and active psoriatic arthritis in adult patients who have an inadequate response or intolerance to disease-modifying anti-rheumatic medicines (DMARDs). It is also indicated for the treatment of moderate to severe active ulcerative colitis and Crohn’s disease in adult patients who have an inadequate response or were intolerant to either conventional therapy or a biologic agent. It is also indicated for the treatment of active non-radiographic axial spondyloarthritis in adult patients who have responded inadequately to nonsteroidal anti-inflammatory drugs (NSAIDs) and for ankylosing spondylitis in adult patients who have responded inadequately to conventional therapy. Additionally, it is indicated for the treatment of moderate to severe atopic dermatitis in adults and adolescents 12 years of age and older who are candidates for systemic therapy.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Rinvoq is sold in numerous other markets worldwide.</w:t>
      </w:r>
    </w:p>
    <w:p>
      <w:pPr>
        <w:spacing w:after="0" w:line="145" w:lineRule="exact"/>
        <w:rPr>
          <w:sz w:val="20"/>
          <w:szCs w:val="20"/>
          <w:color w:val="auto"/>
        </w:rPr>
      </w:pPr>
    </w:p>
    <w:p>
      <w:pPr>
        <w:jc w:val="both"/>
        <w:ind w:right="180" w:firstLine="359"/>
        <w:spacing w:after="0" w:line="269" w:lineRule="auto"/>
        <w:rPr>
          <w:sz w:val="20"/>
          <w:szCs w:val="20"/>
          <w:color w:val="auto"/>
        </w:rPr>
      </w:pPr>
      <w:r>
        <w:rPr>
          <w:rFonts w:ascii="Arial" w:cs="Arial" w:eastAsia="Arial" w:hAnsi="Arial"/>
          <w:sz w:val="20"/>
          <w:szCs w:val="20"/>
          <w:i w:val="1"/>
          <w:iCs w:val="1"/>
          <w:color w:val="auto"/>
        </w:rPr>
        <w:t xml:space="preserve">Humira. </w:t>
      </w:r>
      <w:r>
        <w:rPr>
          <w:rFonts w:ascii="Arial" w:cs="Arial" w:eastAsia="Arial" w:hAnsi="Arial"/>
          <w:sz w:val="20"/>
          <w:szCs w:val="20"/>
          <w:color w:val="auto"/>
        </w:rPr>
        <w:t>Humira (adalimumab) is a biologic therapy administered as a subcutaneous injection. It</w:t>
      </w:r>
      <w:r>
        <w:rPr>
          <w:rFonts w:ascii="Arial" w:cs="Arial" w:eastAsia="Arial" w:hAnsi="Arial"/>
          <w:sz w:val="20"/>
          <w:szCs w:val="20"/>
          <w:i w:val="1"/>
          <w:iCs w:val="1"/>
          <w:color w:val="auto"/>
        </w:rPr>
        <w:t xml:space="preserve"> </w:t>
      </w:r>
      <w:r>
        <w:rPr>
          <w:rFonts w:ascii="Arial" w:cs="Arial" w:eastAsia="Arial" w:hAnsi="Arial"/>
          <w:sz w:val="20"/>
          <w:szCs w:val="20"/>
          <w:color w:val="auto"/>
        </w:rPr>
        <w:t>is approved to treat the following autoimmune diseases in North America and in the European Union: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Pr>
          <w:p>
            <w:pPr>
              <w:spacing w:after="0"/>
              <w:rPr>
                <w:sz w:val="20"/>
                <w:szCs w:val="20"/>
                <w:color w:val="auto"/>
              </w:rPr>
            </w:pPr>
            <w:r>
              <w:rPr>
                <w:rFonts w:ascii="Arial" w:cs="Arial" w:eastAsia="Arial" w:hAnsi="Arial"/>
                <w:sz w:val="16"/>
                <w:szCs w:val="16"/>
                <w:b w:val="1"/>
                <w:bCs w:val="1"/>
                <w:color w:val="auto"/>
              </w:rPr>
              <w:t>Condition</w:t>
            </w:r>
          </w:p>
        </w:tc>
        <w:tc>
          <w:tcPr>
            <w:tcW w:w="3280" w:type="dxa"/>
            <w:vAlign w:val="bottom"/>
          </w:tcPr>
          <w:p>
            <w:pPr>
              <w:ind w:left="440"/>
              <w:spacing w:after="0"/>
              <w:rPr>
                <w:sz w:val="20"/>
                <w:szCs w:val="20"/>
                <w:color w:val="auto"/>
              </w:rPr>
            </w:pPr>
            <w:r>
              <w:rPr>
                <w:rFonts w:ascii="Arial" w:cs="Arial" w:eastAsia="Arial" w:hAnsi="Arial"/>
                <w:sz w:val="16"/>
                <w:szCs w:val="16"/>
                <w:b w:val="1"/>
                <w:bCs w:val="1"/>
                <w:color w:val="auto"/>
              </w:rPr>
              <w:t>Principal Markets</w:t>
            </w:r>
          </w:p>
        </w:tc>
      </w:tr>
      <w:tr>
        <w:trPr>
          <w:trHeight w:val="32"/>
        </w:trPr>
        <w:tc>
          <w:tcPr>
            <w:tcW w:w="58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73"/>
        </w:trPr>
        <w:tc>
          <w:tcPr>
            <w:tcW w:w="5820" w:type="dxa"/>
            <w:vAlign w:val="bottom"/>
          </w:tcPr>
          <w:p>
            <w:pPr>
              <w:spacing w:after="0"/>
              <w:rPr>
                <w:sz w:val="20"/>
                <w:szCs w:val="20"/>
                <w:color w:val="auto"/>
              </w:rPr>
            </w:pPr>
            <w:r>
              <w:rPr>
                <w:rFonts w:ascii="Arial" w:cs="Arial" w:eastAsia="Arial" w:hAnsi="Arial"/>
                <w:sz w:val="20"/>
                <w:szCs w:val="20"/>
                <w:color w:val="auto"/>
              </w:rPr>
              <w:t>Rheumatoid arthritis (moderate to severe)</w:t>
            </w:r>
          </w:p>
        </w:tc>
        <w:tc>
          <w:tcPr>
            <w:tcW w:w="3280" w:type="dxa"/>
            <w:vAlign w:val="bottom"/>
          </w:tcPr>
          <w:p>
            <w:pPr>
              <w:ind w:left="44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820" w:type="dxa"/>
            <w:vAlign w:val="bottom"/>
          </w:tcPr>
          <w:p>
            <w:pPr>
              <w:spacing w:after="0"/>
              <w:rPr>
                <w:sz w:val="20"/>
                <w:szCs w:val="20"/>
                <w:color w:val="auto"/>
              </w:rPr>
            </w:pPr>
            <w:r>
              <w:rPr>
                <w:rFonts w:ascii="Arial" w:cs="Arial" w:eastAsia="Arial" w:hAnsi="Arial"/>
                <w:sz w:val="20"/>
                <w:szCs w:val="20"/>
                <w:color w:val="auto"/>
              </w:rPr>
              <w:t>Psoriatic arthritis</w:t>
            </w:r>
          </w:p>
        </w:tc>
        <w:tc>
          <w:tcPr>
            <w:tcW w:w="3280" w:type="dxa"/>
            <w:vAlign w:val="bottom"/>
          </w:tcPr>
          <w:p>
            <w:pPr>
              <w:ind w:left="44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820" w:type="dxa"/>
            <w:vAlign w:val="bottom"/>
          </w:tcPr>
          <w:p>
            <w:pPr>
              <w:spacing w:after="0"/>
              <w:rPr>
                <w:sz w:val="20"/>
                <w:szCs w:val="20"/>
                <w:color w:val="auto"/>
              </w:rPr>
            </w:pPr>
            <w:r>
              <w:rPr>
                <w:rFonts w:ascii="Arial" w:cs="Arial" w:eastAsia="Arial" w:hAnsi="Arial"/>
                <w:sz w:val="20"/>
                <w:szCs w:val="20"/>
                <w:color w:val="auto"/>
              </w:rPr>
              <w:t>Ankylosing spondylitis</w:t>
            </w:r>
          </w:p>
        </w:tc>
        <w:tc>
          <w:tcPr>
            <w:tcW w:w="3280" w:type="dxa"/>
            <w:vAlign w:val="bottom"/>
          </w:tcPr>
          <w:p>
            <w:pPr>
              <w:ind w:left="44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820" w:type="dxa"/>
            <w:vAlign w:val="bottom"/>
          </w:tcPr>
          <w:p>
            <w:pPr>
              <w:spacing w:after="0"/>
              <w:rPr>
                <w:sz w:val="20"/>
                <w:szCs w:val="20"/>
                <w:color w:val="auto"/>
              </w:rPr>
            </w:pPr>
            <w:r>
              <w:rPr>
                <w:rFonts w:ascii="Arial" w:cs="Arial" w:eastAsia="Arial" w:hAnsi="Arial"/>
                <w:sz w:val="20"/>
                <w:szCs w:val="20"/>
                <w:color w:val="auto"/>
              </w:rPr>
              <w:t>Crohn’s disease (moderate to severe)</w:t>
            </w:r>
          </w:p>
        </w:tc>
        <w:tc>
          <w:tcPr>
            <w:tcW w:w="3280" w:type="dxa"/>
            <w:vAlign w:val="bottom"/>
          </w:tcPr>
          <w:p>
            <w:pPr>
              <w:ind w:left="44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820" w:type="dxa"/>
            <w:vAlign w:val="bottom"/>
          </w:tcPr>
          <w:p>
            <w:pPr>
              <w:spacing w:after="0"/>
              <w:rPr>
                <w:sz w:val="20"/>
                <w:szCs w:val="20"/>
                <w:color w:val="auto"/>
              </w:rPr>
            </w:pPr>
            <w:r>
              <w:rPr>
                <w:rFonts w:ascii="Arial" w:cs="Arial" w:eastAsia="Arial" w:hAnsi="Arial"/>
                <w:sz w:val="20"/>
                <w:szCs w:val="20"/>
                <w:color w:val="auto"/>
              </w:rPr>
              <w:t>Plaque psoriasis (moderate to severe chronic)</w:t>
            </w:r>
          </w:p>
        </w:tc>
        <w:tc>
          <w:tcPr>
            <w:tcW w:w="3280" w:type="dxa"/>
            <w:vAlign w:val="bottom"/>
          </w:tcPr>
          <w:p>
            <w:pPr>
              <w:ind w:left="44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820" w:type="dxa"/>
            <w:vAlign w:val="bottom"/>
          </w:tcPr>
          <w:p>
            <w:pPr>
              <w:spacing w:after="0"/>
              <w:rPr>
                <w:sz w:val="20"/>
                <w:szCs w:val="20"/>
                <w:color w:val="auto"/>
              </w:rPr>
            </w:pPr>
            <w:r>
              <w:rPr>
                <w:rFonts w:ascii="Arial" w:cs="Arial" w:eastAsia="Arial" w:hAnsi="Arial"/>
                <w:sz w:val="20"/>
                <w:szCs w:val="20"/>
                <w:color w:val="auto"/>
              </w:rPr>
              <w:t>Juvenile idiopathic arthritis (moderate to severe polyarticular)</w:t>
            </w:r>
          </w:p>
        </w:tc>
        <w:tc>
          <w:tcPr>
            <w:tcW w:w="3280" w:type="dxa"/>
            <w:vAlign w:val="bottom"/>
          </w:tcPr>
          <w:p>
            <w:pPr>
              <w:ind w:left="44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820" w:type="dxa"/>
            <w:vAlign w:val="bottom"/>
          </w:tcPr>
          <w:p>
            <w:pPr>
              <w:spacing w:after="0"/>
              <w:rPr>
                <w:sz w:val="20"/>
                <w:szCs w:val="20"/>
                <w:color w:val="auto"/>
              </w:rPr>
            </w:pPr>
            <w:r>
              <w:rPr>
                <w:rFonts w:ascii="Arial" w:cs="Arial" w:eastAsia="Arial" w:hAnsi="Arial"/>
                <w:sz w:val="20"/>
                <w:szCs w:val="20"/>
                <w:color w:val="auto"/>
              </w:rPr>
              <w:t>Ulcerative colitis (moderate to severe)</w:t>
            </w:r>
          </w:p>
        </w:tc>
        <w:tc>
          <w:tcPr>
            <w:tcW w:w="3280" w:type="dxa"/>
            <w:vAlign w:val="bottom"/>
          </w:tcPr>
          <w:p>
            <w:pPr>
              <w:ind w:left="44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820" w:type="dxa"/>
            <w:vAlign w:val="bottom"/>
          </w:tcPr>
          <w:p>
            <w:pPr>
              <w:spacing w:after="0"/>
              <w:rPr>
                <w:sz w:val="20"/>
                <w:szCs w:val="20"/>
                <w:color w:val="auto"/>
              </w:rPr>
            </w:pPr>
            <w:r>
              <w:rPr>
                <w:rFonts w:ascii="Arial" w:cs="Arial" w:eastAsia="Arial" w:hAnsi="Arial"/>
                <w:sz w:val="20"/>
                <w:szCs w:val="20"/>
                <w:color w:val="auto"/>
              </w:rPr>
              <w:t>Non-radiographic axial spondyloarthritis</w:t>
            </w:r>
          </w:p>
        </w:tc>
        <w:tc>
          <w:tcPr>
            <w:tcW w:w="3280" w:type="dxa"/>
            <w:vAlign w:val="bottom"/>
          </w:tcPr>
          <w:p>
            <w:pPr>
              <w:ind w:left="440"/>
              <w:spacing w:after="0"/>
              <w:rPr>
                <w:sz w:val="20"/>
                <w:szCs w:val="20"/>
                <w:color w:val="auto"/>
              </w:rPr>
            </w:pPr>
            <w:r>
              <w:rPr>
                <w:rFonts w:ascii="Arial" w:cs="Arial" w:eastAsia="Arial" w:hAnsi="Arial"/>
                <w:sz w:val="20"/>
                <w:szCs w:val="20"/>
                <w:color w:val="auto"/>
              </w:rPr>
              <w:t>European Union</w:t>
            </w:r>
          </w:p>
        </w:tc>
      </w:tr>
      <w:tr>
        <w:trPr>
          <w:trHeight w:val="299"/>
        </w:trPr>
        <w:tc>
          <w:tcPr>
            <w:tcW w:w="5820" w:type="dxa"/>
            <w:vAlign w:val="bottom"/>
          </w:tcPr>
          <w:p>
            <w:pPr>
              <w:spacing w:after="0"/>
              <w:rPr>
                <w:sz w:val="20"/>
                <w:szCs w:val="20"/>
                <w:color w:val="auto"/>
              </w:rPr>
            </w:pPr>
            <w:r>
              <w:rPr>
                <w:rFonts w:ascii="Arial" w:cs="Arial" w:eastAsia="Arial" w:hAnsi="Arial"/>
                <w:sz w:val="20"/>
                <w:szCs w:val="20"/>
                <w:color w:val="auto"/>
              </w:rPr>
              <w:t>Pediatric Crohn’s disease (moderate to severe)</w:t>
            </w:r>
          </w:p>
        </w:tc>
        <w:tc>
          <w:tcPr>
            <w:tcW w:w="3280" w:type="dxa"/>
            <w:vAlign w:val="bottom"/>
          </w:tcPr>
          <w:p>
            <w:pPr>
              <w:ind w:left="440"/>
              <w:spacing w:after="0"/>
              <w:rPr>
                <w:sz w:val="20"/>
                <w:szCs w:val="20"/>
                <w:color w:val="auto"/>
              </w:rPr>
            </w:pPr>
            <w:r>
              <w:rPr>
                <w:rFonts w:ascii="Arial" w:cs="Arial" w:eastAsia="Arial" w:hAnsi="Arial"/>
                <w:sz w:val="20"/>
                <w:szCs w:val="20"/>
                <w:color w:val="auto"/>
                <w:w w:val="99"/>
              </w:rPr>
              <w:t>North America, European Union</w:t>
            </w:r>
          </w:p>
        </w:tc>
      </w:tr>
    </w:tbl>
    <w:p>
      <w:pPr>
        <w:spacing w:after="0" w:line="200" w:lineRule="exact"/>
        <w:rPr>
          <w:sz w:val="20"/>
          <w:szCs w:val="20"/>
          <w:color w:val="auto"/>
        </w:rPr>
      </w:pPr>
    </w:p>
    <w:p>
      <w:pPr>
        <w:sectPr>
          <w:pgSz w:w="11880" w:h="15480" w:orient="portrait"/>
          <w:cols w:equalWidth="0" w:num="1">
            <w:col w:w="9100"/>
          </w:cols>
          <w:pgMar w:left="1400" w:top="1028" w:right="1380" w:bottom="75"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sz w:val="1"/>
          <w:szCs w:val="1"/>
          <w:color w:val="auto"/>
        </w:rPr>
        <w:drawing>
          <wp:inline distT="0" distB="0" distL="0" distR="0">
            <wp:extent cx="615950"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8" w:right="1380" w:bottom="75"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7"/>
        </w:trPr>
        <w:tc>
          <w:tcPr>
            <w:tcW w:w="5440" w:type="dxa"/>
            <w:vAlign w:val="bottom"/>
          </w:tcPr>
          <w:p>
            <w:pPr>
              <w:spacing w:after="0"/>
              <w:rPr>
                <w:sz w:val="20"/>
                <w:szCs w:val="20"/>
                <w:color w:val="auto"/>
              </w:rPr>
            </w:pPr>
            <w:r>
              <w:rPr>
                <w:rFonts w:ascii="Arial" w:cs="Arial" w:eastAsia="Arial" w:hAnsi="Arial"/>
                <w:sz w:val="16"/>
                <w:szCs w:val="16"/>
                <w:b w:val="1"/>
                <w:bCs w:val="1"/>
                <w:color w:val="auto"/>
              </w:rPr>
              <w:t>Condition</w:t>
            </w:r>
          </w:p>
        </w:tc>
        <w:tc>
          <w:tcPr>
            <w:tcW w:w="3660" w:type="dxa"/>
            <w:vAlign w:val="bottom"/>
          </w:tcPr>
          <w:p>
            <w:pPr>
              <w:ind w:left="820"/>
              <w:spacing w:after="0"/>
              <w:rPr>
                <w:sz w:val="20"/>
                <w:szCs w:val="20"/>
                <w:color w:val="auto"/>
              </w:rPr>
            </w:pPr>
            <w:r>
              <w:rPr>
                <w:rFonts w:ascii="Arial" w:cs="Arial" w:eastAsia="Arial" w:hAnsi="Arial"/>
                <w:sz w:val="16"/>
                <w:szCs w:val="16"/>
                <w:b w:val="1"/>
                <w:bCs w:val="1"/>
                <w:color w:val="auto"/>
              </w:rPr>
              <w:t>Principal Markets</w:t>
            </w:r>
          </w:p>
        </w:tc>
      </w:tr>
      <w:tr>
        <w:trPr>
          <w:trHeight w:val="32"/>
        </w:trPr>
        <w:tc>
          <w:tcPr>
            <w:tcW w:w="54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73"/>
        </w:trPr>
        <w:tc>
          <w:tcPr>
            <w:tcW w:w="5440" w:type="dxa"/>
            <w:vAlign w:val="bottom"/>
          </w:tcPr>
          <w:p>
            <w:pPr>
              <w:spacing w:after="0"/>
              <w:rPr>
                <w:sz w:val="20"/>
                <w:szCs w:val="20"/>
                <w:color w:val="auto"/>
              </w:rPr>
            </w:pPr>
            <w:r>
              <w:rPr>
                <w:rFonts w:ascii="Arial" w:cs="Arial" w:eastAsia="Arial" w:hAnsi="Arial"/>
                <w:sz w:val="20"/>
                <w:szCs w:val="20"/>
                <w:color w:val="auto"/>
              </w:rPr>
              <w:t>Hidradenitis suppurativa (moderate to severe)</w:t>
            </w:r>
          </w:p>
        </w:tc>
        <w:tc>
          <w:tcPr>
            <w:tcW w:w="3660" w:type="dxa"/>
            <w:vAlign w:val="bottom"/>
          </w:tcPr>
          <w:p>
            <w:pPr>
              <w:ind w:left="82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440" w:type="dxa"/>
            <w:vAlign w:val="bottom"/>
          </w:tcPr>
          <w:p>
            <w:pPr>
              <w:spacing w:after="0"/>
              <w:rPr>
                <w:sz w:val="20"/>
                <w:szCs w:val="20"/>
                <w:color w:val="auto"/>
              </w:rPr>
            </w:pPr>
            <w:r>
              <w:rPr>
                <w:rFonts w:ascii="Arial" w:cs="Arial" w:eastAsia="Arial" w:hAnsi="Arial"/>
                <w:sz w:val="20"/>
                <w:szCs w:val="20"/>
                <w:color w:val="auto"/>
              </w:rPr>
              <w:t>Pediatric enthesitis-related arthritis</w:t>
            </w:r>
          </w:p>
        </w:tc>
        <w:tc>
          <w:tcPr>
            <w:tcW w:w="3660" w:type="dxa"/>
            <w:vAlign w:val="bottom"/>
          </w:tcPr>
          <w:p>
            <w:pPr>
              <w:ind w:left="820"/>
              <w:spacing w:after="0"/>
              <w:rPr>
                <w:sz w:val="20"/>
                <w:szCs w:val="20"/>
                <w:color w:val="auto"/>
              </w:rPr>
            </w:pPr>
            <w:r>
              <w:rPr>
                <w:rFonts w:ascii="Arial" w:cs="Arial" w:eastAsia="Arial" w:hAnsi="Arial"/>
                <w:sz w:val="20"/>
                <w:szCs w:val="20"/>
                <w:color w:val="auto"/>
              </w:rPr>
              <w:t>European Union</w:t>
            </w:r>
          </w:p>
        </w:tc>
      </w:tr>
      <w:tr>
        <w:trPr>
          <w:trHeight w:val="299"/>
        </w:trPr>
        <w:tc>
          <w:tcPr>
            <w:tcW w:w="5440" w:type="dxa"/>
            <w:vAlign w:val="bottom"/>
          </w:tcPr>
          <w:p>
            <w:pPr>
              <w:spacing w:after="0"/>
              <w:rPr>
                <w:sz w:val="20"/>
                <w:szCs w:val="20"/>
                <w:color w:val="auto"/>
              </w:rPr>
            </w:pPr>
            <w:r>
              <w:rPr>
                <w:rFonts w:ascii="Arial" w:cs="Arial" w:eastAsia="Arial" w:hAnsi="Arial"/>
                <w:sz w:val="20"/>
                <w:szCs w:val="20"/>
                <w:color w:val="auto"/>
              </w:rPr>
              <w:t>Non-infectious intermediate, posterior and panuveitis</w:t>
            </w:r>
          </w:p>
        </w:tc>
        <w:tc>
          <w:tcPr>
            <w:tcW w:w="3660" w:type="dxa"/>
            <w:vAlign w:val="bottom"/>
          </w:tcPr>
          <w:p>
            <w:pPr>
              <w:ind w:left="82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440" w:type="dxa"/>
            <w:vAlign w:val="bottom"/>
          </w:tcPr>
          <w:p>
            <w:pPr>
              <w:spacing w:after="0"/>
              <w:rPr>
                <w:sz w:val="20"/>
                <w:szCs w:val="20"/>
                <w:color w:val="auto"/>
              </w:rPr>
            </w:pPr>
            <w:r>
              <w:rPr>
                <w:rFonts w:ascii="Arial" w:cs="Arial" w:eastAsia="Arial" w:hAnsi="Arial"/>
                <w:sz w:val="20"/>
                <w:szCs w:val="20"/>
                <w:color w:val="auto"/>
              </w:rPr>
              <w:t>Pediatric ulcerative colitis (moderate to severe)</w:t>
            </w:r>
          </w:p>
        </w:tc>
        <w:tc>
          <w:tcPr>
            <w:tcW w:w="3660" w:type="dxa"/>
            <w:vAlign w:val="bottom"/>
          </w:tcPr>
          <w:p>
            <w:pPr>
              <w:ind w:left="820"/>
              <w:spacing w:after="0"/>
              <w:rPr>
                <w:sz w:val="20"/>
                <w:szCs w:val="20"/>
                <w:color w:val="auto"/>
              </w:rPr>
            </w:pPr>
            <w:r>
              <w:rPr>
                <w:rFonts w:ascii="Arial" w:cs="Arial" w:eastAsia="Arial" w:hAnsi="Arial"/>
                <w:sz w:val="20"/>
                <w:szCs w:val="20"/>
                <w:color w:val="auto"/>
                <w:w w:val="99"/>
              </w:rPr>
              <w:t>North America, European Union</w:t>
            </w:r>
          </w:p>
        </w:tc>
      </w:tr>
      <w:tr>
        <w:trPr>
          <w:trHeight w:val="299"/>
        </w:trPr>
        <w:tc>
          <w:tcPr>
            <w:tcW w:w="5440" w:type="dxa"/>
            <w:vAlign w:val="bottom"/>
          </w:tcPr>
          <w:p>
            <w:pPr>
              <w:spacing w:after="0"/>
              <w:rPr>
                <w:sz w:val="20"/>
                <w:szCs w:val="20"/>
                <w:color w:val="auto"/>
              </w:rPr>
            </w:pPr>
            <w:r>
              <w:rPr>
                <w:rFonts w:ascii="Arial" w:cs="Arial" w:eastAsia="Arial" w:hAnsi="Arial"/>
                <w:sz w:val="20"/>
                <w:szCs w:val="20"/>
                <w:color w:val="auto"/>
              </w:rPr>
              <w:t>Pediatric uveitis</w:t>
            </w:r>
          </w:p>
        </w:tc>
        <w:tc>
          <w:tcPr>
            <w:tcW w:w="3660" w:type="dxa"/>
            <w:vAlign w:val="bottom"/>
          </w:tcPr>
          <w:p>
            <w:pPr>
              <w:ind w:left="820"/>
              <w:spacing w:after="0"/>
              <w:rPr>
                <w:sz w:val="20"/>
                <w:szCs w:val="20"/>
                <w:color w:val="auto"/>
              </w:rPr>
            </w:pPr>
            <w:r>
              <w:rPr>
                <w:rFonts w:ascii="Arial" w:cs="Arial" w:eastAsia="Arial" w:hAnsi="Arial"/>
                <w:sz w:val="20"/>
                <w:szCs w:val="20"/>
                <w:color w:val="auto"/>
                <w:w w:val="99"/>
              </w:rPr>
              <w:t>North America, European Union</w:t>
            </w:r>
          </w:p>
        </w:tc>
      </w:tr>
    </w:tbl>
    <w:p>
      <w:pPr>
        <w:spacing w:after="0" w:line="183" w:lineRule="exact"/>
        <w:rPr>
          <w:sz w:val="20"/>
          <w:szCs w:val="20"/>
          <w:color w:val="auto"/>
        </w:rPr>
      </w:pPr>
    </w:p>
    <w:p>
      <w:pPr>
        <w:ind w:right="160" w:firstLine="359"/>
        <w:spacing w:after="0" w:line="264" w:lineRule="auto"/>
        <w:rPr>
          <w:sz w:val="20"/>
          <w:szCs w:val="20"/>
          <w:color w:val="auto"/>
        </w:rPr>
      </w:pPr>
      <w:r>
        <w:rPr>
          <w:rFonts w:ascii="Arial" w:cs="Arial" w:eastAsia="Arial" w:hAnsi="Arial"/>
          <w:sz w:val="20"/>
          <w:szCs w:val="20"/>
          <w:b w:val="1"/>
          <w:bCs w:val="1"/>
          <w:i w:val="1"/>
          <w:iCs w:val="1"/>
          <w:color w:val="000039"/>
        </w:rPr>
        <w:t xml:space="preserve">Neuroscience products. </w:t>
      </w:r>
      <w:r>
        <w:rPr>
          <w:rFonts w:ascii="Arial" w:cs="Arial" w:eastAsia="Arial" w:hAnsi="Arial"/>
          <w:sz w:val="20"/>
          <w:szCs w:val="20"/>
          <w:color w:val="000000"/>
        </w:rPr>
        <w:t>AbbVie’s neuroscience products address some of the most difficult-to-treat neurologic diseases. These products are:</w:t>
      </w:r>
    </w:p>
    <w:p>
      <w:pPr>
        <w:spacing w:after="0" w:line="101" w:lineRule="exact"/>
        <w:rPr>
          <w:sz w:val="20"/>
          <w:szCs w:val="20"/>
          <w:color w:val="auto"/>
        </w:rPr>
      </w:pPr>
    </w:p>
    <w:p>
      <w:pPr>
        <w:ind w:right="20" w:firstLine="359"/>
        <w:spacing w:after="0" w:line="248" w:lineRule="auto"/>
        <w:rPr>
          <w:sz w:val="20"/>
          <w:szCs w:val="20"/>
          <w:color w:val="auto"/>
        </w:rPr>
      </w:pPr>
      <w:r>
        <w:rPr>
          <w:rFonts w:ascii="Arial" w:cs="Arial" w:eastAsia="Arial" w:hAnsi="Arial"/>
          <w:sz w:val="20"/>
          <w:szCs w:val="20"/>
          <w:i w:val="1"/>
          <w:iCs w:val="1"/>
          <w:color w:val="auto"/>
        </w:rPr>
        <w:t xml:space="preserve">Vraylar. </w:t>
      </w:r>
      <w:r>
        <w:rPr>
          <w:rFonts w:ascii="Arial" w:cs="Arial" w:eastAsia="Arial" w:hAnsi="Arial"/>
          <w:sz w:val="20"/>
          <w:szCs w:val="20"/>
          <w:color w:val="auto"/>
        </w:rPr>
        <w:t>Vraylar (cariprazine) is a dopamine D3-preferring D3/D2 receptor partial agonist and a</w:t>
      </w:r>
      <w:r>
        <w:rPr>
          <w:rFonts w:ascii="Arial" w:cs="Arial" w:eastAsia="Arial" w:hAnsi="Arial"/>
          <w:sz w:val="20"/>
          <w:szCs w:val="20"/>
          <w:i w:val="1"/>
          <w:iCs w:val="1"/>
          <w:color w:val="auto"/>
        </w:rPr>
        <w:t xml:space="preserve"> </w:t>
      </w:r>
      <w:r>
        <w:rPr>
          <w:rFonts w:ascii="Arial" w:cs="Arial" w:eastAsia="Arial" w:hAnsi="Arial"/>
          <w:sz w:val="20"/>
          <w:szCs w:val="20"/>
          <w:color w:val="auto"/>
        </w:rPr>
        <w:t>5-HT1A receptor partial agonist. Vraylar is indicated for acute and maintenance treatment of schizophrenia in adults, acute treatment of manic or mixed episodes associated with bipolar disorder in adults, acute treatment of depressive episodes associated with bipolar I disorder in adults and as an adjunctive treatment in major depressive disorder.</w:t>
      </w:r>
    </w:p>
    <w:p>
      <w:pPr>
        <w:spacing w:after="0" w:line="119" w:lineRule="exact"/>
        <w:rPr>
          <w:sz w:val="20"/>
          <w:szCs w:val="20"/>
          <w:color w:val="auto"/>
        </w:rPr>
      </w:pPr>
    </w:p>
    <w:p>
      <w:pPr>
        <w:ind w:right="60" w:firstLine="359"/>
        <w:spacing w:after="0" w:line="248" w:lineRule="auto"/>
        <w:rPr>
          <w:sz w:val="20"/>
          <w:szCs w:val="20"/>
          <w:color w:val="auto"/>
        </w:rPr>
      </w:pPr>
      <w:r>
        <w:rPr>
          <w:rFonts w:ascii="Arial" w:cs="Arial" w:eastAsia="Arial" w:hAnsi="Arial"/>
          <w:sz w:val="20"/>
          <w:szCs w:val="20"/>
          <w:i w:val="1"/>
          <w:iCs w:val="1"/>
          <w:color w:val="auto"/>
        </w:rPr>
        <w:t xml:space="preserve">Botox Therapeutic. </w:t>
      </w:r>
      <w:r>
        <w:rPr>
          <w:rFonts w:ascii="Arial" w:cs="Arial" w:eastAsia="Arial" w:hAnsi="Arial"/>
          <w:sz w:val="20"/>
          <w:szCs w:val="20"/>
          <w:color w:val="auto"/>
        </w:rPr>
        <w:t>Botox Therapeutic (onabotulinumtoxinA) is an injectable product, an</w:t>
      </w:r>
      <w:r>
        <w:rPr>
          <w:rFonts w:ascii="Arial" w:cs="Arial" w:eastAsia="Arial" w:hAnsi="Arial"/>
          <w:sz w:val="20"/>
          <w:szCs w:val="20"/>
          <w:i w:val="1"/>
          <w:iCs w:val="1"/>
          <w:color w:val="auto"/>
        </w:rPr>
        <w:t xml:space="preserve"> </w:t>
      </w:r>
      <w:r>
        <w:rPr>
          <w:rFonts w:ascii="Arial" w:cs="Arial" w:eastAsia="Arial" w:hAnsi="Arial"/>
          <w:sz w:val="20"/>
          <w:szCs w:val="20"/>
          <w:color w:val="auto"/>
        </w:rPr>
        <w:t>acetylcholine release inhibitor and a neuromuscular blocking agent. In the United States, it is approved to treat numerous indications, including chronic migraine, overactive bladder in adults who have an inadequate response to an anticholinergic medication and urinary incontinence due to detrusor overactivity associated with a neurologic condition in adults who have an inadequate response to an anticholinergic medication. In addition, Botox Therapeutic is approved to treat spasticity in patients two years of age and older, cervical dystonia in adults as well as other conditions. Botox is marketed in other countries around the world and licenses will vary. Botox Therapeutic is marketed by GSK in Japan.</w:t>
      </w:r>
    </w:p>
    <w:p>
      <w:pPr>
        <w:spacing w:after="0" w:line="118"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i w:val="1"/>
          <w:iCs w:val="1"/>
          <w:color w:val="auto"/>
        </w:rPr>
        <w:t xml:space="preserve">Ubrelvy. </w:t>
      </w:r>
      <w:r>
        <w:rPr>
          <w:rFonts w:ascii="Arial" w:cs="Arial" w:eastAsia="Arial" w:hAnsi="Arial"/>
          <w:sz w:val="20"/>
          <w:szCs w:val="20"/>
          <w:color w:val="auto"/>
        </w:rPr>
        <w:t>Ubrelvy (ubrogepant) is a calcitonin gene-related peptide receptor antagonist indicated</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acute treatment of migraine with or without aura in adults. Ubrelvy is commercialized in the United States, Israel, Saudi Arabia, United Arab Emirates and Canada.</w:t>
      </w:r>
    </w:p>
    <w:p>
      <w:pPr>
        <w:spacing w:after="0" w:line="110" w:lineRule="exact"/>
        <w:rPr>
          <w:sz w:val="20"/>
          <w:szCs w:val="20"/>
          <w:color w:val="auto"/>
        </w:rPr>
      </w:pPr>
    </w:p>
    <w:p>
      <w:pPr>
        <w:ind w:right="100" w:firstLine="359"/>
        <w:spacing w:after="0" w:line="256" w:lineRule="auto"/>
        <w:rPr>
          <w:sz w:val="20"/>
          <w:szCs w:val="20"/>
          <w:color w:val="auto"/>
        </w:rPr>
      </w:pPr>
      <w:r>
        <w:rPr>
          <w:rFonts w:ascii="Arial" w:cs="Arial" w:eastAsia="Arial" w:hAnsi="Arial"/>
          <w:sz w:val="20"/>
          <w:szCs w:val="20"/>
          <w:i w:val="1"/>
          <w:iCs w:val="1"/>
          <w:color w:val="auto"/>
        </w:rPr>
        <w:t xml:space="preserve">Qulipta. </w:t>
      </w:r>
      <w:r>
        <w:rPr>
          <w:rFonts w:ascii="Arial" w:cs="Arial" w:eastAsia="Arial" w:hAnsi="Arial"/>
          <w:sz w:val="20"/>
          <w:szCs w:val="20"/>
          <w:color w:val="auto"/>
        </w:rPr>
        <w:t>Qulipta (atogepant) is a calcitonin gene-related peptide receptor antagonist indicated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preventive treatment of episodic and chronic migraine in adults. Qulipta is commercialized in the United States and Canada and is approved in the European Union under the brand name Aquipta.</w:t>
      </w:r>
    </w:p>
    <w:p>
      <w:pPr>
        <w:spacing w:after="0" w:line="110" w:lineRule="exact"/>
        <w:rPr>
          <w:sz w:val="20"/>
          <w:szCs w:val="20"/>
          <w:color w:val="auto"/>
        </w:rPr>
      </w:pPr>
    </w:p>
    <w:p>
      <w:pPr>
        <w:ind w:right="200" w:firstLine="359"/>
        <w:spacing w:after="0" w:line="252" w:lineRule="auto"/>
        <w:rPr>
          <w:sz w:val="20"/>
          <w:szCs w:val="20"/>
          <w:color w:val="auto"/>
        </w:rPr>
      </w:pPr>
      <w:r>
        <w:rPr>
          <w:rFonts w:ascii="Arial" w:cs="Arial" w:eastAsia="Arial" w:hAnsi="Arial"/>
          <w:sz w:val="20"/>
          <w:szCs w:val="20"/>
          <w:i w:val="1"/>
          <w:iCs w:val="1"/>
          <w:color w:val="auto"/>
        </w:rPr>
        <w:t xml:space="preserve">Vyalev. </w:t>
      </w:r>
      <w:r>
        <w:rPr>
          <w:rFonts w:ascii="Arial" w:cs="Arial" w:eastAsia="Arial" w:hAnsi="Arial"/>
          <w:sz w:val="20"/>
          <w:szCs w:val="20"/>
          <w:color w:val="auto"/>
        </w:rPr>
        <w:t>Vyalev (foscarbidopa and foslevodopa) is a subcutaneous 24-hour infusion of levodopa-based therapy for the treatment of motor fluctuations in adults with advanced Parkinson’s disease. Vyalev is commercialized in the United States and in many other markets primarily as Produodopa though brand names vary by region.</w:t>
      </w:r>
    </w:p>
    <w:p>
      <w:pPr>
        <w:spacing w:after="0" w:line="116" w:lineRule="exact"/>
        <w:rPr>
          <w:sz w:val="20"/>
          <w:szCs w:val="20"/>
          <w:color w:val="auto"/>
        </w:rPr>
      </w:pPr>
    </w:p>
    <w:p>
      <w:pPr>
        <w:ind w:right="40" w:firstLine="359"/>
        <w:spacing w:after="0" w:line="256" w:lineRule="auto"/>
        <w:rPr>
          <w:sz w:val="20"/>
          <w:szCs w:val="20"/>
          <w:color w:val="auto"/>
        </w:rPr>
      </w:pPr>
      <w:r>
        <w:rPr>
          <w:rFonts w:ascii="Arial" w:cs="Arial" w:eastAsia="Arial" w:hAnsi="Arial"/>
          <w:sz w:val="20"/>
          <w:szCs w:val="20"/>
          <w:i w:val="1"/>
          <w:iCs w:val="1"/>
          <w:color w:val="auto"/>
        </w:rPr>
        <w:t>Duodopa</w:t>
      </w:r>
      <w:r>
        <w:rPr>
          <w:rFonts w:ascii="Arial" w:cs="Arial" w:eastAsia="Arial" w:hAnsi="Arial"/>
          <w:sz w:val="20"/>
          <w:szCs w:val="20"/>
          <w:color w:val="auto"/>
        </w:rPr>
        <w:t>. Duodopa (carbidopa and levodopa) is a levodopa-carbidopa intestinal gel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treatment of advanced Parkinson’s disease is marketed as Duopa in the United States and primarily as Duodopa outside of the United States.</w:t>
      </w:r>
    </w:p>
    <w:p>
      <w:pPr>
        <w:spacing w:after="0" w:line="110" w:lineRule="exact"/>
        <w:rPr>
          <w:sz w:val="20"/>
          <w:szCs w:val="20"/>
          <w:color w:val="auto"/>
        </w:rPr>
      </w:pPr>
    </w:p>
    <w:p>
      <w:pPr>
        <w:ind w:firstLine="359"/>
        <w:spacing w:after="0" w:line="266" w:lineRule="auto"/>
        <w:rPr>
          <w:sz w:val="20"/>
          <w:szCs w:val="20"/>
          <w:color w:val="auto"/>
        </w:rPr>
      </w:pPr>
      <w:r>
        <w:rPr>
          <w:rFonts w:ascii="Arial" w:cs="Arial" w:eastAsia="Arial" w:hAnsi="Arial"/>
          <w:sz w:val="20"/>
          <w:szCs w:val="20"/>
          <w:b w:val="1"/>
          <w:bCs w:val="1"/>
          <w:i w:val="1"/>
          <w:iCs w:val="1"/>
          <w:color w:val="000039"/>
        </w:rPr>
        <w:t xml:space="preserve">Oncology products. </w:t>
      </w:r>
      <w:r>
        <w:rPr>
          <w:rFonts w:ascii="Arial" w:cs="Arial" w:eastAsia="Arial" w:hAnsi="Arial"/>
          <w:sz w:val="20"/>
          <w:szCs w:val="20"/>
          <w:color w:val="000000"/>
        </w:rPr>
        <w:t>AbbVie’s oncology products target some of the most complex and difficult-to-treat cancers. These products are:</w:t>
      </w:r>
    </w:p>
    <w:p>
      <w:pPr>
        <w:spacing w:after="0" w:line="101" w:lineRule="exact"/>
        <w:rPr>
          <w:sz w:val="20"/>
          <w:szCs w:val="20"/>
          <w:color w:val="auto"/>
        </w:rPr>
      </w:pPr>
    </w:p>
    <w:p>
      <w:pPr>
        <w:ind w:right="40" w:firstLine="359"/>
        <w:spacing w:after="0" w:line="248" w:lineRule="auto"/>
        <w:rPr>
          <w:sz w:val="20"/>
          <w:szCs w:val="20"/>
          <w:color w:val="auto"/>
        </w:rPr>
      </w:pPr>
      <w:r>
        <w:rPr>
          <w:rFonts w:ascii="Arial" w:cs="Arial" w:eastAsia="Arial" w:hAnsi="Arial"/>
          <w:sz w:val="20"/>
          <w:szCs w:val="20"/>
          <w:i w:val="1"/>
          <w:iCs w:val="1"/>
          <w:color w:val="auto"/>
        </w:rPr>
        <w:t xml:space="preserve">Imbruvica. </w:t>
      </w:r>
      <w:r>
        <w:rPr>
          <w:rFonts w:ascii="Arial" w:cs="Arial" w:eastAsia="Arial" w:hAnsi="Arial"/>
          <w:sz w:val="20"/>
          <w:szCs w:val="20"/>
          <w:color w:val="auto"/>
        </w:rPr>
        <w:t>Imbruvica (ibrutinib) is an oral, once-daily therapy that inhibits a protein called</w:t>
      </w:r>
      <w:r>
        <w:rPr>
          <w:rFonts w:ascii="Arial" w:cs="Arial" w:eastAsia="Arial" w:hAnsi="Arial"/>
          <w:sz w:val="20"/>
          <w:szCs w:val="20"/>
          <w:i w:val="1"/>
          <w:iCs w:val="1"/>
          <w:color w:val="auto"/>
        </w:rPr>
        <w:t xml:space="preserve"> </w:t>
      </w:r>
      <w:r>
        <w:rPr>
          <w:rFonts w:ascii="Arial" w:cs="Arial" w:eastAsia="Arial" w:hAnsi="Arial"/>
          <w:sz w:val="20"/>
          <w:szCs w:val="20"/>
          <w:color w:val="auto"/>
        </w:rPr>
        <w:t>Bruton’s tyrosine kinase. Imbruvica was one of the first medicines to receive a United States Food and Drug Administration (FDA) approval after being granted a Breakthrough Therapy Designation and is one of the few therapies to receive four separate designations. Imbruvica currently is approved for the treatment of adult patients with blood cancers such as chronic lymphocytic leukemia (CLL), as well as certain forms of non-Hodgkin lymphoma. Imbruvica is approved in adult and pediatric patients one year and older with chronic graft versus host disease after failure of one or more lines of systemic therapy.</w:t>
      </w:r>
    </w:p>
    <w:p>
      <w:pPr>
        <w:spacing w:after="0" w:line="122" w:lineRule="exact"/>
        <w:rPr>
          <w:sz w:val="20"/>
          <w:szCs w:val="20"/>
          <w:color w:val="auto"/>
        </w:rPr>
      </w:pPr>
    </w:p>
    <w:p>
      <w:pPr>
        <w:ind w:right="20" w:firstLine="359"/>
        <w:spacing w:after="0" w:line="252" w:lineRule="auto"/>
        <w:rPr>
          <w:sz w:val="20"/>
          <w:szCs w:val="20"/>
          <w:color w:val="auto"/>
        </w:rPr>
      </w:pPr>
      <w:r>
        <w:rPr>
          <w:rFonts w:ascii="Arial" w:cs="Arial" w:eastAsia="Arial" w:hAnsi="Arial"/>
          <w:sz w:val="20"/>
          <w:szCs w:val="20"/>
          <w:i w:val="1"/>
          <w:iCs w:val="1"/>
          <w:color w:val="auto"/>
        </w:rPr>
        <w:t xml:space="preserve">Venclexta. </w:t>
      </w:r>
      <w:r>
        <w:rPr>
          <w:rFonts w:ascii="Arial" w:cs="Arial" w:eastAsia="Arial" w:hAnsi="Arial"/>
          <w:sz w:val="20"/>
          <w:szCs w:val="20"/>
          <w:color w:val="auto"/>
        </w:rPr>
        <w:t>Venclexta (venetoclax) is a B-cell lymphoma 2 (BCL-2) inhibitor used to treat blood</w:t>
      </w:r>
      <w:r>
        <w:rPr>
          <w:rFonts w:ascii="Arial" w:cs="Arial" w:eastAsia="Arial" w:hAnsi="Arial"/>
          <w:sz w:val="20"/>
          <w:szCs w:val="20"/>
          <w:i w:val="1"/>
          <w:iCs w:val="1"/>
          <w:color w:val="auto"/>
        </w:rPr>
        <w:t xml:space="preserve"> </w:t>
      </w:r>
      <w:r>
        <w:rPr>
          <w:rFonts w:ascii="Arial" w:cs="Arial" w:eastAsia="Arial" w:hAnsi="Arial"/>
          <w:sz w:val="20"/>
          <w:szCs w:val="20"/>
          <w:color w:val="auto"/>
        </w:rPr>
        <w:t>cancers. Venclexta is approved by the FDA for adults with CLL or small lymphocytic lymphoma. In addition, Venclexta is approved in combination with azacitidine, or decitabine, or low-dose cytarabine to treat adults with newly-diagnosed acute myeloid leukemia who are 75 years of age or older or have</w:t>
      </w:r>
    </w:p>
    <w:p>
      <w:pPr>
        <w:sectPr>
          <w:pgSz w:w="11880" w:h="15480" w:orient="portrait"/>
          <w:cols w:equalWidth="0" w:num="1">
            <w:col w:w="9100"/>
          </w:cols>
          <w:pgMar w:left="1400" w:top="1025" w:right="1380" w:bottom="87" w:gutter="0" w:footer="0" w:header="0"/>
        </w:sectPr>
      </w:pPr>
    </w:p>
    <w:p>
      <w:pPr>
        <w:spacing w:after="0" w:line="246"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3</w:t>
      </w:r>
    </w:p>
    <w:p>
      <w:pPr>
        <w:sectPr>
          <w:pgSz w:w="11880" w:h="15480" w:orient="portrait"/>
          <w:cols w:equalWidth="0" w:num="1">
            <w:col w:w="9100"/>
          </w:cols>
          <w:pgMar w:left="1400" w:top="1025" w:right="1380" w:bottom="87" w:gutter="0" w:footer="0" w:header="0"/>
          <w:type w:val="continuous"/>
        </w:sectPr>
      </w:pPr>
    </w:p>
    <w:bookmarkStart w:id="9" w:name="page10"/>
    <w:bookmarkEnd w:id="9"/>
    <w:p>
      <w:pPr>
        <w:ind w:right="80"/>
        <w:spacing w:after="0" w:line="262" w:lineRule="auto"/>
        <w:rPr>
          <w:sz w:val="20"/>
          <w:szCs w:val="20"/>
          <w:color w:val="auto"/>
        </w:rPr>
      </w:pPr>
      <w:r>
        <w:rPr>
          <w:rFonts w:ascii="Arial" w:cs="Arial" w:eastAsia="Arial" w:hAnsi="Arial"/>
          <w:sz w:val="20"/>
          <w:szCs w:val="20"/>
          <w:color w:val="auto"/>
        </w:rPr>
        <w:t>other medical conditions that prevent the use of standard chemotherapy. It is marketed as Venclexta in the United States and primarily as Venclyxto outside of the United States.</w:t>
      </w:r>
    </w:p>
    <w:p>
      <w:pPr>
        <w:spacing w:after="0" w:line="103" w:lineRule="exact"/>
        <w:rPr>
          <w:sz w:val="20"/>
          <w:szCs w:val="20"/>
          <w:color w:val="auto"/>
        </w:rPr>
      </w:pPr>
    </w:p>
    <w:p>
      <w:pPr>
        <w:ind w:right="20" w:firstLine="359"/>
        <w:spacing w:after="0" w:line="250" w:lineRule="auto"/>
        <w:rPr>
          <w:sz w:val="20"/>
          <w:szCs w:val="20"/>
          <w:color w:val="auto"/>
        </w:rPr>
      </w:pPr>
      <w:r>
        <w:rPr>
          <w:rFonts w:ascii="Arial" w:cs="Arial" w:eastAsia="Arial" w:hAnsi="Arial"/>
          <w:sz w:val="20"/>
          <w:szCs w:val="20"/>
          <w:i w:val="1"/>
          <w:iCs w:val="1"/>
          <w:color w:val="auto"/>
        </w:rPr>
        <w:t xml:space="preserve">Elahere. </w:t>
      </w:r>
      <w:r>
        <w:rPr>
          <w:rFonts w:ascii="Arial" w:cs="Arial" w:eastAsia="Arial" w:hAnsi="Arial"/>
          <w:sz w:val="20"/>
          <w:szCs w:val="20"/>
          <w:color w:val="auto"/>
        </w:rPr>
        <w:t>Elahere (mirvetuximab soravtansine-gynx) is an antibody-drug conjugate (ADC) used to</w:t>
      </w:r>
      <w:r>
        <w:rPr>
          <w:rFonts w:ascii="Arial" w:cs="Arial" w:eastAsia="Arial" w:hAnsi="Arial"/>
          <w:sz w:val="20"/>
          <w:szCs w:val="20"/>
          <w:i w:val="1"/>
          <w:iCs w:val="1"/>
          <w:color w:val="auto"/>
        </w:rPr>
        <w:t xml:space="preserve"> </w:t>
      </w:r>
      <w:r>
        <w:rPr>
          <w:rFonts w:ascii="Arial" w:cs="Arial" w:eastAsia="Arial" w:hAnsi="Arial"/>
          <w:sz w:val="20"/>
          <w:szCs w:val="20"/>
          <w:color w:val="auto"/>
        </w:rPr>
        <w:t>treat certain types of cancer. Elahere is approved in both the United States and the European Union for the treatment of adult patients with FR</w:t>
      </w:r>
      <w:r>
        <w:rPr>
          <w:rFonts w:ascii="Arial" w:cs="Arial" w:eastAsia="Arial" w:hAnsi="Arial"/>
          <w:sz w:val="20"/>
          <w:szCs w:val="20"/>
          <w:color w:val="auto"/>
        </w:rPr>
        <w:t>α</w:t>
      </w:r>
      <w:r>
        <w:rPr>
          <w:rFonts w:ascii="Arial" w:cs="Arial" w:eastAsia="Arial" w:hAnsi="Arial"/>
          <w:sz w:val="20"/>
          <w:szCs w:val="20"/>
          <w:color w:val="auto"/>
        </w:rPr>
        <w:t xml:space="preserve"> positive, platinum-resistant epithelial ovarian, fallopian tube, or primary peritoneal cancer, who have received one to three prior systemic treatment regimens.</w:t>
      </w:r>
    </w:p>
    <w:p>
      <w:pPr>
        <w:spacing w:after="0" w:line="115" w:lineRule="exact"/>
        <w:rPr>
          <w:sz w:val="20"/>
          <w:szCs w:val="20"/>
          <w:color w:val="auto"/>
        </w:rPr>
      </w:pPr>
    </w:p>
    <w:p>
      <w:pPr>
        <w:jc w:val="both"/>
        <w:ind w:right="80" w:firstLine="359"/>
        <w:spacing w:after="0" w:line="265" w:lineRule="auto"/>
        <w:rPr>
          <w:sz w:val="20"/>
          <w:szCs w:val="20"/>
          <w:color w:val="auto"/>
        </w:rPr>
      </w:pPr>
      <w:r>
        <w:rPr>
          <w:rFonts w:ascii="Arial" w:cs="Arial" w:eastAsia="Arial" w:hAnsi="Arial"/>
          <w:sz w:val="19"/>
          <w:szCs w:val="19"/>
          <w:i w:val="1"/>
          <w:iCs w:val="1"/>
          <w:color w:val="auto"/>
        </w:rPr>
        <w:t>Epkinly</w:t>
      </w:r>
      <w:r>
        <w:rPr>
          <w:rFonts w:ascii="Arial" w:cs="Arial" w:eastAsia="Arial" w:hAnsi="Arial"/>
          <w:sz w:val="19"/>
          <w:szCs w:val="19"/>
          <w:color w:val="auto"/>
        </w:rPr>
        <w:t>. Epkinly (epcoritamab) is a product used to treat adults with certain types of diffuse large</w:t>
      </w:r>
      <w:r>
        <w:rPr>
          <w:rFonts w:ascii="Arial" w:cs="Arial" w:eastAsia="Arial" w:hAnsi="Arial"/>
          <w:sz w:val="19"/>
          <w:szCs w:val="19"/>
          <w:i w:val="1"/>
          <w:iCs w:val="1"/>
          <w:color w:val="auto"/>
        </w:rPr>
        <w:t xml:space="preserve"> </w:t>
      </w:r>
      <w:r>
        <w:rPr>
          <w:rFonts w:ascii="Arial" w:cs="Arial" w:eastAsia="Arial" w:hAnsi="Arial"/>
          <w:sz w:val="19"/>
          <w:szCs w:val="19"/>
          <w:color w:val="auto"/>
        </w:rPr>
        <w:t>B-cell lymphoma (DLBCL) and high-grade B-cell lymphoma that has recurred or that does not respond to previous treatment after receiving two or more treatments. Epkinly is administered as a subcutaneous injection. Epkinly is also approved to treat adults with relapsed or refractory follicular lymphoma. It is marketed as Epkinly in the United States and primarily as Tepkinly outside of the United States.</w:t>
      </w:r>
    </w:p>
    <w:p>
      <w:pPr>
        <w:spacing w:after="0" w:line="101" w:lineRule="exact"/>
        <w:rPr>
          <w:sz w:val="20"/>
          <w:szCs w:val="20"/>
          <w:color w:val="auto"/>
        </w:rPr>
      </w:pPr>
    </w:p>
    <w:p>
      <w:pPr>
        <w:jc w:val="both"/>
        <w:ind w:right="40" w:firstLine="359"/>
        <w:spacing w:after="0" w:line="254" w:lineRule="auto"/>
        <w:rPr>
          <w:sz w:val="20"/>
          <w:szCs w:val="20"/>
          <w:color w:val="auto"/>
        </w:rPr>
      </w:pPr>
      <w:r>
        <w:rPr>
          <w:rFonts w:ascii="Arial" w:cs="Arial" w:eastAsia="Arial" w:hAnsi="Arial"/>
          <w:sz w:val="20"/>
          <w:szCs w:val="20"/>
          <w:i w:val="1"/>
          <w:iCs w:val="1"/>
          <w:color w:val="auto"/>
        </w:rPr>
        <w:t xml:space="preserve">Other oncology. </w:t>
      </w:r>
      <w:r>
        <w:rPr>
          <w:rFonts w:ascii="Arial" w:cs="Arial" w:eastAsia="Arial" w:hAnsi="Arial"/>
          <w:sz w:val="20"/>
          <w:szCs w:val="20"/>
          <w:color w:val="auto"/>
        </w:rPr>
        <w:t>Other oncology products include Emrelis, an ADC used for the treatment of adult</w:t>
      </w:r>
      <w:r>
        <w:rPr>
          <w:rFonts w:ascii="Arial" w:cs="Arial" w:eastAsia="Arial" w:hAnsi="Arial"/>
          <w:sz w:val="20"/>
          <w:szCs w:val="20"/>
          <w:i w:val="1"/>
          <w:iCs w:val="1"/>
          <w:color w:val="auto"/>
        </w:rPr>
        <w:t xml:space="preserve"> </w:t>
      </w:r>
      <w:r>
        <w:rPr>
          <w:rFonts w:ascii="Arial" w:cs="Arial" w:eastAsia="Arial" w:hAnsi="Arial"/>
          <w:sz w:val="20"/>
          <w:szCs w:val="20"/>
          <w:color w:val="auto"/>
        </w:rPr>
        <w:t>patients with locally advanced or metastatic, non-squamous non-small cell lung cancer with high c-Met protein overexpression who have received prior systemic therapy.</w:t>
      </w:r>
    </w:p>
    <w:p>
      <w:pPr>
        <w:spacing w:after="0" w:line="110" w:lineRule="exact"/>
        <w:rPr>
          <w:sz w:val="20"/>
          <w:szCs w:val="20"/>
          <w:color w:val="auto"/>
        </w:rPr>
      </w:pPr>
    </w:p>
    <w:p>
      <w:pPr>
        <w:ind w:right="160" w:firstLine="359"/>
        <w:spacing w:after="0" w:line="254" w:lineRule="auto"/>
        <w:rPr>
          <w:sz w:val="20"/>
          <w:szCs w:val="20"/>
          <w:color w:val="auto"/>
        </w:rPr>
      </w:pPr>
      <w:r>
        <w:rPr>
          <w:rFonts w:ascii="Arial" w:cs="Arial" w:eastAsia="Arial" w:hAnsi="Arial"/>
          <w:sz w:val="20"/>
          <w:szCs w:val="20"/>
          <w:b w:val="1"/>
          <w:bCs w:val="1"/>
          <w:i w:val="1"/>
          <w:iCs w:val="1"/>
          <w:color w:val="000039"/>
        </w:rPr>
        <w:t xml:space="preserve">Aesthetics products. </w:t>
      </w:r>
      <w:r>
        <w:rPr>
          <w:rFonts w:ascii="Arial" w:cs="Arial" w:eastAsia="Arial" w:hAnsi="Arial"/>
          <w:sz w:val="20"/>
          <w:szCs w:val="20"/>
          <w:color w:val="000000"/>
        </w:rPr>
        <w:t>AbbVie’s Aesthetics portfolio consists of facial injectables, plastics and</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regenerative medicine, body contouring and skincare products, which hold market-leading positions in the United States and in key markets around the world. These products are:</w:t>
      </w:r>
    </w:p>
    <w:p>
      <w:pPr>
        <w:spacing w:after="0" w:line="110"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i w:val="1"/>
          <w:iCs w:val="1"/>
          <w:color w:val="auto"/>
        </w:rPr>
        <w:t xml:space="preserve">Botox Cosmetic. </w:t>
      </w:r>
      <w:r>
        <w:rPr>
          <w:rFonts w:ascii="Arial" w:cs="Arial" w:eastAsia="Arial" w:hAnsi="Arial"/>
          <w:sz w:val="20"/>
          <w:szCs w:val="20"/>
          <w:color w:val="auto"/>
        </w:rPr>
        <w:t>Botox Cosmetic (onabotulinumtoxinA) is an acetylcholine release inhibitor and a</w:t>
      </w:r>
      <w:r>
        <w:rPr>
          <w:rFonts w:ascii="Arial" w:cs="Arial" w:eastAsia="Arial" w:hAnsi="Arial"/>
          <w:sz w:val="20"/>
          <w:szCs w:val="20"/>
          <w:i w:val="1"/>
          <w:iCs w:val="1"/>
          <w:color w:val="auto"/>
        </w:rPr>
        <w:t xml:space="preserve"> </w:t>
      </w:r>
      <w:r>
        <w:rPr>
          <w:rFonts w:ascii="Arial" w:cs="Arial" w:eastAsia="Arial" w:hAnsi="Arial"/>
          <w:sz w:val="20"/>
          <w:szCs w:val="20"/>
          <w:color w:val="auto"/>
        </w:rPr>
        <w:t>neuromuscular blocking agent indicated for treatment in four areas: temporary improvement in the appearance of moderate to severe glabellar lines (frown lines between the eyebrows), moderate to severe crow’s feet, moderate to severe forehead lines in adults and moderate to severe platysma bands. Botox Cosmetic is approved for use in all major markets around the world and is approved for the treatment of masseter muscle prominence in China.</w:t>
      </w:r>
    </w:p>
    <w:p>
      <w:pPr>
        <w:spacing w:after="0" w:line="122"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i w:val="1"/>
          <w:iCs w:val="1"/>
          <w:color w:val="auto"/>
        </w:rPr>
        <w:t xml:space="preserve">Juvederm Collection. </w:t>
      </w:r>
      <w:r>
        <w:rPr>
          <w:rFonts w:ascii="Arial" w:cs="Arial" w:eastAsia="Arial" w:hAnsi="Arial"/>
          <w:sz w:val="20"/>
          <w:szCs w:val="20"/>
          <w:color w:val="auto"/>
        </w:rPr>
        <w:t>Juvederm Collection is a portfolio of hyaluronic acid-based dermal fillers</w:t>
      </w:r>
      <w:r>
        <w:rPr>
          <w:rFonts w:ascii="Arial" w:cs="Arial" w:eastAsia="Arial" w:hAnsi="Arial"/>
          <w:sz w:val="20"/>
          <w:szCs w:val="20"/>
          <w:i w:val="1"/>
          <w:iCs w:val="1"/>
          <w:color w:val="auto"/>
        </w:rPr>
        <w:t xml:space="preserve"> </w:t>
      </w:r>
      <w:r>
        <w:rPr>
          <w:rFonts w:ascii="Arial" w:cs="Arial" w:eastAsia="Arial" w:hAnsi="Arial"/>
          <w:sz w:val="20"/>
          <w:szCs w:val="20"/>
          <w:color w:val="auto"/>
        </w:rPr>
        <w:t>with a variety of approved indications in the U.S. and in other major markets around the world to augment or treat volume loss in the temples, undereye, cheeks, chin, lips and lower face.</w:t>
      </w:r>
    </w:p>
    <w:p>
      <w:pPr>
        <w:spacing w:after="0" w:line="110" w:lineRule="exact"/>
        <w:rPr>
          <w:sz w:val="20"/>
          <w:szCs w:val="20"/>
          <w:color w:val="auto"/>
        </w:rPr>
      </w:pPr>
    </w:p>
    <w:p>
      <w:pPr>
        <w:ind w:right="120" w:firstLine="359"/>
        <w:spacing w:after="0" w:line="256" w:lineRule="auto"/>
        <w:rPr>
          <w:sz w:val="20"/>
          <w:szCs w:val="20"/>
          <w:color w:val="auto"/>
        </w:rPr>
      </w:pPr>
      <w:r>
        <w:rPr>
          <w:rFonts w:ascii="Arial" w:cs="Arial" w:eastAsia="Arial" w:hAnsi="Arial"/>
          <w:sz w:val="20"/>
          <w:szCs w:val="20"/>
          <w:i w:val="1"/>
          <w:iCs w:val="1"/>
          <w:color w:val="auto"/>
        </w:rPr>
        <w:t xml:space="preserve">Other aesthetics. </w:t>
      </w:r>
      <w:r>
        <w:rPr>
          <w:rFonts w:ascii="Arial" w:cs="Arial" w:eastAsia="Arial" w:hAnsi="Arial"/>
          <w:sz w:val="20"/>
          <w:szCs w:val="20"/>
          <w:color w:val="auto"/>
        </w:rPr>
        <w:t>Other aesthetics products include, but are not limited to, Alloderm regenerative</w:t>
      </w:r>
      <w:r>
        <w:rPr>
          <w:rFonts w:ascii="Arial" w:cs="Arial" w:eastAsia="Arial" w:hAnsi="Arial"/>
          <w:sz w:val="20"/>
          <w:szCs w:val="20"/>
          <w:i w:val="1"/>
          <w:iCs w:val="1"/>
          <w:color w:val="auto"/>
        </w:rPr>
        <w:t xml:space="preserve"> </w:t>
      </w:r>
      <w:r>
        <w:rPr>
          <w:rFonts w:ascii="Arial" w:cs="Arial" w:eastAsia="Arial" w:hAnsi="Arial"/>
          <w:sz w:val="20"/>
          <w:szCs w:val="20"/>
          <w:color w:val="auto"/>
        </w:rPr>
        <w:t>dermal tissue, CoolSculpting body contouring technology, Natrelle breast implants, the SkinMedica skincare line, Latisse eyelash solution and DiamondGlow dermabrasion technology.</w:t>
      </w:r>
    </w:p>
    <w:p>
      <w:pPr>
        <w:spacing w:after="0" w:line="110" w:lineRule="exact"/>
        <w:rPr>
          <w:sz w:val="20"/>
          <w:szCs w:val="20"/>
          <w:color w:val="auto"/>
        </w:rPr>
      </w:pPr>
    </w:p>
    <w:p>
      <w:pPr>
        <w:ind w:right="340" w:firstLine="359"/>
        <w:spacing w:after="0" w:line="266" w:lineRule="auto"/>
        <w:rPr>
          <w:sz w:val="20"/>
          <w:szCs w:val="20"/>
          <w:color w:val="auto"/>
        </w:rPr>
      </w:pPr>
      <w:r>
        <w:rPr>
          <w:rFonts w:ascii="Arial" w:cs="Arial" w:eastAsia="Arial" w:hAnsi="Arial"/>
          <w:sz w:val="20"/>
          <w:szCs w:val="20"/>
          <w:b w:val="1"/>
          <w:bCs w:val="1"/>
          <w:i w:val="1"/>
          <w:iCs w:val="1"/>
          <w:color w:val="000039"/>
        </w:rPr>
        <w:t xml:space="preserve">Eye care products. </w:t>
      </w:r>
      <w:r>
        <w:rPr>
          <w:rFonts w:ascii="Arial" w:cs="Arial" w:eastAsia="Arial" w:hAnsi="Arial"/>
          <w:sz w:val="20"/>
          <w:szCs w:val="20"/>
          <w:color w:val="000000"/>
        </w:rPr>
        <w:t>AbbVie’s eye care products address unmet needs and new approaches to</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help preserve and protect patients’ vision. These products are:</w:t>
      </w:r>
    </w:p>
    <w:p>
      <w:pPr>
        <w:spacing w:after="0" w:line="101" w:lineRule="exact"/>
        <w:rPr>
          <w:sz w:val="20"/>
          <w:szCs w:val="20"/>
          <w:color w:val="auto"/>
        </w:rPr>
      </w:pPr>
    </w:p>
    <w:p>
      <w:pPr>
        <w:ind w:right="80" w:firstLine="359"/>
        <w:spacing w:after="0" w:line="249" w:lineRule="auto"/>
        <w:rPr>
          <w:sz w:val="20"/>
          <w:szCs w:val="20"/>
          <w:color w:val="auto"/>
        </w:rPr>
      </w:pPr>
      <w:r>
        <w:rPr>
          <w:rFonts w:ascii="Arial" w:cs="Arial" w:eastAsia="Arial" w:hAnsi="Arial"/>
          <w:sz w:val="20"/>
          <w:szCs w:val="20"/>
          <w:i w:val="1"/>
          <w:iCs w:val="1"/>
          <w:color w:val="auto"/>
        </w:rPr>
        <w:t>Ozurdex</w:t>
      </w:r>
      <w:r>
        <w:rPr>
          <w:rFonts w:ascii="Arial" w:cs="Arial" w:eastAsia="Arial" w:hAnsi="Arial"/>
          <w:sz w:val="20"/>
          <w:szCs w:val="20"/>
          <w:color w:val="auto"/>
        </w:rPr>
        <w:t>. Ozurdex (dexamethasone intravitreal implant) is a corticosteroid implant that slowly</w:t>
      </w:r>
      <w:r>
        <w:rPr>
          <w:rFonts w:ascii="Arial" w:cs="Arial" w:eastAsia="Arial" w:hAnsi="Arial"/>
          <w:sz w:val="20"/>
          <w:szCs w:val="20"/>
          <w:i w:val="1"/>
          <w:iCs w:val="1"/>
          <w:color w:val="auto"/>
        </w:rPr>
        <w:t xml:space="preserve"> </w:t>
      </w:r>
      <w:r>
        <w:rPr>
          <w:rFonts w:ascii="Arial" w:cs="Arial" w:eastAsia="Arial" w:hAnsi="Arial"/>
          <w:sz w:val="20"/>
          <w:szCs w:val="20"/>
          <w:color w:val="auto"/>
        </w:rPr>
        <w:t>releases medication over time. Injected directly into the back of the eye, it dissolves naturally and does not need to be removed. Ozurdex is indicated for the treatment of adult patients with visual impairment due to diabetic macular oedema (DME), adult patients with macular oedema following either Branch Retinal Vein Occlusion (BRVO) or Central Retinal Vein Occlusion (CRVO) and patients with inflammation of the posterior segment of the eye presenting as non-infectious uveitis. Ozurdex is commercially available in the United States and numerous markets around the world.</w:t>
      </w:r>
    </w:p>
    <w:p>
      <w:pPr>
        <w:spacing w:after="0" w:line="118" w:lineRule="exact"/>
        <w:rPr>
          <w:sz w:val="20"/>
          <w:szCs w:val="20"/>
          <w:color w:val="auto"/>
        </w:rPr>
      </w:pPr>
    </w:p>
    <w:p>
      <w:pPr>
        <w:ind w:right="40" w:firstLine="359"/>
        <w:spacing w:after="0" w:line="249" w:lineRule="auto"/>
        <w:rPr>
          <w:sz w:val="20"/>
          <w:szCs w:val="20"/>
          <w:color w:val="auto"/>
        </w:rPr>
      </w:pPr>
      <w:r>
        <w:rPr>
          <w:rFonts w:ascii="Arial" w:cs="Arial" w:eastAsia="Arial" w:hAnsi="Arial"/>
          <w:sz w:val="20"/>
          <w:szCs w:val="20"/>
          <w:i w:val="1"/>
          <w:iCs w:val="1"/>
          <w:color w:val="auto"/>
        </w:rPr>
        <w:t xml:space="preserve">Lumigan/Ganfort. </w:t>
      </w:r>
      <w:r>
        <w:rPr>
          <w:rFonts w:ascii="Arial" w:cs="Arial" w:eastAsia="Arial" w:hAnsi="Arial"/>
          <w:sz w:val="20"/>
          <w:szCs w:val="20"/>
          <w:color w:val="auto"/>
        </w:rPr>
        <w:t>Lumigan (bimatoprost ophthalmic solution) 0.01% is a once daily, topical</w:t>
      </w:r>
      <w:r>
        <w:rPr>
          <w:rFonts w:ascii="Arial" w:cs="Arial" w:eastAsia="Arial" w:hAnsi="Arial"/>
          <w:sz w:val="20"/>
          <w:szCs w:val="20"/>
          <w:i w:val="1"/>
          <w:iCs w:val="1"/>
          <w:color w:val="auto"/>
        </w:rPr>
        <w:t xml:space="preserve"> </w:t>
      </w:r>
      <w:r>
        <w:rPr>
          <w:rFonts w:ascii="Arial" w:cs="Arial" w:eastAsia="Arial" w:hAnsi="Arial"/>
          <w:sz w:val="20"/>
          <w:szCs w:val="20"/>
          <w:color w:val="auto"/>
        </w:rPr>
        <w:t>prostaglandin analog indicated for the reduction of elevated intraocular pressure (IOP) in patients with open angle glaucoma (OAG) or ocular hypertension (OHT). Ganfort is a once daily topical fixed combination of bimatoprost 0.03% and timolol 0.5% for the reduction of IOP in adult patients with OAG or OHT. Lumigan is sold in the United States and numerous markets around the world, while Ganfort is approved in the European Union and some markets in South America, the Middle East and Asia.</w:t>
      </w:r>
    </w:p>
    <w:p>
      <w:pPr>
        <w:spacing w:after="0" w:line="121" w:lineRule="exact"/>
        <w:rPr>
          <w:sz w:val="20"/>
          <w:szCs w:val="20"/>
          <w:color w:val="auto"/>
        </w:rPr>
      </w:pPr>
    </w:p>
    <w:p>
      <w:pPr>
        <w:ind w:right="100" w:firstLine="359"/>
        <w:spacing w:after="0" w:line="249" w:lineRule="auto"/>
        <w:rPr>
          <w:sz w:val="20"/>
          <w:szCs w:val="20"/>
          <w:color w:val="auto"/>
        </w:rPr>
      </w:pPr>
      <w:r>
        <w:rPr>
          <w:rFonts w:ascii="Arial" w:cs="Arial" w:eastAsia="Arial" w:hAnsi="Arial"/>
          <w:sz w:val="20"/>
          <w:szCs w:val="20"/>
          <w:i w:val="1"/>
          <w:iCs w:val="1"/>
          <w:color w:val="auto"/>
        </w:rPr>
        <w:t xml:space="preserve">Alphagan/Combigan. </w:t>
      </w:r>
      <w:r>
        <w:rPr>
          <w:rFonts w:ascii="Arial" w:cs="Arial" w:eastAsia="Arial" w:hAnsi="Arial"/>
          <w:sz w:val="20"/>
          <w:szCs w:val="20"/>
          <w:color w:val="auto"/>
        </w:rPr>
        <w:t>Alphagan (brimonidine tartrate ophthalmic solution) is an alpha-adrenergic receptor agonist indicated for the reduction of elevated IOP in patients with open-angle glaucoma or ocular hypertension. Combigan (brimonidine tartrate/timolol maleate ophthalmic solution) is approved for reducing elevated IOP in patients with glaucoma who require additional or adjunctive IOP-lowering therapy. Both Alphagan and Combigan are available for sale in the United States and numerous markets around the world.</w:t>
      </w:r>
    </w:p>
    <w:p>
      <w:pPr>
        <w:sectPr>
          <w:pgSz w:w="11880" w:h="15480" w:orient="portrait"/>
          <w:cols w:equalWidth="0" w:num="1">
            <w:col w:w="9100"/>
          </w:cols>
          <w:pgMar w:left="1400" w:top="1030" w:right="1380" w:bottom="75"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sz w:val="1"/>
          <w:szCs w:val="1"/>
          <w:color w:val="auto"/>
        </w:rPr>
        <w:drawing>
          <wp:inline distT="0" distB="0" distL="0" distR="0">
            <wp:extent cx="615950"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10" w:name="page11"/>
    <w:bookmarkEnd w:id="10"/>
    <w:p>
      <w:pPr>
        <w:ind w:left="340"/>
        <w:spacing w:after="0"/>
        <w:tabs>
          <w:tab w:leader="none" w:pos="1880" w:val="left"/>
        </w:tabs>
        <w:rPr>
          <w:sz w:val="20"/>
          <w:szCs w:val="20"/>
          <w:color w:val="auto"/>
        </w:rPr>
      </w:pPr>
      <w:r>
        <w:rPr>
          <w:rFonts w:ascii="Arial" w:cs="Arial" w:eastAsia="Arial" w:hAnsi="Arial"/>
          <w:sz w:val="20"/>
          <w:szCs w:val="20"/>
          <w:i w:val="1"/>
          <w:iCs w:val="1"/>
          <w:color w:val="auto"/>
        </w:rPr>
        <w:t>Other eye care.</w:t>
      </w:r>
      <w:r>
        <w:rPr>
          <w:sz w:val="20"/>
          <w:szCs w:val="20"/>
          <w:color w:val="auto"/>
        </w:rPr>
        <w:tab/>
      </w:r>
      <w:r>
        <w:rPr>
          <w:rFonts w:ascii="Arial" w:cs="Arial" w:eastAsia="Arial" w:hAnsi="Arial"/>
          <w:sz w:val="19"/>
          <w:szCs w:val="19"/>
          <w:color w:val="auto"/>
        </w:rPr>
        <w:t>Other eye care products include Refresh/Optive, Xen, Durysta and Restasis.</w:t>
      </w:r>
    </w:p>
    <w:p>
      <w:pPr>
        <w:spacing w:after="0" w:line="155" w:lineRule="exact"/>
        <w:rPr>
          <w:sz w:val="20"/>
          <w:szCs w:val="20"/>
          <w:color w:val="auto"/>
        </w:rPr>
      </w:pPr>
    </w:p>
    <w:p>
      <w:pPr>
        <w:ind w:right="160" w:firstLine="359"/>
        <w:spacing w:after="0" w:line="266" w:lineRule="auto"/>
        <w:rPr>
          <w:sz w:val="20"/>
          <w:szCs w:val="20"/>
          <w:color w:val="auto"/>
        </w:rPr>
      </w:pPr>
      <w:r>
        <w:rPr>
          <w:rFonts w:ascii="Arial" w:cs="Arial" w:eastAsia="Arial" w:hAnsi="Arial"/>
          <w:sz w:val="20"/>
          <w:szCs w:val="20"/>
          <w:b w:val="1"/>
          <w:bCs w:val="1"/>
          <w:i w:val="1"/>
          <w:iCs w:val="1"/>
          <w:color w:val="000039"/>
        </w:rPr>
        <w:t xml:space="preserve">Other key products. </w:t>
      </w:r>
      <w:r>
        <w:rPr>
          <w:rFonts w:ascii="Arial" w:cs="Arial" w:eastAsia="Arial" w:hAnsi="Arial"/>
          <w:sz w:val="20"/>
          <w:szCs w:val="20"/>
          <w:color w:val="000000"/>
        </w:rPr>
        <w:t>AbbVie’s other key products include, among other things, treatments for</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patients with hepatitis C virus (HCV), exocrine pancreatic insufficiency, hypothyroidism, irritable bowel syndrome with constipation and chronic idiopathic constipation. These products are:</w:t>
      </w:r>
    </w:p>
    <w:p>
      <w:pPr>
        <w:spacing w:after="0" w:line="111" w:lineRule="exact"/>
        <w:rPr>
          <w:sz w:val="20"/>
          <w:szCs w:val="20"/>
          <w:color w:val="auto"/>
        </w:rPr>
      </w:pPr>
    </w:p>
    <w:p>
      <w:pPr>
        <w:ind w:right="60" w:firstLine="359"/>
        <w:spacing w:after="0" w:line="258" w:lineRule="auto"/>
        <w:rPr>
          <w:sz w:val="20"/>
          <w:szCs w:val="20"/>
          <w:color w:val="auto"/>
        </w:rPr>
      </w:pPr>
      <w:r>
        <w:rPr>
          <w:rFonts w:ascii="Arial" w:cs="Arial" w:eastAsia="Arial" w:hAnsi="Arial"/>
          <w:sz w:val="20"/>
          <w:szCs w:val="20"/>
          <w:i w:val="1"/>
          <w:iCs w:val="1"/>
          <w:color w:val="auto"/>
        </w:rPr>
        <w:t xml:space="preserve">Mavyret. </w:t>
      </w:r>
      <w:r>
        <w:rPr>
          <w:rFonts w:ascii="Arial" w:cs="Arial" w:eastAsia="Arial" w:hAnsi="Arial"/>
          <w:sz w:val="20"/>
          <w:szCs w:val="20"/>
          <w:color w:val="auto"/>
        </w:rPr>
        <w:t>Mavyret (glecaprevir/pibrentasvir) is approved in the United States and European Union</w:t>
      </w:r>
      <w:r>
        <w:rPr>
          <w:rFonts w:ascii="Arial" w:cs="Arial" w:eastAsia="Arial" w:hAnsi="Arial"/>
          <w:sz w:val="20"/>
          <w:szCs w:val="20"/>
          <w:i w:val="1"/>
          <w:iCs w:val="1"/>
          <w:color w:val="auto"/>
        </w:rPr>
        <w:t xml:space="preserve"> </w:t>
      </w:r>
      <w:r>
        <w:rPr>
          <w:rFonts w:ascii="Arial" w:cs="Arial" w:eastAsia="Arial" w:hAnsi="Arial"/>
          <w:sz w:val="20"/>
          <w:szCs w:val="20"/>
          <w:color w:val="auto"/>
        </w:rPr>
        <w:t>(Maviret) for the treatment of adult and pediatric patients (12 years and older or weighing at least</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45 kilograms) with chronic HCV genotype 1-6 infection without cirrhosis and with compensated cirrhosis (Child-Pugh A). It is also indicated for the treatment of adult and pediatric patients (12 years and older or weighing at least 45 kilograms) with HCV genotype 1 infection, who previously have been treated with a regimen containing an HCV NS5A inhibitor or an NS3/4A protease inhibitor, but not both. Mavyret is also approved in the United States for the treatment of adults and pediatric patients 3 years and older with acute or chronic hepatitis C virus infection. It is marketed as Mavyret in the United States and primarily as Maviret outside of the United States.</w:t>
      </w:r>
    </w:p>
    <w:p>
      <w:pPr>
        <w:spacing w:after="0" w:line="122" w:lineRule="exact"/>
        <w:rPr>
          <w:sz w:val="20"/>
          <w:szCs w:val="20"/>
          <w:color w:val="auto"/>
        </w:rPr>
      </w:pPr>
    </w:p>
    <w:p>
      <w:pPr>
        <w:jc w:val="both"/>
        <w:ind w:right="20" w:firstLine="359"/>
        <w:spacing w:after="0" w:line="264" w:lineRule="auto"/>
        <w:rPr>
          <w:sz w:val="20"/>
          <w:szCs w:val="20"/>
          <w:color w:val="auto"/>
        </w:rPr>
      </w:pPr>
      <w:r>
        <w:rPr>
          <w:rFonts w:ascii="Arial" w:cs="Arial" w:eastAsia="Arial" w:hAnsi="Arial"/>
          <w:sz w:val="20"/>
          <w:szCs w:val="20"/>
          <w:i w:val="1"/>
          <w:iCs w:val="1"/>
          <w:color w:val="auto"/>
        </w:rPr>
        <w:t xml:space="preserve">Creon. </w:t>
      </w:r>
      <w:r>
        <w:rPr>
          <w:rFonts w:ascii="Arial" w:cs="Arial" w:eastAsia="Arial" w:hAnsi="Arial"/>
          <w:sz w:val="20"/>
          <w:szCs w:val="20"/>
          <w:color w:val="auto"/>
        </w:rPr>
        <w:t>Creon (pancrelipase) is a pancreatic enzyme therapy for exocrine pancreatic insufficiency,</w:t>
      </w:r>
      <w:r>
        <w:rPr>
          <w:rFonts w:ascii="Arial" w:cs="Arial" w:eastAsia="Arial" w:hAnsi="Arial"/>
          <w:sz w:val="20"/>
          <w:szCs w:val="20"/>
          <w:i w:val="1"/>
          <w:iCs w:val="1"/>
          <w:color w:val="auto"/>
        </w:rPr>
        <w:t xml:space="preserve"> </w:t>
      </w:r>
      <w:r>
        <w:rPr>
          <w:rFonts w:ascii="Arial" w:cs="Arial" w:eastAsia="Arial" w:hAnsi="Arial"/>
          <w:sz w:val="20"/>
          <w:szCs w:val="20"/>
          <w:color w:val="auto"/>
        </w:rPr>
        <w:t>a condition that occurs in patients with cystic fibrosis, chronic pancreatitis and several other conditions. AbbVie has the rights to sell Creon only in the United States.</w:t>
      </w:r>
    </w:p>
    <w:p>
      <w:pPr>
        <w:spacing w:after="0" w:line="111" w:lineRule="exact"/>
        <w:rPr>
          <w:sz w:val="20"/>
          <w:szCs w:val="20"/>
          <w:color w:val="auto"/>
        </w:rPr>
      </w:pPr>
    </w:p>
    <w:p>
      <w:pPr>
        <w:ind w:right="20" w:firstLine="359"/>
        <w:spacing w:after="0" w:line="264" w:lineRule="auto"/>
        <w:rPr>
          <w:sz w:val="20"/>
          <w:szCs w:val="20"/>
          <w:color w:val="auto"/>
        </w:rPr>
      </w:pPr>
      <w:r>
        <w:rPr>
          <w:rFonts w:ascii="Arial" w:cs="Arial" w:eastAsia="Arial" w:hAnsi="Arial"/>
          <w:sz w:val="20"/>
          <w:szCs w:val="20"/>
          <w:i w:val="1"/>
          <w:iCs w:val="1"/>
          <w:color w:val="auto"/>
        </w:rPr>
        <w:t xml:space="preserve">Linzess/Constella. </w:t>
      </w:r>
      <w:r>
        <w:rPr>
          <w:rFonts w:ascii="Arial" w:cs="Arial" w:eastAsia="Arial" w:hAnsi="Arial"/>
          <w:sz w:val="20"/>
          <w:szCs w:val="20"/>
          <w:color w:val="auto"/>
        </w:rPr>
        <w:t>Linzess (linaclotide) is a once-daily guanylate cyclase-C agonist used in adults</w:t>
      </w:r>
      <w:r>
        <w:rPr>
          <w:rFonts w:ascii="Arial" w:cs="Arial" w:eastAsia="Arial" w:hAnsi="Arial"/>
          <w:sz w:val="20"/>
          <w:szCs w:val="20"/>
          <w:i w:val="1"/>
          <w:iCs w:val="1"/>
          <w:color w:val="auto"/>
        </w:rPr>
        <w:t xml:space="preserve"> </w:t>
      </w:r>
      <w:r>
        <w:rPr>
          <w:rFonts w:ascii="Arial" w:cs="Arial" w:eastAsia="Arial" w:hAnsi="Arial"/>
          <w:sz w:val="20"/>
          <w:szCs w:val="20"/>
          <w:color w:val="auto"/>
        </w:rPr>
        <w:t>to treat irritable bowel syndrome with constipation (IBS-C) and chronic idiopathic constipation. The product is marketed as Linzess in the United States and as Constella outside of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Marketing, Sales and Distribution Capabilities</w:t>
      </w:r>
    </w:p>
    <w:p>
      <w:pPr>
        <w:spacing w:after="0" w:line="131" w:lineRule="exact"/>
        <w:rPr>
          <w:sz w:val="20"/>
          <w:szCs w:val="20"/>
          <w:color w:val="auto"/>
        </w:rPr>
      </w:pPr>
    </w:p>
    <w:p>
      <w:pPr>
        <w:ind w:right="20" w:firstLine="359"/>
        <w:spacing w:after="0" w:line="255" w:lineRule="auto"/>
        <w:rPr>
          <w:sz w:val="20"/>
          <w:szCs w:val="20"/>
          <w:color w:val="auto"/>
        </w:rPr>
      </w:pPr>
      <w:r>
        <w:rPr>
          <w:rFonts w:ascii="Arial" w:cs="Arial" w:eastAsia="Arial" w:hAnsi="Arial"/>
          <w:sz w:val="20"/>
          <w:szCs w:val="20"/>
          <w:color w:val="auto"/>
        </w:rPr>
        <w:t>AbbVie utilizes a combination of dedicated commercial resources, regional commercial resources and distributorships to market, sell and distribute its products worldwide. AbbVie directs its primary marketing efforts toward securing the prescription, or recommendation, of its brand of products by physicians, external experts and other health care providers. Managed care providers (for example, health maintenance organizations and pharmacy benefit managers), hospitals and state and federal government agencies (for example, State Medicaid programs, the United States Department of Veterans Affairs and the United States Department of Defense) are also important customers. AbbVie also markets directly to consumers themselves, although in the United States many of the company’s products must be sold pursuant to a prescription. Outside of the United States, AbbVie focuses its promotional and market access efforts on external experts, payers, physicians and health systems. AbbVie also provides patient support programs closely related to its products.</w:t>
      </w:r>
    </w:p>
    <w:p>
      <w:pPr>
        <w:spacing w:after="0" w:line="130" w:lineRule="exact"/>
        <w:rPr>
          <w:sz w:val="20"/>
          <w:szCs w:val="20"/>
          <w:color w:val="auto"/>
        </w:rPr>
      </w:pPr>
    </w:p>
    <w:p>
      <w:pPr>
        <w:ind w:firstLine="359"/>
        <w:spacing w:after="0" w:line="273" w:lineRule="auto"/>
        <w:rPr>
          <w:sz w:val="20"/>
          <w:szCs w:val="20"/>
          <w:color w:val="auto"/>
        </w:rPr>
      </w:pPr>
      <w:r>
        <w:rPr>
          <w:rFonts w:ascii="Arial" w:cs="Arial" w:eastAsia="Arial" w:hAnsi="Arial"/>
          <w:sz w:val="19"/>
          <w:szCs w:val="19"/>
          <w:color w:val="auto"/>
        </w:rPr>
        <w:t>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Although AbbVie’s business does not have significant seasonality, AbbVie’s product revenues may be affected by end customer and retail buying patterns, fluctuations in wholesaler inventory levels and other factors.</w:t>
      </w:r>
    </w:p>
    <w:p>
      <w:pPr>
        <w:spacing w:after="0" w:line="109"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color w:val="auto"/>
        </w:rPr>
        <w:t>In the United States, AbbVie distributes pharmaceutical products principally through independent wholesale distributors, with some sales directly to retailers, pharmacies, patients or other customers. In 2025, three wholesale distributors (McKesson Corporation, Cardinal Health, Inc. and Cencora, Inc.) accounted for substantially all of AbbVie’s pharmaceutical product sales in the United States. No individual wholesaler accounted for greater than 43% of AbbVie’s 2025 gross revenues in the United States. Outside the United States, AbbVie sells products primarily to wholesalers or through distributors, and depending on the market, works through largely centralized national payers systems to agree on reimbursement terms.</w:t>
      </w:r>
    </w:p>
    <w:p>
      <w:pPr>
        <w:spacing w:after="0" w:line="125" w:lineRule="exact"/>
        <w:rPr>
          <w:sz w:val="20"/>
          <w:szCs w:val="20"/>
          <w:color w:val="auto"/>
        </w:rPr>
      </w:pPr>
    </w:p>
    <w:p>
      <w:pPr>
        <w:ind w:right="260" w:firstLine="359"/>
        <w:spacing w:after="0" w:line="260" w:lineRule="auto"/>
        <w:rPr>
          <w:sz w:val="20"/>
          <w:szCs w:val="20"/>
          <w:color w:val="auto"/>
        </w:rPr>
      </w:pPr>
      <w:r>
        <w:rPr>
          <w:rFonts w:ascii="Arial" w:cs="Arial" w:eastAsia="Arial" w:hAnsi="Arial"/>
          <w:sz w:val="20"/>
          <w:szCs w:val="20"/>
          <w:color w:val="auto"/>
        </w:rPr>
        <w:t>Certain products are co-marketed or co-promoted with other companies. AbbVie has no single customer that, if the customer were lost, would have a material adverse effect on the company’s business. Orders are generally filled on a current basis and order backlog is not material to AbbVie’s business.</w:t>
      </w:r>
    </w:p>
    <w:p>
      <w:pPr>
        <w:sectPr>
          <w:pgSz w:w="11880" w:h="15480" w:orient="portrait"/>
          <w:cols w:equalWidth="0" w:num="1">
            <w:col w:w="9100"/>
          </w:cols>
          <w:pgMar w:left="1400" w:top="1028" w:right="1380" w:bottom="87" w:gutter="0" w:footer="0" w:header="0"/>
        </w:sectPr>
      </w:pPr>
    </w:p>
    <w:p>
      <w:pPr>
        <w:spacing w:after="0" w:line="237"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5</w:t>
      </w:r>
    </w:p>
    <w:p>
      <w:pPr>
        <w:sectPr>
          <w:pgSz w:w="11880" w:h="15480" w:orient="portrait"/>
          <w:cols w:equalWidth="0" w:num="1">
            <w:col w:w="9100"/>
          </w:cols>
          <w:pgMar w:left="1400" w:top="1028" w:right="1380" w:bottom="87"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000039"/>
        </w:rPr>
        <w:t>Competition</w:t>
      </w:r>
    </w:p>
    <w:p>
      <w:pPr>
        <w:spacing w:after="0" w:line="131" w:lineRule="exact"/>
        <w:rPr>
          <w:sz w:val="20"/>
          <w:szCs w:val="20"/>
          <w:color w:val="auto"/>
        </w:rPr>
      </w:pPr>
    </w:p>
    <w:p>
      <w:pPr>
        <w:ind w:firstLine="359"/>
        <w:spacing w:after="0" w:line="245" w:lineRule="auto"/>
        <w:rPr>
          <w:sz w:val="20"/>
          <w:szCs w:val="20"/>
          <w:color w:val="auto"/>
        </w:rPr>
      </w:pPr>
      <w:r>
        <w:rPr>
          <w:rFonts w:ascii="Arial" w:cs="Arial" w:eastAsia="Arial" w:hAnsi="Arial"/>
          <w:sz w:val="20"/>
          <w:szCs w:val="20"/>
          <w:color w:val="auto"/>
        </w:rPr>
        <w:t>The markets for AbbVie’s products are highly competitive. AbbVie competes with other research-based pharmaceuticals and biotechnology companies that discover, manufacture, market and sell proprietary pharmaceutical products, therapies and biologics. For example, AbbVie’s immunology products compete with IL-23 inhibitors, IL-17 inhibitors, JAK inhibitors, biosimilars and other competitive products intended to treat a number of disease states, and AbbVie’s oncology products compete with targeted therapies including BTK inhibitors, ADCs, cell therapies and other competitive products intended to treat certain cancers. In addition, a number of other companies have successfully developed and market products that are being positioned as competitors to Botox. The search for technological innovations in pharmaceutical products is a significant aspect of competition. The introduction of new products by competitors and changes in medical practices and procedures can result in product obsolescence. Price is also a competitive factor. In addition, the substitution of generic and biosimilar pharmaceutical products for branded pharmaceutical products creates competitive pressures on AbbVie’s products that do not have patent protection. New products or treatments brought to market by AbbVie’s competitors could cause revenues for AbbVie’s products to decrease due to price reductions and sales volume decreases.</w:t>
      </w:r>
    </w:p>
    <w:p>
      <w:pPr>
        <w:spacing w:after="0" w:line="124" w:lineRule="exact"/>
        <w:rPr>
          <w:sz w:val="20"/>
          <w:szCs w:val="20"/>
          <w:color w:val="auto"/>
        </w:rPr>
      </w:pPr>
    </w:p>
    <w:p>
      <w:pPr>
        <w:ind w:right="20" w:firstLine="359"/>
        <w:spacing w:after="0" w:line="248" w:lineRule="auto"/>
        <w:rPr>
          <w:sz w:val="20"/>
          <w:szCs w:val="20"/>
          <w:color w:val="auto"/>
        </w:rPr>
      </w:pPr>
      <w:r>
        <w:rPr>
          <w:rFonts w:ascii="Arial" w:cs="Arial" w:eastAsia="Arial" w:hAnsi="Arial"/>
          <w:sz w:val="20"/>
          <w:szCs w:val="20"/>
          <w:b w:val="1"/>
          <w:bCs w:val="1"/>
          <w:i w:val="1"/>
          <w:iCs w:val="1"/>
          <w:color w:val="000039"/>
        </w:rPr>
        <w:t xml:space="preserve">Biosimilars. </w:t>
      </w:r>
      <w:r>
        <w:rPr>
          <w:rFonts w:ascii="Arial" w:cs="Arial" w:eastAsia="Arial" w:hAnsi="Arial"/>
          <w:sz w:val="20"/>
          <w:szCs w:val="20"/>
          <w:color w:val="000000"/>
        </w:rPr>
        <w:t>Competition for AbbVie’s biologic products is affected by the approval of follow-on</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biologics, also known as “biosimilars.” Biologics have added major therapeutic options for the treatment of many diseases, including some for which therapies were unavailable or inadequate. The cost of developing and producing biologic therapies is typically dramatically higher than for small molecule medications, and many biologic medications are used for ongoing treatment of chronic diseases, such as rheumatoid arthritis or inflammatory bowel disease, or for the treatment of previously untreatable cancer. Significant investments in biologics infrastructure and manufacturing are necessary to produce biologic products.</w:t>
      </w:r>
    </w:p>
    <w:p>
      <w:pPr>
        <w:spacing w:after="0" w:line="124" w:lineRule="exact"/>
        <w:rPr>
          <w:sz w:val="20"/>
          <w:szCs w:val="20"/>
          <w:color w:val="auto"/>
        </w:rPr>
      </w:pPr>
    </w:p>
    <w:p>
      <w:pPr>
        <w:ind w:right="380" w:firstLine="359"/>
        <w:spacing w:after="0" w:line="264" w:lineRule="auto"/>
        <w:rPr>
          <w:sz w:val="20"/>
          <w:szCs w:val="20"/>
          <w:color w:val="auto"/>
        </w:rPr>
      </w:pPr>
      <w:r>
        <w:rPr>
          <w:rFonts w:ascii="Arial" w:cs="Arial" w:eastAsia="Arial" w:hAnsi="Arial"/>
          <w:sz w:val="20"/>
          <w:szCs w:val="20"/>
          <w:color w:val="auto"/>
        </w:rPr>
        <w:t>Humira faces direct biosimilar competition globally and AbbVie will continue to face competitive pressure from these biologics and from orally administered products.</w:t>
      </w:r>
    </w:p>
    <w:p>
      <w:pPr>
        <w:spacing w:after="0" w:line="105" w:lineRule="exact"/>
        <w:rPr>
          <w:sz w:val="20"/>
          <w:szCs w:val="20"/>
          <w:color w:val="auto"/>
        </w:rPr>
      </w:pPr>
    </w:p>
    <w:p>
      <w:pPr>
        <w:jc w:val="both"/>
        <w:ind w:right="40" w:firstLine="359"/>
        <w:spacing w:after="0" w:line="249" w:lineRule="auto"/>
        <w:rPr>
          <w:sz w:val="20"/>
          <w:szCs w:val="20"/>
          <w:color w:val="auto"/>
        </w:rPr>
      </w:pPr>
      <w:r>
        <w:rPr>
          <w:rFonts w:ascii="Arial" w:cs="Arial" w:eastAsia="Arial" w:hAnsi="Arial"/>
          <w:sz w:val="20"/>
          <w:szCs w:val="20"/>
          <w:color w:val="auto"/>
        </w:rPr>
        <w:t>In the United States, the FDA regulates biologics under the Federal Food, Drug, and Cosmetic Act (FFDCA), the Public Health Service Act (PHSA) and the regulations implementing these statutes. The enactment of federal health care reform legislation in March 2010 provided a pathway for approval of biosimilars under the PHSA, but the approval process for, and science behind, biosimilars is complex.</w:t>
      </w:r>
    </w:p>
    <w:p>
      <w:pPr>
        <w:ind w:right="80"/>
        <w:spacing w:after="0" w:line="258" w:lineRule="auto"/>
        <w:rPr>
          <w:sz w:val="20"/>
          <w:szCs w:val="20"/>
          <w:color w:val="auto"/>
        </w:rPr>
      </w:pPr>
      <w:r>
        <w:rPr>
          <w:rFonts w:ascii="Arial" w:cs="Arial" w:eastAsia="Arial" w:hAnsi="Arial"/>
          <w:sz w:val="19"/>
          <w:szCs w:val="19"/>
          <w:color w:val="auto"/>
        </w:rPr>
        <w:t>Approval by the FDA is dependent upon many factors, including a showing that the biosimilar is “highly similar” to the original product and has no clinically meaningful differences from the original product</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in terms of safety, purity and potency. The types of data that could ordinarily be required in an application to show similarity may include analytical data, bioequivalence studies and studies to demonstrate chemical similarity, animal studies (including toxicity studies) and clinical studies.</w:t>
      </w:r>
    </w:p>
    <w:p>
      <w:pPr>
        <w:spacing w:after="0" w:line="120"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Furthermore, the law provides that only a biosimilar product that is determined to be “interchangeable” will be considered by the FDA as substitutable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law continues to be interpreted and implemented by the FDA. As a result, its full ultimate impact, implementation and meaning remains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Intellectual Property Protection and Regulatory Exclusivity</w:t>
      </w:r>
    </w:p>
    <w:p>
      <w:pPr>
        <w:spacing w:after="0" w:line="131" w:lineRule="exact"/>
        <w:rPr>
          <w:sz w:val="20"/>
          <w:szCs w:val="20"/>
          <w:color w:val="auto"/>
        </w:rPr>
      </w:pPr>
    </w:p>
    <w:p>
      <w:pPr>
        <w:ind w:right="100" w:firstLine="359"/>
        <w:spacing w:after="0" w:line="249" w:lineRule="auto"/>
        <w:rPr>
          <w:sz w:val="20"/>
          <w:szCs w:val="20"/>
          <w:color w:val="auto"/>
        </w:rPr>
      </w:pPr>
      <w:r>
        <w:rPr>
          <w:rFonts w:ascii="Arial" w:cs="Arial" w:eastAsia="Arial" w:hAnsi="Arial"/>
          <w:sz w:val="20"/>
          <w:szCs w:val="20"/>
          <w:color w:val="auto"/>
        </w:rPr>
        <w:t>Generally, upon approval, products may be entitled to certain kinds of exclusivity under applicable intellectual property and regulatory regimes. AbbVie’s intellectual property is materially valuable to the company, and AbbVie seeks patent protection, where available, in all significant markets and/or countries for each product in development. In the United States, the expiration date for patents is</w:t>
      </w:r>
    </w:p>
    <w:p>
      <w:pPr>
        <w:ind w:right="100"/>
        <w:spacing w:after="0" w:line="277" w:lineRule="auto"/>
        <w:rPr>
          <w:sz w:val="20"/>
          <w:szCs w:val="20"/>
          <w:color w:val="auto"/>
        </w:rPr>
      </w:pPr>
      <w:r>
        <w:rPr>
          <w:rFonts w:ascii="Arial" w:cs="Arial" w:eastAsia="Arial" w:hAnsi="Arial"/>
          <w:sz w:val="19"/>
          <w:szCs w:val="19"/>
          <w:color w:val="auto"/>
        </w:rPr>
        <w:t>20 years after the filing date. Given that patents relating to pharmaceutical products are often obtained early in the development process and given the amount of time needed to complete clinical trials and</w:t>
      </w:r>
    </w:p>
    <w:p>
      <w:pPr>
        <w:sectPr>
          <w:pgSz w:w="11880" w:h="15480" w:orient="portrait"/>
          <w:cols w:equalWidth="0" w:num="1">
            <w:col w:w="9100"/>
          </w:cols>
          <w:pgMar w:left="1400" w:top="1028" w:right="1380" w:bottom="75"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sz w:val="1"/>
          <w:szCs w:val="1"/>
          <w:color w:val="auto"/>
        </w:rPr>
        <w:drawing>
          <wp:inline distT="0" distB="0" distL="0" distR="0">
            <wp:extent cx="615950"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8" w:right="1380" w:bottom="75" w:gutter="0" w:footer="0" w:header="0"/>
          <w:type w:val="continuous"/>
        </w:sectPr>
      </w:pPr>
    </w:p>
    <w:bookmarkStart w:id="12" w:name="page13"/>
    <w:bookmarkEnd w:id="12"/>
    <w:p>
      <w:pPr>
        <w:spacing w:after="0" w:line="246" w:lineRule="auto"/>
        <w:rPr>
          <w:sz w:val="20"/>
          <w:szCs w:val="20"/>
          <w:color w:val="auto"/>
        </w:rPr>
      </w:pPr>
      <w:r>
        <w:rPr>
          <w:rFonts w:ascii="Arial" w:cs="Arial" w:eastAsia="Arial" w:hAnsi="Arial"/>
          <w:sz w:val="20"/>
          <w:szCs w:val="20"/>
          <w:color w:val="auto"/>
        </w:rPr>
        <w:t>other development activities required for regulatory approval, the length of time between product launch and patent expiration is significantly less than 20 years. The Drug Price Competition and Patent Term Restoration Act of 1984 (commonly known as the Hatch-Waxman Act) permits a patent holder to seek a patent extension, commonly called a “patent term restoration,” for patents on products (or processes for making the product) regulated by the FFDCA. The length of the patent extension is roughly based on 50% of the period of time from the filing of an Investigational New Drug Application (NDA) for a compound to the submission of the NDA for such compound, plus 100% of the time period from NDA submission to regulatory approval. The extension, however, cannot exceed five years and the patent term remaining after regulatory approval cannot exceed 14 years. Biological products licensed under the PHSA are similarly eligible for terms of patent restoration.</w:t>
      </w:r>
    </w:p>
    <w:p>
      <w:pPr>
        <w:spacing w:after="0" w:line="129"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Pharmaceutical products may be entitled to other forms of legal or regulatory exclusivity upon approval. The scope, length and requirements for each of these exclusivities vary both in the United States and in other jurisdictions. In the United States, if the FDA approves a conventional drug product that contains an active ingredient not previously approved, the product is typically entitled to five years of non-patent regulatory exclusivity. Specific conditions of use approved for individual products may also be entitled to three years of exclusivity if approval was based on the FDA’s reliance on new clinical studies essential to approval submitted by the NDA applicant. If the NDA applicant studies the product for use by children, the FDA may grant pediatric exclusivity, which extends by 180 days all existing exclusivities (patent and regulatory) related to the product. For products that are either used to treat conditions that afflict a relatively small population or for which there is not a reasonable expectation that the research and development costs will be recovered, the FDA may designate the pharmaceutical as an orphan drug and grant it seven years of exclusivity. Other types of regulatory exclusivity may also be available, such as Generating New Antibiotic Incentives Now (GAIN) exclusivity, which can provide new antibiotic or new antifungal drugs an additional five years of exclusivity to be added to certain exclusivities already provided for by law.</w:t>
      </w:r>
    </w:p>
    <w:p>
      <w:pPr>
        <w:spacing w:after="0" w:line="122" w:lineRule="exact"/>
        <w:rPr>
          <w:sz w:val="20"/>
          <w:szCs w:val="20"/>
          <w:color w:val="auto"/>
        </w:rPr>
      </w:pPr>
    </w:p>
    <w:p>
      <w:pPr>
        <w:ind w:right="20" w:firstLine="359"/>
        <w:spacing w:after="0" w:line="247" w:lineRule="auto"/>
        <w:rPr>
          <w:sz w:val="20"/>
          <w:szCs w:val="20"/>
          <w:color w:val="auto"/>
        </w:rPr>
      </w:pPr>
      <w:r>
        <w:rPr>
          <w:rFonts w:ascii="Arial" w:cs="Arial" w:eastAsia="Arial" w:hAnsi="Arial"/>
          <w:sz w:val="20"/>
          <w:szCs w:val="20"/>
          <w:color w:val="auto"/>
        </w:rPr>
        <w:t>Applicable laws and regulations dictate the scope of any exclusivity to which a product or particular characteristics of a product is entitled upon approval in any particular country. In certain instances, regulatory exclusivity may offer protection where patent protection is no longer available or for a period of time in excess of patent protection. It is not possible to estimate for each product in development the total period and scope of exclusivity to which it may become entitled until regulatory approval is obtained or sometimes even later. However, given the length of time required to complete clinical development of a pharmaceutical product, the periods of exclusivity that might be achieved in any individual case would not generally be expected to exceed a minimum of three years and a maximum of 14 years. These estimates do not consider other factors, such as the difficulty of recreating the manufacturing process for a particular product or other proprietary knowledge that may delay the introduction of a generic or other follow-on product after the expiration of applicable patent and other regulatory exclusivity periods.</w:t>
      </w:r>
    </w:p>
    <w:p>
      <w:pPr>
        <w:spacing w:after="0" w:line="125" w:lineRule="exact"/>
        <w:rPr>
          <w:sz w:val="20"/>
          <w:szCs w:val="20"/>
          <w:color w:val="auto"/>
        </w:rPr>
      </w:pPr>
    </w:p>
    <w:p>
      <w:pPr>
        <w:ind w:firstLine="359"/>
        <w:spacing w:after="0" w:line="261" w:lineRule="auto"/>
        <w:rPr>
          <w:sz w:val="20"/>
          <w:szCs w:val="20"/>
          <w:color w:val="auto"/>
        </w:rPr>
      </w:pPr>
      <w:r>
        <w:rPr>
          <w:rFonts w:ascii="Arial" w:cs="Arial" w:eastAsia="Arial" w:hAnsi="Arial"/>
          <w:sz w:val="19"/>
          <w:szCs w:val="19"/>
          <w:color w:val="auto"/>
        </w:rPr>
        <w:t>Biologics may be entitled to exclusivity under the Biologics Price Competition and Innovation Act, which was passed on March 23, 2010 as Title VII to the Patient Protection and Affordable Care Act. The law provides a pathway for approval of biosimilars following the expiration of 12 years of regulatory exclusivity for the innovator biologic and a potential additional 180 day-extension term for conducting pediatric studies. Biologics are also eligible for orphan drug exclusivity, as discussed above. The law also includes an extensive process for the innovator biologic and biosimilar manufacturer to litigate patent infringement, validity and enforceability. The European Union has also created a pathway for approval of biosimilars and has published guidelines for approval of certain biosimilar products. The more complex nature of biologics and biosimilar products has led to close regulatory scrutiny over follow-on biosimilar products, which can reduce the effect of biosimilars on sales of the innovator biologic as compared to the sales erosion caused by generic versions of small molecule pharmaceutical products.</w:t>
      </w:r>
    </w:p>
    <w:p>
      <w:pPr>
        <w:spacing w:after="0" w:line="116"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AbbVie owns or has licensed rights to a substantial number of patents and patent applications. AbbVie licenses or owns a patent portfolio of thousands of patent families, each of which includes United States patent applications and/or issued patents and may also contain the non-United States counterparts to these patents and applications. These patents and applications, including various patents that expire during the period 2026 to the mid 2040s, in aggregate are believed to be of material importance in the operation of AbbVie’s business.</w:t>
      </w:r>
    </w:p>
    <w:p>
      <w:pPr>
        <w:sectPr>
          <w:pgSz w:w="11880" w:h="15480" w:orient="portrait"/>
          <w:cols w:equalWidth="0" w:num="1">
            <w:col w:w="9100"/>
          </w:cols>
          <w:pgMar w:left="1400" w:top="1030" w:right="1380" w:bottom="87" w:gutter="0" w:footer="0" w:header="0"/>
        </w:sectPr>
      </w:pPr>
    </w:p>
    <w:p>
      <w:pPr>
        <w:spacing w:after="0" w:line="24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7</w:t>
      </w:r>
    </w:p>
    <w:p>
      <w:pPr>
        <w:sectPr>
          <w:pgSz w:w="11880" w:h="15480" w:orient="portrait"/>
          <w:cols w:equalWidth="0" w:num="1">
            <w:col w:w="9100"/>
          </w:cols>
          <w:pgMar w:left="1400" w:top="1030" w:right="1380" w:bottom="87" w:gutter="0" w:footer="0" w:header="0"/>
          <w:type w:val="continuous"/>
        </w:sectPr>
      </w:pPr>
    </w:p>
    <w:bookmarkStart w:id="13" w:name="page14"/>
    <w:bookmarkEnd w:id="13"/>
    <w:p>
      <w:pPr>
        <w:ind w:firstLine="359"/>
        <w:spacing w:after="0" w:line="256" w:lineRule="auto"/>
        <w:rPr>
          <w:sz w:val="20"/>
          <w:szCs w:val="20"/>
          <w:color w:val="auto"/>
        </w:rPr>
      </w:pPr>
      <w:r>
        <w:rPr>
          <w:rFonts w:ascii="Arial" w:cs="Arial" w:eastAsia="Arial" w:hAnsi="Arial"/>
          <w:sz w:val="20"/>
          <w:szCs w:val="20"/>
          <w:color w:val="auto"/>
        </w:rPr>
        <w:t>The following patents, licenses and trademarks are significant: those related to risankizumab (which is sold under the trademark Skyrizi) and those related to upadacitinib (which is sold under the trademark Rinvoq). The United States composition of matter patents covering risankizumab and upadacitinib are expected to expire in 2033. In September 2025, AbbVie settled litigation with all generic manufacturers that filed abbreviated new drug applications with the U.S. FDA for generic versions of upadacitinib tablets. Given the settlement and license agreements, which are subject to standard acceleration provisions, assuming pediatric exclusivity is granted, no generic entry for Rinvoq tablets is expected prior to April 2037 in the United States. AbbVie believes that no other single patent, license, trademark (or related group of patents, licenses, or trademarks), is material in relation to the company’s business as a whole.</w:t>
      </w:r>
    </w:p>
    <w:p>
      <w:pPr>
        <w:spacing w:after="0" w:line="121"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color w:val="auto"/>
        </w:rPr>
        <w:t>AbbVie may rely, in some circumstances, on trade secrets to protect its technology. AbbVie seeks to protect its technology and product candidates, in part, by confidentiality agreements with its employees, consultants, advisors, contractors and collaborators. These agreements may be breached, and AbbVie may not have adequate remedies for any breach. In addition, AbbVie’s trade secrets may otherwise become known or be independently discovered by competitors. To the extent that AbbVie’s employees, consultants, advisors, contractors and collaborators use intellectual property owned by others in their work for the company, disputes may arise as to the rights in related or resulting know-how and inventions.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Licensing, Acquisitions and Other Arrangements</w:t>
      </w:r>
    </w:p>
    <w:p>
      <w:pPr>
        <w:spacing w:after="0" w:line="131" w:lineRule="exact"/>
        <w:rPr>
          <w:sz w:val="20"/>
          <w:szCs w:val="20"/>
          <w:color w:val="auto"/>
        </w:rPr>
      </w:pPr>
    </w:p>
    <w:p>
      <w:pPr>
        <w:ind w:firstLine="359"/>
        <w:spacing w:after="0" w:line="255" w:lineRule="auto"/>
        <w:rPr>
          <w:sz w:val="20"/>
          <w:szCs w:val="20"/>
          <w:color w:val="auto"/>
        </w:rPr>
      </w:pPr>
      <w:r>
        <w:rPr>
          <w:rFonts w:ascii="Arial" w:cs="Arial" w:eastAsia="Arial" w:hAnsi="Arial"/>
          <w:sz w:val="20"/>
          <w:szCs w:val="20"/>
          <w:color w:val="auto"/>
        </w:rPr>
        <w:t>In addition to its independent efforts to develop and market products, AbbVie enters into arrangements such as acquisitions, option-to-acquire agreements, licensing arrangements, option-to-license arrangements, strategic alliances, co-promotion arrangements, co-development and co-marketing agreements and joint ventures. The acquisitions and option-to-acquire agreements typically include, among other terms and conditions, upfront purchase price payments or option fees, option exercise payments, milestones or earn-outs and other customary terms and obligations. The licensing and other arrangements typically include, among other terms and conditions, upfront license fees, option fees and option exercise payments, milestone payments and royalty and/or profit sharing obligations. See Note 5, “Licensing, Acquisitions and Other Arrangements—Other Licensing &amp; Acquisitions Activity,” to the Consolidated Financial Statements included under Item 8, “Financial Statements and Supplementary Data.”</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Third Party Agreements</w:t>
      </w:r>
    </w:p>
    <w:p>
      <w:pPr>
        <w:spacing w:after="0" w:line="131" w:lineRule="exact"/>
        <w:rPr>
          <w:sz w:val="20"/>
          <w:szCs w:val="20"/>
          <w:color w:val="auto"/>
        </w:rPr>
      </w:pPr>
    </w:p>
    <w:p>
      <w:pPr>
        <w:ind w:firstLine="359"/>
        <w:spacing w:after="0" w:line="255" w:lineRule="auto"/>
        <w:rPr>
          <w:sz w:val="20"/>
          <w:szCs w:val="20"/>
          <w:color w:val="auto"/>
        </w:rPr>
      </w:pPr>
      <w:r>
        <w:rPr>
          <w:rFonts w:ascii="Arial" w:cs="Arial" w:eastAsia="Arial" w:hAnsi="Arial"/>
          <w:sz w:val="20"/>
          <w:szCs w:val="20"/>
          <w:color w:val="auto"/>
        </w:rPr>
        <w:t>AbbVie has agreements with third parties for process development, product distribution, analytical services and manufacturing of certain products. AbbVie procures certain products and services from a limited number of suppliers and, in some cases, a single supply source. In addition, AbbVie has agreements with third parties for active pharmaceutical ingredient and product manufacturing, formulation and development services, fill, finish and packaging services, transportation and distribution and logistics services for certain products. AbbVie does not believe that these manufacturing-related agreements are material because AbbVie’s business is not substantially dependent on any individual agreement. In most cases, AbbVie maintains alternate supply relationships that it can utilize without undue disruption of its manufacturing processes if a third party fails to perform its contractual obligations. AbbVie seeks to maintain sufficient inventory of product to minimize the impact of any supply disruption.</w:t>
      </w:r>
    </w:p>
    <w:p>
      <w:pPr>
        <w:spacing w:after="0" w:line="130" w:lineRule="exact"/>
        <w:rPr>
          <w:sz w:val="20"/>
          <w:szCs w:val="20"/>
          <w:color w:val="auto"/>
        </w:rPr>
      </w:pPr>
    </w:p>
    <w:p>
      <w:pPr>
        <w:ind w:right="200" w:firstLine="359"/>
        <w:spacing w:after="0" w:line="260" w:lineRule="auto"/>
        <w:rPr>
          <w:sz w:val="20"/>
          <w:szCs w:val="20"/>
          <w:color w:val="auto"/>
        </w:rPr>
      </w:pPr>
      <w:r>
        <w:rPr>
          <w:rFonts w:ascii="Arial" w:cs="Arial" w:eastAsia="Arial" w:hAnsi="Arial"/>
          <w:sz w:val="20"/>
          <w:szCs w:val="20"/>
          <w:color w:val="auto"/>
        </w:rPr>
        <w:t>AbbVie is also party to certain collaborations and other arrangements, as discussed in Note 5, “Licensing, Acquisitions and Other Arrangements—Other Licensing &amp; Acquisitions Activity,” to the Consolidated Financial Statements included under Item 8, “Financial Statements and Supplementary Data.”</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Sources and Availability of Raw Materials</w:t>
      </w:r>
    </w:p>
    <w:p>
      <w:pPr>
        <w:spacing w:after="0" w:line="131" w:lineRule="exact"/>
        <w:rPr>
          <w:sz w:val="20"/>
          <w:szCs w:val="20"/>
          <w:color w:val="auto"/>
        </w:rPr>
      </w:pPr>
    </w:p>
    <w:p>
      <w:pPr>
        <w:ind w:right="220" w:firstLine="359"/>
        <w:spacing w:after="0" w:line="273" w:lineRule="auto"/>
        <w:rPr>
          <w:sz w:val="20"/>
          <w:szCs w:val="20"/>
          <w:color w:val="auto"/>
        </w:rPr>
      </w:pPr>
      <w:r>
        <w:rPr>
          <w:rFonts w:ascii="Arial" w:cs="Arial" w:eastAsia="Arial" w:hAnsi="Arial"/>
          <w:sz w:val="20"/>
          <w:szCs w:val="20"/>
          <w:color w:val="auto"/>
        </w:rPr>
        <w:t>AbbVie purchases, in the ordinary course of business, raw materials and supplies essential to its operations from numerous suppliers around the world. In addition, certain medical devices and</w:t>
      </w:r>
    </w:p>
    <w:p>
      <w:pPr>
        <w:sectPr>
          <w:pgSz w:w="11880" w:h="15480" w:orient="portrait"/>
          <w:cols w:equalWidth="0" w:num="1">
            <w:col w:w="9100"/>
          </w:cols>
          <w:pgMar w:left="1400" w:top="1030" w:right="1380" w:bottom="75"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sz w:val="1"/>
          <w:szCs w:val="1"/>
          <w:color w:val="auto"/>
        </w:rPr>
        <w:drawing>
          <wp:inline distT="0" distB="0" distL="0" distR="0">
            <wp:extent cx="615950"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14" w:name="page15"/>
    <w:bookmarkEnd w:id="14"/>
    <w:p>
      <w:pPr>
        <w:ind w:right="100"/>
        <w:spacing w:after="0" w:line="269" w:lineRule="auto"/>
        <w:rPr>
          <w:sz w:val="20"/>
          <w:szCs w:val="20"/>
          <w:color w:val="auto"/>
        </w:rPr>
      </w:pPr>
      <w:r>
        <w:rPr>
          <w:rFonts w:ascii="Arial" w:cs="Arial" w:eastAsia="Arial" w:hAnsi="Arial"/>
          <w:sz w:val="20"/>
          <w:szCs w:val="20"/>
          <w:color w:val="auto"/>
        </w:rPr>
        <w:t>components necessary for the manufacture of AbbVie products are provided by unaffiliated third party suppliers. AbbVie has robust business continuity and supplier monitoring programs.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Research and Development Activities</w:t>
      </w:r>
    </w:p>
    <w:p>
      <w:pPr>
        <w:spacing w:after="0" w:line="131" w:lineRule="exact"/>
        <w:rPr>
          <w:sz w:val="20"/>
          <w:szCs w:val="20"/>
          <w:color w:val="auto"/>
        </w:rPr>
      </w:pPr>
    </w:p>
    <w:p>
      <w:pPr>
        <w:ind w:firstLine="359"/>
        <w:spacing w:after="0" w:line="252" w:lineRule="auto"/>
        <w:rPr>
          <w:sz w:val="20"/>
          <w:szCs w:val="20"/>
          <w:color w:val="auto"/>
        </w:rPr>
      </w:pPr>
      <w:r>
        <w:rPr>
          <w:rFonts w:ascii="Arial" w:cs="Arial" w:eastAsia="Arial" w:hAnsi="Arial"/>
          <w:sz w:val="20"/>
          <w:szCs w:val="20"/>
          <w:color w:val="auto"/>
        </w:rPr>
        <w:t>AbbVie makes a significant investment in research and development and has numerous compounds (and complementary devices) in clinical development, including potential treatments for complex, life-threatening diseases. AbbVie’s ability to discover and develop new compounds is enhanced by the company’s use of integrated discovery and development project teams, which include chemists, biologists, physicians and pharmacologists who work on the same compounds as a team. AbbVie also partners with third parties, such as biotechnology companies, other pharmaceutical companies and academic institutions to identify and prioritize promising new treatments that complement and enhance AbbVie’s existing portfolio. AbbVie also supplements its research and development efforts with acquisitions.</w:t>
      </w:r>
    </w:p>
    <w:p>
      <w:pPr>
        <w:spacing w:after="0" w:line="122" w:lineRule="exact"/>
        <w:rPr>
          <w:sz w:val="20"/>
          <w:szCs w:val="20"/>
          <w:color w:val="auto"/>
        </w:rPr>
      </w:pPr>
    </w:p>
    <w:p>
      <w:pPr>
        <w:ind w:right="20" w:firstLine="359"/>
        <w:spacing w:after="0" w:line="256" w:lineRule="auto"/>
        <w:rPr>
          <w:sz w:val="20"/>
          <w:szCs w:val="20"/>
          <w:color w:val="auto"/>
        </w:rPr>
      </w:pPr>
      <w:r>
        <w:rPr>
          <w:rFonts w:ascii="Arial" w:cs="Arial" w:eastAsia="Arial" w:hAnsi="Arial"/>
          <w:sz w:val="20"/>
          <w:szCs w:val="20"/>
          <w:color w:val="auto"/>
        </w:rPr>
        <w:t>The research and development process generally begins with discovery research which focuses on the identification of a molecule that has a desired effect against a given disease. If preclinical testing of an identified compound proves successful, the compound moves into clinical development which generally includes the following phases:</w:t>
      </w:r>
    </w:p>
    <w:p>
      <w:pPr>
        <w:spacing w:after="0" w:line="96" w:lineRule="exact"/>
        <w:rPr>
          <w:sz w:val="20"/>
          <w:szCs w:val="20"/>
          <w:color w:val="auto"/>
        </w:rPr>
      </w:pPr>
    </w:p>
    <w:p>
      <w:pPr>
        <w:ind w:left="540" w:right="300" w:hanging="191"/>
        <w:spacing w:after="0" w:line="269"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Phase 1—involves the first human tests in a small number of healthy volunteers or patients to assess safety, tolerability and doses for later phases.</w:t>
      </w:r>
    </w:p>
    <w:p>
      <w:pPr>
        <w:spacing w:after="0" w:line="83" w:lineRule="exact"/>
        <w:rPr>
          <w:rFonts w:ascii="Arial" w:cs="Arial" w:eastAsia="Arial" w:hAnsi="Arial"/>
          <w:sz w:val="20"/>
          <w:szCs w:val="20"/>
          <w:color w:val="auto"/>
        </w:rPr>
      </w:pPr>
    </w:p>
    <w:p>
      <w:pPr>
        <w:ind w:left="540" w:hanging="191"/>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Phase 2—tests different doses of the drug in a disease state in order to assess efficacy.</w:t>
      </w:r>
    </w:p>
    <w:p>
      <w:pPr>
        <w:spacing w:after="0" w:line="129" w:lineRule="exact"/>
        <w:rPr>
          <w:rFonts w:ascii="Arial" w:cs="Arial" w:eastAsia="Arial" w:hAnsi="Arial"/>
          <w:sz w:val="20"/>
          <w:szCs w:val="20"/>
          <w:color w:val="auto"/>
        </w:rPr>
      </w:pPr>
    </w:p>
    <w:p>
      <w:pPr>
        <w:ind w:left="540" w:right="100" w:hanging="191"/>
        <w:spacing w:after="0" w:line="259"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Phase 3—tests a drug that demonstrates favorable results in the earlier phases in a significantly larger patient population to further demonstrate efficacy and safety in order to meet regulatory requirements to enable global approval.</w:t>
      </w:r>
    </w:p>
    <w:p>
      <w:pPr>
        <w:spacing w:after="0" w:line="114" w:lineRule="exact"/>
        <w:rPr>
          <w:sz w:val="20"/>
          <w:szCs w:val="20"/>
          <w:color w:val="auto"/>
        </w:rPr>
      </w:pPr>
    </w:p>
    <w:p>
      <w:pPr>
        <w:ind w:firstLine="359"/>
        <w:spacing w:after="0" w:line="254" w:lineRule="auto"/>
        <w:rPr>
          <w:sz w:val="20"/>
          <w:szCs w:val="20"/>
          <w:color w:val="auto"/>
        </w:rPr>
      </w:pPr>
      <w:r>
        <w:rPr>
          <w:rFonts w:ascii="Arial" w:cs="Arial" w:eastAsia="Arial" w:hAnsi="Arial"/>
          <w:sz w:val="20"/>
          <w:szCs w:val="20"/>
          <w:color w:val="auto"/>
        </w:rPr>
        <w:t>Preclinical data and clinical trials from all of the development phases provide the data required to prepare and submit an NDA, a Biological License Application (BLA) or other submission for regulatory approval to the FDA or similar government agencies outside the United States. The specific requirements (e.g., scope of clinical trials) for obtaining regulatory approval vary across different countries and geographic regions.</w:t>
      </w:r>
    </w:p>
    <w:p>
      <w:pPr>
        <w:spacing w:after="0" w:line="120" w:lineRule="exact"/>
        <w:rPr>
          <w:sz w:val="20"/>
          <w:szCs w:val="20"/>
          <w:color w:val="auto"/>
        </w:rPr>
      </w:pPr>
    </w:p>
    <w:p>
      <w:pPr>
        <w:ind w:right="100" w:firstLine="359"/>
        <w:spacing w:after="0" w:line="256" w:lineRule="auto"/>
        <w:rPr>
          <w:sz w:val="20"/>
          <w:szCs w:val="20"/>
          <w:color w:val="auto"/>
        </w:rPr>
      </w:pPr>
      <w:r>
        <w:rPr>
          <w:rFonts w:ascii="Arial" w:cs="Arial" w:eastAsia="Arial" w:hAnsi="Arial"/>
          <w:sz w:val="20"/>
          <w:szCs w:val="20"/>
          <w:color w:val="auto"/>
        </w:rPr>
        <w:t>The research and development process from discovery through a new drug launch typically takes 8 to 12 years and can be even longer. The research and development of new pharmaceutical products has a significant amount of inherent uncertainty. There is no guarantee when, or if, a molecule will receive the regulatory approval required to launch a new drug or indication.</w:t>
      </w:r>
    </w:p>
    <w:p>
      <w:pPr>
        <w:spacing w:after="0" w:line="116"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color w:val="auto"/>
        </w:rPr>
        <w:t>In addition to the development of new products, delivery devices and new formulations, research and development projects also may include Phase 4 trials, sometimes called post-marketing studies. For such projects, clinical trials are designed and conducted to collect additional data regarding, among other parameters, the benefits and risks of an approved drug.</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Regulation—Discovery and Clinical Development</w:t>
      </w:r>
    </w:p>
    <w:p>
      <w:pPr>
        <w:spacing w:after="0" w:line="129" w:lineRule="exact"/>
        <w:rPr>
          <w:sz w:val="20"/>
          <w:szCs w:val="20"/>
          <w:color w:val="auto"/>
        </w:rPr>
      </w:pPr>
    </w:p>
    <w:p>
      <w:pPr>
        <w:ind w:firstLine="359"/>
        <w:spacing w:after="0" w:line="252" w:lineRule="auto"/>
        <w:rPr>
          <w:sz w:val="20"/>
          <w:szCs w:val="20"/>
          <w:color w:val="auto"/>
        </w:rPr>
      </w:pPr>
      <w:r>
        <w:rPr>
          <w:rFonts w:ascii="Arial" w:cs="Arial" w:eastAsia="Arial" w:hAnsi="Arial"/>
          <w:sz w:val="20"/>
          <w:szCs w:val="20"/>
          <w:b w:val="1"/>
          <w:bCs w:val="1"/>
          <w:i w:val="1"/>
          <w:iCs w:val="1"/>
          <w:color w:val="000039"/>
        </w:rPr>
        <w:t xml:space="preserve">United States. </w:t>
      </w:r>
      <w:r>
        <w:rPr>
          <w:rFonts w:ascii="Arial" w:cs="Arial" w:eastAsia="Arial" w:hAnsi="Arial"/>
          <w:sz w:val="20"/>
          <w:szCs w:val="20"/>
          <w:color w:val="000000"/>
        </w:rPr>
        <w:t>Securing approval to market a new pharmaceutical product in the United States</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requires substantial effort and financial resources and takes several years to complete. The applicant must complete preclinical tests and submit protocols to the FDA before commencing clinical trials. Clinical trials are intended to establish the safety and efficacy of the pharmaceutical product and typically are conducted in sequential phases, although the phases may overlap or be combined. If the required clinical testing is successful, the results are submitted to the FDA in the form of an NDA or BLA requesting approval to market the product for one or more indications. The FDA reviews an NDA or BLA to determine whether a product is safe and effective for its intended use and whether its manufacturing is compliant with current Good Manufacturing Practices (cGMP).</w:t>
      </w:r>
    </w:p>
    <w:p>
      <w:pPr>
        <w:spacing w:after="0" w:line="124" w:lineRule="exact"/>
        <w:rPr>
          <w:sz w:val="20"/>
          <w:szCs w:val="20"/>
          <w:color w:val="auto"/>
        </w:rPr>
      </w:pPr>
    </w:p>
    <w:p>
      <w:pPr>
        <w:jc w:val="both"/>
        <w:ind w:right="60" w:firstLine="359"/>
        <w:spacing w:after="0" w:line="279" w:lineRule="auto"/>
        <w:rPr>
          <w:sz w:val="20"/>
          <w:szCs w:val="20"/>
          <w:color w:val="auto"/>
        </w:rPr>
      </w:pPr>
      <w:r>
        <w:rPr>
          <w:rFonts w:ascii="Arial" w:cs="Arial" w:eastAsia="Arial" w:hAnsi="Arial"/>
          <w:sz w:val="19"/>
          <w:szCs w:val="19"/>
          <w:color w:val="auto"/>
        </w:rPr>
        <w:t>Compliance with regulatory requirements is assured through periodic, announced or unannounced inspections by the FDA and other regulatory authorities, and these inspections associated with clinical development may include the sponsor, investigator sites, laboratories, hospitals and manufacturing</w:t>
      </w:r>
    </w:p>
    <w:p>
      <w:pPr>
        <w:sectPr>
          <w:pgSz w:w="11880" w:h="15480" w:orient="portrait"/>
          <w:cols w:equalWidth="0" w:num="1">
            <w:col w:w="9100"/>
          </w:cols>
          <w:pgMar w:left="1400" w:top="1030" w:right="1380" w:bottom="87" w:gutter="0" w:footer="0" w:header="0"/>
        </w:sectPr>
      </w:pPr>
    </w:p>
    <w:p>
      <w:pPr>
        <w:spacing w:after="0" w:line="220"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9</w:t>
      </w:r>
    </w:p>
    <w:p>
      <w:pPr>
        <w:sectPr>
          <w:pgSz w:w="11880" w:h="15480" w:orient="portrait"/>
          <w:cols w:equalWidth="0" w:num="1">
            <w:col w:w="9100"/>
          </w:cols>
          <w:pgMar w:left="1400" w:top="1030" w:right="1380" w:bottom="87" w:gutter="0" w:footer="0" w:header="0"/>
          <w:type w:val="continuous"/>
        </w:sectPr>
      </w:pPr>
    </w:p>
    <w:bookmarkStart w:id="15" w:name="page16"/>
    <w:bookmarkEnd w:id="15"/>
    <w:p>
      <w:pPr>
        <w:spacing w:after="0" w:line="265" w:lineRule="auto"/>
        <w:rPr>
          <w:sz w:val="20"/>
          <w:szCs w:val="20"/>
          <w:color w:val="auto"/>
        </w:rPr>
      </w:pPr>
      <w:r>
        <w:rPr>
          <w:rFonts w:ascii="Arial" w:cs="Arial" w:eastAsia="Arial" w:hAnsi="Arial"/>
          <w:sz w:val="20"/>
          <w:szCs w:val="20"/>
          <w:color w:val="auto"/>
        </w:rPr>
        <w:t>facilities of AbbVie’s subcontractors or other third-party manufacturers. Failure to comply with applicable regulatory requirements can result in enforcement action by the FDA, including rejection of an NDA or BLA.</w:t>
      </w:r>
    </w:p>
    <w:p>
      <w:pPr>
        <w:spacing w:after="0" w:line="114"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color w:val="auto"/>
        </w:rPr>
        <w:t>Even if an NDA or a BLA receives approval, the applicant must comply with post-approval requirements. For example, holders of an approval must report adverse reactions, provide updated safety and efficacy information and comply with requirements concerning advertising and promotional materials and activities. Also, quality control and manufacturing procedures must continue to conform to cGMP after approval, and certain changes to the manufacturing procedures and finished product must be submitted and approved by the FDA prior to implementation. The FDA periodically inspects manufacturing facilities to assess compliance with cGMP, which imposes extensive procedural and record keeping requirements. In addition, as a condition of approval, the FDA may require post-marketing testing and surveillance to further assess and monitor the product’s safety or efficacy after commercialization, which may require additional clinical trials, patient registries, observational data or additional work on chemistry, manufacturing and controls. Any post-approval regulatory obligations, and the cost of complying with such obligations, could expand in the future. Further, the FDA continues to regulate product labeling and prohibits the promotion of products for unapproved or “off-label” uses along with other labeling restrictions.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000039"/>
        </w:rPr>
        <w:t xml:space="preserve">Outside the United States. </w:t>
      </w:r>
      <w:r>
        <w:rPr>
          <w:rFonts w:ascii="Arial" w:cs="Arial" w:eastAsia="Arial" w:hAnsi="Arial"/>
          <w:sz w:val="20"/>
          <w:szCs w:val="20"/>
          <w:color w:val="000000"/>
        </w:rPr>
        <w:t>AbbVie is subject to similar regulatory requirements outside the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United States for approval and marketing of pharmaceutical products. AbbVie must obtain approval of</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 clinical trial application or product from applicable supervising regulatory authorities before it can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commence clinical trials or marketing of the product in target markets. The approval requirements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and process for each country can vary and the time required to obtain approval may be longer or shorter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than that required for FDA approval in the United States. For example, AbbVie may submit marketing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authorizations in the European Union under either a centralized or decentralized procedure. The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centralized procedure is mandatory for the approval of biotechnology products and many pharmaceutical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products and provides for a single marketing authorization that is valid for all European Union member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states. Under the centralized procedure, a single marketing authorization application is submitted to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European Medicines Agency. After the agency evaluates the application, it makes a recommendation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to the European Commission, which then makes the final determination on whether to approve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application. The decentralized procedure provides for mutual recognition of individual national approval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decisions and is available for products that are not subject to the centralized procedure.</w:t>
      </w:r>
    </w:p>
    <w:p>
      <w:pPr>
        <w:spacing w:after="0" w:line="148" w:lineRule="exact"/>
        <w:rPr>
          <w:sz w:val="20"/>
          <w:szCs w:val="20"/>
          <w:color w:val="auto"/>
        </w:rPr>
      </w:pPr>
    </w:p>
    <w:p>
      <w:pPr>
        <w:ind w:right="140" w:firstLine="359"/>
        <w:spacing w:after="0" w:line="258" w:lineRule="auto"/>
        <w:rPr>
          <w:sz w:val="20"/>
          <w:szCs w:val="20"/>
          <w:color w:val="auto"/>
        </w:rPr>
      </w:pPr>
      <w:r>
        <w:rPr>
          <w:rFonts w:ascii="Arial" w:cs="Arial" w:eastAsia="Arial" w:hAnsi="Arial"/>
          <w:sz w:val="20"/>
          <w:szCs w:val="20"/>
          <w:color w:val="auto"/>
        </w:rPr>
        <w:t>In Japan, applications for approval of a new product are made through the Pharmaceutical and Medical Devices Agency (PMDA). Japan-specific trials and/or bridging studies to demonstrate that the non-Japanese clinical data applies to Japanese patients are usually required. After completing a comprehensive review, the PMDA reports to the Ministry of Health, Labour and Welfare, which then approves or denies the application.</w:t>
      </w:r>
    </w:p>
    <w:p>
      <w:pPr>
        <w:spacing w:after="0" w:line="121" w:lineRule="exact"/>
        <w:rPr>
          <w:sz w:val="20"/>
          <w:szCs w:val="20"/>
          <w:color w:val="auto"/>
        </w:rPr>
      </w:pPr>
    </w:p>
    <w:p>
      <w:pPr>
        <w:ind w:right="40" w:firstLine="359"/>
        <w:spacing w:after="0" w:line="260" w:lineRule="auto"/>
        <w:rPr>
          <w:sz w:val="20"/>
          <w:szCs w:val="20"/>
          <w:color w:val="auto"/>
        </w:rPr>
      </w:pPr>
      <w:r>
        <w:rPr>
          <w:rFonts w:ascii="Arial" w:cs="Arial" w:eastAsia="Arial" w:hAnsi="Arial"/>
          <w:sz w:val="20"/>
          <w:szCs w:val="20"/>
          <w:color w:val="auto"/>
        </w:rPr>
        <w:t>Similarly, applications for a new product in China are submitted to the Center for Drug Evaluation of the National Medical Products Administration for technical review and approval of a product for marketing in China. Clinical data in Chinese subjects are usually required to support approval in China, requiring the inclusion of China in global pivotal studies, or a separate China/Asian clinical trial.</w:t>
      </w:r>
    </w:p>
    <w:p>
      <w:pPr>
        <w:spacing w:after="0" w:line="117" w:lineRule="exact"/>
        <w:rPr>
          <w:sz w:val="20"/>
          <w:szCs w:val="20"/>
          <w:color w:val="auto"/>
        </w:rPr>
      </w:pPr>
    </w:p>
    <w:p>
      <w:pPr>
        <w:ind w:firstLine="359"/>
        <w:spacing w:after="0" w:line="257" w:lineRule="auto"/>
        <w:rPr>
          <w:sz w:val="20"/>
          <w:szCs w:val="20"/>
          <w:color w:val="auto"/>
        </w:rPr>
      </w:pPr>
      <w:r>
        <w:rPr>
          <w:rFonts w:ascii="Arial" w:cs="Arial" w:eastAsia="Arial" w:hAnsi="Arial"/>
          <w:sz w:val="20"/>
          <w:szCs w:val="20"/>
          <w:color w:val="auto"/>
        </w:rPr>
        <w:t>The regulatory process in many emerging markets continues to evolve. Many emerging markets, including those in Asia, generally require regulatory approval to have been obtained in a large developed market (such as the United States or Europe) before the country will begin or complete its regulatory review process. Similar to the requirements in Japan and China, certain countries (notably South Korea, Taiwan, India and Russia) also generally require that clinical studies that include data from patients in those countries be conducted in order to support local regulatory approval.</w:t>
      </w:r>
    </w:p>
    <w:p>
      <w:pPr>
        <w:spacing w:after="0" w:line="123" w:lineRule="exact"/>
        <w:rPr>
          <w:sz w:val="20"/>
          <w:szCs w:val="20"/>
          <w:color w:val="auto"/>
        </w:rPr>
      </w:pPr>
    </w:p>
    <w:p>
      <w:pPr>
        <w:ind w:firstLine="359"/>
        <w:spacing w:after="0" w:line="258" w:lineRule="auto"/>
        <w:rPr>
          <w:sz w:val="20"/>
          <w:szCs w:val="20"/>
          <w:color w:val="auto"/>
        </w:rPr>
      </w:pPr>
      <w:r>
        <w:rPr>
          <w:rFonts w:ascii="Arial" w:cs="Arial" w:eastAsia="Arial" w:hAnsi="Arial"/>
          <w:sz w:val="20"/>
          <w:szCs w:val="20"/>
          <w:color w:val="auto"/>
        </w:rPr>
        <w:t>The requirements governing the conduct of clinical trials and product licensing also vary. In addition, post-approval regulatory obligations such as adverse event reporting and cGMP compliance generally apply and may vary by country. For example, after a marketing authorization has been granted in the European Union, periodic safety reports must be submitted and other pharmacovigilance measures may be required (such as Risk Management Plans).</w:t>
      </w:r>
    </w:p>
    <w:p>
      <w:pPr>
        <w:sectPr>
          <w:pgSz w:w="11880" w:h="15480" w:orient="portrait"/>
          <w:cols w:equalWidth="0" w:num="1">
            <w:col w:w="9100"/>
          </w:cols>
          <w:pgMar w:left="1400" w:top="1030" w:right="1380" w:bottom="75"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sz w:val="1"/>
          <w:szCs w:val="1"/>
          <w:color w:val="auto"/>
        </w:rPr>
        <w:drawing>
          <wp:inline distT="0" distB="0" distL="0" distR="0">
            <wp:extent cx="615950"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000039"/>
        </w:rPr>
        <w:t>Regulation—Commercialization, Distribution and Manufacturing</w:t>
      </w:r>
    </w:p>
    <w:p>
      <w:pPr>
        <w:spacing w:after="0" w:line="131" w:lineRule="exact"/>
        <w:rPr>
          <w:sz w:val="20"/>
          <w:szCs w:val="20"/>
          <w:color w:val="auto"/>
        </w:rPr>
      </w:pPr>
    </w:p>
    <w:p>
      <w:pPr>
        <w:ind w:firstLine="359"/>
        <w:spacing w:after="0" w:line="245" w:lineRule="auto"/>
        <w:rPr>
          <w:sz w:val="20"/>
          <w:szCs w:val="20"/>
          <w:color w:val="auto"/>
        </w:rPr>
      </w:pPr>
      <w:r>
        <w:rPr>
          <w:rFonts w:ascii="Arial" w:cs="Arial" w:eastAsia="Arial" w:hAnsi="Arial"/>
          <w:sz w:val="20"/>
          <w:szCs w:val="20"/>
          <w:color w:val="auto"/>
        </w:rPr>
        <w:t>The manufacturing, marketing, sale, promotion and distribution of AbbVie’s products are subject to comprehensive government regulation. Government regulation by various national, regional, federal, state and local agencies, both in the United States and other countries, addresses (among other matters) inspection of, and controls over, research and laboratory procedures, clinical investigations, product approvals and manufacturing, labeling, packaging, marketing and promotion, pricing and reimbursement, sampling, distribution, quality control, post-marketing surveillance, record keeping, storage and disposal practices. AbbVie’s operations are also affected by trade regulations in many countries that limit the import of raw materials and finished products and by laws and regulations that seek to prevent corruption and bribery in the marketplace (including the United States Foreign Corrupt Practices Act and the United Kingdom Bribery Act, which provide guidance on corporate interactions with government officials) and require safeguards for the protection of personal data. In addition, AbbVie is subject to laws and regulations pertaining to health care fraud and abuse, including state and federal anti-kickback and false claims laws in the United States. Prescription drug manufacturers such as AbbVie are also subject to taxes, as well as application, product, user and other fees.</w:t>
      </w:r>
    </w:p>
    <w:p>
      <w:pPr>
        <w:spacing w:after="0" w:line="122"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Compliance with these laws and regulations is costly and materially affects AbbVie’s business. Among other effects, health care regulations substantially increase the time, difficulty and costs incurred in obtaining and maintaining approval to market newly developed and existing products. AbbVie expects compliance with these regulations to continue to require significant technical expertise and capital investment to ensure compliance. Failure to comply can delay the release of a new product or result in regulatory and enforcement actions, the seizure or recall of a product, the suspension or revocation of the authority necessary for a product’s production and sale and other civil or criminal sanctions, including fines and penalties.</w:t>
      </w:r>
    </w:p>
    <w:p>
      <w:pPr>
        <w:spacing w:after="0" w:line="122" w:lineRule="exact"/>
        <w:rPr>
          <w:sz w:val="20"/>
          <w:szCs w:val="20"/>
          <w:color w:val="auto"/>
        </w:rPr>
      </w:pPr>
    </w:p>
    <w:p>
      <w:pPr>
        <w:ind w:firstLine="359"/>
        <w:spacing w:after="0" w:line="248" w:lineRule="auto"/>
        <w:rPr>
          <w:sz w:val="20"/>
          <w:szCs w:val="20"/>
          <w:color w:val="auto"/>
        </w:rPr>
      </w:pPr>
      <w:r>
        <w:rPr>
          <w:rFonts w:ascii="Arial" w:cs="Arial" w:eastAsia="Arial" w:hAnsi="Arial"/>
          <w:sz w:val="20"/>
          <w:szCs w:val="20"/>
          <w:color w:val="auto"/>
        </w:rPr>
        <w:t>In addition to regulatory initiatives, AbbVie’s business can be affected by ongoing studies of the utilization, safety, efficacy and outcomes of health care products and their components that are regularly conducted by industry participants, government agencies and others. These studies can lead to updates to the data regarding utilization, safety and efficacy of previously marketed products. In some cases, these studies have resulted, and may in the future result, in the discontinuance of, or limitations on, marketing of such products domestically or worldwide, and may give rise to claims for damages from persons who believe they have been injured as a result of their use.</w:t>
      </w:r>
    </w:p>
    <w:p>
      <w:pPr>
        <w:spacing w:after="0" w:line="125"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Access to human health care products continues to be a subject of oversight, investigation and action by governmental agencies, legislative bodies and private organizations in the United States and other countries. A major focus is cost containment. Efforts to reduce health care costs are also being made in the private sector, notably by health care payers and providers, which have instituted various cost reduction and containment measures. AbbVie expects insurers and providers to continue attempts to reduce the cost of health care products. Outside the United States, many countries control the price of health care products directly or indirectly, through reimbursement, payment, pricing, coverage limitations, or compulsory licensing. Political and budgetary pressures in the United States and in other countries may also heighten the scope and severity of pricing pressures on AbbVie’s products for the foreseeable future.</w:t>
      </w:r>
    </w:p>
    <w:p>
      <w:pPr>
        <w:spacing w:after="0" w:line="126" w:lineRule="exact"/>
        <w:rPr>
          <w:sz w:val="20"/>
          <w:szCs w:val="20"/>
          <w:color w:val="auto"/>
        </w:rPr>
      </w:pPr>
    </w:p>
    <w:p>
      <w:pPr>
        <w:jc w:val="both"/>
        <w:ind w:right="20" w:firstLine="359"/>
        <w:spacing w:after="0" w:line="250" w:lineRule="auto"/>
        <w:rPr>
          <w:sz w:val="20"/>
          <w:szCs w:val="20"/>
          <w:color w:val="auto"/>
        </w:rPr>
      </w:pPr>
      <w:r>
        <w:rPr>
          <w:rFonts w:ascii="Arial" w:cs="Arial" w:eastAsia="Arial" w:hAnsi="Arial"/>
          <w:sz w:val="20"/>
          <w:szCs w:val="20"/>
          <w:b w:val="1"/>
          <w:bCs w:val="1"/>
          <w:i w:val="1"/>
          <w:iCs w:val="1"/>
          <w:color w:val="000039"/>
        </w:rPr>
        <w:t xml:space="preserve">United States. </w:t>
      </w:r>
      <w:r>
        <w:rPr>
          <w:rFonts w:ascii="Arial" w:cs="Arial" w:eastAsia="Arial" w:hAnsi="Arial"/>
          <w:sz w:val="20"/>
          <w:szCs w:val="20"/>
          <w:color w:val="000000"/>
        </w:rPr>
        <w:t>Specifically, U.S. federal laws require pharmaceutical manufacturers to pay certain</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statutorily-prescribed rebates to state Medicaid programs on prescription drugs reimbursed under state Medicaid plans and the efforts by states to seek additional rebates may affect AbbVie’s business.</w:t>
      </w:r>
    </w:p>
    <w:p>
      <w:pPr>
        <w:spacing w:after="0" w:line="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Similarly, the Veterans Health Care Act of 1992, as a prerequisite to participation in Medicaid and other federal health care programs, requires that manufacturers extend additional discounts on pharmaceutical products to various federal agencies, including the United States Department of Veterans Affairs, Department of Defense and Public Health Service entities and institutions. In addition, recent legislative changes would require similarly discounted prices to be offered to TRICARE program beneficiaries. The Veterans Health Care Act of 1992 also established the 340B drug discount program, which requires pharmaceutical manufacturers to provide products at reduced prices to various designated health care entities and facilities.</w:t>
      </w:r>
    </w:p>
    <w:p>
      <w:pPr>
        <w:spacing w:after="0" w:line="125" w:lineRule="exact"/>
        <w:rPr>
          <w:sz w:val="20"/>
          <w:szCs w:val="20"/>
          <w:color w:val="auto"/>
        </w:rPr>
      </w:pPr>
    </w:p>
    <w:p>
      <w:pPr>
        <w:ind w:right="80" w:firstLine="359"/>
        <w:spacing w:after="0" w:line="264" w:lineRule="auto"/>
        <w:rPr>
          <w:sz w:val="20"/>
          <w:szCs w:val="20"/>
          <w:color w:val="auto"/>
        </w:rPr>
      </w:pPr>
      <w:r>
        <w:rPr>
          <w:rFonts w:ascii="Arial" w:cs="Arial" w:eastAsia="Arial" w:hAnsi="Arial"/>
          <w:sz w:val="20"/>
          <w:szCs w:val="20"/>
          <w:color w:val="auto"/>
        </w:rPr>
        <w:t>In the United States, most states also have generic substitution legislation requiring or permitting a dispensing pharmacist to substitute a different manufacturer’s generic version of a pharmaceutical</w:t>
      </w:r>
    </w:p>
    <w:p>
      <w:pPr>
        <w:sectPr>
          <w:pgSz w:w="11880" w:h="15480" w:orient="portrait"/>
          <w:cols w:equalWidth="0" w:num="1">
            <w:col w:w="9100"/>
          </w:cols>
          <w:pgMar w:left="1400" w:top="1028" w:right="1380" w:bottom="87" w:gutter="0" w:footer="0" w:header="0"/>
        </w:sectPr>
      </w:pPr>
    </w:p>
    <w:p>
      <w:pPr>
        <w:spacing w:after="0" w:line="23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11</w:t>
      </w:r>
    </w:p>
    <w:p>
      <w:pPr>
        <w:sectPr>
          <w:pgSz w:w="11880" w:h="15480" w:orient="portrait"/>
          <w:cols w:equalWidth="0" w:num="1">
            <w:col w:w="9100"/>
          </w:cols>
          <w:pgMar w:left="1400" w:top="1028" w:right="1380" w:bottom="87" w:gutter="0" w:footer="0" w:header="0"/>
          <w:type w:val="continuous"/>
        </w:sectPr>
      </w:pPr>
    </w:p>
    <w:bookmarkStart w:id="17" w:name="page18"/>
    <w:bookmarkEnd w:id="17"/>
    <w:p>
      <w:pPr>
        <w:spacing w:after="0" w:line="258" w:lineRule="auto"/>
        <w:rPr>
          <w:sz w:val="20"/>
          <w:szCs w:val="20"/>
          <w:color w:val="auto"/>
        </w:rPr>
      </w:pPr>
      <w:r>
        <w:rPr>
          <w:rFonts w:ascii="Arial" w:cs="Arial" w:eastAsia="Arial" w:hAnsi="Arial"/>
          <w:sz w:val="20"/>
          <w:szCs w:val="20"/>
          <w:color w:val="auto"/>
        </w:rPr>
        <w:t>product for the one prescribed. In addition, the federal government follows a diagnosis-related group (DRG) payment system for certain institutional services provided under Medicare or Medicaid and has implemented a prospective payment system (PPS) for services delivered in hospital outpatient, nursing 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Medicare reimburses Part B drugs based on average sales price plus a certain percentage to account for physician administration costs, which have been reduced in the hospital outpatient setting. Medicare enters into contracts with private plans to negotiate prices for most patient-administered medicine delivered under Part D.</w:t>
      </w:r>
    </w:p>
    <w:p>
      <w:pPr>
        <w:spacing w:after="0" w:line="122" w:lineRule="exact"/>
        <w:rPr>
          <w:sz w:val="20"/>
          <w:szCs w:val="20"/>
          <w:color w:val="auto"/>
        </w:rPr>
      </w:pPr>
    </w:p>
    <w:p>
      <w:pPr>
        <w:ind w:right="60" w:firstLine="359"/>
        <w:spacing w:after="0" w:line="260" w:lineRule="auto"/>
        <w:rPr>
          <w:sz w:val="20"/>
          <w:szCs w:val="20"/>
          <w:color w:val="auto"/>
        </w:rPr>
      </w:pPr>
      <w:r>
        <w:rPr>
          <w:rFonts w:ascii="Arial" w:cs="Arial" w:eastAsia="Arial" w:hAnsi="Arial"/>
          <w:sz w:val="20"/>
          <w:szCs w:val="20"/>
          <w:color w:val="auto"/>
        </w:rPr>
        <w:t>Under the Patient Protection and Affordable Care Act and the Health Care and Education Reconciliation Act (together, the Affordable Care Act), AbbVie pays a fee related to its pharmaceuticals sales to government programs. In addition, through the end of 2024 AbbVie provided a discount of 70% for branded prescription drugs sold to patients who fell into the Medicare Part D coverage gap, or “donut hole.”</w:t>
      </w:r>
    </w:p>
    <w:p>
      <w:pPr>
        <w:spacing w:after="0" w:line="121" w:lineRule="exact"/>
        <w:rPr>
          <w:sz w:val="20"/>
          <w:szCs w:val="20"/>
          <w:color w:val="auto"/>
        </w:rPr>
      </w:pPr>
    </w:p>
    <w:p>
      <w:pPr>
        <w:ind w:firstLine="359"/>
        <w:spacing w:after="0" w:line="258" w:lineRule="auto"/>
        <w:rPr>
          <w:sz w:val="20"/>
          <w:szCs w:val="20"/>
          <w:color w:val="auto"/>
        </w:rPr>
      </w:pPr>
      <w:r>
        <w:rPr>
          <w:rFonts w:ascii="Arial" w:cs="Arial" w:eastAsia="Arial" w:hAnsi="Arial"/>
          <w:sz w:val="20"/>
          <w:szCs w:val="20"/>
          <w:color w:val="auto"/>
        </w:rPr>
        <w:t>The Affordable Care Act also includes provisions known as the Physician Payments Sunshine Act, which require manufacturers of drugs and biologics covered under Medicare and Medicaid to record any transfers of value to physicians and teaching hospitals and to report this data to the Centers for Medicare and Medicaid Services (CMS) for subsequent public disclosure. Similar reporting requirements have also been enacted on the state level in the United States, and an increasing number of countries worldwide either have adopted or are considering similar laws requiring disclosure of interactions with health care professionals. Failure to report appropriate data may result in civil or criminal fines and/or penalties.</w:t>
      </w:r>
    </w:p>
    <w:p>
      <w:pPr>
        <w:spacing w:after="0" w:line="126" w:lineRule="exact"/>
        <w:rPr>
          <w:sz w:val="20"/>
          <w:szCs w:val="20"/>
          <w:color w:val="auto"/>
        </w:rPr>
      </w:pPr>
    </w:p>
    <w:p>
      <w:pPr>
        <w:ind w:firstLine="359"/>
        <w:spacing w:after="0" w:line="270" w:lineRule="auto"/>
        <w:rPr>
          <w:sz w:val="20"/>
          <w:szCs w:val="20"/>
          <w:color w:val="auto"/>
        </w:rPr>
      </w:pPr>
      <w:r>
        <w:rPr>
          <w:rFonts w:ascii="Arial" w:cs="Arial" w:eastAsia="Arial" w:hAnsi="Arial"/>
          <w:sz w:val="19"/>
          <w:szCs w:val="19"/>
          <w:color w:val="auto"/>
        </w:rPr>
        <w:t>The Inflation Reduction Act of 2022 (IRA) requires: (i) the government to set prices for select high expenditure Medicare Part D drugs (prices effective beginning in 2026) and Part B drugs (prices effective beginning in 2028) that are more than nine years (for small-molecule drugs) or 13 years (for biological products) from their FDA approval, (ii) manufacturers to pay a rebate for Medicare Part B and Part D drugs when prices for those drugs increase faster than inflation beginning in 2022 for Part D and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2023 for Part B and (iii) a Medicare Part D redesign replacing the current coverage gap provisions and establishing a $2,000 cap for out-of-pocket costs for Medicare beneficiaries beginning in 2025, with manufacturers being responsible for 10% of costs up to the $2,000 cap and 20% after that cap is reached. In August 2023, the U.S. Department of Health and Human Services (HHS), through CMS, selected Imbruvica as one of 10 medicines subject to government-set prices in Medicare Part D beginning January 1, 2026, and in January 2025, selected Vraylar and Linzess as two of 15 medicines subject to government-set prices in Medicare Part D beginning January 1, 2027. In January 2026, Botox was selected as one of 15 medicines subject to government-set prices in Medicare Parts B and D beginning January 1, 2028. It is possible that more of our products, including products that generate substantial revenues, could be selected in future years, which could, among other things, accelerate revenue erosion prior to expiration of intellectual property protections. The effect of reducing prices and reimbursement could significantly impact revenues for certain of our products.</w:t>
      </w:r>
    </w:p>
    <w:p>
      <w:pPr>
        <w:spacing w:after="0" w:line="124"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b w:val="1"/>
          <w:bCs w:val="1"/>
          <w:i w:val="1"/>
          <w:iCs w:val="1"/>
          <w:color w:val="000039"/>
        </w:rPr>
        <w:t xml:space="preserve">European Union. </w:t>
      </w:r>
      <w:r>
        <w:rPr>
          <w:rFonts w:ascii="Arial" w:cs="Arial" w:eastAsia="Arial" w:hAnsi="Arial"/>
          <w:sz w:val="20"/>
          <w:szCs w:val="20"/>
          <w:color w:val="000000"/>
        </w:rPr>
        <w:t>The European Union has adopted directives and other legislation governing</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labeling, advertising, distribution, supply, pharmacovigilance and marketing of pharmaceutical products. Such legislation provides mandatory standards throughout the European Union and permits member states to supplement these standards with additional regulations. European governments also regulate pharmaceutical product prices through their control of national health care systems that fund a large part of the cost of such products to consumers. As a result, patients are unlikely to use a pharmaceutical product that is not reimbursed by the government. In many European countries, the government either regulates the pricing of a new product at launch or subsequent launch through direct price controls or reference pricing. In recent years, many countries have also imposed new or additional cost containment measures on pharmaceutical products. Differences between national pricing regimes create price differentials within the European Union that can lead to significant parallel trade in pharmaceutical products.</w:t>
      </w:r>
    </w:p>
    <w:p>
      <w:pPr>
        <w:sectPr>
          <w:pgSz w:w="11880" w:h="15480" w:orient="portrait"/>
          <w:cols w:equalWidth="0" w:num="1">
            <w:col w:w="9100"/>
          </w:cols>
          <w:pgMar w:left="1400" w:top="1030" w:right="1380" w:bottom="75"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sz w:val="1"/>
          <w:szCs w:val="1"/>
          <w:color w:val="auto"/>
        </w:rPr>
        <w:drawing>
          <wp:inline distT="0" distB="0" distL="0" distR="0">
            <wp:extent cx="615950"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18" w:name="page19"/>
    <w:bookmarkEnd w:id="18"/>
    <w:p>
      <w:pPr>
        <w:ind w:firstLine="359"/>
        <w:spacing w:after="0" w:line="251" w:lineRule="auto"/>
        <w:rPr>
          <w:sz w:val="20"/>
          <w:szCs w:val="20"/>
          <w:color w:val="auto"/>
        </w:rPr>
      </w:pPr>
      <w:r>
        <w:rPr>
          <w:rFonts w:ascii="Arial" w:cs="Arial" w:eastAsia="Arial" w:hAnsi="Arial"/>
          <w:sz w:val="20"/>
          <w:szCs w:val="20"/>
          <w:color w:val="auto"/>
        </w:rPr>
        <w:t>Most governments also promote generic substitution by mandating or permitting a pharmacist to substitute a different manufacturer’s generic version of a pharmaceutical product for the one prescribed and by permitting or mandating that health care professionals prescribe generic versions in certain circumstances. Many governments are also following a similar path for biosimilar therapies. In addition, governments use reimbursement lists to limit the pharmaceutical products that are eligible for reimbursement by national health care systems.</w:t>
      </w:r>
    </w:p>
    <w:p>
      <w:pPr>
        <w:spacing w:after="0" w:line="119"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b w:val="1"/>
          <w:bCs w:val="1"/>
          <w:i w:val="1"/>
          <w:iCs w:val="1"/>
          <w:color w:val="000039"/>
        </w:rPr>
        <w:t xml:space="preserve">Japan. </w:t>
      </w:r>
      <w:r>
        <w:rPr>
          <w:rFonts w:ascii="Arial" w:cs="Arial" w:eastAsia="Arial" w:hAnsi="Arial"/>
          <w:sz w:val="20"/>
          <w:szCs w:val="20"/>
          <w:color w:val="000000"/>
        </w:rPr>
        <w:t>In Japan, the National Health Insurance system maintains a Drug Price List specifying</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which pharmaceutical products are eligible for reimbursement and the Ministry of Health, Labour and Welfare sets the prices of the products on this list.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118" w:lineRule="exact"/>
        <w:rPr>
          <w:sz w:val="20"/>
          <w:szCs w:val="20"/>
          <w:color w:val="auto"/>
        </w:rPr>
      </w:pPr>
    </w:p>
    <w:p>
      <w:pPr>
        <w:ind w:right="100" w:firstLine="359"/>
        <w:spacing w:after="0" w:line="258" w:lineRule="auto"/>
        <w:rPr>
          <w:sz w:val="20"/>
          <w:szCs w:val="20"/>
          <w:color w:val="auto"/>
        </w:rPr>
      </w:pPr>
      <w:r>
        <w:rPr>
          <w:rFonts w:ascii="Arial" w:cs="Arial" w:eastAsia="Arial" w:hAnsi="Arial"/>
          <w:sz w:val="20"/>
          <w:szCs w:val="20"/>
          <w:b w:val="1"/>
          <w:bCs w:val="1"/>
          <w:i w:val="1"/>
          <w:iCs w:val="1"/>
          <w:color w:val="000039"/>
        </w:rPr>
        <w:t xml:space="preserve">Emerging Markets. </w:t>
      </w:r>
      <w:r>
        <w:rPr>
          <w:rFonts w:ascii="Arial" w:cs="Arial" w:eastAsia="Arial" w:hAnsi="Arial"/>
          <w:sz w:val="20"/>
          <w:szCs w:val="20"/>
          <w:color w:val="000000"/>
        </w:rPr>
        <w:t>Many emerging markets take steps to reduce pharmaceutical product prices,</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in some cases through direct price controls and in others through the promotion of generic/biosimilar alternatives to branded pharmaceuticals.</w:t>
      </w:r>
    </w:p>
    <w:p>
      <w:pPr>
        <w:spacing w:after="0" w:line="112" w:lineRule="exact"/>
        <w:rPr>
          <w:sz w:val="20"/>
          <w:szCs w:val="20"/>
          <w:color w:val="auto"/>
        </w:rPr>
      </w:pPr>
    </w:p>
    <w:p>
      <w:pPr>
        <w:ind w:right="160" w:firstLine="359"/>
        <w:spacing w:after="0" w:line="252" w:lineRule="auto"/>
        <w:rPr>
          <w:sz w:val="20"/>
          <w:szCs w:val="20"/>
          <w:color w:val="auto"/>
        </w:rPr>
      </w:pPr>
      <w:r>
        <w:rPr>
          <w:rFonts w:ascii="Arial" w:cs="Arial" w:eastAsia="Arial" w:hAnsi="Arial"/>
          <w:sz w:val="20"/>
          <w:szCs w:val="20"/>
          <w:color w:val="auto"/>
        </w:rPr>
        <w:t>Since AbbVie markets its products worldwide, certain products of a local nature and variations of product lines must also meet other local regulatory requirements. Certain additional risks are inherent in conducting business outside the United States, including price and currency exchange controls, changes in currency exchange rates, limitations on participation in local enterprises, expropriation, nationalization and other governmental action.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Regulation—Medical Devices</w:t>
      </w:r>
    </w:p>
    <w:p>
      <w:pPr>
        <w:spacing w:after="0" w:line="131"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Medical devices are subject to regulation by the FDA, state agencies and foreign government health authorities. FDA regulations, as well as various U.S. federal and state laws, govern the development, clinical testing, manufacturing, labeling, record keeping and marketing of medical device products agencies in the United States. AbbVie’s medical device product candidates, including AbbVie’s breast implants, must undergo rigorous clinical testing and an extensive government regulatory clearance or approval process prior to sale in the United States and other countries. The lengthy process of clinical development and submissions for clearance or approval, and the continuing need for compliance with applicable laws and regulations, require the expenditure of substantial resources. Regulatory clearance or approval, when and if obtained, may be limited in scope, and may significantly limit the indicated uses for which a product may be marketed. Cleared or approved products and their manufacturers are subject to ongoing review and discovery of previously unknown problems with products may result in restrictions on their manufacture, sale and/or use or require their withdrawal from the market.</w:t>
      </w:r>
    </w:p>
    <w:p>
      <w:pPr>
        <w:spacing w:after="0" w:line="123" w:lineRule="exact"/>
        <w:rPr>
          <w:sz w:val="20"/>
          <w:szCs w:val="20"/>
          <w:color w:val="auto"/>
        </w:rPr>
      </w:pPr>
    </w:p>
    <w:p>
      <w:pPr>
        <w:ind w:firstLine="359"/>
        <w:spacing w:after="0" w:line="263" w:lineRule="auto"/>
        <w:rPr>
          <w:sz w:val="20"/>
          <w:szCs w:val="20"/>
          <w:color w:val="auto"/>
        </w:rPr>
      </w:pPr>
      <w:r>
        <w:rPr>
          <w:rFonts w:ascii="Arial" w:cs="Arial" w:eastAsia="Arial" w:hAnsi="Arial"/>
          <w:sz w:val="19"/>
          <w:szCs w:val="19"/>
          <w:b w:val="1"/>
          <w:bCs w:val="1"/>
          <w:i w:val="1"/>
          <w:iCs w:val="1"/>
          <w:color w:val="000039"/>
        </w:rPr>
        <w:t xml:space="preserve">United States. </w:t>
      </w:r>
      <w:r>
        <w:rPr>
          <w:rFonts w:ascii="Arial" w:cs="Arial" w:eastAsia="Arial" w:hAnsi="Arial"/>
          <w:sz w:val="19"/>
          <w:szCs w:val="19"/>
          <w:color w:val="000000"/>
        </w:rPr>
        <w:t>AbbVie’s medical device products are subject to extensive regulation by the FDA in</w:t>
      </w:r>
      <w:r>
        <w:rPr>
          <w:rFonts w:ascii="Arial" w:cs="Arial" w:eastAsia="Arial" w:hAnsi="Arial"/>
          <w:sz w:val="19"/>
          <w:szCs w:val="19"/>
          <w:b w:val="1"/>
          <w:bCs w:val="1"/>
          <w:i w:val="1"/>
          <w:iCs w:val="1"/>
          <w:color w:val="000039"/>
        </w:rPr>
        <w:t xml:space="preserve"> </w:t>
      </w:r>
      <w:r>
        <w:rPr>
          <w:rFonts w:ascii="Arial" w:cs="Arial" w:eastAsia="Arial" w:hAnsi="Arial"/>
          <w:sz w:val="19"/>
          <w:szCs w:val="19"/>
          <w:color w:val="000000"/>
        </w:rPr>
        <w:t>the United States. Unless an exemption applies, each medical device AbbVie markets in the United States must have a 510(k) clearance or a Premarket Approval Application (PMA) in accordance with the FFDCA and its implementing regulations. The FDA classifies medical devices into one of three classes, depending on the degree of risk associated with each medical device and the extent of controls that are needed to ensure safety and effectiveness. Devices deemed to pose a lower risk are placed in either Class I or Class II, and devices deemed by the FDA to pose the greatest risk, such as life-sustaining, life-supporting or implantable devices, or a device deemed to be not substantially equivalent to a previously cleared 510(k) device, are placed in Class III. In general, a Class III device cannot be marketed in the United States unless the FDA approves the device after submission of a PMA, and any changes to the device subsequent to initial FDA approval must also be reviewed and approved by the FDA. The majority of AbbVie’s medical device products, including AbbVie’s breast implants, are regulated as Class III medical devices. A Class III device may have significant additional obligations imposed in its conditions of approval, and the time in which it takes to obtain approval can be long. Compliance with regulatory requirements is assured through periodic, unannounced facility inspections by the FDA and other regulatory authorities, and these inspections may include the manufacturing facilities of AbbVie’s subcontractors or other third-party manufacturers. Failure to comply with applicable regulatory</w:t>
      </w:r>
    </w:p>
    <w:p>
      <w:pPr>
        <w:sectPr>
          <w:pgSz w:w="11880" w:h="15480" w:orient="portrait"/>
          <w:cols w:equalWidth="0" w:num="1">
            <w:col w:w="9100"/>
          </w:cols>
          <w:pgMar w:left="1400" w:top="1030" w:right="1380" w:bottom="87" w:gutter="0" w:footer="0" w:header="0"/>
        </w:sectPr>
      </w:pPr>
    </w:p>
    <w:p>
      <w:pPr>
        <w:spacing w:after="0" w:line="235"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13</w:t>
      </w:r>
    </w:p>
    <w:p>
      <w:pPr>
        <w:sectPr>
          <w:pgSz w:w="11880" w:h="15480" w:orient="portrait"/>
          <w:cols w:equalWidth="0" w:num="1">
            <w:col w:w="9100"/>
          </w:cols>
          <w:pgMar w:left="1400" w:top="1030" w:right="1380" w:bottom="87" w:gutter="0" w:footer="0" w:header="0"/>
          <w:type w:val="continuous"/>
        </w:sectPr>
      </w:pPr>
    </w:p>
    <w:bookmarkStart w:id="19" w:name="page20"/>
    <w:bookmarkEnd w:id="19"/>
    <w:p>
      <w:pPr>
        <w:ind w:right="160"/>
        <w:spacing w:after="0" w:line="258" w:lineRule="auto"/>
        <w:rPr>
          <w:sz w:val="20"/>
          <w:szCs w:val="20"/>
          <w:color w:val="auto"/>
        </w:rPr>
      </w:pPr>
      <w:r>
        <w:rPr>
          <w:rFonts w:ascii="Arial" w:cs="Arial" w:eastAsia="Arial" w:hAnsi="Arial"/>
          <w:sz w:val="20"/>
          <w:szCs w:val="20"/>
          <w:color w:val="auto"/>
        </w:rPr>
        <w:t>requirements can result in enforcement action by the FDA, which may include any of the following sanctions: warning letters or untitled letters; fines, injunctions and civil penalties; recall or seizure of AbbVie’ products; operating restrictions, partial suspension or total shutdown of production; refusing AbbVie’ request for 510(k) clearance or PMA approval of new products; withdrawing 510(k) clearance or PMA approvals that are already granted; and criminal prosecution.</w:t>
      </w:r>
    </w:p>
    <w:p>
      <w:pPr>
        <w:spacing w:after="0" w:line="121" w:lineRule="exact"/>
        <w:rPr>
          <w:sz w:val="20"/>
          <w:szCs w:val="20"/>
          <w:color w:val="auto"/>
        </w:rPr>
      </w:pPr>
    </w:p>
    <w:p>
      <w:pPr>
        <w:ind w:firstLine="359"/>
        <w:spacing w:after="0" w:line="257" w:lineRule="auto"/>
        <w:rPr>
          <w:sz w:val="20"/>
          <w:szCs w:val="20"/>
          <w:color w:val="auto"/>
        </w:rPr>
      </w:pPr>
      <w:r>
        <w:rPr>
          <w:rFonts w:ascii="Arial" w:cs="Arial" w:eastAsia="Arial" w:hAnsi="Arial"/>
          <w:sz w:val="20"/>
          <w:szCs w:val="20"/>
          <w:color w:val="auto"/>
        </w:rPr>
        <w:t>A clinical trial is almost always required to support a PMA application and is sometimes required for a 510(k) premarket notification. Clinical trials generally require submission of an application for an investigational device exemption (IDE), which must be supported by appropriate data, such as animal and laboratory testing results, showing that it is safe to test the device in humans and that the testing protocol is scientifically sound. A study sponsor must obtain approval for its IDE from the FDA, and it must also obtain approval of its study from the Institutional Review Board overseeing the trial. The results of clinical testing may not be sufficient to obtain approval of the investigational device.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Once a device is approved, the manufacture and distribution of the device remains subject to</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continuing regulation by the FDA, including Quality System Regulation requirements, which involve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design, testing, control, documentation and other quality assurance procedures during the manufacturing</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process. Medical device manufacturers and their subcontractors are required to register their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establishments and list their manufactured devices with the FDA and are subject to periodic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unannounced inspections by the FDA and certain state agencies for compliance with regulatory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requirements. Manufacturers must also report to the FDA if their devices may have caused or contributed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to a death or serious injury or malfunctioned in a way that could likely cause or contribute to a death</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or serious injury, or if the manufacturer conducts a field correction or product recall or removal to reduce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 risk to health posed by a device or to remedy a violation of the FFDCA that may present a health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risk. Further, the FDA continues to regulate device labeling and prohibits the promotion of products for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unapproved or “off-label” uses along with other labeling restrictions.</w:t>
      </w:r>
    </w:p>
    <w:p>
      <w:pPr>
        <w:spacing w:after="0" w:line="142" w:lineRule="exact"/>
        <w:rPr>
          <w:sz w:val="20"/>
          <w:szCs w:val="20"/>
          <w:color w:val="auto"/>
        </w:rPr>
      </w:pPr>
    </w:p>
    <w:p>
      <w:pPr>
        <w:ind w:firstLine="359"/>
        <w:spacing w:after="0" w:line="255" w:lineRule="auto"/>
        <w:rPr>
          <w:sz w:val="20"/>
          <w:szCs w:val="20"/>
          <w:color w:val="auto"/>
        </w:rPr>
      </w:pPr>
      <w:r>
        <w:rPr>
          <w:rFonts w:ascii="Arial" w:cs="Arial" w:eastAsia="Arial" w:hAnsi="Arial"/>
          <w:sz w:val="20"/>
          <w:szCs w:val="20"/>
          <w:b w:val="1"/>
          <w:bCs w:val="1"/>
          <w:i w:val="1"/>
          <w:iCs w:val="1"/>
          <w:color w:val="000039"/>
        </w:rPr>
        <w:t xml:space="preserve">European Union. </w:t>
      </w:r>
      <w:r>
        <w:rPr>
          <w:rFonts w:ascii="Arial" w:cs="Arial" w:eastAsia="Arial" w:hAnsi="Arial"/>
          <w:sz w:val="20"/>
          <w:szCs w:val="20"/>
          <w:color w:val="000000"/>
        </w:rPr>
        <w:t>Medical device products that are marketed in the European Union must comply</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with the requirements of the Medical Device Regulation (MDR), which came into effect in May 2021. The MDR provides for regulatory oversight with respect to the design, manufacture, clinical trials, labeling and adverse event reporting for medical devices to ensure that medical devices marketed in the European Union are safe and effective for their intended uses. Medical devices that comply with the MDR are entitled to bear a Conformité Européenne marking evidencing such compliance and may be marketed in the European Union. Failure to comply with these domestic and international regulatory requirements could affect AbbVie’s ability to market and sell AbbVie’s products in these countries.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Environmental Matters</w:t>
      </w:r>
    </w:p>
    <w:p>
      <w:pPr>
        <w:spacing w:after="0" w:line="131" w:lineRule="exact"/>
        <w:rPr>
          <w:sz w:val="20"/>
          <w:szCs w:val="20"/>
          <w:color w:val="auto"/>
        </w:rPr>
      </w:pPr>
    </w:p>
    <w:p>
      <w:pPr>
        <w:ind w:firstLine="359"/>
        <w:spacing w:after="0" w:line="255" w:lineRule="auto"/>
        <w:rPr>
          <w:sz w:val="20"/>
          <w:szCs w:val="20"/>
          <w:color w:val="auto"/>
        </w:rPr>
      </w:pPr>
      <w:r>
        <w:rPr>
          <w:rFonts w:ascii="Arial" w:cs="Arial" w:eastAsia="Arial" w:hAnsi="Arial"/>
          <w:sz w:val="20"/>
          <w:szCs w:val="20"/>
          <w:color w:val="auto"/>
        </w:rPr>
        <w:t>AbbVie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AbbVie’s capital expenditures for pollution control in 2025 were approximately $17 million and operating expenditures were approximately $44 million. In 2026, capital expenditures for pollution control are estimated to be approximately $21 million and operating expenditures are estimated to be approximately $46 million.</w:t>
      </w:r>
    </w:p>
    <w:p>
      <w:pPr>
        <w:spacing w:after="0" w:line="120" w:lineRule="exact"/>
        <w:rPr>
          <w:sz w:val="20"/>
          <w:szCs w:val="20"/>
          <w:color w:val="auto"/>
        </w:rPr>
      </w:pPr>
    </w:p>
    <w:p>
      <w:pPr>
        <w:ind w:firstLine="359"/>
        <w:spacing w:after="0" w:line="268" w:lineRule="auto"/>
        <w:rPr>
          <w:sz w:val="20"/>
          <w:szCs w:val="20"/>
          <w:color w:val="auto"/>
        </w:rPr>
      </w:pPr>
      <w:r>
        <w:rPr>
          <w:rFonts w:ascii="Arial" w:cs="Arial" w:eastAsia="Arial" w:hAnsi="Arial"/>
          <w:sz w:val="19"/>
          <w:szCs w:val="19"/>
          <w:color w:val="auto"/>
        </w:rPr>
        <w:t>Abbott was identified as one of many potentially responsible parties in investigations and/or remediations at several locations in the United States, including Puerto Rico, under the Comprehensive Environmental Response, Compensation and Liability Act, commonly known as Superfund. Some of these locations were transferred to AbbVie in connection with the separation and distribution, and AbbVie has become a party to these investigations and remediations. Abbott was also engaged in remediation at several other sites, some of which have been transferred to AbbVie in connection with the separation and distribution, in cooperation with the Environmental Protection Agency or similar agencies. While it is not feasible to predict with certainty the final costs related to those investigations and remediation activities, AbbVie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ectPr>
          <w:pgSz w:w="11880" w:h="15480" w:orient="portrait"/>
          <w:cols w:equalWidth="0" w:num="1">
            <w:col w:w="9100"/>
          </w:cols>
          <w:pgMar w:left="1400" w:top="1030" w:right="1380" w:bottom="75"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sz w:val="1"/>
          <w:szCs w:val="1"/>
          <w:color w:val="auto"/>
        </w:rPr>
        <w:drawing>
          <wp:inline distT="0" distB="0" distL="0" distR="0">
            <wp:extent cx="615950"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color w:val="000039"/>
        </w:rPr>
        <w:t>Employees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AbbVie employed approximately 57,000 employees in over 70 countries as of December 31, 2025.</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Outside the United States, some of AbbVie’s employees are represented by unions or works councils.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AbbVie believes that it has good relations with its employees.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Human Capital Management</w:t>
      </w:r>
    </w:p>
    <w:p>
      <w:pPr>
        <w:spacing w:after="0" w:line="131" w:lineRule="exact"/>
        <w:rPr>
          <w:sz w:val="20"/>
          <w:szCs w:val="20"/>
          <w:color w:val="auto"/>
        </w:rPr>
      </w:pPr>
    </w:p>
    <w:p>
      <w:pPr>
        <w:ind w:right="20" w:firstLine="359"/>
        <w:spacing w:after="0" w:line="246" w:lineRule="auto"/>
        <w:rPr>
          <w:sz w:val="20"/>
          <w:szCs w:val="20"/>
          <w:color w:val="auto"/>
        </w:rPr>
      </w:pPr>
      <w:r>
        <w:rPr>
          <w:rFonts w:ascii="Arial" w:cs="Arial" w:eastAsia="Arial" w:hAnsi="Arial"/>
          <w:sz w:val="20"/>
          <w:szCs w:val="20"/>
          <w:color w:val="auto"/>
        </w:rPr>
        <w:t>Attracting, retaining and providing meaningful growth and development opportunities to AbbVie’s employees is critical to the company’s success in making a remarkable impact on people’s lives around the world. AbbVie leverages numerous resources to identify and enhance strategic and leadership capability, foster employee engagement and create a culture where talent is productive and engaged. AbbVie invests in its employees through competitive compensation, benefits and employee support programs and offers best-in-class development and leadership opportunities. AbbVie has developed a deep talent base through ongoing investment in functional and leadership training and by sourcing world-class external talent, ensuring a sustainable talent pipeline.</w:t>
      </w:r>
    </w:p>
    <w:p>
      <w:pPr>
        <w:spacing w:after="0" w:line="120" w:lineRule="exact"/>
        <w:rPr>
          <w:sz w:val="20"/>
          <w:szCs w:val="20"/>
          <w:color w:val="auto"/>
        </w:rPr>
      </w:pPr>
    </w:p>
    <w:p>
      <w:pPr>
        <w:ind w:right="20" w:firstLine="359"/>
        <w:spacing w:after="0" w:line="246" w:lineRule="auto"/>
        <w:rPr>
          <w:sz w:val="20"/>
          <w:szCs w:val="20"/>
          <w:color w:val="auto"/>
        </w:rPr>
      </w:pPr>
      <w:r>
        <w:rPr>
          <w:rFonts w:ascii="Arial" w:cs="Arial" w:eastAsia="Arial" w:hAnsi="Arial"/>
          <w:sz w:val="20"/>
          <w:szCs w:val="20"/>
          <w:b w:val="1"/>
          <w:bCs w:val="1"/>
          <w:i w:val="1"/>
          <w:iCs w:val="1"/>
          <w:color w:val="000039"/>
        </w:rPr>
        <w:t xml:space="preserve">Attracting and Developing Talent. </w:t>
      </w:r>
      <w:r>
        <w:rPr>
          <w:rFonts w:ascii="Arial" w:cs="Arial" w:eastAsia="Arial" w:hAnsi="Arial"/>
          <w:sz w:val="20"/>
          <w:szCs w:val="20"/>
          <w:color w:val="000000"/>
        </w:rPr>
        <w:t>Attracting and developing high-performing talent is essential</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to AbbVie’s continued success. AbbVie implements detailed talent attraction strategies, with an emphasis on STEM skill sets and other critical skill sets, including drug discovery, clinical development, market access and business development. AbbVie seeks candidates with diverse backgrounds, experiences, and perspectives to enhance innovation and problem-solving. AbbVie also invests in competitive compensation and benefits programs. In addition to offering a comprehensive suite of benefits ranging from medical and dental coverage to retirement, disability and life insurance programs, AbbVie also provides health promotion programs, mental health awareness campaigns and employee assistance programs in several countries, financial wellness support, on-site health screenings and immunizations in several countries and on-site fitness and rehabilitation centers. AbbVie has on-site health care clinics at certain locations, offering convenient and affordable access to quality healthcare, flu shots and vaccines. In addition, the AbbVie Employee Assistance Fund (a part of the AbbVie Foundation) supports two programs for global employees: the AbbVie Possibilities Scholarship for children of employees, which is an annual merit-based scholarship for use at accredited colleges, universities or vocational-technical schools; and the Employee Relief Program, which is financial assistance to support short term needs of employees when faced with large-scale disasters (e.g., a hurricane), individual disasters (e.g., a home fire) or financial hardship (e.g., the death of a spouse). Finally, AbbVie empowers managers and their teams with tools, tips and guidelines on effectively managing workloads and managing teams from a distance.</w:t>
      </w:r>
    </w:p>
    <w:p>
      <w:pPr>
        <w:spacing w:after="0" w:line="135" w:lineRule="exact"/>
        <w:rPr>
          <w:sz w:val="20"/>
          <w:szCs w:val="20"/>
          <w:color w:val="auto"/>
        </w:rPr>
      </w:pPr>
    </w:p>
    <w:p>
      <w:pPr>
        <w:ind w:right="380" w:firstLine="359"/>
        <w:spacing w:after="0" w:line="252" w:lineRule="auto"/>
        <w:rPr>
          <w:sz w:val="20"/>
          <w:szCs w:val="20"/>
          <w:color w:val="auto"/>
        </w:rPr>
      </w:pPr>
      <w:r>
        <w:rPr>
          <w:rFonts w:ascii="Arial" w:cs="Arial" w:eastAsia="Arial" w:hAnsi="Arial"/>
          <w:sz w:val="20"/>
          <w:szCs w:val="20"/>
          <w:color w:val="auto"/>
        </w:rPr>
        <w:t>New AbbVie employees are given a tailored onboarding experience for faster integration and to support performance. One of AbbVie’s mentorship programs allows employees to self-nominate as mentors or mentees and facilitates meaningful relationships supporting employees’ career and development goals.</w:t>
      </w:r>
    </w:p>
    <w:p>
      <w:pPr>
        <w:spacing w:after="0" w:line="116"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AbbVie also provides structured, broad-based development opportunities, focusing on high-performance skills and leadership training. AbbVie has invested significantly in equipping employees with foundational artificial intelligence (AI) skills, reflecting both the opportunities AI presents and its commitment to supporting employees as work evolves. AbbVie’s talent philosophy holds leaders accountable for building a high-performing organization, and the company provides development opportunities for all levels of leadership. AbbVie’s Learn, Develop, Perform program offers year-long, self-directed leadership education, supplemented with tools and resources, and leverages leaders as role models and teachers. In addition, a foundational success factor to AbbVie’s leadership pipeline is the company’s Professional Development Programs, which attract graduates, postgraduates and post-doctoral talent to participate in formal development programs lasting up to three years, with the objective of strengthening functional and leadership capabilities.</w:t>
      </w:r>
    </w:p>
    <w:p>
      <w:pPr>
        <w:spacing w:after="0" w:line="124" w:lineRule="exact"/>
        <w:rPr>
          <w:sz w:val="20"/>
          <w:szCs w:val="20"/>
          <w:color w:val="auto"/>
        </w:rPr>
      </w:pPr>
    </w:p>
    <w:p>
      <w:pPr>
        <w:ind w:right="60" w:firstLine="359"/>
        <w:spacing w:after="0" w:line="251" w:lineRule="auto"/>
        <w:rPr>
          <w:sz w:val="20"/>
          <w:szCs w:val="20"/>
          <w:color w:val="auto"/>
        </w:rPr>
      </w:pPr>
      <w:r>
        <w:rPr>
          <w:rFonts w:ascii="Arial" w:cs="Arial" w:eastAsia="Arial" w:hAnsi="Arial"/>
          <w:sz w:val="20"/>
          <w:szCs w:val="20"/>
          <w:b w:val="1"/>
          <w:bCs w:val="1"/>
          <w:i w:val="1"/>
          <w:iCs w:val="1"/>
          <w:color w:val="000039"/>
        </w:rPr>
        <w:t xml:space="preserve">Culture. </w:t>
      </w:r>
      <w:r>
        <w:rPr>
          <w:rFonts w:ascii="Arial" w:cs="Arial" w:eastAsia="Arial" w:hAnsi="Arial"/>
          <w:sz w:val="20"/>
          <w:szCs w:val="20"/>
          <w:color w:val="000000"/>
        </w:rPr>
        <w:t>AbbVie’s shared principles of transforming lives, acting with integrity, driving innovation,</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embracing diversity and inclusion, and serving the community form the core of the company’s culture. AbbVie articulates the behaviors associated with these values in the Ways We Work, a core set of working behaviors that emphasize how the company achieves results is equally as important as achieving them. The Ways We Work are designed to ensure that every AbbVie employee is aware of</w:t>
      </w:r>
    </w:p>
    <w:p>
      <w:pPr>
        <w:sectPr>
          <w:pgSz w:w="11880" w:h="15480" w:orient="portrait"/>
          <w:cols w:equalWidth="0" w:num="1">
            <w:col w:w="9100"/>
          </w:cols>
          <w:pgMar w:left="1400" w:top="1028" w:right="1380" w:bottom="87" w:gutter="0" w:footer="0" w:header="0"/>
        </w:sectPr>
      </w:pPr>
    </w:p>
    <w:p>
      <w:pPr>
        <w:spacing w:after="0" w:line="244"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15</w:t>
      </w:r>
    </w:p>
    <w:p>
      <w:pPr>
        <w:sectPr>
          <w:pgSz w:w="11880" w:h="15480" w:orient="portrait"/>
          <w:cols w:equalWidth="0" w:num="1">
            <w:col w:w="9100"/>
          </w:cols>
          <w:pgMar w:left="1400" w:top="1028" w:right="1380" w:bottom="87" w:gutter="0" w:footer="0" w:header="0"/>
          <w:type w:val="continuous"/>
        </w:sectPr>
      </w:pPr>
    </w:p>
    <w:bookmarkStart w:id="21" w:name="page22"/>
    <w:bookmarkEnd w:id="21"/>
    <w:p>
      <w:pPr>
        <w:spacing w:after="0" w:line="253" w:lineRule="auto"/>
        <w:rPr>
          <w:sz w:val="20"/>
          <w:szCs w:val="20"/>
          <w:color w:val="auto"/>
        </w:rPr>
      </w:pPr>
      <w:r>
        <w:rPr>
          <w:rFonts w:ascii="Arial" w:cs="Arial" w:eastAsia="Arial" w:hAnsi="Arial"/>
          <w:sz w:val="20"/>
          <w:szCs w:val="20"/>
          <w:color w:val="auto"/>
        </w:rPr>
        <w:t>the company’s cultural expectations. AbbVie integrates the Ways We Work into all talent processes, forming the basis for assessing performance, prioritizing development and ultimately rewarding employees. AbbVie believes its culture creates strong engagement, which is measured regularly through a confidential, third-party all-employee survey. Employee engagement consistently remains strong, with survey results holding steady or improving across all measured categories. AbbVie continues to be recognized among the world’s top places to work. This engagement supports AbbVie’s mission of making a remarkable impact on people’s lives.</w:t>
      </w:r>
    </w:p>
    <w:p>
      <w:pPr>
        <w:spacing w:after="0" w:line="117" w:lineRule="exact"/>
        <w:rPr>
          <w:sz w:val="20"/>
          <w:szCs w:val="20"/>
          <w:color w:val="auto"/>
        </w:rPr>
      </w:pPr>
    </w:p>
    <w:p>
      <w:pPr>
        <w:ind w:right="20" w:firstLine="359"/>
        <w:spacing w:after="0" w:line="252" w:lineRule="auto"/>
        <w:rPr>
          <w:sz w:val="20"/>
          <w:szCs w:val="20"/>
          <w:color w:val="auto"/>
        </w:rPr>
      </w:pPr>
      <w:r>
        <w:rPr>
          <w:rFonts w:ascii="Arial" w:cs="Arial" w:eastAsia="Arial" w:hAnsi="Arial"/>
          <w:sz w:val="20"/>
          <w:szCs w:val="20"/>
          <w:b w:val="1"/>
          <w:bCs w:val="1"/>
          <w:i w:val="1"/>
          <w:iCs w:val="1"/>
          <w:color w:val="000039"/>
        </w:rPr>
        <w:t xml:space="preserve">Diversity &amp; Inclusion. </w:t>
      </w:r>
      <w:r>
        <w:rPr>
          <w:rFonts w:ascii="Arial" w:cs="Arial" w:eastAsia="Arial" w:hAnsi="Arial"/>
          <w:sz w:val="20"/>
          <w:szCs w:val="20"/>
          <w:color w:val="000000"/>
        </w:rPr>
        <w:t>A cornerstone of AbbVie’s human capital management approach is to</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prioritize fostering an inclusive workforce where all employees have equal opportunity to succeed. AbbVie is committed to equal employment opportunity and non-discrimination in all aspects of employment. Further, AbbVie is committed to pay equity and conducts pay equity analyses annually. A critical component of AbbVie’s strategy is to instill an inclusive mindset in all AbbVie leaders and employees, so the company continues to realize the full value of its workforce from recruitment through retirement. AbbVie’s Employee Resource Groups also help the company nurture an inclusive culture for all by building community and creating connections.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Internet Information</w:t>
      </w:r>
    </w:p>
    <w:p>
      <w:pPr>
        <w:spacing w:after="0" w:line="131" w:lineRule="exact"/>
        <w:rPr>
          <w:sz w:val="20"/>
          <w:szCs w:val="20"/>
          <w:color w:val="auto"/>
        </w:rPr>
      </w:pPr>
    </w:p>
    <w:p>
      <w:pPr>
        <w:ind w:right="20" w:firstLine="359"/>
        <w:spacing w:after="0" w:line="254" w:lineRule="auto"/>
        <w:rPr>
          <w:sz w:val="20"/>
          <w:szCs w:val="20"/>
          <w:color w:val="auto"/>
        </w:rPr>
      </w:pPr>
      <w:r>
        <w:rPr>
          <w:rFonts w:ascii="Arial" w:cs="Arial" w:eastAsia="Arial" w:hAnsi="Arial"/>
          <w:sz w:val="20"/>
          <w:szCs w:val="20"/>
          <w:color w:val="auto"/>
        </w:rPr>
        <w:t>Copies of AbbVie’s Annual Reports on Form 10-K, Quarterly Reports on Form 10-Q, Current Reports on Form 8-K and amendments to those reports filed or furnished pursuant to Section 13(a) or 15(d) of the Securities Exchange Act of 1934 are available free of charge through AbbVie’s investor relations website (</w:t>
      </w:r>
      <w:r>
        <w:rPr>
          <w:rFonts w:ascii="Arial" w:cs="Arial" w:eastAsia="Arial" w:hAnsi="Arial"/>
          <w:sz w:val="20"/>
          <w:szCs w:val="20"/>
          <w:i w:val="1"/>
          <w:iCs w:val="1"/>
          <w:color w:val="auto"/>
        </w:rPr>
        <w:t>investors.abbvie.com</w:t>
      </w:r>
      <w:r>
        <w:rPr>
          <w:rFonts w:ascii="Arial" w:cs="Arial" w:eastAsia="Arial" w:hAnsi="Arial"/>
          <w:sz w:val="20"/>
          <w:szCs w:val="20"/>
          <w:color w:val="auto"/>
        </w:rPr>
        <w:t>) as soon as reasonably practicable after AbbVie electronically files the material with, or furnishes it to, the Securities and Exchange Commission (SEC).</w:t>
      </w:r>
    </w:p>
    <w:p>
      <w:pPr>
        <w:spacing w:after="0" w:line="120" w:lineRule="exact"/>
        <w:rPr>
          <w:sz w:val="20"/>
          <w:szCs w:val="20"/>
          <w:color w:val="auto"/>
        </w:rPr>
      </w:pPr>
    </w:p>
    <w:p>
      <w:pPr>
        <w:ind w:right="160" w:firstLine="359"/>
        <w:spacing w:after="0" w:line="256" w:lineRule="auto"/>
        <w:rPr>
          <w:sz w:val="20"/>
          <w:szCs w:val="20"/>
          <w:color w:val="auto"/>
        </w:rPr>
      </w:pPr>
      <w:r>
        <w:rPr>
          <w:rFonts w:ascii="Arial" w:cs="Arial" w:eastAsia="Arial" w:hAnsi="Arial"/>
          <w:sz w:val="20"/>
          <w:szCs w:val="20"/>
          <w:color w:val="auto"/>
        </w:rPr>
        <w:t>AbbVie’s corporate governance guidelines, outline of directorship qualifications, code of business conduct and the charters of AbbVie’s audit committee, compensation committee, nominations and governance committee and public policy and sustainability committee are all available on AbbVie’s investor relations website (</w:t>
      </w:r>
      <w:r>
        <w:rPr>
          <w:rFonts w:ascii="Arial" w:cs="Arial" w:eastAsia="Arial" w:hAnsi="Arial"/>
          <w:sz w:val="20"/>
          <w:szCs w:val="20"/>
          <w:i w:val="1"/>
          <w:iCs w:val="1"/>
          <w:color w:val="auto"/>
        </w:rPr>
        <w:t>investors.abbvie.com</w:t>
      </w:r>
      <w:r>
        <w:rPr>
          <w:rFonts w:ascii="Arial" w:cs="Arial" w:eastAsia="Arial" w:hAnsi="Arial"/>
          <w:sz w:val="20"/>
          <w:szCs w:val="20"/>
          <w:color w:val="auto"/>
        </w:rPr>
        <w:t>).</w:t>
      </w:r>
    </w:p>
    <w:p>
      <w:pPr>
        <w:sectPr>
          <w:pgSz w:w="11880" w:h="15480" w:orient="portrait"/>
          <w:cols w:equalWidth="0" w:num="1">
            <w:col w:w="9100"/>
          </w:cols>
          <w:pgMar w:left="1400" w:top="1030"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sz w:val="1"/>
          <w:szCs w:val="1"/>
          <w:color w:val="auto"/>
        </w:rPr>
        <w:drawing>
          <wp:inline distT="0" distB="0" distL="0" distR="0">
            <wp:extent cx="615950"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000039"/>
        </w:rPr>
        <w:t>ITEM 1A. RISK FACTORS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27"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i w:val="1"/>
          <w:iCs w:val="1"/>
          <w:color w:val="auto"/>
        </w:rPr>
        <w:t>You should carefully consider the following risks and other information in this Form 10-K in evaluating AbbVie and AbbVie’s common stock. Any of the following risks could materially and adversely affect AbbVie’s results of operations, financial condition or cash flows. The risk factors generally have been separated into two groups: risks related to AbbVie’s business and risks related to AbbVie’s common stock. Based on the information currently known to it, AbbVie believes that the following information identifies the most significant risk factors affecting it in each of these categories of risks. However, the risks and uncertainties AbbVie faces are not limited to those set forth in the risk factors described below and may not be in order of importance or probability of occurrence. Additional risks and uncertainties not presently known to AbbVie or that AbbVie currently believes to be immaterial may also adversely affect its business. In addition, past financial performance may not be a reliable indicator of future performance and historical trends should not be used to anticipate results or trends in future periods.</w:t>
      </w:r>
    </w:p>
    <w:p>
      <w:pPr>
        <w:spacing w:after="0" w:line="125" w:lineRule="exact"/>
        <w:rPr>
          <w:sz w:val="20"/>
          <w:szCs w:val="20"/>
          <w:color w:val="auto"/>
        </w:rPr>
      </w:pPr>
    </w:p>
    <w:p>
      <w:pPr>
        <w:jc w:val="both"/>
        <w:ind w:right="60" w:firstLine="359"/>
        <w:spacing w:after="0" w:line="257" w:lineRule="auto"/>
        <w:rPr>
          <w:sz w:val="20"/>
          <w:szCs w:val="20"/>
          <w:color w:val="auto"/>
        </w:rPr>
      </w:pPr>
      <w:r>
        <w:rPr>
          <w:rFonts w:ascii="Arial" w:cs="Arial" w:eastAsia="Arial" w:hAnsi="Arial"/>
          <w:sz w:val="20"/>
          <w:szCs w:val="20"/>
          <w:i w:val="1"/>
          <w:iCs w:val="1"/>
          <w:color w:val="auto"/>
        </w:rPr>
        <w:t>If any of the following risks and uncertainties develops into actual events, these events could have a material adverse effect on AbbVie’s business, results of operations, financial condition or cash flows. In such case, the trading price of AbbVie’s common stock could decline.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Risks Related to AbbVie’s Business</w:t>
      </w:r>
    </w:p>
    <w:p>
      <w:pPr>
        <w:spacing w:after="0" w:line="129" w:lineRule="exact"/>
        <w:rPr>
          <w:sz w:val="20"/>
          <w:szCs w:val="20"/>
          <w:color w:val="auto"/>
        </w:rPr>
      </w:pPr>
    </w:p>
    <w:p>
      <w:pPr>
        <w:ind w:left="340" w:right="20"/>
        <w:spacing w:after="0" w:line="255" w:lineRule="auto"/>
        <w:rPr>
          <w:sz w:val="20"/>
          <w:szCs w:val="20"/>
          <w:color w:val="auto"/>
        </w:rPr>
      </w:pPr>
      <w:r>
        <w:rPr>
          <w:rFonts w:ascii="Arial" w:cs="Arial" w:eastAsia="Arial" w:hAnsi="Arial"/>
          <w:sz w:val="20"/>
          <w:szCs w:val="20"/>
          <w:b w:val="1"/>
          <w:bCs w:val="1"/>
          <w:i w:val="1"/>
          <w:iCs w:val="1"/>
          <w:color w:val="auto"/>
        </w:rPr>
        <w:t>The expiration or loss of patent protection and licenses, including the loss of exclusivity for any of our products and increased competition from generics and biosimilars, may adversely affect AbbVie’s revenues and operating earnings.</w:t>
      </w:r>
    </w:p>
    <w:p>
      <w:pPr>
        <w:spacing w:after="0" w:line="103" w:lineRule="exact"/>
        <w:rPr>
          <w:sz w:val="20"/>
          <w:szCs w:val="20"/>
          <w:color w:val="auto"/>
        </w:rPr>
      </w:pPr>
    </w:p>
    <w:p>
      <w:pPr>
        <w:ind w:firstLine="359"/>
        <w:spacing w:after="0" w:line="252" w:lineRule="auto"/>
        <w:rPr>
          <w:sz w:val="20"/>
          <w:szCs w:val="20"/>
          <w:color w:val="auto"/>
        </w:rPr>
      </w:pPr>
      <w:r>
        <w:rPr>
          <w:rFonts w:ascii="Arial" w:cs="Arial" w:eastAsia="Arial" w:hAnsi="Arial"/>
          <w:sz w:val="20"/>
          <w:szCs w:val="20"/>
          <w:color w:val="auto"/>
        </w:rPr>
        <w:t>AbbVie relies on patent, trademark and other intellectual property protection in the discovery, development, manufacturing and sale of its products. In particular, patent protection is, in the aggregate, important in AbbVie’s marketing of pharmaceutical products in the United States and most major markets outside of the United States. Patents covering AbbVie products normally provide market exclusivity, which is important for the profitability of many of AbbVie’s products.</w:t>
      </w:r>
    </w:p>
    <w:p>
      <w:pPr>
        <w:spacing w:after="0" w:line="120" w:lineRule="exact"/>
        <w:rPr>
          <w:sz w:val="20"/>
          <w:szCs w:val="20"/>
          <w:color w:val="auto"/>
        </w:rPr>
      </w:pPr>
    </w:p>
    <w:p>
      <w:pPr>
        <w:ind w:right="20" w:firstLine="359"/>
        <w:spacing w:after="0" w:line="250" w:lineRule="auto"/>
        <w:rPr>
          <w:sz w:val="20"/>
          <w:szCs w:val="20"/>
          <w:color w:val="auto"/>
        </w:rPr>
      </w:pPr>
      <w:r>
        <w:rPr>
          <w:rFonts w:ascii="Arial" w:cs="Arial" w:eastAsia="Arial" w:hAnsi="Arial"/>
          <w:sz w:val="20"/>
          <w:szCs w:val="20"/>
          <w:color w:val="auto"/>
        </w:rPr>
        <w:t>As patents for certain of its products expire, AbbVie could face competition from lower priced generic or biosimilar products. The expiration or loss of patent protection for a product typically is followed promptly by substitutes that may significantly reduce sales for that product in a short amount of time. If AbbVie’s competitive position is compromised because of generics, biosimilars or otherwise, it could have a material adverse effect on AbbVie’s business and results of operations. In addition, proposals emerge from time to time for legislation to further encourage the early and rapid approval of generic drugs or biosimilars. Any such proposals that are enacted into law could increase the impact of generic or biosimilar competition.</w:t>
      </w:r>
    </w:p>
    <w:p>
      <w:pPr>
        <w:spacing w:after="0" w:line="123"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Large pharmaceutical companies and generics manufacturers of pharmaceutical products continue to expand into the biotechnology field and form partnerships to pursue biosimilars. Companies have developed and are developing biosimilars that compete with AbbVie’s biologic products. As competitors obtain marketing approval for biosimilars referencing AbbVie’s biologic products, AbbVie’s products may become subject to competition from such biosimilars, with the attendant competitive pressure and consequences. Expiration of or successful challenges to AbbVie’s applicable patent rights could also trigger competition from other products, assuming any relevant exclusivity period has expired. As a result, AbbVie could face increased litigation and administrative proceedings with respect to the validity and/or scope of patents relating to its biologic products.</w:t>
      </w:r>
    </w:p>
    <w:p>
      <w:pPr>
        <w:spacing w:after="0" w:line="121" w:lineRule="exact"/>
        <w:rPr>
          <w:sz w:val="20"/>
          <w:szCs w:val="20"/>
          <w:color w:val="auto"/>
        </w:rPr>
      </w:pPr>
    </w:p>
    <w:p>
      <w:pPr>
        <w:ind w:right="160" w:firstLine="359"/>
        <w:spacing w:after="0" w:line="254" w:lineRule="auto"/>
        <w:rPr>
          <w:sz w:val="20"/>
          <w:szCs w:val="20"/>
          <w:color w:val="auto"/>
        </w:rPr>
      </w:pPr>
      <w:r>
        <w:rPr>
          <w:rFonts w:ascii="Arial" w:cs="Arial" w:eastAsia="Arial" w:hAnsi="Arial"/>
          <w:sz w:val="20"/>
          <w:szCs w:val="20"/>
          <w:color w:val="auto"/>
        </w:rPr>
        <w:t>A significant portion of AbbVie’s revenues and operating earnings are derived from two major products. Specifically, Skyrizi and Rinvoq each represented greater than 10% of AbbVie’s total net revenues and, in aggregate, these products accounted for approximately 42% of total net revenues in 2025.</w:t>
      </w:r>
    </w:p>
    <w:p>
      <w:pPr>
        <w:spacing w:after="0" w:line="116" w:lineRule="exact"/>
        <w:rPr>
          <w:sz w:val="20"/>
          <w:szCs w:val="20"/>
          <w:color w:val="auto"/>
        </w:rPr>
      </w:pPr>
    </w:p>
    <w:p>
      <w:pPr>
        <w:ind w:right="20" w:firstLine="359"/>
        <w:spacing w:after="0" w:line="254" w:lineRule="auto"/>
        <w:rPr>
          <w:sz w:val="20"/>
          <w:szCs w:val="20"/>
          <w:color w:val="auto"/>
        </w:rPr>
      </w:pPr>
      <w:r>
        <w:rPr>
          <w:rFonts w:ascii="Arial" w:cs="Arial" w:eastAsia="Arial" w:hAnsi="Arial"/>
          <w:sz w:val="20"/>
          <w:szCs w:val="20"/>
          <w:color w:val="auto"/>
        </w:rPr>
        <w:t>AbbVie’s principal patents and trademarks are described in greater detail in Item 1, “Business— Intellectual Property Protection and Regulatory Exclusivity” and Item 7, “Management’s Discussion and Analysis of Financial Condition and Results of Operations—Results of Operations,” and litigation regarding these patents is described in Item 3, “Legal Proceedings.”</w:t>
      </w:r>
    </w:p>
    <w:p>
      <w:pPr>
        <w:sectPr>
          <w:pgSz w:w="11880" w:h="15480" w:orient="portrait"/>
          <w:cols w:equalWidth="0" w:num="1">
            <w:col w:w="9100"/>
          </w:cols>
          <w:pgMar w:left="1400" w:top="961" w:right="1380" w:bottom="87" w:gutter="0" w:footer="0" w:header="0"/>
        </w:sectPr>
      </w:pPr>
    </w:p>
    <w:p>
      <w:pPr>
        <w:spacing w:after="0" w:line="242"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17</w:t>
      </w:r>
    </w:p>
    <w:p>
      <w:pPr>
        <w:sectPr>
          <w:pgSz w:w="11880" w:h="15480" w:orient="portrait"/>
          <w:cols w:equalWidth="0" w:num="1">
            <w:col w:w="9100"/>
          </w:cols>
          <w:pgMar w:left="1400" w:top="961" w:right="1380" w:bottom="87" w:gutter="0" w:footer="0" w:header="0"/>
          <w:type w:val="continuous"/>
        </w:sectPr>
      </w:pPr>
    </w:p>
    <w:bookmarkStart w:id="23" w:name="page24"/>
    <w:bookmarkEnd w:id="23"/>
    <w:p>
      <w:pPr>
        <w:ind w:left="340" w:right="360"/>
        <w:spacing w:after="0" w:line="262" w:lineRule="auto"/>
        <w:rPr>
          <w:sz w:val="20"/>
          <w:szCs w:val="20"/>
          <w:color w:val="auto"/>
        </w:rPr>
      </w:pPr>
      <w:r>
        <w:rPr>
          <w:rFonts w:ascii="Arial" w:cs="Arial" w:eastAsia="Arial" w:hAnsi="Arial"/>
          <w:sz w:val="20"/>
          <w:szCs w:val="20"/>
          <w:b w:val="1"/>
          <w:bCs w:val="1"/>
          <w:i w:val="1"/>
          <w:iCs w:val="1"/>
          <w:color w:val="auto"/>
        </w:rPr>
        <w:t>AbbVie’s major products could lose patent protection earlier than expected, which could adversely affect AbbVie’s revenues and operating earnings.</w:t>
      </w:r>
    </w:p>
    <w:p>
      <w:pPr>
        <w:spacing w:after="0" w:line="97"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 xml:space="preserve">Third parties or government authorities may challenge or seek to invalidate or circumvent AbbVie’s patents and patent applications. For example, manufacturers of generic pharmaceutical products file, and may continue to file, Abbreviated New Drug Applications with the FDA seeking to market generic forms of AbbVie’s products prior to the expiration of relevant patents owned or licensed by AbbVie by asserting that the patents are invalid, unenforceable and/or not infringed. In addition, petitioners have filed, and may continue to file, challenges to the validity of AbbVie’s patents under the 2011 Leahy-Smith America Invents Act, which created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and post grant review procedures for challenging patent validity in administrative proceedings at the United States Patent and Trademark Office.</w:t>
      </w:r>
    </w:p>
    <w:p>
      <w:pPr>
        <w:spacing w:after="0" w:line="121"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Although most of the challenges to AbbVie’s intellectual property have come from other businesses, governments have and are expected to also challenge intellectual property rights. For example, court decisions and potential legislation relating to patents, such as legislation regarding biosimilars, and other regulatory initiatives may result in further erosion of intellectual property protection. In addition, certain governments outside the United States have indicated that compulsory licenses to patents may be sought to further their domestic policies or on the basis of national emergencies, such as HIV/ AIDS. If triggered, compulsory licenses may diminish or eliminate sales and profits from those jurisdictions and negatively affect AbbVie’s results of operations.</w:t>
      </w:r>
    </w:p>
    <w:p>
      <w:pPr>
        <w:spacing w:after="0" w:line="123"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AbbVie normally responds to challenges by vigorously defending its patents, including by filing patent infringement lawsuits. Patent litigation, administrative proceedings and other challenges to AbbVie’s patents are costly and unpredictable and may deprive AbbVie of market exclusivity for a patented product. To the extent AbbVie’s intellectual property is successfully challenged, circumvented or weakened, or to the extent such intellectual property does not allow AbbVie to compete effectively, AbbVie’s business will suffer. To the extent that countries do not enforce AbbVie’s intellectual property rights or require compulsory licensing of AbbVie’s intellectual property, AbbVie’s revenues and operating earnings will be reduced.</w:t>
      </w:r>
    </w:p>
    <w:p>
      <w:pPr>
        <w:spacing w:after="0" w:line="221" w:lineRule="exact"/>
        <w:rPr>
          <w:sz w:val="20"/>
          <w:szCs w:val="20"/>
          <w:color w:val="auto"/>
        </w:rPr>
      </w:pPr>
    </w:p>
    <w:p>
      <w:pPr>
        <w:ind w:left="340" w:right="140"/>
        <w:spacing w:after="0" w:line="262" w:lineRule="auto"/>
        <w:rPr>
          <w:sz w:val="20"/>
          <w:szCs w:val="20"/>
          <w:color w:val="auto"/>
        </w:rPr>
      </w:pPr>
      <w:r>
        <w:rPr>
          <w:rFonts w:ascii="Arial" w:cs="Arial" w:eastAsia="Arial" w:hAnsi="Arial"/>
          <w:sz w:val="20"/>
          <w:szCs w:val="20"/>
          <w:b w:val="1"/>
          <w:bCs w:val="1"/>
          <w:i w:val="1"/>
          <w:iCs w:val="1"/>
          <w:color w:val="auto"/>
        </w:rPr>
        <w:t>A third party’s intellectual property may prevent AbbVie from selling its products or have a material adverse effect on AbbVie’s profitability and financial condition.</w:t>
      </w:r>
    </w:p>
    <w:p>
      <w:pPr>
        <w:spacing w:after="0" w:line="97"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color w:val="auto"/>
        </w:rPr>
        <w:t>Third parties may claim that an AbbVie product infringes upon their intellectual property. In addition, in its pursuit of valid business opportunities, AbbVie may be required to challenge intellectual property rights held by others that it believes were improperly granted. Resolving an intellectual property infringement or other claim can be costly and time consuming and may require AbbVie to enter into license agreements. AbbVie cannot guarantee that it would be able to obtain license agreements on commercially reasonable terms. A successful claim of patent or other intellectual property infringement could subject AbbVie to significant damages or an injunction preventing the manufacture, sale, or use of the affected AbbVie product or products. Any of these events could have a material adverse effect on AbbVie’s profitability and financial condition.</w:t>
      </w:r>
    </w:p>
    <w:p>
      <w:pPr>
        <w:spacing w:after="0" w:line="222" w:lineRule="exact"/>
        <w:rPr>
          <w:sz w:val="20"/>
          <w:szCs w:val="20"/>
          <w:color w:val="auto"/>
        </w:rPr>
      </w:pPr>
    </w:p>
    <w:p>
      <w:pPr>
        <w:jc w:val="both"/>
        <w:ind w:left="340" w:right="220"/>
        <w:spacing w:after="0" w:line="257" w:lineRule="auto"/>
        <w:rPr>
          <w:sz w:val="20"/>
          <w:szCs w:val="20"/>
          <w:color w:val="auto"/>
        </w:rPr>
      </w:pPr>
      <w:r>
        <w:rPr>
          <w:rFonts w:ascii="Arial" w:cs="Arial" w:eastAsia="Arial" w:hAnsi="Arial"/>
          <w:sz w:val="20"/>
          <w:szCs w:val="20"/>
          <w:b w:val="1"/>
          <w:bCs w:val="1"/>
          <w:i w:val="1"/>
          <w:iCs w:val="1"/>
          <w:color w:val="auto"/>
        </w:rPr>
        <w:t>AbbVie’s research and development efforts may not succeed in developing products and technologies that can be successfully commercialized, which may cause its revenues and profitability to decline.</w:t>
      </w:r>
    </w:p>
    <w:p>
      <w:pPr>
        <w:spacing w:after="0" w:line="101" w:lineRule="exact"/>
        <w:rPr>
          <w:sz w:val="20"/>
          <w:szCs w:val="20"/>
          <w:color w:val="auto"/>
        </w:rPr>
      </w:pPr>
    </w:p>
    <w:p>
      <w:pPr>
        <w:ind w:right="60" w:firstLine="359"/>
        <w:spacing w:after="0" w:line="266" w:lineRule="auto"/>
        <w:rPr>
          <w:sz w:val="20"/>
          <w:szCs w:val="20"/>
          <w:color w:val="auto"/>
        </w:rPr>
      </w:pPr>
      <w:r>
        <w:rPr>
          <w:rFonts w:ascii="Arial" w:cs="Arial" w:eastAsia="Arial" w:hAnsi="Arial"/>
          <w:sz w:val="19"/>
          <w:szCs w:val="19"/>
          <w:color w:val="auto"/>
        </w:rPr>
        <w:t>To remain competitive, AbbVie must continue to launch new products and new indications and/or brand extensions for existing products. Such launches must generate revenue sufficient both to cover its substantial research and development costs and to replace revenues of profitable products that are lost to or displaced by competing products or therapies. Failure to do so would have a material adverse effect on AbbVie’s revenue and profitability. Accordingly, AbbVie commits substantial effort, funds and other resources to research and development and must make ongoing substantial expenditures without any assurance that its efforts will be commercially successful. A high rate of failure in the biopharmaceutical industry is inherent in the research and development of new products, and failure can occur at any point in the research and development process, including after significant resources have been invested. Products that appear promising in development may fail to reach the market for</w:t>
      </w:r>
    </w:p>
    <w:p>
      <w:pPr>
        <w:sectPr>
          <w:pgSz w:w="11880" w:h="15480" w:orient="portrait"/>
          <w:cols w:equalWidth="0" w:num="1">
            <w:col w:w="9100"/>
          </w:cols>
          <w:pgMar w:left="1400" w:top="1028" w:right="1380" w:bottom="75"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sz w:val="1"/>
          <w:szCs w:val="1"/>
          <w:color w:val="auto"/>
        </w:rPr>
        <w:drawing>
          <wp:inline distT="0" distB="0" distL="0" distR="0">
            <wp:extent cx="615950"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8" w:right="1380" w:bottom="75" w:gutter="0" w:footer="0" w:header="0"/>
          <w:type w:val="continuous"/>
        </w:sectPr>
      </w:pPr>
    </w:p>
    <w:bookmarkStart w:id="24" w:name="page25"/>
    <w:bookmarkEnd w:id="24"/>
    <w:p>
      <w:pPr>
        <w:ind w:right="40"/>
        <w:spacing w:after="0" w:line="249" w:lineRule="auto"/>
        <w:rPr>
          <w:sz w:val="20"/>
          <w:szCs w:val="20"/>
          <w:color w:val="auto"/>
        </w:rPr>
      </w:pPr>
      <w:r>
        <w:rPr>
          <w:rFonts w:ascii="Arial" w:cs="Arial" w:eastAsia="Arial" w:hAnsi="Arial"/>
          <w:sz w:val="20"/>
          <w:szCs w:val="20"/>
          <w:color w:val="auto"/>
        </w:rPr>
        <w:t>numerous reasons, including, but not limited to, failure to demonstrate effectiveness, safety concerns, superior safety or efficacy of competing therapies, failure to achieve positive clinical or pre-clinical outcomes beyond the current standards of care, inability to obtain necessary regulatory approvals or delays in the approval of new products and new indications, limited scope of approved uses, excessive costs to manufacture or the failure to obtain or maintain intellectual property rights, or infringement of the intellectual property rights of others.</w:t>
      </w:r>
    </w:p>
    <w:p>
      <w:pPr>
        <w:spacing w:after="0" w:line="121" w:lineRule="exact"/>
        <w:rPr>
          <w:sz w:val="20"/>
          <w:szCs w:val="20"/>
          <w:color w:val="auto"/>
        </w:rPr>
      </w:pPr>
    </w:p>
    <w:p>
      <w:pPr>
        <w:ind w:right="40" w:firstLine="359"/>
        <w:spacing w:after="0" w:line="248" w:lineRule="auto"/>
        <w:rPr>
          <w:sz w:val="20"/>
          <w:szCs w:val="20"/>
          <w:color w:val="auto"/>
        </w:rPr>
      </w:pPr>
      <w:r>
        <w:rPr>
          <w:rFonts w:ascii="Arial" w:cs="Arial" w:eastAsia="Arial" w:hAnsi="Arial"/>
          <w:sz w:val="20"/>
          <w:szCs w:val="20"/>
          <w:color w:val="auto"/>
        </w:rPr>
        <w:t>Decisions about research studies made early in the development process of a pharmaceutical product candidate can affect the marketing strategy once such candidate receives regulatory approval. More detailed studies may demonstrate additional benefits that can help in the marketing, but they also consume time and resources and may delay submitting the pharmaceutical product candidate for regulatory approval. AbbVie cannot guarantee that a proper balance of speed and testing will be made with respect to each pharmaceutical product candidate or that decisions in this area would not adversely affect AbbVie’s results of operations.</w:t>
      </w:r>
    </w:p>
    <w:p>
      <w:pPr>
        <w:spacing w:after="0" w:line="125" w:lineRule="exact"/>
        <w:rPr>
          <w:sz w:val="20"/>
          <w:szCs w:val="20"/>
          <w:color w:val="auto"/>
        </w:rPr>
      </w:pPr>
    </w:p>
    <w:p>
      <w:pPr>
        <w:ind w:firstLine="359"/>
        <w:spacing w:after="0" w:line="248" w:lineRule="auto"/>
        <w:rPr>
          <w:sz w:val="20"/>
          <w:szCs w:val="20"/>
          <w:color w:val="auto"/>
        </w:rPr>
      </w:pPr>
      <w:r>
        <w:rPr>
          <w:rFonts w:ascii="Arial" w:cs="Arial" w:eastAsia="Arial" w:hAnsi="Arial"/>
          <w:sz w:val="20"/>
          <w:szCs w:val="20"/>
          <w:color w:val="auto"/>
        </w:rPr>
        <w:t>Even if AbbVie successfully develops and markets new products or enhancements to its existing products, they may be quickly rendered obsolete by changing clinical preferences, changing industry standards, or competitors’ innovations. AbbVie’s innovations may not be accepted quickly in the marketplace because of existing clinical practices or uncertainty over third-party reimbursement. 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indications for existing products may cause AbbVie’s products to become obsolete, causing AbbVie’s revenues and operating results to suffer.</w:t>
      </w:r>
    </w:p>
    <w:p>
      <w:pPr>
        <w:spacing w:after="0" w:line="218" w:lineRule="exact"/>
        <w:rPr>
          <w:sz w:val="20"/>
          <w:szCs w:val="20"/>
          <w:color w:val="auto"/>
        </w:rPr>
      </w:pPr>
    </w:p>
    <w:p>
      <w:pPr>
        <w:jc w:val="both"/>
        <w:ind w:left="340" w:right="300"/>
        <w:spacing w:after="0" w:line="250" w:lineRule="auto"/>
        <w:rPr>
          <w:sz w:val="20"/>
          <w:szCs w:val="20"/>
          <w:color w:val="auto"/>
        </w:rPr>
      </w:pPr>
      <w:r>
        <w:rPr>
          <w:rFonts w:ascii="Arial" w:cs="Arial" w:eastAsia="Arial" w:hAnsi="Arial"/>
          <w:sz w:val="20"/>
          <w:szCs w:val="20"/>
          <w:b w:val="1"/>
          <w:bCs w:val="1"/>
          <w:i w:val="1"/>
          <w:iCs w:val="1"/>
          <w:color w:val="auto"/>
        </w:rPr>
        <w:t>AbbVie is subject to cost-containment efforts and pricing pressures that could cause a reduction in revenues and operating earnings, and changes in the terms of rebate and chargeback programs, which are common in the pharmaceuticals industry, could have a material adverse effect on AbbVie’s operations.</w:t>
      </w:r>
    </w:p>
    <w:p>
      <w:pPr>
        <w:spacing w:after="0" w:line="109"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Cost-containment efforts by governments and private organizations are described in greater detail in Item 1, “Business—Regulation—Commercialization, Distribution and Manufacturing.” To the extent these cost containment efforts are not offset by greater demand, increased patient access to health care, or other factors, AbbVie’s revenues and operating earnings will be reduced. In the United States, European Union member states and other countries, AbbVie’s business has experienced downward pressure on product pricing, and this pressure could increase in the future.</w:t>
      </w:r>
    </w:p>
    <w:p>
      <w:pPr>
        <w:spacing w:after="0" w:line="121" w:lineRule="exact"/>
        <w:rPr>
          <w:sz w:val="20"/>
          <w:szCs w:val="20"/>
          <w:color w:val="auto"/>
        </w:rPr>
      </w:pPr>
    </w:p>
    <w:p>
      <w:pPr>
        <w:ind w:firstLine="359"/>
        <w:spacing w:after="0" w:line="260" w:lineRule="auto"/>
        <w:rPr>
          <w:sz w:val="20"/>
          <w:szCs w:val="20"/>
          <w:color w:val="auto"/>
        </w:rPr>
      </w:pPr>
      <w:r>
        <w:rPr>
          <w:rFonts w:ascii="Arial" w:cs="Arial" w:eastAsia="Arial" w:hAnsi="Arial"/>
          <w:sz w:val="19"/>
          <w:szCs w:val="19"/>
          <w:color w:val="auto"/>
        </w:rPr>
        <w:t>AbbVie is subject to increasing public and legislative pressure with respect to pharmaceutical pricing. In the United States, practices of managed care organizations, and institutional and governmental purchasers, as well as federal laws and regulations related to Medicare and Medicaid, contribute to pricing pressures. In particular, the IRA will have the effect of reducing prices and reimbursements for certain of our products, which could significantly impact AbbVie’s results of operations. Under the IRA, HHS can effectively set prices for certain single-source drugs and biologics reimbursed under Medicare Part B and Part D. Generally, these government prices can apply as soon as nine years (for small-molecule drugs) or 13 years (for biological products) from their FDA approval and will be capped at a statutory ceiling price that is likely to represent a significant discount from average prices to wholesalers and direct purchasers. In August 2023, HHS, through CMS, selected Imbruvica as one of 10 medicines subject to government-set prices in Medicare Part D beginning January 1, 2026, and in January 2025, selected Vraylar and Linzess as two of 15 medicines subject to government-set prices in Medicare Part D beginning January 1, 2027. In January 2026, Botox was selected as one of 15 medicines subject to government-set prices in Medicare Parts B and D beginning January 1, 2028. It is possible that more of our products, including products that generate substantial revenues, could be selected in future years, which could, among other things, accelerate revenue erosion prior to expiration of intellectual property protections. In addition, beginning in January 2025, under the IRA, the 70% coverage gap discount program was replaced by a 10% manufacturer discount for all Medicare Part D beneficiaries that have met their deductible and incurred out of pocket drug costs below a $2,000 threshold and a 20% discount for beneficiaries that have incurred out of pocket drug costs above the $2,000 threshold under the new Part D benefit redesign. Manufacturers that fail to</w:t>
      </w:r>
    </w:p>
    <w:p>
      <w:pPr>
        <w:sectPr>
          <w:pgSz w:w="11880" w:h="15480" w:orient="portrait"/>
          <w:cols w:equalWidth="0" w:num="1">
            <w:col w:w="9100"/>
          </w:cols>
          <w:pgMar w:left="1400" w:top="1030" w:right="1380" w:bottom="87" w:gutter="0" w:footer="0" w:header="0"/>
        </w:sectPr>
      </w:pPr>
    </w:p>
    <w:p>
      <w:pPr>
        <w:spacing w:after="0" w:line="200" w:lineRule="exact"/>
        <w:rPr>
          <w:sz w:val="20"/>
          <w:szCs w:val="20"/>
          <w:color w:val="auto"/>
        </w:rPr>
      </w:pPr>
    </w:p>
    <w:p>
      <w:pPr>
        <w:spacing w:after="0" w:line="28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19</w:t>
      </w:r>
    </w:p>
    <w:p>
      <w:pPr>
        <w:sectPr>
          <w:pgSz w:w="11880" w:h="15480" w:orient="portrait"/>
          <w:cols w:equalWidth="0" w:num="1">
            <w:col w:w="9100"/>
          </w:cols>
          <w:pgMar w:left="1400" w:top="1030" w:right="1380" w:bottom="87" w:gutter="0" w:footer="0" w:header="0"/>
          <w:type w:val="continuous"/>
        </w:sectPr>
      </w:pPr>
    </w:p>
    <w:bookmarkStart w:id="25" w:name="page26"/>
    <w:bookmarkEnd w:id="25"/>
    <w:p>
      <w:pPr>
        <w:ind w:right="20"/>
        <w:spacing w:after="0" w:line="248" w:lineRule="auto"/>
        <w:rPr>
          <w:sz w:val="20"/>
          <w:szCs w:val="20"/>
          <w:color w:val="auto"/>
        </w:rPr>
      </w:pPr>
      <w:r>
        <w:rPr>
          <w:rFonts w:ascii="Arial" w:cs="Arial" w:eastAsia="Arial" w:hAnsi="Arial"/>
          <w:sz w:val="20"/>
          <w:szCs w:val="20"/>
          <w:color w:val="auto"/>
        </w:rPr>
        <w:t>comply with the IRA may be subject to various penalties, including civil monetary penalties, which could be significant. The IRA has and will continue to meaningfully impact AbbVie’s business strategies and those of others in the pharmaceutical industry. The full impact of the IRA on AbbVie’s business and the pharmaceutical industry, including the implications to us of our or a competitor’s product being selected for price setting, remains uncertain.</w:t>
      </w:r>
    </w:p>
    <w:p>
      <w:pPr>
        <w:spacing w:after="0" w:line="119" w:lineRule="exact"/>
        <w:rPr>
          <w:sz w:val="20"/>
          <w:szCs w:val="20"/>
          <w:color w:val="auto"/>
        </w:rPr>
      </w:pPr>
    </w:p>
    <w:p>
      <w:pPr>
        <w:ind w:firstLine="359"/>
        <w:spacing w:after="0" w:line="245" w:lineRule="auto"/>
        <w:rPr>
          <w:sz w:val="20"/>
          <w:szCs w:val="20"/>
          <w:color w:val="auto"/>
        </w:rPr>
      </w:pPr>
      <w:r>
        <w:rPr>
          <w:rFonts w:ascii="Arial" w:cs="Arial" w:eastAsia="Arial" w:hAnsi="Arial"/>
          <w:sz w:val="20"/>
          <w:szCs w:val="20"/>
          <w:color w:val="auto"/>
        </w:rPr>
        <w:t>In addition to the pricing mechanisms established under the IRA, governments and other payers may pursue or implement additional approaches intended to reduce pharmaceutical costs, including arrangements or frameworks that reference international prices, most-favored-nation (MFN) concepts, or other comparative pricing methodologies. Such approaches may be implemented through legislation, regulation, administrative action, negotiated arrangements, or other means, and their scope, structure, and application may continue to evolve. In January 2026, AbbVie entered into a voluntary agreement with the United States government to provide certain pricing concessions and U.S.-based research and development and capital investments in exchange for exemptions from tariffs and future pricing mandates during the three-year agreement period. In addition, our pricing concessions and expansion of direct-to-patient offerings may subject AbbVie to new pricing or reimbursement policies that could affect our commercial performance.</w:t>
      </w:r>
    </w:p>
    <w:p>
      <w:pPr>
        <w:spacing w:after="0" w:line="126" w:lineRule="exact"/>
        <w:rPr>
          <w:sz w:val="20"/>
          <w:szCs w:val="20"/>
          <w:color w:val="auto"/>
        </w:rPr>
      </w:pPr>
    </w:p>
    <w:p>
      <w:pPr>
        <w:ind w:right="80" w:firstLine="359"/>
        <w:spacing w:after="0" w:line="247" w:lineRule="auto"/>
        <w:rPr>
          <w:sz w:val="20"/>
          <w:szCs w:val="20"/>
          <w:color w:val="auto"/>
        </w:rPr>
      </w:pPr>
      <w:r>
        <w:rPr>
          <w:rFonts w:ascii="Arial" w:cs="Arial" w:eastAsia="Arial" w:hAnsi="Arial"/>
          <w:sz w:val="20"/>
          <w:szCs w:val="20"/>
          <w:color w:val="auto"/>
        </w:rPr>
        <w:t>Where pricing arrangements incorporate MFN, reference pricing, or similar concepts, AbbVie’s realized pricing, revenues, or commercial flexibility could be affected by factors outside of AbbVie’s control, including changes in applicable policies, methodologies, guidance, or related pricing regimes, as well as interactions with other governmental or private-sector pricing and reimbursement programs. Such arrangements could also influence pricing expectations or negotiations in other markets or with other payers.</w:t>
      </w:r>
    </w:p>
    <w:p>
      <w:pPr>
        <w:spacing w:after="0" w:line="124" w:lineRule="exact"/>
        <w:rPr>
          <w:sz w:val="20"/>
          <w:szCs w:val="20"/>
          <w:color w:val="auto"/>
        </w:rPr>
      </w:pPr>
    </w:p>
    <w:p>
      <w:pPr>
        <w:ind w:right="80" w:firstLine="359"/>
        <w:spacing w:after="0" w:line="248" w:lineRule="auto"/>
        <w:rPr>
          <w:sz w:val="20"/>
          <w:szCs w:val="20"/>
          <w:color w:val="auto"/>
        </w:rPr>
      </w:pPr>
      <w:r>
        <w:rPr>
          <w:rFonts w:ascii="Arial" w:cs="Arial" w:eastAsia="Arial" w:hAnsi="Arial"/>
          <w:sz w:val="20"/>
          <w:szCs w:val="20"/>
          <w:color w:val="auto"/>
        </w:rPr>
        <w:t>AbbVie continues to evaluate the impact that pricing and cost-containment related policy developments may have on the company. The potential for continuing changes to the health care system in the United States and the increased purchasing power of entities that negotiate on behalf of Medicare, Medicaid and private sector beneficiaries, including pharmacy benefit managers (PBMs) and managed care organizations may result in additional pricing pressures and formulary restrictions that limit patient access to our products. For further discussion of PBM formulary practices and their impact on pricing and patient access, see “Pharmacy benefit managers and other supply chain intermediaries exert significant influence over pricing and patient access to our products” below.</w:t>
      </w:r>
    </w:p>
    <w:p>
      <w:pPr>
        <w:spacing w:after="0" w:line="122" w:lineRule="exact"/>
        <w:rPr>
          <w:sz w:val="20"/>
          <w:szCs w:val="20"/>
          <w:color w:val="auto"/>
        </w:rPr>
      </w:pPr>
    </w:p>
    <w:p>
      <w:pPr>
        <w:jc w:val="both"/>
        <w:ind w:firstLine="359"/>
        <w:spacing w:after="0" w:line="263" w:lineRule="auto"/>
        <w:rPr>
          <w:sz w:val="20"/>
          <w:szCs w:val="20"/>
          <w:color w:val="auto"/>
        </w:rPr>
      </w:pPr>
      <w:r>
        <w:rPr>
          <w:rFonts w:ascii="Arial" w:cs="Arial" w:eastAsia="Arial" w:hAnsi="Arial"/>
          <w:sz w:val="19"/>
          <w:szCs w:val="19"/>
          <w:color w:val="auto"/>
        </w:rPr>
        <w:t>In major markets worldwide, governments play a significant role in funding health care services and determining the pricing and reimbursement of pharmaceutical products. Consequently, in those markets, AbbVie is subject to government decision-making and budgetary actions with respect to its products.</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In particular, many European countries have ongoing government-mandated price reductions for many pharmaceutical products, and AbbVie anticipates continuing pricing pressures in Europe. Differences between countries’ pricing regulations could lead to third-party cross-border trading in AbbVie’s products that results in a reduction in revenues and operating earnings.</w:t>
      </w:r>
    </w:p>
    <w:p>
      <w:pPr>
        <w:spacing w:after="0" w:line="122"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Rebates related to government programs, such as fee-for-service Medicaid or Medicaid managed care programs, arise from laws and regulations. AbbVie cannot predict with certainty whether additional government initiatives to contain health care costs or other factors could lead to new or modified regulatory or contractual requirements that include higher or incremental rebates, discounts or other price concessions. Other rebate and discount programs arise from contractual agreements with private payers, including PBMs and managed care organizations. Various factors, including market factors, consolidation among PBMs and the ability of private payers to control patient access to products, including through formulary management and utilization controls, may provide payers the leverage to negotiate higher or additional rebates or discounts that could have a material adverse effect on AbbVie’s operations.</w:t>
      </w:r>
    </w:p>
    <w:p>
      <w:pPr>
        <w:spacing w:after="0" w:line="225" w:lineRule="exact"/>
        <w:rPr>
          <w:sz w:val="20"/>
          <w:szCs w:val="20"/>
          <w:color w:val="auto"/>
        </w:rPr>
      </w:pPr>
    </w:p>
    <w:p>
      <w:pPr>
        <w:ind w:left="340"/>
        <w:spacing w:after="0" w:line="253" w:lineRule="auto"/>
        <w:rPr>
          <w:sz w:val="20"/>
          <w:szCs w:val="20"/>
          <w:color w:val="auto"/>
        </w:rPr>
      </w:pPr>
      <w:r>
        <w:rPr>
          <w:rFonts w:ascii="Arial" w:cs="Arial" w:eastAsia="Arial" w:hAnsi="Arial"/>
          <w:sz w:val="20"/>
          <w:szCs w:val="20"/>
          <w:b w:val="1"/>
          <w:bCs w:val="1"/>
          <w:i w:val="1"/>
          <w:iCs w:val="1"/>
          <w:color w:val="auto"/>
        </w:rPr>
        <w:t>Pharmacy benefit managers and other supply chain intermediaries exert significant influence over pricing and patient access to our products, which could adversely affect our revenues and results of operations.</w:t>
      </w:r>
    </w:p>
    <w:p>
      <w:pPr>
        <w:spacing w:after="0" w:line="105" w:lineRule="exact"/>
        <w:rPr>
          <w:sz w:val="20"/>
          <w:szCs w:val="20"/>
          <w:color w:val="auto"/>
        </w:rPr>
      </w:pPr>
    </w:p>
    <w:p>
      <w:pPr>
        <w:ind w:right="40" w:firstLine="359"/>
        <w:spacing w:after="0" w:line="291" w:lineRule="auto"/>
        <w:rPr>
          <w:sz w:val="20"/>
          <w:szCs w:val="20"/>
          <w:color w:val="auto"/>
        </w:rPr>
      </w:pPr>
      <w:r>
        <w:rPr>
          <w:rFonts w:ascii="Arial" w:cs="Arial" w:eastAsia="Arial" w:hAnsi="Arial"/>
          <w:sz w:val="19"/>
          <w:szCs w:val="19"/>
          <w:color w:val="auto"/>
        </w:rPr>
        <w:t>Consolidation and vertical integration among PBMs, managed care organizations and other supply chain intermediaries has increased their purchasing power and ability to influence formulary placement</w:t>
      </w:r>
    </w:p>
    <w:p>
      <w:pPr>
        <w:sectPr>
          <w:pgSz w:w="11880" w:h="15480" w:orient="portrait"/>
          <w:cols w:equalWidth="0" w:num="1">
            <w:col w:w="9100"/>
          </w:cols>
          <w:pgMar w:left="1400" w:top="1030" w:right="1380" w:bottom="75"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w:t>
      </w:r>
      <w:r>
        <w:rPr>
          <w:sz w:val="1"/>
          <w:szCs w:val="1"/>
          <w:color w:val="auto"/>
        </w:rPr>
        <w:drawing>
          <wp:inline distT="0" distB="0" distL="0" distR="0">
            <wp:extent cx="615950"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26" w:name="page27"/>
    <w:bookmarkEnd w:id="26"/>
    <w:p>
      <w:pPr>
        <w:jc w:val="both"/>
        <w:ind w:right="320"/>
        <w:spacing w:after="0" w:line="257" w:lineRule="auto"/>
        <w:rPr>
          <w:sz w:val="20"/>
          <w:szCs w:val="20"/>
          <w:color w:val="auto"/>
        </w:rPr>
      </w:pPr>
      <w:r>
        <w:rPr>
          <w:rFonts w:ascii="Arial" w:cs="Arial" w:eastAsia="Arial" w:hAnsi="Arial"/>
          <w:sz w:val="20"/>
          <w:szCs w:val="20"/>
          <w:color w:val="auto"/>
        </w:rPr>
        <w:t>and reimbursement levels. A limited number of these entities negotiate pricing, rebates and patient access terms on behalf of health plans and government programs that cover a significant portion of insured patients in the United States.</w:t>
      </w:r>
    </w:p>
    <w:p>
      <w:pPr>
        <w:spacing w:after="0" w:line="113"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color w:val="auto"/>
        </w:rPr>
        <w:t>These entities employ formulary management and utilization tools, including formulary exclusions, step therapy requirements, prior authorization protocols and tiered placement decisions, that could limit or delay patient access to our products, potentially increase patient cost-sharing and/or shift utilization to competing therapies. Unfavorable formulary decisions and increased utilization management restrictions could reduce prescription volumes and adversely affect our revenues. Further changes in formulary placement or access restrictions implemented by these intermediaries could occur with limited advance notice and may be difficult to predict or mitigate.</w:t>
      </w:r>
    </w:p>
    <w:p>
      <w:pPr>
        <w:spacing w:after="0" w:line="118"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color w:val="auto"/>
        </w:rPr>
        <w:t>PBM business practices, rebate structures and pricing arrangements are also subject to change as a result of enforcement actions, regulatory settlements, legislation or other government actions. Government-mandated changes to PBM rebate methodologies, formulary design or pricing transparency practices could affect our contractual arrangements with PBMs, alter manufacturer-PBM economic relationships or shift costs to manufacturers. Additionally, these entities may negotiate higher or additional rebates, discounts, administrative fees or other price concessions that could adversely affect our revenues and results of operations.</w:t>
      </w:r>
    </w:p>
    <w:p>
      <w:pPr>
        <w:spacing w:after="0" w:line="216" w:lineRule="exact"/>
        <w:rPr>
          <w:sz w:val="20"/>
          <w:szCs w:val="20"/>
          <w:color w:val="auto"/>
        </w:rPr>
      </w:pPr>
    </w:p>
    <w:p>
      <w:pPr>
        <w:ind w:left="340" w:right="100"/>
        <w:spacing w:after="0" w:line="262" w:lineRule="auto"/>
        <w:rPr>
          <w:sz w:val="20"/>
          <w:szCs w:val="20"/>
          <w:color w:val="auto"/>
        </w:rPr>
      </w:pPr>
      <w:r>
        <w:rPr>
          <w:rFonts w:ascii="Arial" w:cs="Arial" w:eastAsia="Arial" w:hAnsi="Arial"/>
          <w:sz w:val="20"/>
          <w:szCs w:val="20"/>
          <w:b w:val="1"/>
          <w:bCs w:val="1"/>
          <w:i w:val="1"/>
          <w:iCs w:val="1"/>
          <w:color w:val="auto"/>
        </w:rPr>
        <w:t>A portion of AbbVie’s near-term pharmaceutical pipeline relies on collaborations with third parties, which may adversely affect the development and sale of its products.</w:t>
      </w:r>
    </w:p>
    <w:p>
      <w:pPr>
        <w:spacing w:after="0" w:line="97"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AbbVie depends on alliances and joint ventures with pharmaceutical and biotechnology companies for a portion of the products in its near-term pharmaceutical pipeline. Failures by these parties to meet their contractual, regulatory, or other obligations to AbbVie, or any disruption in the relationships between AbbVie and these third parties, could have an adverse effect on AbbVie’s pharmaceutical pipeline and business. In addition, AbbVie’s collaborative relationships for research and development extend for many years and may give rise to disputes regarding the relative rights, obligations and revenues of AbbVie and its collaboration partners, including the ownership of intellectual property and associated rights and obligations. Such disputes could result in AbbVie’s loss of intellectual property rights or protection, delay the development and sale of potential pharmaceutical products, affect the effective sale and delivery of AbbVie’s commercialized products and lead to lengthy and expensive litigation, administrative proceedings or arbitration.</w:t>
      </w:r>
    </w:p>
    <w:p>
      <w:pPr>
        <w:spacing w:after="0" w:line="225" w:lineRule="exact"/>
        <w:rPr>
          <w:sz w:val="20"/>
          <w:szCs w:val="20"/>
          <w:color w:val="auto"/>
        </w:rPr>
      </w:pPr>
    </w:p>
    <w:p>
      <w:pPr>
        <w:ind w:left="340" w:right="560"/>
        <w:spacing w:after="0" w:line="262" w:lineRule="auto"/>
        <w:rPr>
          <w:sz w:val="20"/>
          <w:szCs w:val="20"/>
          <w:color w:val="auto"/>
        </w:rPr>
      </w:pPr>
      <w:r>
        <w:rPr>
          <w:rFonts w:ascii="Arial" w:cs="Arial" w:eastAsia="Arial" w:hAnsi="Arial"/>
          <w:sz w:val="20"/>
          <w:szCs w:val="20"/>
          <w:b w:val="1"/>
          <w:bCs w:val="1"/>
          <w:i w:val="1"/>
          <w:iCs w:val="1"/>
          <w:color w:val="auto"/>
        </w:rPr>
        <w:t>Biologics carry unique risks and uncertainties, which could have a negative impact on AbbVie’s business and results of operations.</w:t>
      </w:r>
    </w:p>
    <w:p>
      <w:pPr>
        <w:spacing w:after="0" w:line="97"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color w:val="auto"/>
        </w:rPr>
        <w:t>The successful discovery, development, manufacturing and sale of biologics is a long, expensive and uncertain process. There are unique risks and uncertainties with biologics. For example, access to and supply of necessary biological materials, such as cell lines, may be limited and current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As a result,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Failure to successfully discover, develop, manufacture and sell biologics—including Skyrizi, Botox, Humira and Creon—could have a negative impact on AbbVie’s business and results of operations.</w:t>
      </w:r>
    </w:p>
    <w:p>
      <w:pPr>
        <w:spacing w:after="0" w:line="224" w:lineRule="exact"/>
        <w:rPr>
          <w:sz w:val="20"/>
          <w:szCs w:val="20"/>
          <w:color w:val="auto"/>
        </w:rPr>
      </w:pPr>
    </w:p>
    <w:p>
      <w:pPr>
        <w:jc w:val="both"/>
        <w:ind w:left="340" w:right="320"/>
        <w:spacing w:after="0" w:line="264" w:lineRule="auto"/>
        <w:rPr>
          <w:sz w:val="20"/>
          <w:szCs w:val="20"/>
          <w:color w:val="auto"/>
        </w:rPr>
      </w:pPr>
      <w:r>
        <w:rPr>
          <w:rFonts w:ascii="Arial" w:cs="Arial" w:eastAsia="Arial" w:hAnsi="Arial"/>
          <w:sz w:val="20"/>
          <w:szCs w:val="20"/>
          <w:b w:val="1"/>
          <w:bCs w:val="1"/>
          <w:i w:val="1"/>
          <w:iCs w:val="1"/>
          <w:color w:val="auto"/>
        </w:rPr>
        <w:t>Trade restrictions, tariffs, and other changes in global trade policy could increase costs, disrupt supply chains, and adversely affect AbbVie’s business and results of operations.</w:t>
      </w:r>
    </w:p>
    <w:p>
      <w:pPr>
        <w:spacing w:after="0" w:line="95" w:lineRule="exact"/>
        <w:rPr>
          <w:sz w:val="20"/>
          <w:szCs w:val="20"/>
          <w:color w:val="auto"/>
        </w:rPr>
      </w:pPr>
    </w:p>
    <w:p>
      <w:pPr>
        <w:ind w:right="120" w:firstLine="359"/>
        <w:spacing w:after="0" w:line="259" w:lineRule="auto"/>
        <w:rPr>
          <w:sz w:val="20"/>
          <w:szCs w:val="20"/>
          <w:color w:val="auto"/>
        </w:rPr>
      </w:pPr>
      <w:r>
        <w:rPr>
          <w:rFonts w:ascii="Arial" w:cs="Arial" w:eastAsia="Arial" w:hAnsi="Arial"/>
          <w:sz w:val="20"/>
          <w:szCs w:val="20"/>
          <w:color w:val="auto"/>
        </w:rPr>
        <w:t>AbbVie operates in a global environment and relies on complex international supply chains for the development, manufacture, and distribution of its products, including the sourcing of active pharmaceutical ingredients and key materials. Changes in global trade policy, including the potential</w:t>
      </w:r>
    </w:p>
    <w:p>
      <w:pPr>
        <w:sectPr>
          <w:pgSz w:w="11880" w:h="15480" w:orient="portrait"/>
          <w:cols w:equalWidth="0" w:num="1">
            <w:col w:w="9100"/>
          </w:cols>
          <w:pgMar w:left="1400" w:top="1030" w:right="1380" w:bottom="87" w:gutter="0" w:footer="0" w:header="0"/>
        </w:sectPr>
      </w:pPr>
    </w:p>
    <w:p>
      <w:pPr>
        <w:spacing w:after="0" w:line="237"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21</w:t>
      </w:r>
    </w:p>
    <w:p>
      <w:pPr>
        <w:sectPr>
          <w:pgSz w:w="11880" w:h="15480" w:orient="portrait"/>
          <w:cols w:equalWidth="0" w:num="1">
            <w:col w:w="9100"/>
          </w:cols>
          <w:pgMar w:left="1400" w:top="1030" w:right="1380" w:bottom="87" w:gutter="0" w:footer="0" w:header="0"/>
          <w:type w:val="continuous"/>
        </w:sectPr>
      </w:pPr>
    </w:p>
    <w:bookmarkStart w:id="27" w:name="page28"/>
    <w:bookmarkEnd w:id="27"/>
    <w:p>
      <w:pPr>
        <w:ind w:right="180"/>
        <w:spacing w:after="0" w:line="251" w:lineRule="auto"/>
        <w:rPr>
          <w:sz w:val="20"/>
          <w:szCs w:val="20"/>
          <w:color w:val="auto"/>
        </w:rPr>
      </w:pPr>
      <w:r>
        <w:rPr>
          <w:rFonts w:ascii="Arial" w:cs="Arial" w:eastAsia="Arial" w:hAnsi="Arial"/>
          <w:sz w:val="20"/>
          <w:szCs w:val="20"/>
          <w:color w:val="auto"/>
        </w:rPr>
        <w:t>imposition of import or export tariffs, trade restrictions, or other measures affecting pharmaceutical products or related inputs, could increase manufacturing and procurement costs, reduce margins or disrupt supply continuity. If AbbVie is unable to substantially mitigate or offset increased costs or disruptions resulting from such measures through pricing adjustments, operational changes, or alternative sourcing arrangements, it may have an adverse effect on AbbVie’s business and results of operations.</w:t>
      </w:r>
    </w:p>
    <w:p>
      <w:pPr>
        <w:spacing w:after="0" w:line="219" w:lineRule="exact"/>
        <w:rPr>
          <w:sz w:val="20"/>
          <w:szCs w:val="20"/>
          <w:color w:val="auto"/>
        </w:rPr>
      </w:pPr>
    </w:p>
    <w:p>
      <w:pPr>
        <w:ind w:left="340" w:right="260"/>
        <w:spacing w:after="0" w:line="262" w:lineRule="auto"/>
        <w:rPr>
          <w:sz w:val="20"/>
          <w:szCs w:val="20"/>
          <w:color w:val="auto"/>
        </w:rPr>
      </w:pPr>
      <w:r>
        <w:rPr>
          <w:rFonts w:ascii="Arial" w:cs="Arial" w:eastAsia="Arial" w:hAnsi="Arial"/>
          <w:sz w:val="20"/>
          <w:szCs w:val="20"/>
          <w:b w:val="1"/>
          <w:bCs w:val="1"/>
          <w:i w:val="1"/>
          <w:iCs w:val="1"/>
          <w:color w:val="auto"/>
        </w:rPr>
        <w:t>New products and technological advances by AbbVie’s competitors may negatively affect AbbVie’s results of operations.</w:t>
      </w:r>
    </w:p>
    <w:p>
      <w:pPr>
        <w:spacing w:after="0" w:line="97"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AbbVie competes with other research-based pharmaceutical and biotechnology companies that research, develop, manufacture, market and sell proprietary pharmaceutical products and biologics. All of these competitors may introduce new products or develop technological advances that compete with AbbVie’s products in therapeutic areas such as immunology, neuroscience, oncology and aesthetics. In addition, as AbbVie products lose exclusivity, competition surrounding such products will increase and generic and biosimilar products will increasingly penetrate the markets. Furthermore, consolidation among certain pharmaceutical and biotechnology companies can enhance such advantages. These advantages may make it difficult for us to compete with them successfully to discover, develop and market new products and for our current products to compete with new products or indications they may bring to market. AbbVie cannot predict with certainty the timing or impact of the introduction by competitors of new products or technological advances. Such competing products may be safer, more effective, more effectively marketed or sold, have lower prices or better insurance coverage or reimbursement levels, or have superior performance features than AbbVie’s products, and this may negatively impact AbbVie’s business and results of operations.</w:t>
      </w:r>
    </w:p>
    <w:p>
      <w:pPr>
        <w:spacing w:after="0" w:line="230" w:lineRule="exact"/>
        <w:rPr>
          <w:sz w:val="20"/>
          <w:szCs w:val="20"/>
          <w:color w:val="auto"/>
        </w:rPr>
      </w:pPr>
    </w:p>
    <w:p>
      <w:pPr>
        <w:jc w:val="both"/>
        <w:ind w:left="340" w:right="120"/>
        <w:spacing w:after="0" w:line="257" w:lineRule="auto"/>
        <w:rPr>
          <w:sz w:val="20"/>
          <w:szCs w:val="20"/>
          <w:color w:val="auto"/>
        </w:rPr>
      </w:pPr>
      <w:r>
        <w:rPr>
          <w:rFonts w:ascii="Arial" w:cs="Arial" w:eastAsia="Arial" w:hAnsi="Arial"/>
          <w:sz w:val="20"/>
          <w:szCs w:val="20"/>
          <w:b w:val="1"/>
          <w:bCs w:val="1"/>
          <w:i w:val="1"/>
          <w:iCs w:val="1"/>
          <w:color w:val="auto"/>
        </w:rPr>
        <w:t>The manufacture of many of AbbVie’s products is a highly exacting and complex process requiring critical environmental controls, and if AbbVie or one of its suppliers encounters problems manufacturing AbbVie’s products, AbbVie’s business could suffer.</w:t>
      </w:r>
    </w:p>
    <w:p>
      <w:pPr>
        <w:spacing w:after="0" w:line="101"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color w:val="auto"/>
        </w:rPr>
        <w:t>The manufacture of many of AbbVie’s products is a highly exacting and complex process, due in part to strict regulatory requirements. Problems may arise during manufacturing for a variety of reasons, including equipment malfunction, failure to follow specific protocols and procedures, problems with raw materials, delays related to the construction of new facilities or the expansion of existing facilities, including those intended to support future demand for AbbVie’s products, changes in manufacturing production sites and limits to manufacturing capacity due to regulatory requirements, changes in the types of products produced, physical limitations that could inhibit continuous supply, labor shortages, supply chain disruption, pandemics, man-made or natural disasters and environmental factors. If problems arise during the production of a batch of product, such batch of product may have to be discarded, and AbbVie may experience product shortages or incur added expenses.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223" w:lineRule="exact"/>
        <w:rPr>
          <w:sz w:val="20"/>
          <w:szCs w:val="20"/>
          <w:color w:val="auto"/>
        </w:rPr>
      </w:pPr>
    </w:p>
    <w:p>
      <w:pPr>
        <w:ind w:left="340"/>
        <w:spacing w:after="0" w:line="254" w:lineRule="auto"/>
        <w:rPr>
          <w:sz w:val="20"/>
          <w:szCs w:val="20"/>
          <w:color w:val="auto"/>
        </w:rPr>
      </w:pPr>
      <w:r>
        <w:rPr>
          <w:rFonts w:ascii="Arial" w:cs="Arial" w:eastAsia="Arial" w:hAnsi="Arial"/>
          <w:sz w:val="20"/>
          <w:szCs w:val="20"/>
          <w:b w:val="1"/>
          <w:bCs w:val="1"/>
          <w:i w:val="1"/>
          <w:iCs w:val="1"/>
          <w:color w:val="auto"/>
        </w:rPr>
        <w:t>AbbVie uses raw materials and components in its pharmaceutical and biologic manufacturing processes, including those sourced from single suppliers around the world, and an interruption in the supply of those raw materials and components could adversely affect AbbVie’s business and results of operations.</w:t>
      </w:r>
    </w:p>
    <w:p>
      <w:pPr>
        <w:spacing w:after="0" w:line="106" w:lineRule="exact"/>
        <w:rPr>
          <w:sz w:val="20"/>
          <w:szCs w:val="20"/>
          <w:color w:val="auto"/>
        </w:rPr>
      </w:pPr>
    </w:p>
    <w:p>
      <w:pPr>
        <w:ind w:firstLine="359"/>
        <w:spacing w:after="0" w:line="267" w:lineRule="auto"/>
        <w:rPr>
          <w:sz w:val="20"/>
          <w:szCs w:val="20"/>
          <w:color w:val="auto"/>
        </w:rPr>
      </w:pPr>
      <w:r>
        <w:rPr>
          <w:rFonts w:ascii="Arial" w:cs="Arial" w:eastAsia="Arial" w:hAnsi="Arial"/>
          <w:sz w:val="19"/>
          <w:szCs w:val="19"/>
          <w:color w:val="auto"/>
        </w:rPr>
        <w:t>AbbVie uses raw materials and components in its pharmaceutical and biologic manufacturing processes that may be sourced from single suppliers. The failure of AbbVie’s suppliers, and particularly its single-source suppliers, to fulfill their contractual obligations in a timely manner or as a result of regulatory noncompliance or physical disruption at a manufacturing site may impair AbbVie’s ability to deliver its products to customers on a timely and competitive basis, which could adversely affect AbbVie’s business and results of operations. Increases in demand on any of AbbVie’s suppliers could result in delays and disruptions in the manufacturing, distribution and sale of its products and/or product shortages, leading to lost revenue. Finding an alternative supplier could take a significant amount of time and</w:t>
      </w:r>
    </w:p>
    <w:p>
      <w:pPr>
        <w:sectPr>
          <w:pgSz w:w="11880" w:h="15480" w:orient="portrait"/>
          <w:cols w:equalWidth="0" w:num="1">
            <w:col w:w="9100"/>
          </w:cols>
          <w:pgMar w:left="1400" w:top="1030" w:right="1380" w:bottom="75"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sz w:val="1"/>
          <w:szCs w:val="1"/>
          <w:color w:val="auto"/>
        </w:rPr>
        <w:drawing>
          <wp:inline distT="0" distB="0" distL="0" distR="0">
            <wp:extent cx="615950"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28" w:name="page29"/>
    <w:bookmarkEnd w:id="28"/>
    <w:p>
      <w:pPr>
        <w:spacing w:after="0" w:line="252" w:lineRule="auto"/>
        <w:rPr>
          <w:sz w:val="20"/>
          <w:szCs w:val="20"/>
          <w:color w:val="auto"/>
        </w:rPr>
      </w:pPr>
      <w:r>
        <w:rPr>
          <w:rFonts w:ascii="Arial" w:cs="Arial" w:eastAsia="Arial" w:hAnsi="Arial"/>
          <w:sz w:val="20"/>
          <w:szCs w:val="20"/>
          <w:color w:val="auto"/>
        </w:rPr>
        <w:t>involve significant expense due to the nature of the products and the need to obtain regulatory approvals. AbbVie cannot guarantee that it will be able to reach agreement with alternative providers or that regulatory authorities would approve AbbVie’s use of such alternatives. Business interruption insurance may not provide adequate compensation in the case of a failure by a supplier.</w:t>
      </w:r>
    </w:p>
    <w:p>
      <w:pPr>
        <w:spacing w:after="0" w:line="213" w:lineRule="exact"/>
        <w:rPr>
          <w:sz w:val="20"/>
          <w:szCs w:val="20"/>
          <w:color w:val="auto"/>
        </w:rPr>
      </w:pPr>
    </w:p>
    <w:p>
      <w:pPr>
        <w:ind w:left="340" w:right="580"/>
        <w:spacing w:after="0" w:line="260" w:lineRule="auto"/>
        <w:rPr>
          <w:sz w:val="20"/>
          <w:szCs w:val="20"/>
          <w:color w:val="auto"/>
        </w:rPr>
      </w:pPr>
      <w:r>
        <w:rPr>
          <w:rFonts w:ascii="Arial" w:cs="Arial" w:eastAsia="Arial" w:hAnsi="Arial"/>
          <w:sz w:val="20"/>
          <w:szCs w:val="20"/>
          <w:b w:val="1"/>
          <w:bCs w:val="1"/>
          <w:i w:val="1"/>
          <w:iCs w:val="1"/>
          <w:color w:val="auto"/>
        </w:rPr>
        <w:t>Certain aspects of AbbVie’s operations are highly dependent upon third party service providers.</w:t>
      </w:r>
    </w:p>
    <w:p>
      <w:pPr>
        <w:spacing w:after="0" w:line="98"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AbbVie relies on suppliers, vendors and other third party service providers to research, develop, manufacture, commercialize, promote and sell its products. In addition, AbbVie relies on third party service providers for support of its information technology services. Reliance on third party manufacturers reduces AbbVie’s oversight and control of the manufacturing process. Some of these third party providers are subject to legal and regulatory requirements, privacy and security risks and market risks of their own. The failure of a critical third party service provider to meet its obligations could have a material adverse impact on AbbVie’s operations and results. If any third party service providers have violated or are alleged to have violated any laws or regulations during the performance of their obligations to AbbVie, it is possible that AbbVie could suffer financial and reputational harm or other negative outcomes, including possible legal consequences.</w:t>
      </w:r>
    </w:p>
    <w:p>
      <w:pPr>
        <w:spacing w:after="0" w:line="225" w:lineRule="exact"/>
        <w:rPr>
          <w:sz w:val="20"/>
          <w:szCs w:val="20"/>
          <w:color w:val="auto"/>
        </w:rPr>
      </w:pPr>
    </w:p>
    <w:p>
      <w:pPr>
        <w:ind w:left="340" w:right="200"/>
        <w:spacing w:after="0" w:line="260" w:lineRule="auto"/>
        <w:rPr>
          <w:sz w:val="20"/>
          <w:szCs w:val="20"/>
          <w:color w:val="auto"/>
        </w:rPr>
      </w:pPr>
      <w:r>
        <w:rPr>
          <w:rFonts w:ascii="Arial" w:cs="Arial" w:eastAsia="Arial" w:hAnsi="Arial"/>
          <w:sz w:val="20"/>
          <w:szCs w:val="20"/>
          <w:b w:val="1"/>
          <w:bCs w:val="1"/>
          <w:i w:val="1"/>
          <w:iCs w:val="1"/>
          <w:color w:val="auto"/>
        </w:rPr>
        <w:t>Significant safety or efficacy issues could arise for AbbVie’s products, which could have a material adverse effect on AbbVie’s revenues and financial condition.</w:t>
      </w:r>
    </w:p>
    <w:p>
      <w:pPr>
        <w:spacing w:after="0" w:line="98" w:lineRule="exact"/>
        <w:rPr>
          <w:sz w:val="20"/>
          <w:szCs w:val="20"/>
          <w:color w:val="auto"/>
        </w:rPr>
      </w:pPr>
    </w:p>
    <w:p>
      <w:pPr>
        <w:ind w:firstLine="359"/>
        <w:spacing w:after="0" w:line="261" w:lineRule="auto"/>
        <w:rPr>
          <w:sz w:val="20"/>
          <w:szCs w:val="20"/>
          <w:color w:val="auto"/>
        </w:rPr>
      </w:pPr>
      <w:r>
        <w:rPr>
          <w:rFonts w:ascii="Arial" w:cs="Arial" w:eastAsia="Arial" w:hAnsi="Arial"/>
          <w:sz w:val="19"/>
          <w:szCs w:val="19"/>
          <w:color w:val="auto"/>
        </w:rPr>
        <w:t>Pharmaceutical products receive regulatory approval based on data obtained in controlled clinical trials of limited duration. Following regulatory approval, these products will be used over longer periods of time in many patients. Additional, and perhaps more extensive, studies may also be conducted, which may be sponsored by AbbVie but could also be sponsored by competitors, insurance companies, government institutions, scientists, investigators or other interested parties. If new safety or efficacy issues are reported or if new scientific information becomes available (including results of post-marketing Phase 4 trials), or if governments change standards regarding safety, efficacy or labeling, AbbVie may be required to amend the conditions of use for a product. For example, AbbVie may voluntarily provide or be required to provide updated information on a product’s label or narrow its approved indication, either of which could reduce the product’s market acceptance. If safety or efficacy issues with an AbbVie product arise, sales of the product could be halted by AbbVie or by regulatory authorities and regulatory action could be taken by such regulatory authorities. Safety or efficacy issues affecting suppliers’ or competitors’ products also may reduce the market acceptance of similar AbbVie products.</w:t>
      </w:r>
    </w:p>
    <w:p>
      <w:pPr>
        <w:spacing w:after="0" w:line="112" w:lineRule="exact"/>
        <w:rPr>
          <w:sz w:val="20"/>
          <w:szCs w:val="20"/>
          <w:color w:val="auto"/>
        </w:rPr>
      </w:pPr>
    </w:p>
    <w:p>
      <w:pPr>
        <w:ind w:firstLine="359"/>
        <w:spacing w:after="0" w:line="264" w:lineRule="auto"/>
        <w:rPr>
          <w:sz w:val="20"/>
          <w:szCs w:val="20"/>
          <w:color w:val="auto"/>
        </w:rPr>
      </w:pPr>
      <w:r>
        <w:rPr>
          <w:rFonts w:ascii="Arial" w:cs="Arial" w:eastAsia="Arial" w:hAnsi="Arial"/>
          <w:sz w:val="19"/>
          <w:szCs w:val="19"/>
          <w:color w:val="auto"/>
        </w:rPr>
        <w:t>New data about AbbVie’s products, or products similar to its products, could negatively impact demand for AbbVie’s products due to actual or perceived safety issues or uncertainty regarding efficacy and, in some cases, could result in product withdrawal. Furthermore, new data and information, including information about product misuse, may lead government agencies, professional societies, practice management groups or organizations involved with various diseases to publish guidelines or recommendations related to the use of AbbVie’s products or the use of related therapies or place restrictions on sales. Such guidelines or recommendations may lead to lower sales of AbbVie’s products.</w:t>
      </w:r>
    </w:p>
    <w:p>
      <w:pPr>
        <w:spacing w:after="0" w:line="209" w:lineRule="exact"/>
        <w:rPr>
          <w:sz w:val="20"/>
          <w:szCs w:val="20"/>
          <w:color w:val="auto"/>
        </w:rPr>
      </w:pPr>
    </w:p>
    <w:p>
      <w:pPr>
        <w:ind w:left="340" w:right="100"/>
        <w:spacing w:after="0" w:line="262" w:lineRule="auto"/>
        <w:rPr>
          <w:sz w:val="20"/>
          <w:szCs w:val="20"/>
          <w:color w:val="auto"/>
        </w:rPr>
      </w:pPr>
      <w:r>
        <w:rPr>
          <w:rFonts w:ascii="Arial" w:cs="Arial" w:eastAsia="Arial" w:hAnsi="Arial"/>
          <w:sz w:val="20"/>
          <w:szCs w:val="20"/>
          <w:b w:val="1"/>
          <w:bCs w:val="1"/>
          <w:i w:val="1"/>
          <w:iCs w:val="1"/>
          <w:color w:val="auto"/>
        </w:rPr>
        <w:t>AbbVie is subject to product liability claims and other lawsuits that may adversely affect its business, results of operations and reputation.</w:t>
      </w:r>
    </w:p>
    <w:p>
      <w:pPr>
        <w:spacing w:after="0" w:line="97" w:lineRule="exact"/>
        <w:rPr>
          <w:sz w:val="20"/>
          <w:szCs w:val="20"/>
          <w:color w:val="auto"/>
        </w:rPr>
      </w:pPr>
    </w:p>
    <w:p>
      <w:pPr>
        <w:ind w:right="20" w:firstLine="359"/>
        <w:spacing w:after="0" w:line="249" w:lineRule="auto"/>
        <w:rPr>
          <w:sz w:val="20"/>
          <w:szCs w:val="20"/>
          <w:color w:val="auto"/>
        </w:rPr>
      </w:pPr>
      <w:r>
        <w:rPr>
          <w:rFonts w:ascii="Arial" w:cs="Arial" w:eastAsia="Arial" w:hAnsi="Arial"/>
          <w:sz w:val="20"/>
          <w:szCs w:val="20"/>
          <w:color w:val="auto"/>
        </w:rPr>
        <w:t>In the ordinary course of business, AbbVie is the subject of product liability claims and lawsuits alleging that AbbVie’s current or historical products or the products of other companies that it promotes have resulted or could result in an unsafe condition for or injury to patients. Product liability claims and lawsuits and safety alerts or product recalls, regardless of their ultimate outcome, may have a material adverse effect on AbbVie’s business, results of operations and reputation and on its ability to attract and retain customers. Consequences may also include additional costs, a decrease in market share for the product in question, lower revenue and exposure to other claims. Additionally, some of these matters involve numerous plaintiffs and parties seeking large or indeterminate financial claims and may remain unresolved for several years. AbbVie evaluates its risks and has determined that the cost of obtaining product liability insurance outweighs the likely benefits of the coverage that is available and, as such, AbbVie’s product liability losses are self-insured.</w:t>
      </w:r>
    </w:p>
    <w:p>
      <w:pPr>
        <w:sectPr>
          <w:pgSz w:w="11880" w:h="15480" w:orient="portrait"/>
          <w:cols w:equalWidth="0" w:num="1">
            <w:col w:w="9100"/>
          </w:cols>
          <w:pgMar w:left="1400" w:top="1030" w:right="1380" w:bottom="87" w:gutter="0" w:footer="0" w:header="0"/>
        </w:sectPr>
      </w:pPr>
    </w:p>
    <w:p>
      <w:pPr>
        <w:spacing w:after="0" w:line="25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23</w:t>
      </w:r>
    </w:p>
    <w:p>
      <w:pPr>
        <w:sectPr>
          <w:pgSz w:w="11880" w:h="15480" w:orient="portrait"/>
          <w:cols w:equalWidth="0" w:num="1">
            <w:col w:w="9100"/>
          </w:cols>
          <w:pgMar w:left="1400" w:top="1030" w:right="1380" w:bottom="87" w:gutter="0" w:footer="0" w:header="0"/>
          <w:type w:val="continuous"/>
        </w:sectPr>
      </w:pPr>
    </w:p>
    <w:bookmarkStart w:id="29" w:name="page30"/>
    <w:bookmarkEnd w:id="29"/>
    <w:p>
      <w:pPr>
        <w:ind w:right="60" w:firstLine="359"/>
        <w:spacing w:after="0" w:line="263" w:lineRule="auto"/>
        <w:rPr>
          <w:sz w:val="20"/>
          <w:szCs w:val="20"/>
          <w:color w:val="auto"/>
        </w:rPr>
      </w:pPr>
      <w:r>
        <w:rPr>
          <w:rFonts w:ascii="Arial" w:cs="Arial" w:eastAsia="Arial" w:hAnsi="Arial"/>
          <w:sz w:val="19"/>
          <w:szCs w:val="19"/>
          <w:color w:val="auto"/>
        </w:rPr>
        <w:t>AbbVie is also the subject of other claims, legal proceedings and investigations in the ordinary course of business, which relate to intellectual property, commercial, securities and other matters. Adverse outcomes in such claims, legal proceedings and investigations may also adversely affect AbbVie’s business, results of operations and reputation. See Note 15, “Legal Proceedings and Contingencies” to the Consolidated Financial Statements included under Item 8, “Financial Statements and Supplementary Data.” AbbVie cannot predict with certainty the outcome of these proceedings.</w:t>
      </w:r>
    </w:p>
    <w:p>
      <w:pPr>
        <w:spacing w:after="0" w:line="202" w:lineRule="exact"/>
        <w:rPr>
          <w:sz w:val="20"/>
          <w:szCs w:val="20"/>
          <w:color w:val="auto"/>
        </w:rPr>
      </w:pPr>
    </w:p>
    <w:p>
      <w:pPr>
        <w:ind w:left="340" w:right="360"/>
        <w:spacing w:after="0" w:line="258" w:lineRule="auto"/>
        <w:rPr>
          <w:sz w:val="20"/>
          <w:szCs w:val="20"/>
          <w:color w:val="auto"/>
        </w:rPr>
      </w:pPr>
      <w:r>
        <w:rPr>
          <w:rFonts w:ascii="Arial" w:cs="Arial" w:eastAsia="Arial" w:hAnsi="Arial"/>
          <w:sz w:val="20"/>
          <w:szCs w:val="20"/>
          <w:b w:val="1"/>
          <w:bCs w:val="1"/>
          <w:i w:val="1"/>
          <w:iCs w:val="1"/>
          <w:color w:val="auto"/>
        </w:rPr>
        <w:t>AbbVie is subject to governmental regulations, and it can be costly to comply with these regulations and to develop compliant products and processes.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AbbVie’s products are subject to rigorous regulation by numerous international, supranational,</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federal and state authorities, as described in Item 1, “Business—Regulation—Discovery and Clinical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Development,” “Business—Regulation—Commercialization, Distribution and Manufacturing,” and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“Business—Regulation—Medical Devices.” The process of obtaining regulatory approvals to market a</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pharmaceutical product can be costly and time consuming, and approvals may not be granted for future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products, or additional indications or uses of existing products, on a timely basis, if at all. Delays in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the receipt of, or failure to obtain approvals for, future products, or new indications and uses, could result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 delayed realization of product revenues, reduction in revenues and substantial additional costs.</w:t>
      </w:r>
    </w:p>
    <w:p>
      <w:pPr>
        <w:spacing w:after="0" w:line="130" w:lineRule="exact"/>
        <w:rPr>
          <w:sz w:val="20"/>
          <w:szCs w:val="20"/>
          <w:color w:val="auto"/>
        </w:rPr>
      </w:pPr>
    </w:p>
    <w:p>
      <w:pPr>
        <w:ind w:firstLine="359"/>
        <w:spacing w:after="0" w:line="264" w:lineRule="auto"/>
        <w:rPr>
          <w:sz w:val="20"/>
          <w:szCs w:val="20"/>
          <w:color w:val="auto"/>
        </w:rPr>
      </w:pPr>
      <w:r>
        <w:rPr>
          <w:rFonts w:ascii="Arial" w:cs="Arial" w:eastAsia="Arial" w:hAnsi="Arial"/>
          <w:sz w:val="19"/>
          <w:szCs w:val="19"/>
          <w:color w:val="auto"/>
        </w:rPr>
        <w:t>The U.S. healthcare industry, in particular, is highly regulated and subject to frequent and substantial regulatory changes. It is expected that the U.S. healthcare industry will continue to be subject to increasing regulation as well as political and legal action, as future proposals to reform the healthcare system are considered by federal, state and local governments. Changes in healthcare policy may introduce additional and significant changes to healthcare regulation and the healthcare industry. AbbVie cannot predict with certainty when additional changes in the healthcare industry in general, or the pharmaceutical industry in particular, will occur, or what the impact of such changes may be.</w:t>
      </w:r>
    </w:p>
    <w:p>
      <w:pPr>
        <w:spacing w:after="0" w:line="106" w:lineRule="exact"/>
        <w:rPr>
          <w:sz w:val="20"/>
          <w:szCs w:val="20"/>
          <w:color w:val="auto"/>
        </w:rPr>
      </w:pPr>
    </w:p>
    <w:p>
      <w:pPr>
        <w:ind w:right="100" w:firstLine="359"/>
        <w:spacing w:after="0" w:line="249" w:lineRule="auto"/>
        <w:rPr>
          <w:sz w:val="20"/>
          <w:szCs w:val="20"/>
          <w:color w:val="auto"/>
        </w:rPr>
      </w:pPr>
      <w:r>
        <w:rPr>
          <w:rFonts w:ascii="Arial" w:cs="Arial" w:eastAsia="Arial" w:hAnsi="Arial"/>
          <w:sz w:val="20"/>
          <w:szCs w:val="20"/>
          <w:color w:val="auto"/>
        </w:rPr>
        <w:t>In addition, AbbVie cannot guarantee that it will remain compliant with applicable regulatory requirements once approval has been obtained for a product. These requirements include, among other things, regulations regarding manufacturing practices, product labeling and advertising and post-marketing reporting, including adverse event reports and field alerts due to manufacturing quality concerns. AbbVie must incur expense and spend time and effort to ensure compliance with these complex regulations.</w:t>
      </w:r>
    </w:p>
    <w:p>
      <w:pPr>
        <w:spacing w:after="0" w:line="121"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Possible regulatory actions could result in substantial modifications to AbbVie’s business practices and operations; refunds, recalls or seizures of AbbVie’s products; a total or partial shutdown of production in one or more of AbbVie’s or its suppliers’ facilities while AbbVie or its supplier remedies the alleged violation; the inability to obtain future approvals; and withdrawals or suspensions of current products from the market. Any of these events could disrupt AbbVie’s business and have a material adverse effect on its business and results of operations.</w:t>
      </w:r>
    </w:p>
    <w:p>
      <w:pPr>
        <w:spacing w:after="0" w:line="219" w:lineRule="exact"/>
        <w:rPr>
          <w:sz w:val="20"/>
          <w:szCs w:val="20"/>
          <w:color w:val="auto"/>
        </w:rPr>
      </w:pPr>
    </w:p>
    <w:p>
      <w:pPr>
        <w:ind w:left="340" w:right="40"/>
        <w:spacing w:after="0" w:line="287" w:lineRule="auto"/>
        <w:rPr>
          <w:sz w:val="20"/>
          <w:szCs w:val="20"/>
          <w:color w:val="auto"/>
        </w:rPr>
      </w:pPr>
      <w:r>
        <w:rPr>
          <w:rFonts w:ascii="Arial" w:cs="Arial" w:eastAsia="Arial" w:hAnsi="Arial"/>
          <w:sz w:val="19"/>
          <w:szCs w:val="19"/>
          <w:b w:val="1"/>
          <w:bCs w:val="1"/>
          <w:i w:val="1"/>
          <w:iCs w:val="1"/>
          <w:color w:val="auto"/>
        </w:rPr>
        <w:t>Laws and regulations affecting government benefit programs could impose new obligations on AbbVie, require it to change its business practices, and restrict its operations.</w:t>
      </w:r>
    </w:p>
    <w:p>
      <w:pPr>
        <w:spacing w:after="0" w:line="74"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The health care industry is subject to federal, state and international laws and regulations pertaining to government benefit program reimbursements, rebates, price reporting and regulation and health care fraud and abuse. In the United States, these laws include anti-kickback and false claims laws, the Medicaid Rebate Statute, the Veterans Health Care Act, the U.S. Physician Payments Sunshine Act, the TRICARE program, the government pricing rules applicable to the Medicaid, Medicare Part B, 340B Drug Pricing Program and individual state laws relating to pricing and sales and marketing practices. The 340B Drug Pricing Program requires participating manufacturers to offer discounts to covered entities and growth in entities claiming entitlement to 340B pricing has increased the portion of our sales subject to such discounts. Manufacturer policies designed to improve program integrity have been subject to enforcement actions and legal challenges under federal and state laws. Adverse outcomes in 340B-related litigation or significant changes to our 340B approach could adversely affect our revenues and results of operations.</w:t>
      </w:r>
    </w:p>
    <w:p>
      <w:pPr>
        <w:spacing w:after="0" w:line="125" w:lineRule="exact"/>
        <w:rPr>
          <w:sz w:val="20"/>
          <w:szCs w:val="20"/>
          <w:color w:val="auto"/>
        </w:rPr>
      </w:pPr>
    </w:p>
    <w:p>
      <w:pPr>
        <w:ind w:right="20" w:firstLine="359"/>
        <w:spacing w:after="0" w:line="291" w:lineRule="auto"/>
        <w:rPr>
          <w:sz w:val="20"/>
          <w:szCs w:val="20"/>
          <w:color w:val="auto"/>
        </w:rPr>
      </w:pPr>
      <w:r>
        <w:rPr>
          <w:rFonts w:ascii="Arial" w:cs="Arial" w:eastAsia="Arial" w:hAnsi="Arial"/>
          <w:sz w:val="19"/>
          <w:szCs w:val="19"/>
          <w:color w:val="auto"/>
        </w:rPr>
        <w:t>Violations of such laws and regulations may be punishable by criminal and/or civil sanctions, including, in some instances, substantial fines, imprisonment and exclusion from participation in federal</w:t>
      </w:r>
    </w:p>
    <w:p>
      <w:pPr>
        <w:sectPr>
          <w:pgSz w:w="11880" w:h="15480" w:orient="portrait"/>
          <w:cols w:equalWidth="0" w:num="1">
            <w:col w:w="9100"/>
          </w:cols>
          <w:pgMar w:left="1400" w:top="1030" w:right="1380" w:bottom="75"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sz w:val="1"/>
          <w:szCs w:val="1"/>
          <w:color w:val="auto"/>
        </w:rPr>
        <w:drawing>
          <wp:inline distT="0" distB="0" distL="0" distR="0">
            <wp:extent cx="615950" cy="1282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30" w:name="page31"/>
    <w:bookmarkEnd w:id="30"/>
    <w:p>
      <w:pPr>
        <w:spacing w:after="0" w:line="249" w:lineRule="auto"/>
        <w:rPr>
          <w:sz w:val="20"/>
          <w:szCs w:val="20"/>
          <w:color w:val="auto"/>
        </w:rPr>
      </w:pPr>
      <w:r>
        <w:rPr>
          <w:rFonts w:ascii="Arial" w:cs="Arial" w:eastAsia="Arial" w:hAnsi="Arial"/>
          <w:sz w:val="20"/>
          <w:szCs w:val="20"/>
          <w:color w:val="auto"/>
        </w:rPr>
        <w:t>and state health care programs, including Medicare, Medicaid and Veterans Administration health programs. Such violations may also lead to product recalls and seizures, interruption of production leading to product shortages, import bans or denials of import certifications, delays or denials in the approvals of new products or supplemental approvals of current products pending resolution of the issues, and reputational harm, any of which would adversely affect AbbVie’s business. These laws and regulations are broad in scope and are subject to change and evolving interpretations, which could require AbbVie to incur substantial costs associated with compliance or to alter one or more of its sales or marketing practices. In addition, violations of these laws and regulations, or allegations of such violations, could impose new obligations on AbbVie, require it to change its business practices and restrict its operations.</w:t>
      </w:r>
    </w:p>
    <w:p>
      <w:pPr>
        <w:spacing w:after="0" w:line="226" w:lineRule="exact"/>
        <w:rPr>
          <w:sz w:val="20"/>
          <w:szCs w:val="20"/>
          <w:color w:val="auto"/>
        </w:rPr>
      </w:pPr>
    </w:p>
    <w:p>
      <w:pPr>
        <w:ind w:left="340" w:right="240"/>
        <w:spacing w:after="0" w:line="264" w:lineRule="auto"/>
        <w:rPr>
          <w:sz w:val="20"/>
          <w:szCs w:val="20"/>
          <w:color w:val="auto"/>
        </w:rPr>
      </w:pPr>
      <w:r>
        <w:rPr>
          <w:rFonts w:ascii="Arial" w:cs="Arial" w:eastAsia="Arial" w:hAnsi="Arial"/>
          <w:sz w:val="20"/>
          <w:szCs w:val="20"/>
          <w:b w:val="1"/>
          <w:bCs w:val="1"/>
          <w:i w:val="1"/>
          <w:iCs w:val="1"/>
          <w:color w:val="auto"/>
        </w:rPr>
        <w:t>The international nature of AbbVie’s business subjects it to additional business risks that may cause its revenue and profitability to decline.</w:t>
      </w:r>
    </w:p>
    <w:p>
      <w:pPr>
        <w:spacing w:after="0" w:line="95" w:lineRule="exact"/>
        <w:rPr>
          <w:sz w:val="20"/>
          <w:szCs w:val="20"/>
          <w:color w:val="auto"/>
        </w:rPr>
      </w:pPr>
    </w:p>
    <w:p>
      <w:pPr>
        <w:ind w:right="40" w:firstLine="359"/>
        <w:spacing w:after="0" w:line="256" w:lineRule="auto"/>
        <w:rPr>
          <w:sz w:val="20"/>
          <w:szCs w:val="20"/>
          <w:color w:val="auto"/>
        </w:rPr>
      </w:pPr>
      <w:r>
        <w:rPr>
          <w:rFonts w:ascii="Arial" w:cs="Arial" w:eastAsia="Arial" w:hAnsi="Arial"/>
          <w:sz w:val="20"/>
          <w:szCs w:val="20"/>
          <w:color w:val="auto"/>
        </w:rPr>
        <w:t>AbbVie’s business is subject to risks associated with doing business internationally, including in emerging markets. Net revenues outside of the United States made up approximately 24% of AbbVie’s total net revenues in 2025. The risks associated with AbbVie’s operations outside the United States include:</w:t>
      </w:r>
    </w:p>
    <w:p>
      <w:pPr>
        <w:spacing w:after="0" w:line="96" w:lineRule="exact"/>
        <w:rPr>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fluctuations in currency exchange rates;</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changes in medical reimbursement policies and programs and pricing restrictions;</w:t>
      </w:r>
    </w:p>
    <w:p>
      <w:pPr>
        <w:spacing w:after="0" w:line="129" w:lineRule="exact"/>
        <w:rPr>
          <w:rFonts w:ascii="Arial" w:cs="Arial" w:eastAsia="Arial" w:hAnsi="Arial"/>
          <w:sz w:val="20"/>
          <w:szCs w:val="20"/>
          <w:color w:val="auto"/>
        </w:rPr>
      </w:pPr>
    </w:p>
    <w:p>
      <w:pPr>
        <w:ind w:left="540" w:right="500" w:hanging="191"/>
        <w:spacing w:after="0" w:line="269" w:lineRule="auto"/>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multiple legal and regulatory requirements that are subject to change and that could restrict AbbVie’s ability to manufacture, market and sell its products;</w:t>
      </w:r>
    </w:p>
    <w:p>
      <w:pPr>
        <w:spacing w:after="0" w:line="83"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differing local product preferences and product requirements;</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import or export licensing requirements;</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international trade disruptions or disputes;</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difficulty in establishing, staffing and managing operations;</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differing labor regulations;</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potentially negative consequences from changes in or interpretations of tax laws;</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political and economic instability;</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conflicts or crises in individual countries or regions, including terrorist activities or wars;</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sovereign debt issues;</w:t>
      </w:r>
    </w:p>
    <w:p>
      <w:pPr>
        <w:spacing w:after="0" w:line="129" w:lineRule="exact"/>
        <w:rPr>
          <w:rFonts w:ascii="Arial" w:cs="Arial" w:eastAsia="Arial" w:hAnsi="Arial"/>
          <w:sz w:val="20"/>
          <w:szCs w:val="20"/>
          <w:color w:val="auto"/>
        </w:rPr>
      </w:pPr>
    </w:p>
    <w:p>
      <w:pPr>
        <w:ind w:left="540" w:right="800" w:hanging="191"/>
        <w:spacing w:after="0" w:line="269" w:lineRule="auto"/>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price and currency exchange controls, limitations on participation in local enterprises, expropriation, nationalization and other governmental action and regulation;</w:t>
      </w:r>
    </w:p>
    <w:p>
      <w:pPr>
        <w:spacing w:after="0" w:line="83"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inflation, recession and fluctuations in interest rates;</w:t>
      </w:r>
    </w:p>
    <w:p>
      <w:pPr>
        <w:spacing w:after="0" w:line="129" w:lineRule="exact"/>
        <w:rPr>
          <w:rFonts w:ascii="Arial" w:cs="Arial" w:eastAsia="Arial" w:hAnsi="Arial"/>
          <w:sz w:val="20"/>
          <w:szCs w:val="20"/>
          <w:color w:val="auto"/>
        </w:rPr>
      </w:pPr>
    </w:p>
    <w:p>
      <w:pPr>
        <w:ind w:left="540" w:hanging="191"/>
        <w:spacing w:after="0"/>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restrictions on transfers of funds;</w:t>
      </w:r>
    </w:p>
    <w:p>
      <w:pPr>
        <w:spacing w:after="0" w:line="129" w:lineRule="exact"/>
        <w:rPr>
          <w:rFonts w:ascii="Arial" w:cs="Arial" w:eastAsia="Arial" w:hAnsi="Arial"/>
          <w:sz w:val="20"/>
          <w:szCs w:val="20"/>
          <w:color w:val="auto"/>
        </w:rPr>
      </w:pPr>
    </w:p>
    <w:p>
      <w:pPr>
        <w:ind w:left="540" w:right="220" w:hanging="191"/>
        <w:spacing w:after="0" w:line="269" w:lineRule="auto"/>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potential deterioration in the economic position and credit quality of certain non-U.S. countries; and</w:t>
      </w:r>
    </w:p>
    <w:p>
      <w:pPr>
        <w:spacing w:after="0" w:line="83" w:lineRule="exact"/>
        <w:rPr>
          <w:rFonts w:ascii="Arial" w:cs="Arial" w:eastAsia="Arial" w:hAnsi="Arial"/>
          <w:sz w:val="20"/>
          <w:szCs w:val="20"/>
          <w:color w:val="auto"/>
        </w:rPr>
      </w:pPr>
    </w:p>
    <w:p>
      <w:pPr>
        <w:ind w:left="540" w:right="40" w:hanging="191"/>
        <w:spacing w:after="0" w:line="259" w:lineRule="auto"/>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potential penalties or other adverse consequences for violations of anti-corruption, anti-bribery and other similar laws and regulations, including the United States Foreign Corrupt Practices Act and the United Kingdom Bribery Act.</w:t>
      </w:r>
    </w:p>
    <w:p>
      <w:pPr>
        <w:spacing w:after="0" w:line="211" w:lineRule="exact"/>
        <w:rPr>
          <w:sz w:val="20"/>
          <w:szCs w:val="20"/>
          <w:color w:val="auto"/>
        </w:rPr>
      </w:pPr>
    </w:p>
    <w:p>
      <w:pPr>
        <w:ind w:left="340" w:right="60"/>
        <w:spacing w:after="0" w:line="264" w:lineRule="auto"/>
        <w:rPr>
          <w:sz w:val="20"/>
          <w:szCs w:val="20"/>
          <w:color w:val="auto"/>
        </w:rPr>
      </w:pPr>
      <w:r>
        <w:rPr>
          <w:rFonts w:ascii="Arial" w:cs="Arial" w:eastAsia="Arial" w:hAnsi="Arial"/>
          <w:sz w:val="20"/>
          <w:szCs w:val="20"/>
          <w:b w:val="1"/>
          <w:bCs w:val="1"/>
          <w:i w:val="1"/>
          <w:iCs w:val="1"/>
          <w:color w:val="auto"/>
        </w:rPr>
        <w:t>If AbbVie does not effectively and profitably commercialize its products, AbbVie’s revenues and financial condition could be adversely affected.</w:t>
      </w:r>
    </w:p>
    <w:p>
      <w:pPr>
        <w:spacing w:after="0" w:line="95" w:lineRule="exact"/>
        <w:rPr>
          <w:sz w:val="20"/>
          <w:szCs w:val="20"/>
          <w:color w:val="auto"/>
        </w:rPr>
      </w:pPr>
    </w:p>
    <w:p>
      <w:pPr>
        <w:ind w:right="20" w:firstLine="359"/>
        <w:spacing w:after="0" w:line="273" w:lineRule="auto"/>
        <w:rPr>
          <w:sz w:val="20"/>
          <w:szCs w:val="20"/>
          <w:color w:val="auto"/>
        </w:rPr>
      </w:pPr>
      <w:r>
        <w:rPr>
          <w:rFonts w:ascii="Arial" w:cs="Arial" w:eastAsia="Arial" w:hAnsi="Arial"/>
          <w:sz w:val="19"/>
          <w:szCs w:val="19"/>
          <w:color w:val="auto"/>
        </w:rPr>
        <w:t>AbbVie must effectively and profitably commercialize its principal products by creating and meeting continued market demand; achieving market acceptance and generating product sales; ensuring that the active pharmaceutical ingredient(s) for a product and the finished product are manufactured in sufficient quantities and in compliance with requirements of the FDA and similar foreign regulatory</w:t>
      </w:r>
    </w:p>
    <w:p>
      <w:pPr>
        <w:sectPr>
          <w:pgSz w:w="11880" w:h="15480" w:orient="portrait"/>
          <w:cols w:equalWidth="0" w:num="1">
            <w:col w:w="9100"/>
          </w:cols>
          <w:pgMar w:left="1400" w:top="1030" w:right="1380" w:bottom="87" w:gutter="0" w:footer="0" w:header="0"/>
        </w:sectPr>
      </w:pPr>
    </w:p>
    <w:p>
      <w:pPr>
        <w:spacing w:after="0" w:line="227"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25</w:t>
      </w:r>
    </w:p>
    <w:p>
      <w:pPr>
        <w:sectPr>
          <w:pgSz w:w="11880" w:h="15480" w:orient="portrait"/>
          <w:cols w:equalWidth="0" w:num="1">
            <w:col w:w="9100"/>
          </w:cols>
          <w:pgMar w:left="1400" w:top="1030" w:right="1380" w:bottom="87" w:gutter="0" w:footer="0" w:header="0"/>
          <w:type w:val="continuous"/>
        </w:sectPr>
      </w:pPr>
    </w:p>
    <w:bookmarkStart w:id="31" w:name="page32"/>
    <w:bookmarkEnd w:id="31"/>
    <w:p>
      <w:pPr>
        <w:spacing w:after="0" w:line="248" w:lineRule="auto"/>
        <w:rPr>
          <w:sz w:val="20"/>
          <w:szCs w:val="20"/>
          <w:color w:val="auto"/>
        </w:rPr>
      </w:pPr>
      <w:r>
        <w:rPr>
          <w:rFonts w:ascii="Arial" w:cs="Arial" w:eastAsia="Arial" w:hAnsi="Arial"/>
          <w:sz w:val="20"/>
          <w:szCs w:val="20"/>
          <w:color w:val="auto"/>
        </w:rPr>
        <w:t>agencies and with acceptable quality and pricing to meet commercial demand; and ensuring that the entire supply chain efficiently and consistently delivers AbbVie’s products to its customers. The commercialization of AbbVie products may not be successful due to, among other things, unexpected challenges from competitors, new safety issues or concerns being reported that may impact or narrow approved indications, the relative price of AbbVie’s product as compared to alternative treatment options and changes to a product’s label that further restrict its marketing. If the commercialization of AbbVie’s principal products is unsuccessful, AbbVie’s revenues and financial condition could be adversely affected.</w:t>
      </w:r>
    </w:p>
    <w:p>
      <w:pPr>
        <w:spacing w:after="0" w:line="200" w:lineRule="exact"/>
        <w:rPr>
          <w:sz w:val="20"/>
          <w:szCs w:val="20"/>
          <w:color w:val="auto"/>
        </w:rPr>
      </w:pPr>
    </w:p>
    <w:p>
      <w:pPr>
        <w:ind w:left="340"/>
        <w:spacing w:after="0" w:line="253" w:lineRule="auto"/>
        <w:rPr>
          <w:sz w:val="20"/>
          <w:szCs w:val="20"/>
          <w:color w:val="auto"/>
        </w:rPr>
      </w:pPr>
      <w:r>
        <w:rPr>
          <w:rFonts w:ascii="Arial" w:cs="Arial" w:eastAsia="Arial" w:hAnsi="Arial"/>
          <w:sz w:val="20"/>
          <w:szCs w:val="20"/>
          <w:b w:val="1"/>
          <w:bCs w:val="1"/>
          <w:i w:val="1"/>
          <w:iCs w:val="1"/>
          <w:color w:val="auto"/>
        </w:rPr>
        <w:t>AbbVie may acquire other businesses, license rights to technologies or products, form alliances, or dispose of assets, which could cause it to incur significant expenses and could negatively affect profitability.</w:t>
      </w:r>
    </w:p>
    <w:p>
      <w:pPr>
        <w:spacing w:after="0" w:line="105"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AbbVie from time to time pursues acquisitions, technology licensing arrangements, joint ventures and strategic alliances, and/or disposes of some of its assets, as part of its business strategy. AbbVie may not complete these transactions in a timely manner, on a cost-effective basis, or at all, and may not realize the expected benefits. If AbbVie is successful in making an acquisition, the products and technologies that are acquired may not be successful or may require significantly greater resources and investments than originally anticipated. AbbVie may not be able to integrate acquisitions successfully into its existing business and could incur or assume significant debt and unknown or contingent liabilities. AbbVie could also experience negative effects on its reported results of operations from acquisition or disposition-related charges, amortization of expenses related to intangibles and charges for impairment of long-term assets. These effects could cause a deterioration of AbbVie’s credit rating and result in increased borrowing costs and interest expense.</w:t>
      </w:r>
    </w:p>
    <w:p>
      <w:pPr>
        <w:spacing w:after="0" w:line="114" w:lineRule="exact"/>
        <w:rPr>
          <w:sz w:val="20"/>
          <w:szCs w:val="20"/>
          <w:color w:val="auto"/>
        </w:rPr>
      </w:pPr>
    </w:p>
    <w:p>
      <w:pPr>
        <w:ind w:firstLine="359"/>
        <w:spacing w:after="0" w:line="269" w:lineRule="auto"/>
        <w:rPr>
          <w:sz w:val="20"/>
          <w:szCs w:val="20"/>
          <w:color w:val="auto"/>
        </w:rPr>
      </w:pPr>
      <w:r>
        <w:rPr>
          <w:rFonts w:ascii="Arial" w:cs="Arial" w:eastAsia="Arial" w:hAnsi="Arial"/>
          <w:sz w:val="19"/>
          <w:szCs w:val="19"/>
          <w:color w:val="auto"/>
        </w:rPr>
        <w:t>Additionally, changes in AbbVie’s structure, operations, revenues, costs, or efficiency resulting from major transactions such as acquisitions, divestitures, mergers, alliances, joint ventures, restructurings or other strategic initiatives, may result in greater than expected costs, may take longer than expected to complete or encounter other difficulties, including the need for regulatory approval where appropriate.</w:t>
      </w:r>
    </w:p>
    <w:p>
      <w:pPr>
        <w:spacing w:after="0" w:line="178" w:lineRule="exact"/>
        <w:rPr>
          <w:sz w:val="20"/>
          <w:szCs w:val="20"/>
          <w:color w:val="auto"/>
        </w:rPr>
      </w:pPr>
    </w:p>
    <w:p>
      <w:pPr>
        <w:jc w:val="both"/>
        <w:ind w:left="340" w:right="100"/>
        <w:spacing w:after="0" w:line="253" w:lineRule="auto"/>
        <w:rPr>
          <w:sz w:val="20"/>
          <w:szCs w:val="20"/>
          <w:color w:val="auto"/>
        </w:rPr>
      </w:pPr>
      <w:r>
        <w:rPr>
          <w:rFonts w:ascii="Arial" w:cs="Arial" w:eastAsia="Arial" w:hAnsi="Arial"/>
          <w:sz w:val="20"/>
          <w:szCs w:val="20"/>
          <w:b w:val="1"/>
          <w:bCs w:val="1"/>
          <w:i w:val="1"/>
          <w:iCs w:val="1"/>
          <w:color w:val="auto"/>
        </w:rPr>
        <w:t>AbbVie is dependent on wholesale distributors for distribution of its products in the United States and, accordingly, its business and results of operations could be adversely affected if they encounter financial or other difficulties.</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2025, three wholesale distributors (McKesson Corporation, Cardinal Health, Inc. and Cencora,</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Inc.) accounted for substantially all of AbbVie’s pharmaceutical product sales in the United States. If</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one of its significant wholesale distributors encounters financial or other difficulties, such distributor may</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decrease the amount of business that it does with AbbVie, and AbbVie may be unable to collect all</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the amounts that the distributor owes it on a timely basis or at all, which could adversely affect AbbVie’s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business and results of operations.</w:t>
      </w:r>
    </w:p>
    <w:p>
      <w:pPr>
        <w:spacing w:after="0" w:line="208" w:lineRule="exact"/>
        <w:rPr>
          <w:sz w:val="20"/>
          <w:szCs w:val="20"/>
          <w:color w:val="auto"/>
        </w:rPr>
      </w:pPr>
    </w:p>
    <w:p>
      <w:pPr>
        <w:ind w:left="340" w:right="200"/>
        <w:spacing w:after="0" w:line="260" w:lineRule="auto"/>
        <w:rPr>
          <w:sz w:val="20"/>
          <w:szCs w:val="20"/>
          <w:color w:val="auto"/>
        </w:rPr>
      </w:pPr>
      <w:r>
        <w:rPr>
          <w:rFonts w:ascii="Arial" w:cs="Arial" w:eastAsia="Arial" w:hAnsi="Arial"/>
          <w:sz w:val="20"/>
          <w:szCs w:val="20"/>
          <w:b w:val="1"/>
          <w:bCs w:val="1"/>
          <w:i w:val="1"/>
          <w:iCs w:val="1"/>
          <w:color w:val="auto"/>
        </w:rPr>
        <w:t>AbbVie has debt obligations that could adversely affect its business and its ability to meet its obligations.</w:t>
      </w:r>
    </w:p>
    <w:p>
      <w:pPr>
        <w:spacing w:after="0" w:line="98" w:lineRule="exact"/>
        <w:rPr>
          <w:sz w:val="20"/>
          <w:szCs w:val="20"/>
          <w:color w:val="auto"/>
        </w:rPr>
      </w:pPr>
    </w:p>
    <w:p>
      <w:pPr>
        <w:ind w:firstLine="359"/>
        <w:spacing w:after="0" w:line="248" w:lineRule="auto"/>
        <w:rPr>
          <w:sz w:val="20"/>
          <w:szCs w:val="20"/>
          <w:color w:val="auto"/>
        </w:rPr>
      </w:pPr>
      <w:r>
        <w:rPr>
          <w:rFonts w:ascii="Arial" w:cs="Arial" w:eastAsia="Arial" w:hAnsi="Arial"/>
          <w:sz w:val="20"/>
          <w:szCs w:val="20"/>
          <w:color w:val="auto"/>
        </w:rPr>
        <w:t>The amount of debt that AbbVie has incurred and intends to incur could have important consequences to AbbVie and its investors. These consequences include, among other things, requiring a portion of AbbVie’s cash flow from operations to make interest payments on this debt and reducing the cash flow available to fund capital expenditures and other corporate purposes and to grow AbbVie’s business. To the extent AbbVie incurs additional indebtedness or interest rates increase, these risks could increase further. In addition, AbbVie’s cash flow from operations may not be sufficient to repay all of the outstanding debt as it becomes due, and AbbVie may not be able to borrow money, sell assets, or otherwise raise funds on acceptable terms, or at all, to refinance its debt.</w:t>
      </w:r>
    </w:p>
    <w:p>
      <w:pPr>
        <w:spacing w:after="0" w:line="196" w:lineRule="exact"/>
        <w:rPr>
          <w:sz w:val="20"/>
          <w:szCs w:val="20"/>
          <w:color w:val="auto"/>
        </w:rPr>
      </w:pPr>
    </w:p>
    <w:p>
      <w:pPr>
        <w:ind w:left="340" w:right="260"/>
        <w:spacing w:after="0" w:line="253" w:lineRule="auto"/>
        <w:rPr>
          <w:sz w:val="20"/>
          <w:szCs w:val="20"/>
          <w:color w:val="auto"/>
        </w:rPr>
      </w:pPr>
      <w:r>
        <w:rPr>
          <w:rFonts w:ascii="Arial" w:cs="Arial" w:eastAsia="Arial" w:hAnsi="Arial"/>
          <w:sz w:val="20"/>
          <w:szCs w:val="20"/>
          <w:b w:val="1"/>
          <w:bCs w:val="1"/>
          <w:i w:val="1"/>
          <w:iCs w:val="1"/>
          <w:color w:val="auto"/>
        </w:rPr>
        <w:t>AbbVie may need additional financing in the future to meet its capital needs or to make opportunistic acquisitions, and such financing may not be available on favorable terms, if at all.</w:t>
      </w:r>
    </w:p>
    <w:p>
      <w:pPr>
        <w:spacing w:after="0" w:line="105"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9"/>
          <w:szCs w:val="19"/>
          <w:color w:val="auto"/>
        </w:rPr>
        <w:t>AbbVie may need additional financing in the future to meet its capital needs or to make opportunistic acquisitions. For example, it may need to increase its investment in research and development activities.</w:t>
      </w:r>
    </w:p>
    <w:p>
      <w:pPr>
        <w:sectPr>
          <w:pgSz w:w="11880" w:h="15480" w:orient="portrait"/>
          <w:cols w:equalWidth="0" w:num="1">
            <w:col w:w="9100"/>
          </w:cols>
          <w:pgMar w:left="1400" w:top="1030" w:right="1380" w:bottom="75"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sz w:val="1"/>
          <w:szCs w:val="1"/>
          <w:color w:val="auto"/>
        </w:rPr>
        <w:drawing>
          <wp:inline distT="0" distB="0" distL="0" distR="0">
            <wp:extent cx="615950"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32" w:name="page33"/>
    <w:bookmarkEnd w:id="32"/>
    <w:p>
      <w:pPr>
        <w:ind w:right="40"/>
        <w:spacing w:after="0" w:line="244" w:lineRule="auto"/>
        <w:rPr>
          <w:sz w:val="20"/>
          <w:szCs w:val="20"/>
          <w:color w:val="auto"/>
        </w:rPr>
      </w:pPr>
      <w:r>
        <w:rPr>
          <w:rFonts w:ascii="Arial" w:cs="Arial" w:eastAsia="Arial" w:hAnsi="Arial"/>
          <w:sz w:val="20"/>
          <w:szCs w:val="20"/>
          <w:color w:val="auto"/>
        </w:rPr>
        <w:t>The capital and credit markets may experience extreme volatility and disruption, which may lead to uncertainty and liquidity issues for both borrowers and investors, and AbbVie may be unable to obtain any desired additional financing on terms favorable to it, if at all. If AbbVie loses its investment grade credit rating or adequate funds are not available on acceptable terms, AbbVie may be unable to fund its expansion, successfully develop or enhance products, or respond to competitive pressures, any of which could negatively affect AbbVie’s business. If AbbVie raises additional funds by issuing debt or entering into credit facilities, it may be subject to limitations on its operations due to restrictive covenants. Failure to comply with these covenants could adversely affect AbbVie’s business.</w:t>
      </w:r>
    </w:p>
    <w:p>
      <w:pPr>
        <w:spacing w:after="0" w:line="219" w:lineRule="exact"/>
        <w:rPr>
          <w:sz w:val="20"/>
          <w:szCs w:val="20"/>
          <w:color w:val="auto"/>
        </w:rPr>
      </w:pPr>
    </w:p>
    <w:p>
      <w:pPr>
        <w:jc w:val="both"/>
        <w:ind w:left="340" w:right="360"/>
        <w:spacing w:after="0" w:line="249" w:lineRule="auto"/>
        <w:rPr>
          <w:sz w:val="20"/>
          <w:szCs w:val="20"/>
          <w:color w:val="auto"/>
        </w:rPr>
      </w:pPr>
      <w:r>
        <w:rPr>
          <w:rFonts w:ascii="Arial" w:cs="Arial" w:eastAsia="Arial" w:hAnsi="Arial"/>
          <w:sz w:val="20"/>
          <w:szCs w:val="20"/>
          <w:b w:val="1"/>
          <w:bCs w:val="1"/>
          <w:i w:val="1"/>
          <w:iCs w:val="1"/>
          <w:color w:val="auto"/>
        </w:rPr>
        <w:t>AbbVie depends on information technology and a failure of, or significant disruption to, those systems, or a failure to adequately adopt emerging technologies such as artificial intelligence, could have a material adverse effect on AbbVie’s business.</w:t>
      </w:r>
    </w:p>
    <w:p>
      <w:pPr>
        <w:spacing w:after="0" w:line="108" w:lineRule="exact"/>
        <w:rPr>
          <w:sz w:val="20"/>
          <w:szCs w:val="20"/>
          <w:color w:val="auto"/>
        </w:rPr>
      </w:pPr>
    </w:p>
    <w:p>
      <w:pPr>
        <w:ind w:firstLine="359"/>
        <w:spacing w:after="0" w:line="244" w:lineRule="auto"/>
        <w:rPr>
          <w:sz w:val="20"/>
          <w:szCs w:val="20"/>
          <w:color w:val="auto"/>
        </w:rPr>
      </w:pPr>
      <w:r>
        <w:rPr>
          <w:rFonts w:ascii="Arial" w:cs="Arial" w:eastAsia="Arial" w:hAnsi="Arial"/>
          <w:sz w:val="20"/>
          <w:szCs w:val="20"/>
          <w:color w:val="auto"/>
        </w:rPr>
        <w:t>AbbVie relies on sophisticated software applications and complex information technology systems (including cloud services) to operate its business, which are inherently vulnerable to malicious intrusion, random attack, loss of data privacy, disruption, degradation or breakdown. Certain of these applications and systems are managed, hosted, provided or used by third parties. Data privacy or security breaches of our internal systems or those of our information technology vendors may in the future result in the failure of critical business operations. Such breaches may cause sensitive data, including intellectual property, trade secrets or personal information belonging to AbbVie, its patients, customers, employees or business partners, to be exposed to unauthorized persons or to the public. The healthcare and biopharmaceutical industries remain targets of cybersecurity threats due to the value and sensitivity of the data they hold. Cybersecurity attacks and incidents are increasing in their frequency, sophistication and intensity and, due to the nature of some of these attacks, there is a risk that they may remain undetected for a period of time. AbbVie’s investments in the protection of its data and information technology and its efforts to monitor its systems on an ongoing basis may be insufficient to prevent compromises in AbbVie’s information technology systems that could have a material adverse effect on AbbVie’s business. Such adverse consequences could include loss of revenue or the loss of critical or sensitive information from AbbVie’s or third-party providers’ databases or information technology systems and could also result in legal, financial, reputational or business harm to AbbVie and potentially substantial remediation costs. In addition, AbbVie’s cyber insurance may not be sufficient to cover the financial, legal, business or reputational losses that may result from an interruption or breach of AbbVie systems or those of our third-party vendors.</w:t>
      </w:r>
    </w:p>
    <w:p>
      <w:pPr>
        <w:spacing w:after="0" w:line="127"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Additionally, AbbVie utilizes AI and other emerging technologies in select applications to support its operations. These technologies may present opportunities for AbbVie’s business but may also entail risks, including that AI-generated analyses utilized by AbbVie could be deficient or exacerbate regulatory, cybersecurity or other significant risks. Further, our failure to effectively implement these technologies could hinder our ability to compete, as competitors’ advancements in AI may lead to more efficient operations.</w:t>
      </w:r>
    </w:p>
    <w:p>
      <w:pPr>
        <w:spacing w:after="0" w:line="218" w:lineRule="exact"/>
        <w:rPr>
          <w:sz w:val="20"/>
          <w:szCs w:val="20"/>
          <w:color w:val="auto"/>
        </w:rPr>
      </w:pPr>
    </w:p>
    <w:p>
      <w:pPr>
        <w:ind w:left="340"/>
        <w:spacing w:after="0" w:line="251" w:lineRule="auto"/>
        <w:rPr>
          <w:sz w:val="20"/>
          <w:szCs w:val="20"/>
          <w:color w:val="auto"/>
        </w:rPr>
      </w:pPr>
      <w:r>
        <w:rPr>
          <w:rFonts w:ascii="Arial" w:cs="Arial" w:eastAsia="Arial" w:hAnsi="Arial"/>
          <w:sz w:val="20"/>
          <w:szCs w:val="20"/>
          <w:b w:val="1"/>
          <w:bCs w:val="1"/>
          <w:i w:val="1"/>
          <w:iCs w:val="1"/>
          <w:color w:val="auto"/>
        </w:rPr>
        <w:t>AbbVie’s balances of intangible assets, including developed product rights and goodwill acquired, are subject to impairment testing and may result in impairment charges, which may adversely affect AbbVie’s results of operations and financial condition.</w:t>
      </w:r>
    </w:p>
    <w:p>
      <w:pPr>
        <w:spacing w:after="0" w:line="107"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A significant amount of AbbVie’s total assets is related to acquired intangibles and goodwill. As of December 31, 2025, the carrying value of AbbVie’s developed product rights and other intangible assets was $52.6 billion and the carrying value of AbbVie’s goodwill was $35.6 billion.</w:t>
      </w:r>
    </w:p>
    <w:p>
      <w:pPr>
        <w:spacing w:after="0" w:line="113" w:lineRule="exact"/>
        <w:rPr>
          <w:sz w:val="20"/>
          <w:szCs w:val="20"/>
          <w:color w:val="auto"/>
        </w:rPr>
      </w:pPr>
    </w:p>
    <w:p>
      <w:pPr>
        <w:ind w:firstLine="359"/>
        <w:spacing w:after="0" w:line="261" w:lineRule="auto"/>
        <w:rPr>
          <w:sz w:val="20"/>
          <w:szCs w:val="20"/>
          <w:color w:val="auto"/>
        </w:rPr>
      </w:pPr>
      <w:r>
        <w:rPr>
          <w:rFonts w:ascii="Arial" w:cs="Arial" w:eastAsia="Arial" w:hAnsi="Arial"/>
          <w:sz w:val="19"/>
          <w:szCs w:val="19"/>
          <w:color w:val="auto"/>
        </w:rPr>
        <w:t>AbbVie’s developed product rights are stated at cost, less accumulated amortization. AbbVie determines original fair value and amortization periods for developed product rights based on its assessment of various factors impacting estimated useful lives and cash flows of the acquired products. Significant adverse changes to any of these factors require AbbVie to perform an impairment test on the affected asset and, if evidence of impairment exists, require AbbVie to take an impairment charge with respect to the asset. For assets that are not impaired, AbbVie may adjust the remaining useful lives. Such a charge could adversely affect AbbVie’s results of operations and financial condition.</w:t>
      </w:r>
    </w:p>
    <w:p>
      <w:pPr>
        <w:spacing w:after="0" w:line="111" w:lineRule="exact"/>
        <w:rPr>
          <w:sz w:val="20"/>
          <w:szCs w:val="20"/>
          <w:color w:val="auto"/>
        </w:rPr>
      </w:pPr>
    </w:p>
    <w:p>
      <w:pPr>
        <w:ind w:firstLine="359"/>
        <w:spacing w:after="0" w:line="289" w:lineRule="auto"/>
        <w:rPr>
          <w:sz w:val="20"/>
          <w:szCs w:val="20"/>
          <w:color w:val="auto"/>
        </w:rPr>
      </w:pPr>
      <w:r>
        <w:rPr>
          <w:rFonts w:ascii="Arial" w:cs="Arial" w:eastAsia="Arial" w:hAnsi="Arial"/>
          <w:sz w:val="19"/>
          <w:szCs w:val="19"/>
          <w:color w:val="auto"/>
        </w:rPr>
        <w:t>AbbVie’s other significant intangible assets include in-process research and development (IPR&amp;D) intangible projects, acquired in recent business combinations, which are indefinite-lived intangible assets.</w:t>
      </w:r>
    </w:p>
    <w:p>
      <w:pPr>
        <w:sectPr>
          <w:pgSz w:w="11880" w:h="15480" w:orient="portrait"/>
          <w:cols w:equalWidth="0" w:num="1">
            <w:col w:w="9100"/>
          </w:cols>
          <w:pgMar w:left="1400" w:top="1030" w:right="1380" w:bottom="87" w:gutter="0" w:footer="0" w:header="0"/>
        </w:sectPr>
      </w:pPr>
    </w:p>
    <w:p>
      <w:pPr>
        <w:spacing w:after="0" w:line="210"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27</w:t>
      </w:r>
    </w:p>
    <w:p>
      <w:pPr>
        <w:sectPr>
          <w:pgSz w:w="11880" w:h="15480" w:orient="portrait"/>
          <w:cols w:equalWidth="0" w:num="1">
            <w:col w:w="9100"/>
          </w:cols>
          <w:pgMar w:left="1400" w:top="1030" w:right="1380" w:bottom="87" w:gutter="0" w:footer="0" w:header="0"/>
          <w:type w:val="continuous"/>
        </w:sectPr>
      </w:pPr>
    </w:p>
    <w:bookmarkStart w:id="33" w:name="page34"/>
    <w:bookmarkEnd w:id="33"/>
    <w:p>
      <w:pPr>
        <w:spacing w:after="0" w:line="250" w:lineRule="auto"/>
        <w:rPr>
          <w:sz w:val="20"/>
          <w:szCs w:val="20"/>
          <w:color w:val="auto"/>
        </w:rPr>
      </w:pPr>
      <w:r>
        <w:rPr>
          <w:rFonts w:ascii="Arial" w:cs="Arial" w:eastAsia="Arial" w:hAnsi="Arial"/>
          <w:sz w:val="20"/>
          <w:szCs w:val="20"/>
          <w:color w:val="auto"/>
        </w:rPr>
        <w:t>For IPR&amp;D assets, the risk of failure is significant, and there can be no certainty that these assets ultimately will yield successful products. AbbVie’s ability to realize value on these significant investments is often contingent upon, among other things, regulatory approvals and market conditions. As such, IPR&amp;D assets may become impaired and/or be written off at some point in the future if the associated research and development effort is abandoned or is curtailed.</w:t>
      </w:r>
    </w:p>
    <w:p>
      <w:pPr>
        <w:spacing w:after="0" w:line="119"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Goodwill and AbbVie’s IPR&amp;D intangible assets are tested for impairment annually, or when events occur, or circumstances change that could potentially reduce the fair value of the reporting unit or intangible asset. Impairment testing compares the fair value of the reporting unit or intangible asset to its carrying amount. A goodwill or IPR&amp;D impairment, if any, would be recorded in operating income and could have a material adverse effect on AbbVie’s results of operations and financial condition.</w:t>
      </w:r>
    </w:p>
    <w:p>
      <w:pPr>
        <w:spacing w:after="0" w:line="217" w:lineRule="exact"/>
        <w:rPr>
          <w:sz w:val="20"/>
          <w:szCs w:val="20"/>
          <w:color w:val="auto"/>
        </w:rPr>
      </w:pPr>
    </w:p>
    <w:p>
      <w:pPr>
        <w:ind w:left="340" w:right="80"/>
        <w:spacing w:after="0" w:line="260" w:lineRule="auto"/>
        <w:rPr>
          <w:sz w:val="20"/>
          <w:szCs w:val="20"/>
          <w:color w:val="auto"/>
        </w:rPr>
      </w:pPr>
      <w:r>
        <w:rPr>
          <w:rFonts w:ascii="Arial" w:cs="Arial" w:eastAsia="Arial" w:hAnsi="Arial"/>
          <w:sz w:val="20"/>
          <w:szCs w:val="20"/>
          <w:b w:val="1"/>
          <w:bCs w:val="1"/>
          <w:i w:val="1"/>
          <w:iCs w:val="1"/>
          <w:color w:val="auto"/>
        </w:rPr>
        <w:t>Failure to attract, develop and retain highly qualified personnel could affect AbbVie’s ability to successfully develop and commercialize products.</w:t>
      </w:r>
    </w:p>
    <w:p>
      <w:pPr>
        <w:spacing w:after="0" w:line="98" w:lineRule="exact"/>
        <w:rPr>
          <w:sz w:val="20"/>
          <w:szCs w:val="20"/>
          <w:color w:val="auto"/>
        </w:rPr>
      </w:pPr>
    </w:p>
    <w:p>
      <w:pPr>
        <w:ind w:right="20" w:firstLine="359"/>
        <w:spacing w:after="0" w:line="249" w:lineRule="auto"/>
        <w:rPr>
          <w:sz w:val="20"/>
          <w:szCs w:val="20"/>
          <w:color w:val="auto"/>
        </w:rPr>
      </w:pPr>
      <w:r>
        <w:rPr>
          <w:rFonts w:ascii="Arial" w:cs="Arial" w:eastAsia="Arial" w:hAnsi="Arial"/>
          <w:sz w:val="20"/>
          <w:szCs w:val="20"/>
          <w:color w:val="auto"/>
        </w:rPr>
        <w:t>AbbVie’s success is largely dependent on its continued ability to attract, develop and retain diverse, highly qualified scientific, technical and management personnel, as well as personnel with expertise in clinical research and development, governmental regulation and commercialization. Competition for qualified personnel in the biopharmaceutical field is intense and increasing. AbbVie cannot be sure that it will be able to attract and retain quality personnel or that the costs of doing so will not materially increase.</w:t>
      </w:r>
    </w:p>
    <w:p>
      <w:pPr>
        <w:spacing w:after="0" w:line="219" w:lineRule="exact"/>
        <w:rPr>
          <w:sz w:val="20"/>
          <w:szCs w:val="20"/>
          <w:color w:val="auto"/>
        </w:rPr>
      </w:pPr>
    </w:p>
    <w:p>
      <w:pPr>
        <w:ind w:left="340"/>
        <w:spacing w:after="0" w:line="253" w:lineRule="auto"/>
        <w:rPr>
          <w:sz w:val="20"/>
          <w:szCs w:val="20"/>
          <w:color w:val="auto"/>
        </w:rPr>
      </w:pPr>
      <w:r>
        <w:rPr>
          <w:rFonts w:ascii="Arial" w:cs="Arial" w:eastAsia="Arial" w:hAnsi="Arial"/>
          <w:sz w:val="20"/>
          <w:szCs w:val="20"/>
          <w:b w:val="1"/>
          <w:bCs w:val="1"/>
          <w:i w:val="1"/>
          <w:iCs w:val="1"/>
          <w:color w:val="auto"/>
        </w:rPr>
        <w:t>The illegal distribution and sale by third parties of counterfeit or unregistered versions of AbbVie products could have a material adverse impact on its reputation, business and results of operations.</w:t>
      </w:r>
    </w:p>
    <w:p>
      <w:pPr>
        <w:spacing w:after="0" w:line="105" w:lineRule="exact"/>
        <w:rPr>
          <w:sz w:val="20"/>
          <w:szCs w:val="20"/>
          <w:color w:val="auto"/>
        </w:rPr>
      </w:pPr>
    </w:p>
    <w:p>
      <w:pPr>
        <w:ind w:right="40" w:firstLine="359"/>
        <w:spacing w:after="0" w:line="247" w:lineRule="auto"/>
        <w:rPr>
          <w:sz w:val="20"/>
          <w:szCs w:val="20"/>
          <w:color w:val="auto"/>
        </w:rPr>
      </w:pPr>
      <w:r>
        <w:rPr>
          <w:rFonts w:ascii="Arial" w:cs="Arial" w:eastAsia="Arial" w:hAnsi="Arial"/>
          <w:sz w:val="20"/>
          <w:szCs w:val="20"/>
          <w:color w:val="auto"/>
        </w:rPr>
        <w:t>Third parties may illegally obtain, distribute, and sell counterfeit or illegally diverted from their intended market versions of AbbVie products. These versions of product would not meet AbbVie’s rigorous manufacturing, testing, distribution and quality standards. A patient who receives a counterfeit, stolen, or diverted drug may be at risk for a number of dangerous health consequences. The prevalence of counterfeit/diverted medicines is an industry-wide issue due to a variety of factors, including the adoption of e-commerce, greatly enhancing consumers’ ability to obtain prescriptions and other medical treatments via the internet in lieu of traditional brick and mortar pharmacies. This can expose patients to greater risks as the internet is a preferred vehicle for dangerous counterfeit/diverted product offers and scams because of the anonymity it affords. AbbVie’s reputation and business could suffer harm as a result of counterfeit or diverted drugs sold under its brand name which may also result in reduced revenues that could negatively affect our results of operation.</w:t>
      </w:r>
    </w:p>
    <w:p>
      <w:pPr>
        <w:spacing w:after="0" w:line="224" w:lineRule="exact"/>
        <w:rPr>
          <w:sz w:val="20"/>
          <w:szCs w:val="20"/>
          <w:color w:val="auto"/>
        </w:rPr>
      </w:pPr>
    </w:p>
    <w:p>
      <w:pPr>
        <w:ind w:left="340" w:right="600"/>
        <w:spacing w:after="0" w:line="260" w:lineRule="auto"/>
        <w:rPr>
          <w:sz w:val="20"/>
          <w:szCs w:val="20"/>
          <w:color w:val="auto"/>
        </w:rPr>
      </w:pPr>
      <w:r>
        <w:rPr>
          <w:rFonts w:ascii="Arial" w:cs="Arial" w:eastAsia="Arial" w:hAnsi="Arial"/>
          <w:sz w:val="20"/>
          <w:szCs w:val="20"/>
          <w:b w:val="1"/>
          <w:bCs w:val="1"/>
          <w:i w:val="1"/>
          <w:iCs w:val="1"/>
          <w:color w:val="auto"/>
        </w:rPr>
        <w:t>Other factors can have a material adverse effect on AbbVie’s profitability and financial condition.</w:t>
      </w:r>
    </w:p>
    <w:p>
      <w:pPr>
        <w:spacing w:after="0" w:line="98" w:lineRule="exact"/>
        <w:rPr>
          <w:sz w:val="20"/>
          <w:szCs w:val="20"/>
          <w:color w:val="auto"/>
        </w:rPr>
      </w:pPr>
    </w:p>
    <w:p>
      <w:pPr>
        <w:ind w:right="340" w:firstLine="359"/>
        <w:spacing w:after="0" w:line="264" w:lineRule="auto"/>
        <w:rPr>
          <w:sz w:val="20"/>
          <w:szCs w:val="20"/>
          <w:color w:val="auto"/>
        </w:rPr>
      </w:pPr>
      <w:r>
        <w:rPr>
          <w:rFonts w:ascii="Arial" w:cs="Arial" w:eastAsia="Arial" w:hAnsi="Arial"/>
          <w:sz w:val="20"/>
          <w:szCs w:val="20"/>
          <w:color w:val="auto"/>
        </w:rPr>
        <w:t>Many other factors can affect AbbVie’s results of operations, cash flows and financial condition, including:</w:t>
      </w:r>
    </w:p>
    <w:p>
      <w:pPr>
        <w:spacing w:after="0" w:line="85" w:lineRule="exact"/>
        <w:rPr>
          <w:sz w:val="20"/>
          <w:szCs w:val="20"/>
          <w:color w:val="auto"/>
        </w:rPr>
      </w:pPr>
    </w:p>
    <w:p>
      <w:pPr>
        <w:ind w:left="540" w:hanging="191"/>
        <w:spacing w:after="0" w:line="255" w:lineRule="auto"/>
        <w:tabs>
          <w:tab w:leader="none" w:pos="5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or interpretations of laws and regulations, including changes in accounting standards, taxation requirements, product marketing application standards, data privacy laws, particularly in the European Union and the United States and environmental laws;</w:t>
      </w:r>
    </w:p>
    <w:p>
      <w:pPr>
        <w:spacing w:after="0" w:line="95" w:lineRule="exact"/>
        <w:rPr>
          <w:rFonts w:ascii="Arial" w:cs="Arial" w:eastAsia="Arial" w:hAnsi="Arial"/>
          <w:sz w:val="20"/>
          <w:szCs w:val="20"/>
          <w:color w:val="auto"/>
        </w:rPr>
      </w:pPr>
    </w:p>
    <w:p>
      <w:pPr>
        <w:ind w:left="540" w:right="20" w:hanging="191"/>
        <w:spacing w:after="0" w:line="252" w:lineRule="auto"/>
        <w:tabs>
          <w:tab w:leader="none" w:pos="540" w:val="left"/>
        </w:tabs>
        <w:numPr>
          <w:ilvl w:val="0"/>
          <w:numId w:val="8"/>
        </w:numPr>
        <w:rPr>
          <w:rFonts w:ascii="Arial" w:cs="Arial" w:eastAsia="Arial" w:hAnsi="Arial"/>
          <w:sz w:val="20"/>
          <w:szCs w:val="20"/>
          <w:color w:val="auto"/>
        </w:rPr>
      </w:pPr>
      <w:r>
        <w:rPr>
          <w:rFonts w:ascii="Arial" w:cs="Arial" w:eastAsia="Arial" w:hAnsi="Arial"/>
          <w:sz w:val="20"/>
          <w:szCs w:val="20"/>
          <w:color w:val="auto"/>
        </w:rPr>
        <w:t>differences between the fair value measurement of assets and liabilities and their actual value, particularly for pension and post-employment benefits, stock-based compensation, intangibles and goodwill; and for contingent liabilities such as litigation and contingent consideration, the absence of a recorded amount, or an amount recorded at the minimum, compared to the actual amount;</w:t>
      </w:r>
    </w:p>
    <w:p>
      <w:pPr>
        <w:spacing w:after="0" w:line="99" w:lineRule="exact"/>
        <w:rPr>
          <w:rFonts w:ascii="Arial" w:cs="Arial" w:eastAsia="Arial" w:hAnsi="Arial"/>
          <w:sz w:val="20"/>
          <w:szCs w:val="20"/>
          <w:color w:val="auto"/>
        </w:rPr>
      </w:pPr>
    </w:p>
    <w:p>
      <w:pPr>
        <w:ind w:left="540" w:right="80" w:hanging="191"/>
        <w:spacing w:after="0" w:line="257" w:lineRule="auto"/>
        <w:tabs>
          <w:tab w:leader="none" w:pos="5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the rate of inflation (including the cost of raw materials, commodities and supplies), interest rates, market value of AbbVie’s equity investments and the performance of investments held by it or its employee benefit trusts;</w:t>
      </w:r>
    </w:p>
    <w:p>
      <w:pPr>
        <w:spacing w:after="0" w:line="93" w:lineRule="exact"/>
        <w:rPr>
          <w:rFonts w:ascii="Arial" w:cs="Arial" w:eastAsia="Arial" w:hAnsi="Arial"/>
          <w:sz w:val="20"/>
          <w:szCs w:val="20"/>
          <w:color w:val="auto"/>
        </w:rPr>
      </w:pPr>
    </w:p>
    <w:p>
      <w:pPr>
        <w:ind w:left="540" w:right="20" w:hanging="191"/>
        <w:spacing w:after="0" w:line="266" w:lineRule="auto"/>
        <w:tabs>
          <w:tab w:leader="none" w:pos="5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the creditworthiness of counterparties that transact business with or provide services to AbbVie or its employee benefit trusts;</w:t>
      </w:r>
    </w:p>
    <w:p>
      <w:pPr>
        <w:sectPr>
          <w:pgSz w:w="11880" w:h="15480" w:orient="portrait"/>
          <w:cols w:equalWidth="0" w:num="1">
            <w:col w:w="9100"/>
          </w:cols>
          <w:pgMar w:left="1400" w:top="1030" w:right="1380" w:bottom="75"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sz w:val="1"/>
          <w:szCs w:val="1"/>
          <w:color w:val="auto"/>
        </w:rPr>
        <w:drawing>
          <wp:inline distT="0" distB="0" distL="0" distR="0">
            <wp:extent cx="615950" cy="1282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34" w:name="page35"/>
    <w:bookmarkEnd w:id="34"/>
    <w:p>
      <w:pPr>
        <w:ind w:left="540" w:right="320" w:hanging="191"/>
        <w:spacing w:after="0" w:line="258" w:lineRule="auto"/>
        <w:tabs>
          <w:tab w:leader="none" w:pos="540" w:val="left"/>
        </w:tabs>
        <w:numPr>
          <w:ilvl w:val="0"/>
          <w:numId w:val="9"/>
        </w:numPr>
        <w:rPr>
          <w:rFonts w:ascii="Arial" w:cs="Arial" w:eastAsia="Arial" w:hAnsi="Arial"/>
          <w:sz w:val="20"/>
          <w:szCs w:val="20"/>
          <w:color w:val="auto"/>
        </w:rPr>
      </w:pPr>
      <w:r>
        <w:rPr>
          <w:rFonts w:ascii="Arial" w:cs="Arial" w:eastAsia="Arial" w:hAnsi="Arial"/>
          <w:sz w:val="20"/>
          <w:szCs w:val="20"/>
          <w:color w:val="auto"/>
        </w:rPr>
        <w:t>environmental liabilities in connection with AbbVie’s manufacturing processes and distribution logistics, including the handling of hazardous materials;</w:t>
      </w:r>
    </w:p>
    <w:p>
      <w:pPr>
        <w:spacing w:after="0" w:line="50" w:lineRule="exact"/>
        <w:rPr>
          <w:rFonts w:ascii="Arial" w:cs="Arial" w:eastAsia="Arial" w:hAnsi="Arial"/>
          <w:sz w:val="20"/>
          <w:szCs w:val="20"/>
          <w:color w:val="auto"/>
        </w:rPr>
      </w:pPr>
    </w:p>
    <w:p>
      <w:pPr>
        <w:ind w:left="540" w:right="120" w:hanging="191"/>
        <w:spacing w:after="0" w:line="249" w:lineRule="auto"/>
        <w:tabs>
          <w:tab w:leader="none" w:pos="5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changes in the ability of third parties that provide information technology, accounting, human resources, payroll and other outsourced services to AbbVie to meet their contractual obligations to AbbVie;</w:t>
      </w:r>
    </w:p>
    <w:p>
      <w:pPr>
        <w:spacing w:after="0" w:line="58" w:lineRule="exact"/>
        <w:rPr>
          <w:rFonts w:ascii="Arial" w:cs="Arial" w:eastAsia="Arial" w:hAnsi="Arial"/>
          <w:sz w:val="20"/>
          <w:szCs w:val="20"/>
          <w:color w:val="auto"/>
        </w:rPr>
      </w:pPr>
    </w:p>
    <w:p>
      <w:pPr>
        <w:ind w:left="540" w:right="620" w:hanging="191"/>
        <w:spacing w:after="0" w:line="258" w:lineRule="auto"/>
        <w:tabs>
          <w:tab w:leader="none" w:pos="5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failure, perceived failure, or pursuit of achieving environmental, social and governance objectives;</w:t>
      </w:r>
    </w:p>
    <w:p>
      <w:pPr>
        <w:spacing w:after="0" w:line="50" w:lineRule="exact"/>
        <w:rPr>
          <w:rFonts w:ascii="Arial" w:cs="Arial" w:eastAsia="Arial" w:hAnsi="Arial"/>
          <w:sz w:val="20"/>
          <w:szCs w:val="20"/>
          <w:color w:val="auto"/>
        </w:rPr>
      </w:pPr>
    </w:p>
    <w:p>
      <w:pPr>
        <w:ind w:left="540" w:right="320" w:hanging="191"/>
        <w:spacing w:after="0" w:line="258" w:lineRule="auto"/>
        <w:tabs>
          <w:tab w:leader="none" w:pos="54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information loss or damage to AbbVie’s reputation, brand, image or goodwill due to increased use of social media platforms;</w:t>
      </w:r>
    </w:p>
    <w:p>
      <w:pPr>
        <w:spacing w:after="0" w:line="50" w:lineRule="exact"/>
        <w:rPr>
          <w:rFonts w:ascii="Arial" w:cs="Arial" w:eastAsia="Arial" w:hAnsi="Arial"/>
          <w:sz w:val="20"/>
          <w:szCs w:val="20"/>
          <w:color w:val="auto"/>
        </w:rPr>
      </w:pPr>
    </w:p>
    <w:p>
      <w:pPr>
        <w:ind w:left="540" w:hanging="191"/>
        <w:spacing w:after="0" w:line="284"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business interruptions stemming from natural disasters, such as climate change, earthquakes, hurricanes, flooding, fires, or efforts taken by third parties to prevent or mitigate such disasters; and</w:t>
      </w:r>
    </w:p>
    <w:p>
      <w:pPr>
        <w:spacing w:after="0" w:line="27" w:lineRule="exact"/>
        <w:rPr>
          <w:rFonts w:ascii="Arial" w:cs="Arial" w:eastAsia="Arial" w:hAnsi="Arial"/>
          <w:sz w:val="19"/>
          <w:szCs w:val="19"/>
          <w:color w:val="auto"/>
        </w:rPr>
      </w:pPr>
    </w:p>
    <w:p>
      <w:pPr>
        <w:ind w:left="540" w:hanging="191"/>
        <w:spacing w:after="0" w:line="244" w:lineRule="auto"/>
        <w:tabs>
          <w:tab w:leader="none" w:pos="5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changes in business, economic and political conditions, including: war, political instability, terrorist attacks, the threat of future terrorist activity and related military action; natural disasters; pandemics and epidemics, the cost and availability of insurance due to any of the foregoing events; labor disputes, strikes, slow-downs, or other forms of labor or union activity; and pressure from third-party interest groups.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Risks Related to AbbVie’s Common Stock</w:t>
      </w:r>
    </w:p>
    <w:p>
      <w:pPr>
        <w:spacing w:after="0" w:line="129" w:lineRule="exact"/>
        <w:rPr>
          <w:sz w:val="20"/>
          <w:szCs w:val="20"/>
          <w:color w:val="auto"/>
        </w:rPr>
      </w:pPr>
    </w:p>
    <w:p>
      <w:pPr>
        <w:ind w:left="340" w:right="20"/>
        <w:spacing w:after="0" w:line="254" w:lineRule="auto"/>
        <w:rPr>
          <w:sz w:val="20"/>
          <w:szCs w:val="20"/>
          <w:color w:val="auto"/>
        </w:rPr>
      </w:pPr>
      <w:r>
        <w:rPr>
          <w:rFonts w:ascii="Arial" w:cs="Arial" w:eastAsia="Arial" w:hAnsi="Arial"/>
          <w:sz w:val="20"/>
          <w:szCs w:val="20"/>
          <w:b w:val="1"/>
          <w:bCs w:val="1"/>
          <w:i w:val="1"/>
          <w:iCs w:val="1"/>
          <w:color w:val="auto"/>
        </w:rPr>
        <w:t>AbbVie cannot guarantee the timing, amount, or payment of dividends on its common stock or the repurchase of its common stock.</w:t>
      </w:r>
    </w:p>
    <w:p>
      <w:pPr>
        <w:spacing w:after="0" w:line="104" w:lineRule="exact"/>
        <w:rPr>
          <w:sz w:val="20"/>
          <w:szCs w:val="20"/>
          <w:color w:val="auto"/>
        </w:rPr>
      </w:pPr>
    </w:p>
    <w:p>
      <w:pPr>
        <w:ind w:firstLine="359"/>
        <w:spacing w:after="0" w:line="241" w:lineRule="auto"/>
        <w:rPr>
          <w:sz w:val="20"/>
          <w:szCs w:val="20"/>
          <w:color w:val="auto"/>
        </w:rPr>
      </w:pPr>
      <w:r>
        <w:rPr>
          <w:rFonts w:ascii="Arial" w:cs="Arial" w:eastAsia="Arial" w:hAnsi="Arial"/>
          <w:sz w:val="20"/>
          <w:szCs w:val="20"/>
          <w:color w:val="auto"/>
        </w:rPr>
        <w:t>Although AbbVie expects to pay regular cash dividends, the timing, declaration, amount and payment of future dividends to stockholders will fall within the discretion of AbbVie’s board of directors. The board’s decisions regarding the payment of dividends will depend on many factors, such as AbbVie’s financial condition, earnings, capital requirements, debt service obligations, industry practice, legal requirements, regulatory constraints and other factors that the board deems relevant. For more information, see Item 5, “Market for Registrant’s Common Equity, Related Stockholder Matters and Issuer Purchases of Equity Securities.” AbbVie’s ability to pay dividends and repurchase shares under its stock repurchase program will depend on its ongoing ability to generate cash from operations and access capital markets. AbbVie cannot guarantee that it will continue to pay a dividend in the future.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An AbbVie stockholder’s percentage of ownership in AbbVie may be diluted in the future.</w:t>
      </w:r>
    </w:p>
    <w:p>
      <w:pPr>
        <w:spacing w:after="0" w:line="131" w:lineRule="exact"/>
        <w:rPr>
          <w:sz w:val="20"/>
          <w:szCs w:val="20"/>
          <w:color w:val="auto"/>
        </w:rPr>
      </w:pPr>
    </w:p>
    <w:p>
      <w:pPr>
        <w:ind w:firstLine="359"/>
        <w:spacing w:after="0" w:line="242" w:lineRule="auto"/>
        <w:rPr>
          <w:sz w:val="20"/>
          <w:szCs w:val="20"/>
          <w:color w:val="auto"/>
        </w:rPr>
      </w:pPr>
      <w:r>
        <w:rPr>
          <w:rFonts w:ascii="Arial" w:cs="Arial" w:eastAsia="Arial" w:hAnsi="Arial"/>
          <w:sz w:val="20"/>
          <w:szCs w:val="20"/>
          <w:color w:val="auto"/>
        </w:rPr>
        <w:t>In the future, a stockholder’s percentage ownership in AbbVie may be diluted because of equity issuances for capital market transactions, equity awards that AbbVie will be granting to AbbVie’s directors, officers and employees, acquisitions or other purposes. AbbVie anticipates its compensation committee will grant additional stock options or other stock-based awards to its employees. Such awards will have a dilutive effect on AbbVie’s earnings per share, which could adversely affect the market price of AbbVie’s common stock. From time to time, AbbVie will issue additional options or other stock-based awards to its employees under AbbVie’s employee benefits plans.</w:t>
      </w:r>
    </w:p>
    <w:p>
      <w:pPr>
        <w:spacing w:after="0" w:line="85" w:lineRule="exact"/>
        <w:rPr>
          <w:sz w:val="20"/>
          <w:szCs w:val="20"/>
          <w:color w:val="auto"/>
        </w:rPr>
      </w:pPr>
    </w:p>
    <w:p>
      <w:pPr>
        <w:ind w:firstLine="359"/>
        <w:spacing w:after="0" w:line="241" w:lineRule="auto"/>
        <w:rPr>
          <w:sz w:val="20"/>
          <w:szCs w:val="20"/>
          <w:color w:val="auto"/>
        </w:rPr>
      </w:pPr>
      <w:r>
        <w:rPr>
          <w:rFonts w:ascii="Arial" w:cs="Arial" w:eastAsia="Arial" w:hAnsi="Arial"/>
          <w:sz w:val="20"/>
          <w:szCs w:val="20"/>
          <w:color w:val="auto"/>
        </w:rPr>
        <w:t>In addition, AbbVie’s amended and restated certificate of incorporation authorizes AbbVie to issue, without the approval of AbbVie’s stockholders, one or more classes or series of preferred stock having such designation, powers, preferences and relative, participating, optional and other special rights, including preferences over AbbVie’s common stock respecting dividends and distributions, as AbbVie’s board of directors generally may determine. The terms of one or more classes or series of preferred stock could dilute the voting power or reduce the value of AbbVie’s common stock. For example, AbbVie could grant the holders of preferred stock the right to elect some number of AbbVie’s directors in all events or on the happening of specified events or the right to veto specified transactions. Similarly, the repurchase or redemption rights or liquidation preferences AbbVie could assign to holders of preferred stock could affect the residual value of the common stock.</w:t>
      </w:r>
    </w:p>
    <w:p>
      <w:pPr>
        <w:spacing w:after="0" w:line="154" w:lineRule="exact"/>
        <w:rPr>
          <w:sz w:val="20"/>
          <w:szCs w:val="20"/>
          <w:color w:val="auto"/>
        </w:rPr>
      </w:pPr>
    </w:p>
    <w:p>
      <w:pPr>
        <w:ind w:left="340" w:right="100"/>
        <w:spacing w:after="0" w:line="246" w:lineRule="auto"/>
        <w:rPr>
          <w:sz w:val="20"/>
          <w:szCs w:val="20"/>
          <w:color w:val="auto"/>
        </w:rPr>
      </w:pPr>
      <w:r>
        <w:rPr>
          <w:rFonts w:ascii="Arial" w:cs="Arial" w:eastAsia="Arial" w:hAnsi="Arial"/>
          <w:sz w:val="20"/>
          <w:szCs w:val="20"/>
          <w:b w:val="1"/>
          <w:bCs w:val="1"/>
          <w:i w:val="1"/>
          <w:iCs w:val="1"/>
          <w:color w:val="auto"/>
        </w:rPr>
        <w:t>Certain provisions in AbbVie’s amended and restated certificate of incorporation and amended and restated by-laws, and of Delaware law, may prevent or delay an acquisition of AbbVie, which could decrease the trading price of AbbVie’s common stock.</w:t>
      </w:r>
    </w:p>
    <w:p>
      <w:pPr>
        <w:spacing w:after="0" w:line="113" w:lineRule="exact"/>
        <w:rPr>
          <w:sz w:val="20"/>
          <w:szCs w:val="20"/>
          <w:color w:val="auto"/>
        </w:rPr>
      </w:pPr>
    </w:p>
    <w:p>
      <w:pPr>
        <w:ind w:right="240" w:firstLine="359"/>
        <w:spacing w:after="0" w:line="284" w:lineRule="auto"/>
        <w:rPr>
          <w:sz w:val="20"/>
          <w:szCs w:val="20"/>
          <w:color w:val="auto"/>
        </w:rPr>
      </w:pPr>
      <w:r>
        <w:rPr>
          <w:rFonts w:ascii="Arial" w:cs="Arial" w:eastAsia="Arial" w:hAnsi="Arial"/>
          <w:sz w:val="19"/>
          <w:szCs w:val="19"/>
          <w:color w:val="auto"/>
        </w:rPr>
        <w:t>AbbVie’s amended and restated certificate of incorporation and amended and restated by-laws contain, and Delaware law contains, provisions that are intended to deter coercive takeover practices</w:t>
      </w:r>
    </w:p>
    <w:p>
      <w:pPr>
        <w:sectPr>
          <w:pgSz w:w="11880" w:h="15480" w:orient="portrait"/>
          <w:cols w:equalWidth="0" w:num="1">
            <w:col w:w="9100"/>
          </w:cols>
          <w:pgMar w:left="1400" w:top="1030" w:right="1380" w:bottom="87" w:gutter="0" w:footer="0" w:header="0"/>
        </w:sectPr>
      </w:pPr>
    </w:p>
    <w:p>
      <w:pPr>
        <w:spacing w:after="0" w:line="217"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29</w:t>
      </w:r>
    </w:p>
    <w:p>
      <w:pPr>
        <w:sectPr>
          <w:pgSz w:w="11880" w:h="15480" w:orient="portrait"/>
          <w:cols w:equalWidth="0" w:num="1">
            <w:col w:w="9100"/>
          </w:cols>
          <w:pgMar w:left="1400" w:top="1030" w:right="1380" w:bottom="87" w:gutter="0" w:footer="0" w:header="0"/>
          <w:type w:val="continuous"/>
        </w:sectPr>
      </w:pPr>
    </w:p>
    <w:bookmarkStart w:id="35" w:name="page36"/>
    <w:bookmarkEnd w:id="35"/>
    <w:p>
      <w:pPr>
        <w:ind w:right="220"/>
        <w:spacing w:after="0" w:line="269" w:lineRule="auto"/>
        <w:rPr>
          <w:sz w:val="20"/>
          <w:szCs w:val="20"/>
          <w:color w:val="auto"/>
        </w:rPr>
      </w:pPr>
      <w:r>
        <w:rPr>
          <w:rFonts w:ascii="Arial" w:cs="Arial" w:eastAsia="Arial" w:hAnsi="Arial"/>
          <w:sz w:val="20"/>
          <w:szCs w:val="20"/>
          <w:color w:val="auto"/>
        </w:rPr>
        <w:t>and inadequate takeover bids by encouraging prospective acquirors to negotiate with AbbVie’s board of directors rather than to attempt a hostile takeover. These provisions include, among others:</w:t>
      </w:r>
    </w:p>
    <w:p>
      <w:pPr>
        <w:spacing w:after="0" w:line="83" w:lineRule="exact"/>
        <w:rPr>
          <w:sz w:val="20"/>
          <w:szCs w:val="20"/>
          <w:color w:val="auto"/>
        </w:rPr>
      </w:pPr>
    </w:p>
    <w:p>
      <w:pPr>
        <w:ind w:left="540" w:hanging="191"/>
        <w:spacing w:after="0"/>
        <w:tabs>
          <w:tab w:leader="none" w:pos="5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inability of AbbVie’s stockholders to call a special meeting;</w:t>
      </w:r>
    </w:p>
    <w:p>
      <w:pPr>
        <w:spacing w:after="0" w:line="129" w:lineRule="exact"/>
        <w:rPr>
          <w:rFonts w:ascii="Arial" w:cs="Arial" w:eastAsia="Arial" w:hAnsi="Arial"/>
          <w:sz w:val="20"/>
          <w:szCs w:val="20"/>
          <w:color w:val="auto"/>
        </w:rPr>
      </w:pPr>
    </w:p>
    <w:p>
      <w:pPr>
        <w:ind w:left="540" w:right="700" w:hanging="191"/>
        <w:spacing w:after="0" w:line="269" w:lineRule="auto"/>
        <w:tabs>
          <w:tab w:leader="none" w:pos="5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division of AbbVie’s board of directors into three classes of directors, with each class serving a staggered three-year term;</w:t>
      </w:r>
    </w:p>
    <w:p>
      <w:pPr>
        <w:spacing w:after="0" w:line="83" w:lineRule="exact"/>
        <w:rPr>
          <w:rFonts w:ascii="Arial" w:cs="Arial" w:eastAsia="Arial" w:hAnsi="Arial"/>
          <w:sz w:val="20"/>
          <w:szCs w:val="20"/>
          <w:color w:val="auto"/>
        </w:rPr>
      </w:pPr>
    </w:p>
    <w:p>
      <w:pPr>
        <w:ind w:left="540" w:hanging="191"/>
        <w:spacing w:after="0"/>
        <w:tabs>
          <w:tab w:leader="none" w:pos="5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provision that stockholders may only remove directors for cause;</w:t>
      </w:r>
    </w:p>
    <w:p>
      <w:pPr>
        <w:spacing w:after="0" w:line="129" w:lineRule="exact"/>
        <w:rPr>
          <w:rFonts w:ascii="Arial" w:cs="Arial" w:eastAsia="Arial" w:hAnsi="Arial"/>
          <w:sz w:val="20"/>
          <w:szCs w:val="20"/>
          <w:color w:val="auto"/>
        </w:rPr>
      </w:pPr>
    </w:p>
    <w:p>
      <w:pPr>
        <w:ind w:left="540" w:right="480" w:hanging="191"/>
        <w:spacing w:after="0" w:line="269" w:lineRule="auto"/>
        <w:tabs>
          <w:tab w:leader="none" w:pos="5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ability of AbbVie’s directors, and not stockholders, to fill vacancies on AbbVie’s board of directors; and</w:t>
      </w:r>
    </w:p>
    <w:p>
      <w:pPr>
        <w:spacing w:after="0" w:line="83" w:lineRule="exact"/>
        <w:rPr>
          <w:rFonts w:ascii="Arial" w:cs="Arial" w:eastAsia="Arial" w:hAnsi="Arial"/>
          <w:sz w:val="20"/>
          <w:szCs w:val="20"/>
          <w:color w:val="auto"/>
        </w:rPr>
      </w:pPr>
    </w:p>
    <w:p>
      <w:pPr>
        <w:ind w:left="540" w:right="80" w:hanging="191"/>
        <w:spacing w:after="0" w:line="254" w:lineRule="auto"/>
        <w:tabs>
          <w:tab w:leader="none" w:pos="5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requirement that the affirmative vote of stockholders holding at least 80% of AbbVie’s voting stock is required to amend certain provisions in AbbVie’s amended and restated certificate of incorporation and AbbVie’s amended and restated by-laws relating to the number, term and election of AbbVie’s directors, the filling of board vacancies, the calling of special meetings of stockholders and director and officer indemnification provisions.</w:t>
      </w:r>
    </w:p>
    <w:p>
      <w:pPr>
        <w:spacing w:after="0" w:line="120" w:lineRule="exact"/>
        <w:rPr>
          <w:sz w:val="20"/>
          <w:szCs w:val="20"/>
          <w:color w:val="auto"/>
        </w:rPr>
      </w:pPr>
    </w:p>
    <w:p>
      <w:pPr>
        <w:ind w:right="20" w:firstLine="359"/>
        <w:spacing w:after="0" w:line="253" w:lineRule="auto"/>
        <w:rPr>
          <w:sz w:val="20"/>
          <w:szCs w:val="20"/>
          <w:color w:val="auto"/>
        </w:rPr>
      </w:pPr>
      <w:r>
        <w:rPr>
          <w:rFonts w:ascii="Arial" w:cs="Arial" w:eastAsia="Arial" w:hAnsi="Arial"/>
          <w:sz w:val="20"/>
          <w:szCs w:val="20"/>
          <w:color w:val="auto"/>
        </w:rPr>
        <w:t>In addition, Section 203 of the Delaware General Corporation Law provides that, subject to limited exceptions, persons that acquire, or are affiliated with a person that acquires, more than 15% of the outstanding voting stock of a Delaware corporation shall not engage in any business combination with that corporation, including by merger, consolidation or acquisitions of additional shares, for a three-year period following the date on which that person or its affiliates becomes the holder of more than 15% of the corporation’s outstanding voting stock.</w:t>
      </w:r>
    </w:p>
    <w:p>
      <w:pPr>
        <w:spacing w:after="0" w:line="122" w:lineRule="exact"/>
        <w:rPr>
          <w:sz w:val="20"/>
          <w:szCs w:val="20"/>
          <w:color w:val="auto"/>
        </w:rPr>
      </w:pPr>
    </w:p>
    <w:p>
      <w:pPr>
        <w:ind w:firstLine="359"/>
        <w:spacing w:after="0" w:line="252" w:lineRule="auto"/>
        <w:rPr>
          <w:sz w:val="20"/>
          <w:szCs w:val="20"/>
          <w:color w:val="auto"/>
        </w:rPr>
      </w:pPr>
      <w:r>
        <w:rPr>
          <w:rFonts w:ascii="Arial" w:cs="Arial" w:eastAsia="Arial" w:hAnsi="Arial"/>
          <w:sz w:val="20"/>
          <w:szCs w:val="20"/>
          <w:color w:val="auto"/>
        </w:rPr>
        <w:t>AbbVie believes these provisions protect its stockholders from coercive or otherwise unfair takeover tactics by requiring potential acquirors to negotiate with AbbVie’s board of directors and by providing AbbVie’s board of directors with more time to assess any acquisition proposal. These provisions are not intended to make the company immune from takeovers. However, these provisions apply even if the offer may be considered beneficial by some stockholders and could delay or prevent an acquisition that AbbVie’s board of directors determines is not in the best interests of AbbVie and AbbVie’s stockholders. These provisions may also prevent or discourage attempts to remove and replace incumbent directors.</w:t>
      </w:r>
    </w:p>
    <w:p>
      <w:pPr>
        <w:sectPr>
          <w:pgSz w:w="11880" w:h="15480" w:orient="portrait"/>
          <w:cols w:equalWidth="0" w:num="1">
            <w:col w:w="9100"/>
          </w:cols>
          <w:pgMar w:left="1400" w:top="1030"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sz w:val="1"/>
          <w:szCs w:val="1"/>
          <w:color w:val="auto"/>
        </w:rPr>
        <w:drawing>
          <wp:inline distT="0" distB="0" distL="0" distR="0">
            <wp:extent cx="615950" cy="1282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36" w:name="page37"/>
    <w:bookmarkEnd w:id="36"/>
    <w:p>
      <w:pPr>
        <w:ind w:left="340"/>
        <w:spacing w:after="0"/>
        <w:rPr>
          <w:sz w:val="20"/>
          <w:szCs w:val="20"/>
          <w:color w:val="auto"/>
        </w:rPr>
      </w:pPr>
      <w:r>
        <w:rPr>
          <w:rFonts w:ascii="Arial" w:cs="Arial" w:eastAsia="Arial" w:hAnsi="Arial"/>
          <w:sz w:val="23"/>
          <w:szCs w:val="23"/>
          <w:b w:val="1"/>
          <w:bCs w:val="1"/>
          <w:color w:val="000039"/>
        </w:rPr>
        <w:t>CAUTIONARY STATEMENT REGARDING FORWARD-LOOKING STATEMENTS</w:t>
      </w:r>
    </w:p>
    <w:p>
      <w:pPr>
        <w:spacing w:after="0" w:line="135" w:lineRule="exact"/>
        <w:rPr>
          <w:sz w:val="20"/>
          <w:szCs w:val="20"/>
          <w:color w:val="auto"/>
        </w:rPr>
      </w:pPr>
    </w:p>
    <w:p>
      <w:pPr>
        <w:ind w:firstLine="359"/>
        <w:spacing w:after="0" w:line="246" w:lineRule="auto"/>
        <w:rPr>
          <w:sz w:val="20"/>
          <w:szCs w:val="20"/>
          <w:color w:val="auto"/>
        </w:rPr>
      </w:pPr>
      <w:r>
        <w:rPr>
          <w:rFonts w:ascii="Arial" w:cs="Arial" w:eastAsia="Arial" w:hAnsi="Arial"/>
          <w:sz w:val="20"/>
          <w:szCs w:val="20"/>
          <w:color w:val="auto"/>
        </w:rPr>
        <w:t>This Annual Report on Form 10-K contains certain forward-looking statements regarding business strategies, market potential, future financial performance and other matters. The words “believe,” “expect,” “anticipate,” “project” and similar expressions and uses of future or conditional verbs, generally identify “forward looking statements,” which speak only as of the date the statements were made. The matters discussed in these forward-looking statements are subject to risks, uncertainties and other factors that could cause actual results to differ materially from those expressed or implied in the forward-looking statements. In particular, information included under Item 1, “Business,” Item 1A, “Risk Factors,” and Item 7, “Management’s Discussion and Analysis of Financial Condition and Results of Operations” contain forward looking statements. Where, in any forward looking statement, an expectation or belief as to future results or events is expressed or implied,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but are not limited to, the matters described under Item 1A, “Risk Factors” and Item 7, “Management’s Discussion and Analysis of Financial Condition and Results of Operations.” AbbVie does not undertake, and specifically declines, any obligation to update the forward-looking statements included in this Annual Report on Form 10-K to reflect events or circumstances after the date hereof, unless AbbVie is required by applicable securities law to do so.</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ITEM 1B. UNRESOLVED STAFF COMMENTS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ITEM 1C. CYBERSECURITY</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right="180" w:firstLine="359"/>
        <w:spacing w:after="0" w:line="257" w:lineRule="auto"/>
        <w:rPr>
          <w:sz w:val="20"/>
          <w:szCs w:val="20"/>
          <w:color w:val="auto"/>
        </w:rPr>
      </w:pPr>
      <w:r>
        <w:rPr>
          <w:rFonts w:ascii="Arial" w:cs="Arial" w:eastAsia="Arial" w:hAnsi="Arial"/>
          <w:sz w:val="20"/>
          <w:szCs w:val="20"/>
          <w:color w:val="auto"/>
        </w:rPr>
        <w:t>We rely on complex information technology systems and various software applications to operate our business. We have developed a comprehensive cybersecurity program designed to protect our systems and the confidentiality, integrity and availability of our data.</w:t>
      </w:r>
    </w:p>
    <w:p>
      <w:pPr>
        <w:spacing w:after="0" w:line="113" w:lineRule="exact"/>
        <w:rPr>
          <w:sz w:val="20"/>
          <w:szCs w:val="20"/>
          <w:color w:val="auto"/>
        </w:rPr>
      </w:pPr>
    </w:p>
    <w:p>
      <w:pPr>
        <w:ind w:right="60" w:firstLine="359"/>
        <w:spacing w:after="0" w:line="250" w:lineRule="auto"/>
        <w:rPr>
          <w:sz w:val="20"/>
          <w:szCs w:val="20"/>
          <w:color w:val="auto"/>
        </w:rPr>
      </w:pPr>
      <w:r>
        <w:rPr>
          <w:rFonts w:ascii="Arial" w:cs="Arial" w:eastAsia="Arial" w:hAnsi="Arial"/>
          <w:sz w:val="20"/>
          <w:szCs w:val="20"/>
          <w:color w:val="auto"/>
        </w:rPr>
        <w:t>We have implemented processes that are intended to govern, manage and reduce cybersecurity risks. We maintain a global incident response plan and disaster recovery management plan, each designed to protect against, identify, detect, respond to and recover from an incident. These plans anticipate an array of potential scenarios and provide for the assembly of a cybersecurity incident response team in the event of a cyber incident. The incident response team is a cross-functional group that may be composed of both company personnel and external service providers, and which is tailored to a particular incident so that individuals with appropriate experience and expertise are available. We regularly conduct exercises to help ensure the plans’ effectiveness and our overall preparedness.</w:t>
      </w:r>
    </w:p>
    <w:p>
      <w:pPr>
        <w:spacing w:after="0" w:line="121" w:lineRule="exact"/>
        <w:rPr>
          <w:sz w:val="20"/>
          <w:szCs w:val="20"/>
          <w:color w:val="auto"/>
        </w:rPr>
      </w:pPr>
    </w:p>
    <w:p>
      <w:pPr>
        <w:ind w:firstLine="359"/>
        <w:spacing w:after="0" w:line="267" w:lineRule="auto"/>
        <w:rPr>
          <w:sz w:val="20"/>
          <w:szCs w:val="20"/>
          <w:color w:val="auto"/>
        </w:rPr>
      </w:pPr>
      <w:r>
        <w:rPr>
          <w:rFonts w:ascii="Arial" w:cs="Arial" w:eastAsia="Arial" w:hAnsi="Arial"/>
          <w:sz w:val="19"/>
          <w:szCs w:val="19"/>
          <w:color w:val="auto"/>
        </w:rPr>
        <w:t>We also have invested in tools and technologies to protect our and our patients’ and customers’ data and information technology, and we regularly monitor our information technology systems and infrastructure to identify and assess cybersecurity risks. We have designed a Threat Intelligence function that actively looks for emerging threats and risks that target the pharmaceutical industry generally or AbbVie specifically. We rely in part on third parties (including assessors, consultants, advisors and others) in connection with our processes for assessing, identifying, managing and reducing cyber risks.</w:t>
      </w:r>
    </w:p>
    <w:p>
      <w:pPr>
        <w:spacing w:after="0" w:line="106" w:lineRule="exact"/>
        <w:rPr>
          <w:sz w:val="20"/>
          <w:szCs w:val="20"/>
          <w:color w:val="auto"/>
        </w:rPr>
      </w:pPr>
    </w:p>
    <w:p>
      <w:pPr>
        <w:ind w:right="20" w:firstLine="359"/>
        <w:spacing w:after="0" w:line="251" w:lineRule="auto"/>
        <w:rPr>
          <w:sz w:val="20"/>
          <w:szCs w:val="20"/>
          <w:color w:val="auto"/>
        </w:rPr>
      </w:pPr>
      <w:r>
        <w:rPr>
          <w:rFonts w:ascii="Arial" w:cs="Arial" w:eastAsia="Arial" w:hAnsi="Arial"/>
          <w:sz w:val="20"/>
          <w:szCs w:val="20"/>
          <w:color w:val="auto"/>
        </w:rPr>
        <w:t>In addition, we have implemented a cybersecurity awareness program designed to educate and train our entire workforce on how to identify and report cybersecurity threats. Training programs are conducted on a periodic basis and are focused on giving employees information to manage and defend against the most relevant and prevalent cybersecurity risks to AbbVie. We also provide specialized training for employees in specialized information technology roles and for business functions who may be impacted by a cyber incident. We conduct regular drills, such as tabletop exercises, to help with our overall preparedness.</w:t>
      </w:r>
    </w:p>
    <w:p>
      <w:pPr>
        <w:spacing w:after="0" w:line="118" w:lineRule="exact"/>
        <w:rPr>
          <w:sz w:val="20"/>
          <w:szCs w:val="20"/>
          <w:color w:val="auto"/>
        </w:rPr>
      </w:pPr>
    </w:p>
    <w:p>
      <w:pPr>
        <w:jc w:val="both"/>
        <w:ind w:firstLine="359"/>
        <w:spacing w:after="0" w:line="293" w:lineRule="auto"/>
        <w:rPr>
          <w:sz w:val="20"/>
          <w:szCs w:val="20"/>
          <w:color w:val="auto"/>
        </w:rPr>
      </w:pPr>
      <w:r>
        <w:rPr>
          <w:rFonts w:ascii="Arial" w:cs="Arial" w:eastAsia="Arial" w:hAnsi="Arial"/>
          <w:sz w:val="19"/>
          <w:szCs w:val="19"/>
          <w:color w:val="auto"/>
        </w:rPr>
        <w:t>We take measures to regularly update and improve our cybersecurity program, including conducting independent program assessments, penetration testing and scanning of our systems for vulnerabilities.</w:t>
      </w:r>
    </w:p>
    <w:p>
      <w:pPr>
        <w:sectPr>
          <w:pgSz w:w="11880" w:h="15480" w:orient="portrait"/>
          <w:cols w:equalWidth="0" w:num="1">
            <w:col w:w="9100"/>
          </w:cols>
          <w:pgMar w:left="1400" w:top="1019" w:right="1380" w:bottom="87" w:gutter="0" w:footer="0" w:header="0"/>
        </w:sectPr>
      </w:pPr>
    </w:p>
    <w:p>
      <w:pPr>
        <w:spacing w:after="0" w:line="207"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31</w:t>
      </w:r>
    </w:p>
    <w:p>
      <w:pPr>
        <w:sectPr>
          <w:pgSz w:w="11880" w:h="15480" w:orient="portrait"/>
          <w:cols w:equalWidth="0" w:num="1">
            <w:col w:w="9100"/>
          </w:cols>
          <w:pgMar w:left="1400" w:top="1019" w:right="1380" w:bottom="87" w:gutter="0" w:footer="0" w:header="0"/>
          <w:type w:val="continuous"/>
        </w:sectPr>
      </w:pPr>
    </w:p>
    <w:bookmarkStart w:id="37" w:name="page38"/>
    <w:bookmarkEnd w:id="37"/>
    <w:p>
      <w:pPr>
        <w:spacing w:after="0" w:line="260" w:lineRule="auto"/>
        <w:rPr>
          <w:sz w:val="20"/>
          <w:szCs w:val="20"/>
          <w:color w:val="auto"/>
        </w:rPr>
      </w:pPr>
      <w:r>
        <w:rPr>
          <w:rFonts w:ascii="Arial" w:cs="Arial" w:eastAsia="Arial" w:hAnsi="Arial"/>
          <w:sz w:val="20"/>
          <w:szCs w:val="20"/>
          <w:color w:val="auto"/>
        </w:rPr>
        <w:t>We follow the National Institute of Standards and Technology (NIST) Cybersecurity Framework and undergo a third-party assessment every two years to measure the maturity of our cybersecurity program against the NIST Cybersecurity Framework. In addition, we periodically engage third-party advisors to assess the effectiveness and capabilities of our cybersecurity program, strengthen our cybersecurity policies and practices and identify potential vulnerabilities of our systems.</w:t>
      </w:r>
    </w:p>
    <w:p>
      <w:pPr>
        <w:spacing w:after="0" w:line="121" w:lineRule="exact"/>
        <w:rPr>
          <w:sz w:val="20"/>
          <w:szCs w:val="20"/>
          <w:color w:val="auto"/>
        </w:rPr>
      </w:pPr>
    </w:p>
    <w:p>
      <w:pPr>
        <w:ind w:firstLine="359"/>
        <w:spacing w:after="0" w:line="270" w:lineRule="auto"/>
        <w:rPr>
          <w:sz w:val="20"/>
          <w:szCs w:val="20"/>
          <w:color w:val="auto"/>
        </w:rPr>
      </w:pPr>
      <w:r>
        <w:rPr>
          <w:rFonts w:ascii="Arial" w:cs="Arial" w:eastAsia="Arial" w:hAnsi="Arial"/>
          <w:sz w:val="19"/>
          <w:szCs w:val="19"/>
          <w:color w:val="auto"/>
        </w:rPr>
        <w:t>With respect to third-party service providers, our information security program includes conducting due diligence of relevant service providers’ information security programs prior to onboarding. We also contractually require third-party service providers with access to our information technology systems, sensitive business data or personally identifiable information to implement and maintain appropriate security controls and contractually restrict their ability to use our data, including personally identifiable information, for purposes other than to provide services to us, except as required by law. To oversee the risks associated with these service providers, we work with them to help ensure that their cybersecurity protocols are appropriate to the risk presented by their access to or use of our systems and/or data, including notification and coordination concerning incidents occurring on third-party systems that may affect us. These relevant service providers are contractually required to notify us promptly of information security incidents that may affect our systems or data, including personally identifiable information. While we conduct due diligence on the security and business controls of our third-party service providers and take steps to monitor their compliance with our security requirements, we may not have the ability in all cases to effectively monitor or oversee the implementation of these control measures.</w:t>
      </w:r>
    </w:p>
    <w:p>
      <w:pPr>
        <w:spacing w:after="0" w:line="117"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color w:val="auto"/>
        </w:rPr>
        <w:t>As of December 31, 2025, cybersecurity risks have not materially affected our business, strategy, results of operations, or financial condition. Although we have invested in the protection of our data and information technology and monitor our systems on an ongoing basis, there can be no assurance that such efforts will in the future prevent material compromises to our information technology systems that could have a material adverse effect on our business. We maintain cybersecurity insurance coverage to mitigate our financial exposure to certain incidents. For additional information about our cybersecurity risks, see Item 1A, “Risk Factors—AbbVie depends on information technology and a failure of, or significant disruption to, those systems could have a material adverse effect on AbbVie’s business.”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Our board of directors has risk oversight responsibility for AbbVie and administers this responsibility</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both directly and with assistance from its committees. Each of the committees periodically reports to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on its risk oversight activities. Cybersecurity is a critical component of our enterprise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risk management program, which is designed to be business aligned, risk-focused and multi-faceted</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to protect our and our patients’, customers’ and business partners’ data. Our board of directors is actively</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involved in reviewing our information security and technology risks and opportunities (including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cybersecurity) and discusses these topics on a regular basis.</w:t>
      </w:r>
    </w:p>
    <w:p>
      <w:pPr>
        <w:spacing w:after="0" w:line="148" w:lineRule="exact"/>
        <w:rPr>
          <w:sz w:val="20"/>
          <w:szCs w:val="20"/>
          <w:color w:val="auto"/>
        </w:rPr>
      </w:pPr>
    </w:p>
    <w:p>
      <w:pPr>
        <w:ind w:firstLine="359"/>
        <w:spacing w:after="0" w:line="257" w:lineRule="auto"/>
        <w:rPr>
          <w:sz w:val="20"/>
          <w:szCs w:val="20"/>
          <w:color w:val="auto"/>
        </w:rPr>
      </w:pPr>
      <w:r>
        <w:rPr>
          <w:rFonts w:ascii="Arial" w:cs="Arial" w:eastAsia="Arial" w:hAnsi="Arial"/>
          <w:sz w:val="20"/>
          <w:szCs w:val="20"/>
          <w:color w:val="auto"/>
        </w:rPr>
        <w:t>The Audit Committee, comprised solely of independent directors, oversees our enterprise risk management program and assists the board of directors in fulfilling its oversight responsibility with respect to our information security and technology risks (including cybersecurity), which are fully integrated into our enterprise risk management program. The Audit Committee reviews and discusses our information security and technology risks (such as cybersecurity), including our information security and risk management programs.</w:t>
      </w:r>
    </w:p>
    <w:p>
      <w:pPr>
        <w:spacing w:after="0" w:line="123" w:lineRule="exact"/>
        <w:rPr>
          <w:sz w:val="20"/>
          <w:szCs w:val="20"/>
          <w:color w:val="auto"/>
        </w:rPr>
      </w:pPr>
    </w:p>
    <w:p>
      <w:pPr>
        <w:ind w:firstLine="359"/>
        <w:spacing w:after="0" w:line="257" w:lineRule="auto"/>
        <w:rPr>
          <w:sz w:val="20"/>
          <w:szCs w:val="20"/>
          <w:color w:val="auto"/>
        </w:rPr>
      </w:pPr>
      <w:r>
        <w:rPr>
          <w:rFonts w:ascii="Arial" w:cs="Arial" w:eastAsia="Arial" w:hAnsi="Arial"/>
          <w:sz w:val="20"/>
          <w:szCs w:val="20"/>
          <w:color w:val="auto"/>
        </w:rPr>
        <w:t>Our cybersecurity program is led by our Chief Information Security Officer, who is responsible for assessing and managing our information security and technology risks (including cybersecurity). He has more than 25 years of experience in information security and information technology risk management, holding chief information security officer positions with Fortune 500 companies in the retail, healthcare and life sciences industries. He has also served on the Health-ISAC board of directors and is a Certified Information System Security Professional (CISSP).</w:t>
      </w:r>
    </w:p>
    <w:p>
      <w:pPr>
        <w:spacing w:after="0" w:line="123" w:lineRule="exact"/>
        <w:rPr>
          <w:sz w:val="20"/>
          <w:szCs w:val="20"/>
          <w:color w:val="auto"/>
        </w:rPr>
      </w:pPr>
    </w:p>
    <w:p>
      <w:pPr>
        <w:ind w:right="60" w:firstLine="359"/>
        <w:spacing w:after="0" w:line="260" w:lineRule="auto"/>
        <w:rPr>
          <w:sz w:val="20"/>
          <w:szCs w:val="20"/>
          <w:color w:val="auto"/>
        </w:rPr>
      </w:pPr>
      <w:r>
        <w:rPr>
          <w:rFonts w:ascii="Arial" w:cs="Arial" w:eastAsia="Arial" w:hAnsi="Arial"/>
          <w:sz w:val="20"/>
          <w:szCs w:val="20"/>
          <w:color w:val="auto"/>
        </w:rPr>
        <w:t>Our Chief Information Security Officer meets regularly with our information technology teams as well as other members of management to review and discuss our cybersecurity and other information technology risks and opportunities. Our global incident response plan sets forth a detailed security incident management and reporting protocol, with escalation timelines and responsibilities.</w:t>
      </w:r>
    </w:p>
    <w:p>
      <w:pPr>
        <w:sectPr>
          <w:pgSz w:w="11880" w:h="15480" w:orient="portrait"/>
          <w:cols w:equalWidth="0" w:num="1">
            <w:col w:w="9100"/>
          </w:cols>
          <w:pgMar w:left="1400" w:top="1030" w:right="1380" w:bottom="75"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sz w:val="1"/>
          <w:szCs w:val="1"/>
          <w:color w:val="auto"/>
        </w:rPr>
        <w:drawing>
          <wp:inline distT="0" distB="0" distL="0" distR="0">
            <wp:extent cx="615950" cy="1282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38" w:name="page39"/>
    <w:bookmarkEnd w:id="38"/>
    <w:p>
      <w:pPr>
        <w:ind w:left="10" w:firstLine="359"/>
        <w:spacing w:after="0" w:line="254" w:lineRule="auto"/>
        <w:rPr>
          <w:sz w:val="20"/>
          <w:szCs w:val="20"/>
          <w:color w:val="auto"/>
        </w:rPr>
      </w:pPr>
      <w:r>
        <w:rPr>
          <w:rFonts w:ascii="Arial" w:cs="Arial" w:eastAsia="Arial" w:hAnsi="Arial"/>
          <w:sz w:val="20"/>
          <w:szCs w:val="20"/>
          <w:color w:val="auto"/>
        </w:rPr>
        <w:t>The Audit Committee receives regular updates from the Chief Information Security Officer and other members of management on our cybersecurity program, including on information security and technology risks, program assessments, and risk management practices. Our Chief Information Security Officer and other senior information technology executives also provide similar topical updates to the full board of directors at least annually.</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ITEM 2. PROPERTIES</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left="350"/>
        <w:spacing w:after="0"/>
        <w:rPr>
          <w:sz w:val="20"/>
          <w:szCs w:val="20"/>
          <w:color w:val="auto"/>
        </w:rPr>
      </w:pPr>
      <w:r>
        <w:rPr>
          <w:rFonts w:ascii="Arial" w:cs="Arial" w:eastAsia="Arial" w:hAnsi="Arial"/>
          <w:sz w:val="20"/>
          <w:szCs w:val="20"/>
          <w:color w:val="auto"/>
        </w:rPr>
        <w:t>AbbVie’s corporate offices are located at 1 North Waukegan Road, North Chicago,</w:t>
      </w:r>
    </w:p>
    <w:p>
      <w:pPr>
        <w:spacing w:after="0" w:line="18" w:lineRule="exact"/>
        <w:rPr>
          <w:sz w:val="20"/>
          <w:szCs w:val="20"/>
          <w:color w:val="auto"/>
        </w:rPr>
      </w:pPr>
    </w:p>
    <w:p>
      <w:pPr>
        <w:ind w:left="10"/>
        <w:spacing w:after="0" w:line="253" w:lineRule="auto"/>
        <w:rPr>
          <w:sz w:val="20"/>
          <w:szCs w:val="20"/>
          <w:color w:val="auto"/>
        </w:rPr>
      </w:pPr>
      <w:r>
        <w:rPr>
          <w:rFonts w:ascii="Arial" w:cs="Arial" w:eastAsia="Arial" w:hAnsi="Arial"/>
          <w:sz w:val="20"/>
          <w:szCs w:val="20"/>
          <w:color w:val="auto"/>
        </w:rPr>
        <w:t>Illinois 60064-6400. As of December 31, 2025, AbbVie owns or leases approximately 600 facilities worldwide, containing an aggregate of approximately 19.4 million square feet of floor space dedicated to production, distribution and administration. AbbVie’s significant manufacturing sites are in the following locations: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520" w:type="dxa"/>
            <w:vAlign w:val="bottom"/>
          </w:tcPr>
          <w:p>
            <w:pPr>
              <w:spacing w:after="0"/>
              <w:rPr>
                <w:sz w:val="20"/>
                <w:szCs w:val="20"/>
                <w:color w:val="auto"/>
              </w:rPr>
            </w:pPr>
            <w:r>
              <w:rPr>
                <w:rFonts w:ascii="Arial" w:cs="Arial" w:eastAsia="Arial" w:hAnsi="Arial"/>
                <w:sz w:val="16"/>
                <w:szCs w:val="16"/>
                <w:b w:val="1"/>
                <w:bCs w:val="1"/>
                <w:color w:val="auto"/>
              </w:rPr>
              <w:t>United States</w:t>
            </w:r>
          </w:p>
        </w:tc>
        <w:tc>
          <w:tcPr>
            <w:tcW w:w="5580" w:type="dxa"/>
            <w:vAlign w:val="bottom"/>
          </w:tcPr>
          <w:p>
            <w:pPr>
              <w:ind w:left="1140"/>
              <w:spacing w:after="0"/>
              <w:rPr>
                <w:sz w:val="20"/>
                <w:szCs w:val="20"/>
                <w:color w:val="auto"/>
              </w:rPr>
            </w:pPr>
            <w:r>
              <w:rPr>
                <w:rFonts w:ascii="Arial" w:cs="Arial" w:eastAsia="Arial" w:hAnsi="Arial"/>
                <w:sz w:val="16"/>
                <w:szCs w:val="16"/>
                <w:b w:val="1"/>
                <w:bCs w:val="1"/>
                <w:color w:val="auto"/>
              </w:rPr>
              <w:t>Outside the United States</w:t>
            </w:r>
          </w:p>
        </w:tc>
      </w:tr>
      <w:tr>
        <w:trPr>
          <w:trHeight w:val="32"/>
        </w:trPr>
        <w:tc>
          <w:tcPr>
            <w:tcW w:w="35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73"/>
        </w:trPr>
        <w:tc>
          <w:tcPr>
            <w:tcW w:w="3520" w:type="dxa"/>
            <w:vAlign w:val="bottom"/>
          </w:tcPr>
          <w:p>
            <w:pPr>
              <w:spacing w:after="0"/>
              <w:rPr>
                <w:sz w:val="20"/>
                <w:szCs w:val="20"/>
                <w:color w:val="auto"/>
              </w:rPr>
            </w:pPr>
            <w:r>
              <w:rPr>
                <w:rFonts w:ascii="Arial" w:cs="Arial" w:eastAsia="Arial" w:hAnsi="Arial"/>
                <w:sz w:val="20"/>
                <w:szCs w:val="20"/>
                <w:color w:val="auto"/>
              </w:rPr>
              <w:t>Abbott Park, Illinois*</w:t>
            </w:r>
          </w:p>
        </w:tc>
        <w:tc>
          <w:tcPr>
            <w:tcW w:w="5580" w:type="dxa"/>
            <w:vAlign w:val="bottom"/>
          </w:tcPr>
          <w:p>
            <w:pPr>
              <w:ind w:left="1140"/>
              <w:spacing w:after="0"/>
              <w:rPr>
                <w:sz w:val="20"/>
                <w:szCs w:val="20"/>
                <w:color w:val="auto"/>
              </w:rPr>
            </w:pPr>
            <w:r>
              <w:rPr>
                <w:rFonts w:ascii="Arial" w:cs="Arial" w:eastAsia="Arial" w:hAnsi="Arial"/>
                <w:sz w:val="20"/>
                <w:szCs w:val="20"/>
                <w:color w:val="auto"/>
              </w:rPr>
              <w:t>Campoverde di Aprilia, Italy</w:t>
            </w:r>
          </w:p>
        </w:tc>
      </w:tr>
      <w:tr>
        <w:trPr>
          <w:trHeight w:val="299"/>
        </w:trPr>
        <w:tc>
          <w:tcPr>
            <w:tcW w:w="3520" w:type="dxa"/>
            <w:vAlign w:val="bottom"/>
          </w:tcPr>
          <w:p>
            <w:pPr>
              <w:spacing w:after="0"/>
              <w:rPr>
                <w:sz w:val="20"/>
                <w:szCs w:val="20"/>
                <w:color w:val="auto"/>
              </w:rPr>
            </w:pPr>
            <w:r>
              <w:rPr>
                <w:rFonts w:ascii="Arial" w:cs="Arial" w:eastAsia="Arial" w:hAnsi="Arial"/>
                <w:sz w:val="20"/>
                <w:szCs w:val="20"/>
                <w:color w:val="auto"/>
              </w:rPr>
              <w:t>Barceloneta, Puerto Rico</w:t>
            </w:r>
          </w:p>
        </w:tc>
        <w:tc>
          <w:tcPr>
            <w:tcW w:w="5580" w:type="dxa"/>
            <w:vAlign w:val="bottom"/>
          </w:tcPr>
          <w:p>
            <w:pPr>
              <w:ind w:left="1140"/>
              <w:spacing w:after="0"/>
              <w:rPr>
                <w:sz w:val="20"/>
                <w:szCs w:val="20"/>
                <w:color w:val="auto"/>
              </w:rPr>
            </w:pPr>
            <w:r>
              <w:rPr>
                <w:rFonts w:ascii="Arial" w:cs="Arial" w:eastAsia="Arial" w:hAnsi="Arial"/>
                <w:sz w:val="20"/>
                <w:szCs w:val="20"/>
                <w:color w:val="auto"/>
              </w:rPr>
              <w:t>Clonshaugh, Ireland</w:t>
            </w:r>
          </w:p>
        </w:tc>
      </w:tr>
      <w:tr>
        <w:trPr>
          <w:trHeight w:val="299"/>
        </w:trPr>
        <w:tc>
          <w:tcPr>
            <w:tcW w:w="3520" w:type="dxa"/>
            <w:vAlign w:val="bottom"/>
          </w:tcPr>
          <w:p>
            <w:pPr>
              <w:spacing w:after="0"/>
              <w:rPr>
                <w:sz w:val="20"/>
                <w:szCs w:val="20"/>
                <w:color w:val="auto"/>
              </w:rPr>
            </w:pPr>
            <w:r>
              <w:rPr>
                <w:rFonts w:ascii="Arial" w:cs="Arial" w:eastAsia="Arial" w:hAnsi="Arial"/>
                <w:sz w:val="20"/>
                <w:szCs w:val="20"/>
                <w:color w:val="auto"/>
              </w:rPr>
              <w:t>Branchburg, New Jersey*</w:t>
            </w:r>
          </w:p>
        </w:tc>
        <w:tc>
          <w:tcPr>
            <w:tcW w:w="5580" w:type="dxa"/>
            <w:vAlign w:val="bottom"/>
          </w:tcPr>
          <w:p>
            <w:pPr>
              <w:ind w:left="1140"/>
              <w:spacing w:after="0"/>
              <w:rPr>
                <w:sz w:val="20"/>
                <w:szCs w:val="20"/>
                <w:color w:val="auto"/>
              </w:rPr>
            </w:pPr>
            <w:r>
              <w:rPr>
                <w:rFonts w:ascii="Arial" w:cs="Arial" w:eastAsia="Arial" w:hAnsi="Arial"/>
                <w:sz w:val="20"/>
                <w:szCs w:val="20"/>
                <w:color w:val="auto"/>
              </w:rPr>
              <w:t>Cork, Ireland</w:t>
            </w:r>
          </w:p>
        </w:tc>
      </w:tr>
      <w:tr>
        <w:trPr>
          <w:trHeight w:val="299"/>
        </w:trPr>
        <w:tc>
          <w:tcPr>
            <w:tcW w:w="3520" w:type="dxa"/>
            <w:vAlign w:val="bottom"/>
          </w:tcPr>
          <w:p>
            <w:pPr>
              <w:spacing w:after="0"/>
              <w:rPr>
                <w:sz w:val="20"/>
                <w:szCs w:val="20"/>
                <w:color w:val="auto"/>
              </w:rPr>
            </w:pPr>
            <w:r>
              <w:rPr>
                <w:rFonts w:ascii="Arial" w:cs="Arial" w:eastAsia="Arial" w:hAnsi="Arial"/>
                <w:sz w:val="20"/>
                <w:szCs w:val="20"/>
                <w:color w:val="auto"/>
              </w:rPr>
              <w:t>Cincinnati, Ohio</w:t>
            </w:r>
          </w:p>
        </w:tc>
        <w:tc>
          <w:tcPr>
            <w:tcW w:w="5580" w:type="dxa"/>
            <w:vAlign w:val="bottom"/>
          </w:tcPr>
          <w:p>
            <w:pPr>
              <w:ind w:left="1140"/>
              <w:spacing w:after="0"/>
              <w:rPr>
                <w:sz w:val="20"/>
                <w:szCs w:val="20"/>
                <w:color w:val="auto"/>
              </w:rPr>
            </w:pPr>
            <w:r>
              <w:rPr>
                <w:rFonts w:ascii="Arial" w:cs="Arial" w:eastAsia="Arial" w:hAnsi="Arial"/>
                <w:sz w:val="20"/>
                <w:szCs w:val="20"/>
                <w:color w:val="auto"/>
              </w:rPr>
              <w:t>La Aurora, Costa Rica</w:t>
            </w:r>
          </w:p>
        </w:tc>
      </w:tr>
      <w:tr>
        <w:trPr>
          <w:trHeight w:val="299"/>
        </w:trPr>
        <w:tc>
          <w:tcPr>
            <w:tcW w:w="3520" w:type="dxa"/>
            <w:vAlign w:val="bottom"/>
          </w:tcPr>
          <w:p>
            <w:pPr>
              <w:spacing w:after="0"/>
              <w:rPr>
                <w:sz w:val="20"/>
                <w:szCs w:val="20"/>
                <w:color w:val="auto"/>
              </w:rPr>
            </w:pPr>
            <w:r>
              <w:rPr>
                <w:rFonts w:ascii="Arial" w:cs="Arial" w:eastAsia="Arial" w:hAnsi="Arial"/>
                <w:sz w:val="20"/>
                <w:szCs w:val="20"/>
                <w:color w:val="auto"/>
              </w:rPr>
              <w:t>Dublin, California*</w:t>
            </w:r>
          </w:p>
        </w:tc>
        <w:tc>
          <w:tcPr>
            <w:tcW w:w="5580" w:type="dxa"/>
            <w:vAlign w:val="bottom"/>
          </w:tcPr>
          <w:p>
            <w:pPr>
              <w:ind w:left="1140"/>
              <w:spacing w:after="0"/>
              <w:rPr>
                <w:sz w:val="20"/>
                <w:szCs w:val="20"/>
                <w:color w:val="auto"/>
              </w:rPr>
            </w:pPr>
            <w:r>
              <w:rPr>
                <w:rFonts w:ascii="Arial" w:cs="Arial" w:eastAsia="Arial" w:hAnsi="Arial"/>
                <w:sz w:val="20"/>
                <w:szCs w:val="20"/>
                <w:color w:val="auto"/>
              </w:rPr>
              <w:t>Ludwigshafen, Germany</w:t>
            </w:r>
          </w:p>
        </w:tc>
      </w:tr>
      <w:tr>
        <w:trPr>
          <w:trHeight w:val="299"/>
        </w:trPr>
        <w:tc>
          <w:tcPr>
            <w:tcW w:w="3520" w:type="dxa"/>
            <w:vAlign w:val="bottom"/>
          </w:tcPr>
          <w:p>
            <w:pPr>
              <w:spacing w:after="0"/>
              <w:rPr>
                <w:sz w:val="20"/>
                <w:szCs w:val="20"/>
                <w:color w:val="auto"/>
              </w:rPr>
            </w:pPr>
            <w:r>
              <w:rPr>
                <w:rFonts w:ascii="Arial" w:cs="Arial" w:eastAsia="Arial" w:hAnsi="Arial"/>
                <w:sz w:val="20"/>
                <w:szCs w:val="20"/>
                <w:color w:val="auto"/>
              </w:rPr>
              <w:t>Irvine, California</w:t>
            </w:r>
          </w:p>
        </w:tc>
        <w:tc>
          <w:tcPr>
            <w:tcW w:w="5580" w:type="dxa"/>
            <w:vAlign w:val="bottom"/>
          </w:tcPr>
          <w:p>
            <w:pPr>
              <w:ind w:left="1140"/>
              <w:spacing w:after="0"/>
              <w:rPr>
                <w:sz w:val="20"/>
                <w:szCs w:val="20"/>
                <w:color w:val="auto"/>
              </w:rPr>
            </w:pPr>
            <w:r>
              <w:rPr>
                <w:rFonts w:ascii="Arial" w:cs="Arial" w:eastAsia="Arial" w:hAnsi="Arial"/>
                <w:sz w:val="20"/>
                <w:szCs w:val="20"/>
                <w:color w:val="auto"/>
              </w:rPr>
              <w:t>Pringy, France</w:t>
            </w:r>
          </w:p>
        </w:tc>
      </w:tr>
      <w:tr>
        <w:trPr>
          <w:trHeight w:val="299"/>
        </w:trPr>
        <w:tc>
          <w:tcPr>
            <w:tcW w:w="3520" w:type="dxa"/>
            <w:vAlign w:val="bottom"/>
          </w:tcPr>
          <w:p>
            <w:pPr>
              <w:spacing w:after="0"/>
              <w:rPr>
                <w:sz w:val="20"/>
                <w:szCs w:val="20"/>
                <w:color w:val="auto"/>
              </w:rPr>
            </w:pPr>
            <w:r>
              <w:rPr>
                <w:rFonts w:ascii="Arial" w:cs="Arial" w:eastAsia="Arial" w:hAnsi="Arial"/>
                <w:sz w:val="20"/>
                <w:szCs w:val="20"/>
                <w:color w:val="auto"/>
              </w:rPr>
              <w:t>North Chicago, Illinois</w:t>
            </w:r>
          </w:p>
        </w:tc>
        <w:tc>
          <w:tcPr>
            <w:tcW w:w="5580" w:type="dxa"/>
            <w:vAlign w:val="bottom"/>
          </w:tcPr>
          <w:p>
            <w:pPr>
              <w:ind w:left="1140"/>
              <w:spacing w:after="0"/>
              <w:rPr>
                <w:sz w:val="20"/>
                <w:szCs w:val="20"/>
                <w:color w:val="auto"/>
              </w:rPr>
            </w:pPr>
            <w:r>
              <w:rPr>
                <w:rFonts w:ascii="Arial" w:cs="Arial" w:eastAsia="Arial" w:hAnsi="Arial"/>
                <w:sz w:val="20"/>
                <w:szCs w:val="20"/>
                <w:color w:val="auto"/>
              </w:rPr>
              <w:t>Singapore*</w:t>
            </w:r>
          </w:p>
        </w:tc>
      </w:tr>
      <w:tr>
        <w:trPr>
          <w:trHeight w:val="299"/>
        </w:trPr>
        <w:tc>
          <w:tcPr>
            <w:tcW w:w="3520" w:type="dxa"/>
            <w:vAlign w:val="bottom"/>
          </w:tcPr>
          <w:p>
            <w:pPr>
              <w:spacing w:after="0"/>
              <w:rPr>
                <w:sz w:val="20"/>
                <w:szCs w:val="20"/>
                <w:color w:val="auto"/>
              </w:rPr>
            </w:pPr>
            <w:r>
              <w:rPr>
                <w:rFonts w:ascii="Arial" w:cs="Arial" w:eastAsia="Arial" w:hAnsi="Arial"/>
                <w:sz w:val="20"/>
                <w:szCs w:val="20"/>
                <w:color w:val="auto"/>
              </w:rPr>
              <w:t>Waco, Texas</w:t>
            </w:r>
          </w:p>
        </w:tc>
        <w:tc>
          <w:tcPr>
            <w:tcW w:w="5580" w:type="dxa"/>
            <w:vAlign w:val="bottom"/>
          </w:tcPr>
          <w:p>
            <w:pPr>
              <w:ind w:left="1140"/>
              <w:spacing w:after="0"/>
              <w:rPr>
                <w:sz w:val="20"/>
                <w:szCs w:val="20"/>
                <w:color w:val="auto"/>
              </w:rPr>
            </w:pPr>
            <w:r>
              <w:rPr>
                <w:rFonts w:ascii="Arial" w:cs="Arial" w:eastAsia="Arial" w:hAnsi="Arial"/>
                <w:sz w:val="20"/>
                <w:szCs w:val="20"/>
                <w:color w:val="auto"/>
              </w:rPr>
              <w:t>Sligo, Ireland</w:t>
            </w:r>
          </w:p>
        </w:tc>
      </w:tr>
      <w:tr>
        <w:trPr>
          <w:trHeight w:val="299"/>
        </w:trPr>
        <w:tc>
          <w:tcPr>
            <w:tcW w:w="3520" w:type="dxa"/>
            <w:vAlign w:val="bottom"/>
          </w:tcPr>
          <w:p>
            <w:pPr>
              <w:spacing w:after="0"/>
              <w:rPr>
                <w:sz w:val="20"/>
                <w:szCs w:val="20"/>
                <w:color w:val="auto"/>
              </w:rPr>
            </w:pPr>
            <w:r>
              <w:rPr>
                <w:rFonts w:ascii="Arial" w:cs="Arial" w:eastAsia="Arial" w:hAnsi="Arial"/>
                <w:sz w:val="20"/>
                <w:szCs w:val="20"/>
                <w:color w:val="auto"/>
              </w:rPr>
              <w:t>Worcester, Massachusetts*</w:t>
            </w:r>
          </w:p>
        </w:tc>
        <w:tc>
          <w:tcPr>
            <w:tcW w:w="5580" w:type="dxa"/>
            <w:vAlign w:val="bottom"/>
          </w:tcPr>
          <w:p>
            <w:pPr>
              <w:ind w:left="1140"/>
              <w:spacing w:after="0"/>
              <w:rPr>
                <w:sz w:val="20"/>
                <w:szCs w:val="20"/>
                <w:color w:val="auto"/>
              </w:rPr>
            </w:pPr>
            <w:r>
              <w:rPr>
                <w:rFonts w:ascii="Arial" w:cs="Arial" w:eastAsia="Arial" w:hAnsi="Arial"/>
                <w:sz w:val="20"/>
                <w:szCs w:val="20"/>
                <w:color w:val="auto"/>
              </w:rPr>
              <w:t>Westport, Ireland*</w:t>
            </w:r>
          </w:p>
        </w:tc>
      </w:tr>
      <w:tr>
        <w:trPr>
          <w:trHeight w:val="299"/>
        </w:trPr>
        <w:tc>
          <w:tcPr>
            <w:tcW w:w="3520" w:type="dxa"/>
            <w:vAlign w:val="bottom"/>
          </w:tcPr>
          <w:p>
            <w:pPr>
              <w:spacing w:after="0"/>
              <w:rPr>
                <w:sz w:val="20"/>
                <w:szCs w:val="20"/>
                <w:color w:val="auto"/>
              </w:rPr>
            </w:pPr>
            <w:r>
              <w:rPr>
                <w:rFonts w:ascii="Arial" w:cs="Arial" w:eastAsia="Arial" w:hAnsi="Arial"/>
                <w:sz w:val="20"/>
                <w:szCs w:val="20"/>
                <w:color w:val="auto"/>
              </w:rPr>
              <w:t>Wyandotte, Michigan*</w:t>
            </w:r>
          </w:p>
        </w:tc>
        <w:tc>
          <w:tcPr>
            <w:tcW w:w="5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152019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019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119.7pt,12pt" o:allowincell="f" strokecolor="#000000" strokeweight="0.499pt"/>
            </w:pict>
          </mc:Fallback>
        </mc:AlternateContent>
      </w:r>
    </w:p>
    <w:p>
      <w:pPr>
        <w:spacing w:after="0" w:line="271" w:lineRule="exact"/>
        <w:rPr>
          <w:sz w:val="20"/>
          <w:szCs w:val="20"/>
          <w:color w:val="auto"/>
        </w:rPr>
      </w:pPr>
    </w:p>
    <w:p>
      <w:pPr>
        <w:ind w:left="350" w:hanging="350"/>
        <w:spacing w:after="0"/>
        <w:tabs>
          <w:tab w:leader="none" w:pos="35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Leased property.</w:t>
      </w:r>
    </w:p>
    <w:p>
      <w:pPr>
        <w:spacing w:after="0" w:line="149" w:lineRule="exact"/>
        <w:rPr>
          <w:sz w:val="20"/>
          <w:szCs w:val="20"/>
          <w:color w:val="auto"/>
        </w:rPr>
      </w:pPr>
    </w:p>
    <w:p>
      <w:pPr>
        <w:ind w:left="10" w:right="140" w:firstLine="359"/>
        <w:spacing w:after="0" w:line="269" w:lineRule="auto"/>
        <w:rPr>
          <w:sz w:val="20"/>
          <w:szCs w:val="20"/>
          <w:color w:val="auto"/>
        </w:rPr>
      </w:pPr>
      <w:r>
        <w:rPr>
          <w:rFonts w:ascii="Arial" w:cs="Arial" w:eastAsia="Arial" w:hAnsi="Arial"/>
          <w:sz w:val="20"/>
          <w:szCs w:val="20"/>
          <w:color w:val="auto"/>
        </w:rPr>
        <w:t>AbbVie believes its sites are suitable and provide adequate production capacity for its current and projected operations. There are no material encumbrances on AbbVie’s owned properties.</w:t>
      </w:r>
    </w:p>
    <w:p>
      <w:pPr>
        <w:spacing w:after="0" w:line="103" w:lineRule="exact"/>
        <w:rPr>
          <w:sz w:val="20"/>
          <w:szCs w:val="20"/>
          <w:color w:val="auto"/>
        </w:rPr>
      </w:pPr>
    </w:p>
    <w:p>
      <w:pPr>
        <w:ind w:left="10" w:firstLine="359"/>
        <w:spacing w:after="0" w:line="268" w:lineRule="auto"/>
        <w:rPr>
          <w:sz w:val="20"/>
          <w:szCs w:val="20"/>
          <w:color w:val="auto"/>
        </w:rPr>
      </w:pPr>
      <w:r>
        <w:rPr>
          <w:rFonts w:ascii="Arial" w:cs="Arial" w:eastAsia="Arial" w:hAnsi="Arial"/>
          <w:sz w:val="19"/>
          <w:szCs w:val="19"/>
          <w:color w:val="auto"/>
        </w:rPr>
        <w:t>AbbVie distributes products through a network of central and regional distribution centers, with its central distribution centers located in the U.S. and Europe. AbbVie also has research and development sites in the United States located at: Abbott Park, Illinois; Branchburg, New Jersey; Cambridge, Massachusetts; Irvine, California; Madison, New Jersey; Madison, Wisconsin; North Chicago, Illinois; Pleasanton, California; San Diego, California; South San Francisco, California; Waltham, Massachusetts, and Worcester, Massachusetts. Outside the United States, AbbVie’s principal research and development facilities are located in Ludwigshafen, Germany and Oxford, United Kingdom.</w:t>
      </w:r>
    </w:p>
    <w:p>
      <w:pPr>
        <w:spacing w:after="0" w:line="14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ITEM 3. LEGAL PROCEEDINGS</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left="10" w:right="60" w:firstLine="359"/>
        <w:spacing w:after="0" w:line="259" w:lineRule="auto"/>
        <w:rPr>
          <w:sz w:val="20"/>
          <w:szCs w:val="20"/>
          <w:color w:val="auto"/>
        </w:rPr>
      </w:pPr>
      <w:r>
        <w:rPr>
          <w:rFonts w:ascii="Arial" w:cs="Arial" w:eastAsia="Arial" w:hAnsi="Arial"/>
          <w:sz w:val="20"/>
          <w:szCs w:val="20"/>
          <w:color w:val="auto"/>
        </w:rPr>
        <w:t>Information pertaining to legal proceedings is provided in Note 15, “Legal Proceedings and Contingencies” to the Consolidated Financial Statements included under Item 8, “Financial Statements and Supplementary Data,” and is incorporated by reference herein.</w:t>
      </w:r>
    </w:p>
    <w:p>
      <w:pPr>
        <w:spacing w:after="0" w:line="14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ITEM 4. MINE SAFETY DISCLOSURES</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left="35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110"/>
          </w:cols>
          <w:pgMar w:left="1390" w:top="1030"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3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33</w:t>
      </w:r>
    </w:p>
    <w:p>
      <w:pPr>
        <w:sectPr>
          <w:pgSz w:w="11880" w:h="15480" w:orient="portrait"/>
          <w:cols w:equalWidth="0" w:num="1">
            <w:col w:w="9110"/>
          </w:cols>
          <w:pgMar w:left="1390" w:top="1030" w:right="1380" w:bottom="87"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3"/>
          <w:szCs w:val="23"/>
          <w:b w:val="1"/>
          <w:bCs w:val="1"/>
          <w:color w:val="000039"/>
        </w:rPr>
        <w:t>INFORMATION ABOUT OUR EXECUTIVE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600" w:type="dxa"/>
            <w:vAlign w:val="bottom"/>
          </w:tcPr>
          <w:p>
            <w:pPr>
              <w:ind w:left="140"/>
              <w:spacing w:after="0"/>
              <w:rPr>
                <w:sz w:val="20"/>
                <w:szCs w:val="20"/>
                <w:color w:val="auto"/>
              </w:rPr>
            </w:pPr>
            <w:r>
              <w:rPr>
                <w:rFonts w:ascii="Arial" w:cs="Arial" w:eastAsia="Arial" w:hAnsi="Arial"/>
                <w:sz w:val="16"/>
                <w:szCs w:val="16"/>
                <w:b w:val="1"/>
                <w:bCs w:val="1"/>
                <w:color w:val="auto"/>
              </w:rPr>
              <w:t>Age</w:t>
            </w:r>
          </w:p>
        </w:tc>
        <w:tc>
          <w:tcPr>
            <w:tcW w:w="5880" w:type="dxa"/>
            <w:vAlign w:val="bottom"/>
          </w:tcPr>
          <w:p>
            <w:pPr>
              <w:ind w:left="160"/>
              <w:spacing w:after="0"/>
              <w:rPr>
                <w:sz w:val="20"/>
                <w:szCs w:val="20"/>
                <w:color w:val="auto"/>
              </w:rPr>
            </w:pPr>
            <w:r>
              <w:rPr>
                <w:rFonts w:ascii="Arial" w:cs="Arial" w:eastAsia="Arial" w:hAnsi="Arial"/>
                <w:sz w:val="16"/>
                <w:szCs w:val="16"/>
                <w:b w:val="1"/>
                <w:bCs w:val="1"/>
                <w:color w:val="auto"/>
              </w:rPr>
              <w:t>Position</w:t>
            </w:r>
          </w:p>
        </w:tc>
      </w:tr>
      <w:tr>
        <w:trPr>
          <w:trHeight w:val="22"/>
        </w:trPr>
        <w:tc>
          <w:tcPr>
            <w:tcW w:w="2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r>
      <w:tr>
        <w:trPr>
          <w:trHeight w:val="264"/>
        </w:trPr>
        <w:tc>
          <w:tcPr>
            <w:tcW w:w="2620" w:type="dxa"/>
            <w:vAlign w:val="bottom"/>
          </w:tcPr>
          <w:p>
            <w:pPr>
              <w:spacing w:after="0"/>
              <w:rPr>
                <w:sz w:val="20"/>
                <w:szCs w:val="20"/>
                <w:color w:val="auto"/>
              </w:rPr>
            </w:pPr>
            <w:r>
              <w:rPr>
                <w:rFonts w:ascii="Arial" w:cs="Arial" w:eastAsia="Arial" w:hAnsi="Arial"/>
                <w:sz w:val="20"/>
                <w:szCs w:val="20"/>
                <w:color w:val="auto"/>
              </w:rPr>
              <w:t>Robert A. Michael</w:t>
            </w:r>
          </w:p>
        </w:tc>
        <w:tc>
          <w:tcPr>
            <w:tcW w:w="600" w:type="dxa"/>
            <w:vAlign w:val="bottom"/>
          </w:tcPr>
          <w:p>
            <w:pPr>
              <w:ind w:left="140"/>
              <w:spacing w:after="0"/>
              <w:rPr>
                <w:sz w:val="20"/>
                <w:szCs w:val="20"/>
                <w:color w:val="auto"/>
              </w:rPr>
            </w:pPr>
            <w:r>
              <w:rPr>
                <w:rFonts w:ascii="Arial" w:cs="Arial" w:eastAsia="Arial" w:hAnsi="Arial"/>
                <w:sz w:val="20"/>
                <w:szCs w:val="20"/>
                <w:color w:val="auto"/>
              </w:rPr>
              <w:t>55</w:t>
            </w:r>
          </w:p>
        </w:tc>
        <w:tc>
          <w:tcPr>
            <w:tcW w:w="5880" w:type="dxa"/>
            <w:vAlign w:val="bottom"/>
          </w:tcPr>
          <w:p>
            <w:pPr>
              <w:ind w:left="160"/>
              <w:spacing w:after="0"/>
              <w:rPr>
                <w:sz w:val="20"/>
                <w:szCs w:val="20"/>
                <w:color w:val="auto"/>
              </w:rPr>
            </w:pPr>
            <w:r>
              <w:rPr>
                <w:rFonts w:ascii="Arial" w:cs="Arial" w:eastAsia="Arial" w:hAnsi="Arial"/>
                <w:sz w:val="20"/>
                <w:szCs w:val="20"/>
                <w:color w:val="auto"/>
              </w:rPr>
              <w:t>Chairman of the Board and Chief Executive Officer</w:t>
            </w:r>
          </w:p>
        </w:tc>
      </w:tr>
      <w:tr>
        <w:trPr>
          <w:trHeight w:val="279"/>
        </w:trPr>
        <w:tc>
          <w:tcPr>
            <w:tcW w:w="2620" w:type="dxa"/>
            <w:vAlign w:val="bottom"/>
          </w:tcPr>
          <w:p>
            <w:pPr>
              <w:spacing w:after="0"/>
              <w:rPr>
                <w:sz w:val="20"/>
                <w:szCs w:val="20"/>
                <w:color w:val="auto"/>
              </w:rPr>
            </w:pPr>
            <w:r>
              <w:rPr>
                <w:rFonts w:ascii="Arial" w:cs="Arial" w:eastAsia="Arial" w:hAnsi="Arial"/>
                <w:sz w:val="20"/>
                <w:szCs w:val="20"/>
                <w:color w:val="auto"/>
              </w:rPr>
              <w:t>Scott T. Reents</w:t>
            </w:r>
          </w:p>
        </w:tc>
        <w:tc>
          <w:tcPr>
            <w:tcW w:w="600" w:type="dxa"/>
            <w:vAlign w:val="bottom"/>
          </w:tcPr>
          <w:p>
            <w:pPr>
              <w:ind w:left="140"/>
              <w:spacing w:after="0"/>
              <w:rPr>
                <w:sz w:val="20"/>
                <w:szCs w:val="20"/>
                <w:color w:val="auto"/>
              </w:rPr>
            </w:pPr>
            <w:r>
              <w:rPr>
                <w:rFonts w:ascii="Arial" w:cs="Arial" w:eastAsia="Arial" w:hAnsi="Arial"/>
                <w:sz w:val="20"/>
                <w:szCs w:val="20"/>
                <w:color w:val="auto"/>
              </w:rPr>
              <w:t>58</w:t>
            </w:r>
          </w:p>
        </w:tc>
        <w:tc>
          <w:tcPr>
            <w:tcW w:w="5880" w:type="dxa"/>
            <w:vAlign w:val="bottom"/>
          </w:tcPr>
          <w:p>
            <w:pPr>
              <w:ind w:left="160"/>
              <w:spacing w:after="0"/>
              <w:rPr>
                <w:sz w:val="20"/>
                <w:szCs w:val="20"/>
                <w:color w:val="auto"/>
              </w:rPr>
            </w:pPr>
            <w:r>
              <w:rPr>
                <w:rFonts w:ascii="Arial" w:cs="Arial" w:eastAsia="Arial" w:hAnsi="Arial"/>
                <w:sz w:val="20"/>
                <w:szCs w:val="20"/>
                <w:color w:val="auto"/>
              </w:rPr>
              <w:t>Executive Vice President, Chief Financial Officer</w:t>
            </w:r>
          </w:p>
        </w:tc>
      </w:tr>
      <w:tr>
        <w:trPr>
          <w:trHeight w:val="279"/>
        </w:trPr>
        <w:tc>
          <w:tcPr>
            <w:tcW w:w="2620" w:type="dxa"/>
            <w:vAlign w:val="bottom"/>
          </w:tcPr>
          <w:p>
            <w:pPr>
              <w:spacing w:after="0"/>
              <w:rPr>
                <w:sz w:val="20"/>
                <w:szCs w:val="20"/>
                <w:color w:val="auto"/>
              </w:rPr>
            </w:pPr>
            <w:r>
              <w:rPr>
                <w:rFonts w:ascii="Arial" w:cs="Arial" w:eastAsia="Arial" w:hAnsi="Arial"/>
                <w:sz w:val="20"/>
                <w:szCs w:val="20"/>
                <w:color w:val="auto"/>
              </w:rPr>
              <w:t>Demetris D. Crum</w:t>
            </w:r>
          </w:p>
        </w:tc>
        <w:tc>
          <w:tcPr>
            <w:tcW w:w="600" w:type="dxa"/>
            <w:vAlign w:val="bottom"/>
          </w:tcPr>
          <w:p>
            <w:pPr>
              <w:ind w:left="140"/>
              <w:spacing w:after="0"/>
              <w:rPr>
                <w:sz w:val="20"/>
                <w:szCs w:val="20"/>
                <w:color w:val="auto"/>
              </w:rPr>
            </w:pPr>
            <w:r>
              <w:rPr>
                <w:rFonts w:ascii="Arial" w:cs="Arial" w:eastAsia="Arial" w:hAnsi="Arial"/>
                <w:sz w:val="20"/>
                <w:szCs w:val="20"/>
                <w:color w:val="auto"/>
              </w:rPr>
              <w:t>45</w:t>
            </w:r>
          </w:p>
        </w:tc>
        <w:tc>
          <w:tcPr>
            <w:tcW w:w="5880" w:type="dxa"/>
            <w:vAlign w:val="bottom"/>
          </w:tcPr>
          <w:p>
            <w:pPr>
              <w:ind w:left="160"/>
              <w:spacing w:after="0"/>
              <w:rPr>
                <w:sz w:val="20"/>
                <w:szCs w:val="20"/>
                <w:color w:val="auto"/>
              </w:rPr>
            </w:pPr>
            <w:r>
              <w:rPr>
                <w:rFonts w:ascii="Arial" w:cs="Arial" w:eastAsia="Arial" w:hAnsi="Arial"/>
                <w:sz w:val="20"/>
                <w:szCs w:val="20"/>
                <w:color w:val="auto"/>
              </w:rPr>
              <w:t>Executive Vice President, Chief Human Resources Officer</w:t>
            </w:r>
          </w:p>
        </w:tc>
      </w:tr>
      <w:tr>
        <w:trPr>
          <w:trHeight w:val="279"/>
        </w:trPr>
        <w:tc>
          <w:tcPr>
            <w:tcW w:w="2620" w:type="dxa"/>
            <w:vAlign w:val="bottom"/>
          </w:tcPr>
          <w:p>
            <w:pPr>
              <w:spacing w:after="0"/>
              <w:rPr>
                <w:sz w:val="20"/>
                <w:szCs w:val="20"/>
                <w:color w:val="auto"/>
              </w:rPr>
            </w:pPr>
            <w:r>
              <w:rPr>
                <w:rFonts w:ascii="Arial" w:cs="Arial" w:eastAsia="Arial" w:hAnsi="Arial"/>
                <w:sz w:val="20"/>
                <w:szCs w:val="20"/>
                <w:color w:val="auto"/>
              </w:rPr>
              <w:t>Nicholas J. Donoghoe, M.D.</w:t>
            </w:r>
          </w:p>
        </w:tc>
        <w:tc>
          <w:tcPr>
            <w:tcW w:w="600" w:type="dxa"/>
            <w:vAlign w:val="bottom"/>
          </w:tcPr>
          <w:p>
            <w:pPr>
              <w:ind w:left="140"/>
              <w:spacing w:after="0"/>
              <w:rPr>
                <w:sz w:val="20"/>
                <w:szCs w:val="20"/>
                <w:color w:val="auto"/>
              </w:rPr>
            </w:pPr>
            <w:r>
              <w:rPr>
                <w:rFonts w:ascii="Arial" w:cs="Arial" w:eastAsia="Arial" w:hAnsi="Arial"/>
                <w:sz w:val="20"/>
                <w:szCs w:val="20"/>
                <w:color w:val="auto"/>
              </w:rPr>
              <w:t>45</w:t>
            </w:r>
          </w:p>
        </w:tc>
        <w:tc>
          <w:tcPr>
            <w:tcW w:w="5880" w:type="dxa"/>
            <w:vAlign w:val="bottom"/>
          </w:tcPr>
          <w:p>
            <w:pPr>
              <w:ind w:left="160"/>
              <w:spacing w:after="0"/>
              <w:rPr>
                <w:sz w:val="20"/>
                <w:szCs w:val="20"/>
                <w:color w:val="auto"/>
              </w:rPr>
            </w:pPr>
            <w:r>
              <w:rPr>
                <w:rFonts w:ascii="Arial" w:cs="Arial" w:eastAsia="Arial" w:hAnsi="Arial"/>
                <w:sz w:val="20"/>
                <w:szCs w:val="20"/>
                <w:color w:val="auto"/>
              </w:rPr>
              <w:t>Executive Vice President, Chief Business and Strategy Officer</w:t>
            </w:r>
          </w:p>
        </w:tc>
      </w:tr>
      <w:tr>
        <w:trPr>
          <w:trHeight w:val="279"/>
        </w:trPr>
        <w:tc>
          <w:tcPr>
            <w:tcW w:w="2620" w:type="dxa"/>
            <w:vAlign w:val="bottom"/>
          </w:tcPr>
          <w:p>
            <w:pPr>
              <w:spacing w:after="0"/>
              <w:rPr>
                <w:sz w:val="20"/>
                <w:szCs w:val="20"/>
                <w:color w:val="auto"/>
              </w:rPr>
            </w:pPr>
            <w:r>
              <w:rPr>
                <w:rFonts w:ascii="Arial" w:cs="Arial" w:eastAsia="Arial" w:hAnsi="Arial"/>
                <w:sz w:val="20"/>
                <w:szCs w:val="20"/>
                <w:color w:val="auto"/>
              </w:rPr>
              <w:t>Azita Saleki-Gerhardt, Ph.D.</w:t>
            </w:r>
          </w:p>
        </w:tc>
        <w:tc>
          <w:tcPr>
            <w:tcW w:w="600" w:type="dxa"/>
            <w:vAlign w:val="bottom"/>
          </w:tcPr>
          <w:p>
            <w:pPr>
              <w:ind w:left="140"/>
              <w:spacing w:after="0"/>
              <w:rPr>
                <w:sz w:val="20"/>
                <w:szCs w:val="20"/>
                <w:color w:val="auto"/>
              </w:rPr>
            </w:pPr>
            <w:r>
              <w:rPr>
                <w:rFonts w:ascii="Arial" w:cs="Arial" w:eastAsia="Arial" w:hAnsi="Arial"/>
                <w:sz w:val="20"/>
                <w:szCs w:val="20"/>
                <w:color w:val="auto"/>
              </w:rPr>
              <w:t>62</w:t>
            </w:r>
          </w:p>
        </w:tc>
        <w:tc>
          <w:tcPr>
            <w:tcW w:w="5880" w:type="dxa"/>
            <w:vAlign w:val="bottom"/>
          </w:tcPr>
          <w:p>
            <w:pPr>
              <w:ind w:left="160"/>
              <w:spacing w:after="0"/>
              <w:rPr>
                <w:sz w:val="20"/>
                <w:szCs w:val="20"/>
                <w:color w:val="auto"/>
              </w:rPr>
            </w:pPr>
            <w:r>
              <w:rPr>
                <w:rFonts w:ascii="Arial" w:cs="Arial" w:eastAsia="Arial" w:hAnsi="Arial"/>
                <w:sz w:val="20"/>
                <w:szCs w:val="20"/>
                <w:color w:val="auto"/>
              </w:rPr>
              <w:t>Executive Vice President, Chief Operations Officer</w:t>
            </w:r>
          </w:p>
        </w:tc>
      </w:tr>
      <w:tr>
        <w:trPr>
          <w:trHeight w:val="279"/>
        </w:trPr>
        <w:tc>
          <w:tcPr>
            <w:tcW w:w="2620" w:type="dxa"/>
            <w:vAlign w:val="bottom"/>
          </w:tcPr>
          <w:p>
            <w:pPr>
              <w:spacing w:after="0"/>
              <w:rPr>
                <w:sz w:val="20"/>
                <w:szCs w:val="20"/>
                <w:color w:val="auto"/>
              </w:rPr>
            </w:pPr>
            <w:r>
              <w:rPr>
                <w:rFonts w:ascii="Arial" w:cs="Arial" w:eastAsia="Arial" w:hAnsi="Arial"/>
                <w:sz w:val="20"/>
                <w:szCs w:val="20"/>
                <w:color w:val="auto"/>
              </w:rPr>
              <w:t>Perry C. Siatis</w:t>
            </w:r>
          </w:p>
        </w:tc>
        <w:tc>
          <w:tcPr>
            <w:tcW w:w="600" w:type="dxa"/>
            <w:vAlign w:val="bottom"/>
          </w:tcPr>
          <w:p>
            <w:pPr>
              <w:ind w:left="140"/>
              <w:spacing w:after="0"/>
              <w:rPr>
                <w:sz w:val="20"/>
                <w:szCs w:val="20"/>
                <w:color w:val="auto"/>
              </w:rPr>
            </w:pPr>
            <w:r>
              <w:rPr>
                <w:rFonts w:ascii="Arial" w:cs="Arial" w:eastAsia="Arial" w:hAnsi="Arial"/>
                <w:sz w:val="20"/>
                <w:szCs w:val="20"/>
                <w:color w:val="auto"/>
              </w:rPr>
              <w:t>51</w:t>
            </w:r>
          </w:p>
        </w:tc>
        <w:tc>
          <w:tcPr>
            <w:tcW w:w="5880" w:type="dxa"/>
            <w:vAlign w:val="bottom"/>
          </w:tcPr>
          <w:p>
            <w:pPr>
              <w:ind w:left="160"/>
              <w:spacing w:after="0"/>
              <w:rPr>
                <w:sz w:val="20"/>
                <w:szCs w:val="20"/>
                <w:color w:val="auto"/>
              </w:rPr>
            </w:pPr>
            <w:r>
              <w:rPr>
                <w:rFonts w:ascii="Arial" w:cs="Arial" w:eastAsia="Arial" w:hAnsi="Arial"/>
                <w:sz w:val="20"/>
                <w:szCs w:val="20"/>
                <w:color w:val="auto"/>
              </w:rPr>
              <w:t>Executive Vice President, General Counsel and Secretary</w:t>
            </w:r>
          </w:p>
        </w:tc>
      </w:tr>
      <w:tr>
        <w:trPr>
          <w:trHeight w:val="279"/>
        </w:trPr>
        <w:tc>
          <w:tcPr>
            <w:tcW w:w="2620" w:type="dxa"/>
            <w:vAlign w:val="bottom"/>
          </w:tcPr>
          <w:p>
            <w:pPr>
              <w:spacing w:after="0"/>
              <w:rPr>
                <w:sz w:val="20"/>
                <w:szCs w:val="20"/>
                <w:color w:val="auto"/>
              </w:rPr>
            </w:pPr>
            <w:r>
              <w:rPr>
                <w:rFonts w:ascii="Arial" w:cs="Arial" w:eastAsia="Arial" w:hAnsi="Arial"/>
                <w:sz w:val="20"/>
                <w:szCs w:val="20"/>
                <w:color w:val="auto"/>
              </w:rPr>
              <w:t>Jeffrey R. Stewart</w:t>
            </w:r>
          </w:p>
        </w:tc>
        <w:tc>
          <w:tcPr>
            <w:tcW w:w="600" w:type="dxa"/>
            <w:vAlign w:val="bottom"/>
          </w:tcPr>
          <w:p>
            <w:pPr>
              <w:ind w:left="140"/>
              <w:spacing w:after="0"/>
              <w:rPr>
                <w:sz w:val="20"/>
                <w:szCs w:val="20"/>
                <w:color w:val="auto"/>
              </w:rPr>
            </w:pPr>
            <w:r>
              <w:rPr>
                <w:rFonts w:ascii="Arial" w:cs="Arial" w:eastAsia="Arial" w:hAnsi="Arial"/>
                <w:sz w:val="20"/>
                <w:szCs w:val="20"/>
                <w:color w:val="auto"/>
              </w:rPr>
              <w:t>57</w:t>
            </w:r>
          </w:p>
        </w:tc>
        <w:tc>
          <w:tcPr>
            <w:tcW w:w="5880" w:type="dxa"/>
            <w:vAlign w:val="bottom"/>
          </w:tcPr>
          <w:p>
            <w:pPr>
              <w:ind w:left="160"/>
              <w:spacing w:after="0"/>
              <w:rPr>
                <w:sz w:val="20"/>
                <w:szCs w:val="20"/>
                <w:color w:val="auto"/>
              </w:rPr>
            </w:pPr>
            <w:r>
              <w:rPr>
                <w:rFonts w:ascii="Arial" w:cs="Arial" w:eastAsia="Arial" w:hAnsi="Arial"/>
                <w:sz w:val="20"/>
                <w:szCs w:val="20"/>
                <w:color w:val="auto"/>
              </w:rPr>
              <w:t>Executive Vice President, Chief Commercial Officer</w:t>
            </w:r>
          </w:p>
        </w:tc>
      </w:tr>
      <w:tr>
        <w:trPr>
          <w:trHeight w:val="271"/>
        </w:trPr>
        <w:tc>
          <w:tcPr>
            <w:tcW w:w="2620" w:type="dxa"/>
            <w:vAlign w:val="bottom"/>
          </w:tcPr>
          <w:p>
            <w:pPr>
              <w:spacing w:after="0"/>
              <w:rPr>
                <w:sz w:val="20"/>
                <w:szCs w:val="20"/>
                <w:color w:val="auto"/>
              </w:rPr>
            </w:pPr>
            <w:r>
              <w:rPr>
                <w:rFonts w:ascii="Arial" w:cs="Arial" w:eastAsia="Arial" w:hAnsi="Arial"/>
                <w:sz w:val="20"/>
                <w:szCs w:val="20"/>
                <w:color w:val="auto"/>
              </w:rPr>
              <w:t>Roopal Thakkar, M.D.</w:t>
            </w:r>
          </w:p>
        </w:tc>
        <w:tc>
          <w:tcPr>
            <w:tcW w:w="600" w:type="dxa"/>
            <w:vAlign w:val="bottom"/>
          </w:tcPr>
          <w:p>
            <w:pPr>
              <w:ind w:left="140"/>
              <w:spacing w:after="0"/>
              <w:rPr>
                <w:sz w:val="20"/>
                <w:szCs w:val="20"/>
                <w:color w:val="auto"/>
              </w:rPr>
            </w:pPr>
            <w:r>
              <w:rPr>
                <w:rFonts w:ascii="Arial" w:cs="Arial" w:eastAsia="Arial" w:hAnsi="Arial"/>
                <w:sz w:val="20"/>
                <w:szCs w:val="20"/>
                <w:color w:val="auto"/>
              </w:rPr>
              <w:t>54</w:t>
            </w:r>
          </w:p>
        </w:tc>
        <w:tc>
          <w:tcPr>
            <w:tcW w:w="5880" w:type="dxa"/>
            <w:vAlign w:val="bottom"/>
          </w:tcPr>
          <w:p>
            <w:pPr>
              <w:ind w:left="160"/>
              <w:spacing w:after="0"/>
              <w:rPr>
                <w:sz w:val="20"/>
                <w:szCs w:val="20"/>
                <w:color w:val="auto"/>
              </w:rPr>
            </w:pPr>
            <w:r>
              <w:rPr>
                <w:rFonts w:ascii="Arial" w:cs="Arial" w:eastAsia="Arial" w:hAnsi="Arial"/>
                <w:sz w:val="20"/>
                <w:szCs w:val="20"/>
                <w:color w:val="auto"/>
              </w:rPr>
              <w:t>Executive Vice President, Research &amp; Development and Chief</w:t>
            </w:r>
          </w:p>
        </w:tc>
      </w:tr>
      <w:tr>
        <w:trPr>
          <w:trHeight w:val="248"/>
        </w:trPr>
        <w:tc>
          <w:tcPr>
            <w:tcW w:w="2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80" w:type="dxa"/>
            <w:vAlign w:val="bottom"/>
          </w:tcPr>
          <w:p>
            <w:pPr>
              <w:ind w:left="160"/>
              <w:spacing w:after="0"/>
              <w:rPr>
                <w:sz w:val="20"/>
                <w:szCs w:val="20"/>
                <w:color w:val="auto"/>
              </w:rPr>
            </w:pPr>
            <w:r>
              <w:rPr>
                <w:rFonts w:ascii="Arial" w:cs="Arial" w:eastAsia="Arial" w:hAnsi="Arial"/>
                <w:sz w:val="20"/>
                <w:szCs w:val="20"/>
                <w:color w:val="auto"/>
              </w:rPr>
              <w:t>Scientific Officer</w:t>
            </w:r>
          </w:p>
        </w:tc>
      </w:tr>
      <w:tr>
        <w:trPr>
          <w:trHeight w:val="279"/>
        </w:trPr>
        <w:tc>
          <w:tcPr>
            <w:tcW w:w="2620" w:type="dxa"/>
            <w:vAlign w:val="bottom"/>
          </w:tcPr>
          <w:p>
            <w:pPr>
              <w:spacing w:after="0"/>
              <w:rPr>
                <w:sz w:val="20"/>
                <w:szCs w:val="20"/>
                <w:color w:val="auto"/>
              </w:rPr>
            </w:pPr>
            <w:r>
              <w:rPr>
                <w:rFonts w:ascii="Arial" w:cs="Arial" w:eastAsia="Arial" w:hAnsi="Arial"/>
                <w:sz w:val="20"/>
                <w:szCs w:val="20"/>
                <w:color w:val="auto"/>
              </w:rPr>
              <w:t>David R. Purdue</w:t>
            </w:r>
          </w:p>
        </w:tc>
        <w:tc>
          <w:tcPr>
            <w:tcW w:w="600" w:type="dxa"/>
            <w:vAlign w:val="bottom"/>
          </w:tcPr>
          <w:p>
            <w:pPr>
              <w:ind w:left="140"/>
              <w:spacing w:after="0"/>
              <w:rPr>
                <w:sz w:val="20"/>
                <w:szCs w:val="20"/>
                <w:color w:val="auto"/>
              </w:rPr>
            </w:pPr>
            <w:r>
              <w:rPr>
                <w:rFonts w:ascii="Arial" w:cs="Arial" w:eastAsia="Arial" w:hAnsi="Arial"/>
                <w:sz w:val="20"/>
                <w:szCs w:val="20"/>
                <w:color w:val="auto"/>
              </w:rPr>
              <w:t>48</w:t>
            </w:r>
          </w:p>
        </w:tc>
        <w:tc>
          <w:tcPr>
            <w:tcW w:w="5880" w:type="dxa"/>
            <w:vAlign w:val="bottom"/>
          </w:tcPr>
          <w:p>
            <w:pPr>
              <w:ind w:left="160"/>
              <w:spacing w:after="0"/>
              <w:rPr>
                <w:sz w:val="20"/>
                <w:szCs w:val="20"/>
                <w:color w:val="auto"/>
              </w:rPr>
            </w:pPr>
            <w:r>
              <w:rPr>
                <w:rFonts w:ascii="Arial" w:cs="Arial" w:eastAsia="Arial" w:hAnsi="Arial"/>
                <w:sz w:val="20"/>
                <w:szCs w:val="20"/>
                <w:color w:val="auto"/>
              </w:rPr>
              <w:t>Senior Vice President, Controller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146050</wp:posOffset>
                </wp:positionV>
                <wp:extent cx="151955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955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1.5pt" to="119.2pt,11.5pt" o:allowincell="f" strokecolor="#000000" strokeweight="0.499pt"/>
            </w:pict>
          </mc:Fallback>
        </mc:AlternateContent>
      </w:r>
    </w:p>
    <w:p>
      <w:pPr>
        <w:spacing w:after="0" w:line="3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Mr. Michael is AbbVie’s Chairman and Chief Executive Officer, a position he has held since</w:t>
      </w:r>
    </w:p>
    <w:p>
      <w:pPr>
        <w:spacing w:after="0" w:line="18"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July 2025. Mr. Michael previously served as Chief Executive Officer starting in 2024 and President and Chief Operating Officer from July 2023 to June 2024, as Vice Chairman and President from June 2022 to July 2023, as Vice Chairman, Finance and Commercial Operations and Chief Financial Officer from June 2021 to June 2022, as Executive Vice President, Chief Financial Officer from 2019 to 2021, as Senior Vice President, Chief Financial Officer from 2018 to 2019 and as Vice President, Controller from 2017 to 2018. He served as AbbVie’s Vice President, Treasurer from 2015 to 2016, as Vice President, Controller, Commercial Operations from 2013 to 2015 and as Vice President, Financial Planning and Analysis from 2012 to 2013. At Abbott, Mr. Michael served as Division Controller, Nutrition Supply Chain from 2010 to 2012. Mr. Michael joined Abbott in 1993 and was first appointed as an AbbVie corporate officer in March 2017.</w:t>
      </w:r>
    </w:p>
    <w:p>
      <w:pPr>
        <w:spacing w:after="0" w:line="124" w:lineRule="exact"/>
        <w:rPr>
          <w:sz w:val="20"/>
          <w:szCs w:val="20"/>
          <w:color w:val="auto"/>
        </w:rPr>
      </w:pPr>
    </w:p>
    <w:p>
      <w:pPr>
        <w:jc w:val="both"/>
        <w:ind w:right="160" w:firstLine="359"/>
        <w:spacing w:after="0" w:line="265" w:lineRule="auto"/>
        <w:rPr>
          <w:sz w:val="20"/>
          <w:szCs w:val="20"/>
          <w:color w:val="auto"/>
        </w:rPr>
      </w:pPr>
      <w:r>
        <w:rPr>
          <w:rFonts w:ascii="Arial" w:cs="Arial" w:eastAsia="Arial" w:hAnsi="Arial"/>
          <w:sz w:val="19"/>
          <w:szCs w:val="19"/>
          <w:color w:val="auto"/>
        </w:rPr>
        <w:t>Mr. Reents is AbbVie’s Executive Vice President, Chief Financial Officer. He previously served as Senior Vice President, Chief Financial Officer from June 2022 to November 2022, as Vice President, Tax and Treasury from 2019 to June 2022, and as Vice President, Tax from 2013 to 2019. Mr. Reents joined Abbott in 2008 and was first appointed as an AbbVie corporate officer in June 2022.</w:t>
      </w:r>
    </w:p>
    <w:p>
      <w:pPr>
        <w:spacing w:after="0" w:line="101" w:lineRule="exact"/>
        <w:rPr>
          <w:sz w:val="20"/>
          <w:szCs w:val="20"/>
          <w:color w:val="auto"/>
        </w:rPr>
      </w:pPr>
    </w:p>
    <w:p>
      <w:pPr>
        <w:ind w:right="20" w:firstLine="359"/>
        <w:spacing w:after="0" w:line="245" w:lineRule="auto"/>
        <w:rPr>
          <w:sz w:val="20"/>
          <w:szCs w:val="20"/>
          <w:color w:val="auto"/>
        </w:rPr>
      </w:pPr>
      <w:r>
        <w:rPr>
          <w:rFonts w:ascii="Arial" w:cs="Arial" w:eastAsia="Arial" w:hAnsi="Arial"/>
          <w:sz w:val="20"/>
          <w:szCs w:val="20"/>
          <w:color w:val="auto"/>
        </w:rPr>
        <w:t>Mr. Crum is AbbVie’s Executive Vice President, Chief Human Resources Officer. He previously served as Vice President, Total Rewards from August 2022 to June 2025, as Vice President, Compensation from January 2022 to August 2022, and as Vice President, Business Human Resources for corporate staff functions from August 2020 to January 2022. Mr. Crum joined AbbVie in 2017 and was first appointed as an AbbVie corporate officer in July 2025. Prior to joining AbbVie, Mr. Crum held several human resources leadership roles at The Kraft Heinz Company and PepsiCo.</w:t>
      </w:r>
    </w:p>
    <w:p>
      <w:pPr>
        <w:spacing w:after="0" w:line="120" w:lineRule="exact"/>
        <w:rPr>
          <w:sz w:val="20"/>
          <w:szCs w:val="20"/>
          <w:color w:val="auto"/>
        </w:rPr>
      </w:pPr>
    </w:p>
    <w:p>
      <w:pPr>
        <w:ind w:right="40" w:firstLine="359"/>
        <w:spacing w:after="0" w:line="244" w:lineRule="auto"/>
        <w:rPr>
          <w:sz w:val="20"/>
          <w:szCs w:val="20"/>
          <w:color w:val="auto"/>
        </w:rPr>
      </w:pPr>
      <w:r>
        <w:rPr>
          <w:rFonts w:ascii="Arial" w:cs="Arial" w:eastAsia="Arial" w:hAnsi="Arial"/>
          <w:sz w:val="20"/>
          <w:szCs w:val="20"/>
          <w:color w:val="auto"/>
        </w:rPr>
        <w:t>Dr. Donoghoe is AbbVie’s Executive Vice President, Chief Business and Strategy Officer. He previously served as AbbVie’s Senior Vice President, Chief Operating Officer, R&amp;D from 2022 to 2023, as Senior Vice President, Portfolio Innovation from 2021 to 2022, as Senior Vice President, Global Strategy and Operations, Allergan Aesthetics, from 2020 to 2021, and as Senior Vice President, Enterprise Innovation from 2019 to 2020. Dr. Donoghoe was first appointed as an AbbVie corporate officer in January 2019 when he joined AbbVie. Prior to joining AbbVie, he served as a Partner at McKinsey &amp; Company where he was a leader of the firm’s Pharma and Biotechnology practice for over a decade.</w:t>
      </w:r>
    </w:p>
    <w:p>
      <w:pPr>
        <w:spacing w:after="0" w:line="121" w:lineRule="exact"/>
        <w:rPr>
          <w:sz w:val="20"/>
          <w:szCs w:val="20"/>
          <w:color w:val="auto"/>
        </w:rPr>
      </w:pPr>
    </w:p>
    <w:p>
      <w:pPr>
        <w:ind w:right="100" w:firstLine="359"/>
        <w:spacing w:after="0" w:line="244" w:lineRule="auto"/>
        <w:rPr>
          <w:sz w:val="20"/>
          <w:szCs w:val="20"/>
          <w:color w:val="auto"/>
        </w:rPr>
      </w:pPr>
      <w:r>
        <w:rPr>
          <w:rFonts w:ascii="Arial" w:cs="Arial" w:eastAsia="Arial" w:hAnsi="Arial"/>
          <w:sz w:val="20"/>
          <w:szCs w:val="20"/>
          <w:color w:val="auto"/>
        </w:rPr>
        <w:t>Dr. Saleki-Gerhardt is AbbVie’s Executive Vice President, Chief Operations Officer. She previously served as Executive Vice President, Operations from 2018 to July 2023, and as Senior Vice President, Operations from 2013 to 2018. Dr. Saleki-Gerhardt served as Abbott’s Vice President, Pharmaceuticals Manufacturing and Supply from 2011 to 2012, and as Divisional Vice President, Quality Assurance, Global Pharmaceutical Operations from 2008 to 2011. Dr. Saleki-Gerhardt joined Abbott in 1993 and was first appointed as an AbbVie corporate officer in December 2012. She serves on the board of Entegris Inc.</w:t>
      </w:r>
    </w:p>
    <w:p>
      <w:pPr>
        <w:spacing w:after="0" w:line="123" w:lineRule="exact"/>
        <w:rPr>
          <w:sz w:val="20"/>
          <w:szCs w:val="20"/>
          <w:color w:val="auto"/>
        </w:rPr>
      </w:pPr>
    </w:p>
    <w:p>
      <w:pPr>
        <w:ind w:right="240" w:firstLine="359"/>
        <w:spacing w:after="0" w:line="287" w:lineRule="auto"/>
        <w:rPr>
          <w:sz w:val="20"/>
          <w:szCs w:val="20"/>
          <w:color w:val="auto"/>
        </w:rPr>
      </w:pPr>
      <w:r>
        <w:rPr>
          <w:rFonts w:ascii="Arial" w:cs="Arial" w:eastAsia="Arial" w:hAnsi="Arial"/>
          <w:sz w:val="19"/>
          <w:szCs w:val="19"/>
          <w:color w:val="auto"/>
        </w:rPr>
        <w:t>Mr. Siatis is AbbVie’s Executive Vice President, General Counsel and Secretary. He previously served as Senior Vice President, Deputy General Counsel from September 2021 until October 2022.</w:t>
      </w:r>
    </w:p>
    <w:p>
      <w:pPr>
        <w:sectPr>
          <w:pgSz w:w="11880" w:h="15480" w:orient="portrait"/>
          <w:cols w:equalWidth="0" w:num="1">
            <w:col w:w="9100"/>
          </w:cols>
          <w:pgMar w:left="1400" w:top="1019" w:right="1380" w:bottom="75"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sz w:val="1"/>
          <w:szCs w:val="1"/>
          <w:color w:val="auto"/>
        </w:rPr>
        <w:drawing>
          <wp:inline distT="0" distB="0" distL="0" distR="0">
            <wp:extent cx="615950" cy="1282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19" w:right="1380" w:bottom="75" w:gutter="0" w:footer="0" w:header="0"/>
          <w:type w:val="continuous"/>
        </w:sectPr>
      </w:pPr>
    </w:p>
    <w:bookmarkStart w:id="40" w:name="page41"/>
    <w:bookmarkEnd w:id="40"/>
    <w:p>
      <w:pPr>
        <w:ind w:right="60"/>
        <w:spacing w:after="0" w:line="254" w:lineRule="auto"/>
        <w:rPr>
          <w:sz w:val="20"/>
          <w:szCs w:val="20"/>
          <w:color w:val="auto"/>
        </w:rPr>
      </w:pPr>
      <w:r>
        <w:rPr>
          <w:rFonts w:ascii="Arial" w:cs="Arial" w:eastAsia="Arial" w:hAnsi="Arial"/>
          <w:sz w:val="20"/>
          <w:szCs w:val="20"/>
          <w:color w:val="auto"/>
        </w:rPr>
        <w:t>From 2013 until 2021, Mr. Siatis also served in various roles including as Senior Vice President, Legal and Chief Ethics and Compliance Officer, as Senior Vice President of Legal Transactions and R&amp;D/ Alliance Management and Chief Ethics and Compliance Officer, and as Vice President, Biologic Strategic Development and Legal Regulatory. Mr. Siatis joined Abbott in 2005 and was first appointed as an AbbVie corporate officer in October 2022.</w:t>
      </w:r>
    </w:p>
    <w:p>
      <w:pPr>
        <w:spacing w:after="0" w:line="120" w:lineRule="exact"/>
        <w:rPr>
          <w:sz w:val="20"/>
          <w:szCs w:val="20"/>
          <w:color w:val="auto"/>
        </w:rPr>
      </w:pPr>
    </w:p>
    <w:p>
      <w:pPr>
        <w:ind w:firstLine="359"/>
        <w:spacing w:after="0" w:line="254" w:lineRule="auto"/>
        <w:rPr>
          <w:sz w:val="20"/>
          <w:szCs w:val="20"/>
          <w:color w:val="auto"/>
        </w:rPr>
      </w:pPr>
      <w:r>
        <w:rPr>
          <w:rFonts w:ascii="Arial" w:cs="Arial" w:eastAsia="Arial" w:hAnsi="Arial"/>
          <w:sz w:val="20"/>
          <w:szCs w:val="20"/>
          <w:color w:val="auto"/>
        </w:rPr>
        <w:t>Mr. Stewart is AbbVie’s Executive Vice President, Chief Commercial Officer. He previously served as Senior Vice President, U.S. Commercial Operations from 2018 to 2020 and as AbbVie’s President, U.S. Commercial Operations from 2013 to 2018. Prior to AbbVie’s separation from Abbott, he served as Vice President, Abbott Proprietary Pharmaceutical Division, United States. Mr. Stewart joined Abbott in 1992 and was first appointed as an AbbVie corporate officer in December 2018.</w:t>
      </w:r>
    </w:p>
    <w:p>
      <w:pPr>
        <w:spacing w:after="0" w:line="120" w:lineRule="exact"/>
        <w:rPr>
          <w:sz w:val="20"/>
          <w:szCs w:val="20"/>
          <w:color w:val="auto"/>
        </w:rPr>
      </w:pPr>
    </w:p>
    <w:p>
      <w:pPr>
        <w:ind w:right="40" w:firstLine="359"/>
        <w:spacing w:after="0" w:line="253" w:lineRule="auto"/>
        <w:rPr>
          <w:sz w:val="20"/>
          <w:szCs w:val="20"/>
          <w:color w:val="auto"/>
        </w:rPr>
      </w:pPr>
      <w:r>
        <w:rPr>
          <w:rFonts w:ascii="Arial" w:cs="Arial" w:eastAsia="Arial" w:hAnsi="Arial"/>
          <w:sz w:val="20"/>
          <w:szCs w:val="20"/>
          <w:color w:val="auto"/>
        </w:rPr>
        <w:t>Dr. Thakkar serves as AbbVie’s Executive Vice President, Research &amp; Development and Chief Scientific Officer. He previously served as Senior Vice President of Development and Regulatory Affairs and Chief Medical Officer at AbbVie from 2022 until 2023, as Vice President, Global Regulatory Affairs and R&amp;D Quality Assurance from 2019 to 2022, and as Vice President, Global Regulatory Affairs from 2015 to 2019. Dr. Thakkar joined Abbott in 2003 and was first appointed as an AbbVie corporate officer in December 2023.</w:t>
      </w:r>
    </w:p>
    <w:p>
      <w:pPr>
        <w:spacing w:after="0" w:line="122" w:lineRule="exact"/>
        <w:rPr>
          <w:sz w:val="20"/>
          <w:szCs w:val="20"/>
          <w:color w:val="auto"/>
        </w:rPr>
      </w:pPr>
    </w:p>
    <w:p>
      <w:pPr>
        <w:ind w:right="40" w:firstLine="359"/>
        <w:spacing w:after="0" w:line="254" w:lineRule="auto"/>
        <w:rPr>
          <w:sz w:val="20"/>
          <w:szCs w:val="20"/>
          <w:color w:val="auto"/>
        </w:rPr>
      </w:pPr>
      <w:r>
        <w:rPr>
          <w:rFonts w:ascii="Arial" w:cs="Arial" w:eastAsia="Arial" w:hAnsi="Arial"/>
          <w:sz w:val="20"/>
          <w:szCs w:val="20"/>
          <w:color w:val="auto"/>
        </w:rPr>
        <w:t>Mr. Purdue is AbbVie’s Senior Vice President, Controller. He previously served as AbbVie’s Vice President, Controller, Commercial Operations from 2023 to 2025, Vice President, Corporate Treasurer from 2022 to 2023, Vice President, Corporate Financial Planning and Analysis from 2020 to 2022, and Vice President, Allergan Integration from 2019 to 2020. Mr. Purdue joined Abbott in 2003 and was first appointed as an AbbVie corporate officer in March 2025.</w:t>
      </w:r>
    </w:p>
    <w:p>
      <w:pPr>
        <w:spacing w:after="0" w:line="120"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The executive officers of AbbVie are elected annually by the board of directors. All other officers are elected by the board or appointed by the Chairman of the Board. All officers are either elected at the first meeting of the board of directors held after the annual stockholder meeting or appointed by the Chairman of the Board after that board meeting. Each officer holds office until a successor has been duly elected or appointed and qualified or until the officer’s death, resignation, or removal. There are no family relationships between any of the executive officers listed above.</w:t>
      </w:r>
    </w:p>
    <w:p>
      <w:pPr>
        <w:sectPr>
          <w:pgSz w:w="11880" w:h="15480" w:orient="portrait"/>
          <w:cols w:equalWidth="0" w:num="1">
            <w:col w:w="9100"/>
          </w:cols>
          <w:pgMar w:left="1400" w:top="1030"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35</w:t>
      </w:r>
    </w:p>
    <w:p>
      <w:pPr>
        <w:sectPr>
          <w:pgSz w:w="11880" w:h="15480" w:orient="portrait"/>
          <w:cols w:equalWidth="0" w:num="1">
            <w:col w:w="9100"/>
          </w:cols>
          <w:pgMar w:left="1400" w:top="1030" w:right="1380" w:bottom="87"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23"/>
          <w:szCs w:val="23"/>
          <w:b w:val="1"/>
          <w:bCs w:val="1"/>
          <w:color w:val="000039"/>
        </w:rPr>
        <w:t>PART II</w:t>
      </w:r>
    </w:p>
    <w:p>
      <w:pPr>
        <w:spacing w:after="0" w:line="133" w:lineRule="exact"/>
        <w:rPr>
          <w:sz w:val="20"/>
          <w:szCs w:val="20"/>
          <w:color w:val="auto"/>
        </w:rPr>
      </w:pPr>
    </w:p>
    <w:p>
      <w:pPr>
        <w:ind w:right="120"/>
        <w:spacing w:after="0" w:line="212" w:lineRule="auto"/>
        <w:rPr>
          <w:sz w:val="20"/>
          <w:szCs w:val="20"/>
          <w:color w:val="auto"/>
        </w:rPr>
      </w:pPr>
      <w:r>
        <w:rPr>
          <w:rFonts w:ascii="Arial" w:cs="Arial" w:eastAsia="Arial" w:hAnsi="Arial"/>
          <w:sz w:val="20"/>
          <w:szCs w:val="20"/>
          <w:b w:val="1"/>
          <w:bCs w:val="1"/>
          <w:color w:val="000039"/>
        </w:rPr>
        <w:t>ITEM 5. MARKET FOR REGISTRANT’S COMMON EQUITY, RELATED STOCKHOLDER MATTERS AND ISSUER PURCHASES OF EQUITY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39"/>
        </w:rPr>
        <w: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Principal Market</w:t>
      </w:r>
    </w:p>
    <w:p>
      <w:pPr>
        <w:spacing w:after="0" w:line="131" w:lineRule="exact"/>
        <w:rPr>
          <w:sz w:val="20"/>
          <w:szCs w:val="20"/>
          <w:color w:val="auto"/>
        </w:rPr>
      </w:pPr>
    </w:p>
    <w:p>
      <w:pPr>
        <w:ind w:right="220" w:firstLine="359"/>
        <w:spacing w:after="0" w:line="259" w:lineRule="auto"/>
        <w:rPr>
          <w:sz w:val="20"/>
          <w:szCs w:val="20"/>
          <w:color w:val="auto"/>
        </w:rPr>
      </w:pPr>
      <w:r>
        <w:rPr>
          <w:rFonts w:ascii="Arial" w:cs="Arial" w:eastAsia="Arial" w:hAnsi="Arial"/>
          <w:sz w:val="20"/>
          <w:szCs w:val="20"/>
          <w:color w:val="auto"/>
        </w:rPr>
        <w:t>The principal market for AbbVie’s common stock is the New York Stock Exchange (Symbol: ABBV). AbbVie’s common stock is also listed on the NYSE Texas and traded on various regional and electronic exchanges.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Stockholders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There were 58,040 stockholders of record of AbbVie common stock as of February 10, 2026.</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Performance Graph</w:t>
      </w:r>
    </w:p>
    <w:p>
      <w:pPr>
        <w:spacing w:after="0" w:line="131" w:lineRule="exact"/>
        <w:rPr>
          <w:sz w:val="20"/>
          <w:szCs w:val="20"/>
          <w:color w:val="auto"/>
        </w:rPr>
      </w:pPr>
    </w:p>
    <w:p>
      <w:pPr>
        <w:ind w:firstLine="359"/>
        <w:spacing w:after="0" w:line="254" w:lineRule="auto"/>
        <w:rPr>
          <w:sz w:val="20"/>
          <w:szCs w:val="20"/>
          <w:color w:val="auto"/>
        </w:rPr>
      </w:pPr>
      <w:r>
        <w:rPr>
          <w:rFonts w:ascii="Arial" w:cs="Arial" w:eastAsia="Arial" w:hAnsi="Arial"/>
          <w:sz w:val="20"/>
          <w:szCs w:val="20"/>
          <w:color w:val="auto"/>
        </w:rPr>
        <w:t>The following graph compares the cumulative total returns of AbbVie, the S&amp;P 500 Index and the NYSE Arca Pharmaceuticals Index for the period from December 31, 2020 through December 31, 2025. This graph assumes $100 was invested in AbbVie common stock and each index on December 31, 2020 and also assumes the reinvestment of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94615</wp:posOffset>
            </wp:positionV>
            <wp:extent cx="5640070" cy="4154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3">
                      <a:extLst>
                        <a:ext uri="{28A0092B-C50C-407E-A947-70E740481C1C}"/>
                      </a:extLst>
                    </a:blip>
                    <a:srcRect/>
                    <a:stretch>
                      <a:fillRect/>
                    </a:stretch>
                  </pic:blipFill>
                  <pic:spPr bwMode="auto">
                    <a:xfrm>
                      <a:off x="0" y="0"/>
                      <a:ext cx="5640070" cy="415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firstLine="359"/>
        <w:spacing w:after="0" w:line="259" w:lineRule="auto"/>
        <w:rPr>
          <w:sz w:val="20"/>
          <w:szCs w:val="20"/>
          <w:color w:val="auto"/>
        </w:rPr>
      </w:pPr>
      <w:r>
        <w:rPr>
          <w:rFonts w:ascii="Arial" w:cs="Arial" w:eastAsia="Arial" w:hAnsi="Arial"/>
          <w:sz w:val="20"/>
          <w:szCs w:val="20"/>
          <w:color w:val="auto"/>
        </w:rPr>
        <w:t>This performance graph is furnished and shall not be deemed “filed” with the SEC or subject to Section 18 of the Securities Exchange Act of 1934, nor shall it be deemed incorporated by reference in any of AbbVie’s filings under the Securities Act of 1933, as amended.</w:t>
      </w:r>
    </w:p>
    <w:p>
      <w:pPr>
        <w:sectPr>
          <w:pgSz w:w="11880" w:h="15480" w:orient="portrait"/>
          <w:cols w:equalWidth="0" w:num="1">
            <w:col w:w="9100"/>
          </w:cols>
          <w:pgMar w:left="1400" w:top="1019"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sz w:val="1"/>
          <w:szCs w:val="1"/>
          <w:color w:val="auto"/>
        </w:rPr>
        <w:drawing>
          <wp:inline distT="0" distB="0" distL="0" distR="0">
            <wp:extent cx="615950" cy="12827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19" w:right="1380" w:bottom="75" w:gutter="0" w:footer="0" w:header="0"/>
          <w:type w:val="continuous"/>
        </w:sectPr>
      </w:pPr>
    </w:p>
    <w:bookmarkStart w:id="42" w:name="page43"/>
    <w:bookmarkEnd w:id="42"/>
    <w:p>
      <w:pPr>
        <w:ind w:left="10"/>
        <w:spacing w:after="0"/>
        <w:rPr>
          <w:sz w:val="20"/>
          <w:szCs w:val="20"/>
          <w:color w:val="auto"/>
        </w:rPr>
      </w:pPr>
      <w:r>
        <w:rPr>
          <w:rFonts w:ascii="Arial" w:cs="Arial" w:eastAsia="Arial" w:hAnsi="Arial"/>
          <w:sz w:val="20"/>
          <w:szCs w:val="20"/>
          <w:b w:val="1"/>
          <w:bCs w:val="1"/>
          <w:color w:val="000039"/>
        </w:rPr>
        <w:t>Dividends</w:t>
      </w:r>
    </w:p>
    <w:p>
      <w:pPr>
        <w:spacing w:after="0" w:line="131" w:lineRule="exact"/>
        <w:rPr>
          <w:sz w:val="20"/>
          <w:szCs w:val="20"/>
          <w:color w:val="auto"/>
        </w:rPr>
      </w:pPr>
    </w:p>
    <w:p>
      <w:pPr>
        <w:ind w:left="10" w:firstLine="359"/>
        <w:spacing w:after="0" w:line="267" w:lineRule="auto"/>
        <w:rPr>
          <w:sz w:val="20"/>
          <w:szCs w:val="20"/>
          <w:color w:val="auto"/>
        </w:rPr>
      </w:pPr>
      <w:r>
        <w:rPr>
          <w:rFonts w:ascii="Arial" w:cs="Arial" w:eastAsia="Arial" w:hAnsi="Arial"/>
          <w:sz w:val="19"/>
          <w:szCs w:val="19"/>
          <w:color w:val="auto"/>
        </w:rPr>
        <w:t>On October 31, 2025, AbbVie announced that its board of directors declared an increase in the company’s quarterly dividend from $1.64 per share to $1.73 per share, payable on February 17, 2026, to stockholders of record as of January 16, 2026.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Moreover, if AbbVie determines to pay any dividend in the future, there can be no assurance that it will continue to pay such dividends or the amount of such dividends.</w:t>
      </w:r>
    </w:p>
    <w:p>
      <w:pPr>
        <w:spacing w:after="0" w:line="20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Issuer Purchases of Equity Securities</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2300" w:type="dxa"/>
            <w:vAlign w:val="bottom"/>
          </w:tcPr>
          <w:p>
            <w:pPr>
              <w:spacing w:after="0"/>
              <w:rPr>
                <w:sz w:val="16"/>
                <w:szCs w:val="16"/>
                <w:color w:val="auto"/>
              </w:rPr>
            </w:pPr>
          </w:p>
        </w:tc>
      </w:tr>
      <w:tr>
        <w:trPr>
          <w:trHeight w:val="180"/>
        </w:trPr>
        <w:tc>
          <w:tcPr>
            <w:tcW w:w="3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Number of</w:t>
            </w:r>
          </w:p>
        </w:tc>
        <w:tc>
          <w:tcPr>
            <w:tcW w:w="2300" w:type="dxa"/>
            <w:vAlign w:val="bottom"/>
          </w:tcPr>
          <w:p>
            <w:pPr>
              <w:spacing w:after="0"/>
              <w:rPr>
                <w:sz w:val="15"/>
                <w:szCs w:val="15"/>
                <w:color w:val="auto"/>
              </w:rPr>
            </w:pPr>
          </w:p>
        </w:tc>
      </w:tr>
      <w:tr>
        <w:trPr>
          <w:trHeight w:val="180"/>
        </w:trPr>
        <w:tc>
          <w:tcPr>
            <w:tcW w:w="3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Shares (or Units)</w:t>
            </w:r>
          </w:p>
        </w:tc>
        <w:tc>
          <w:tcPr>
            <w:tcW w:w="2300" w:type="dxa"/>
            <w:vAlign w:val="bottom"/>
          </w:tcPr>
          <w:p>
            <w:pPr>
              <w:spacing w:after="0"/>
              <w:rPr>
                <w:sz w:val="15"/>
                <w:szCs w:val="15"/>
                <w:color w:val="auto"/>
              </w:rPr>
            </w:pPr>
          </w:p>
        </w:tc>
      </w:tr>
      <w:tr>
        <w:trPr>
          <w:trHeight w:val="180"/>
        </w:trPr>
        <w:tc>
          <w:tcPr>
            <w:tcW w:w="30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4"/>
              </w:rPr>
              <w:t>Total</w:t>
            </w:r>
          </w:p>
        </w:tc>
        <w:tc>
          <w:tcPr>
            <w:tcW w:w="1000" w:type="dxa"/>
            <w:vAlign w:val="bottom"/>
          </w:tcPr>
          <w:p>
            <w:pPr>
              <w:spacing w:after="0"/>
              <w:rPr>
                <w:sz w:val="15"/>
                <w:szCs w:val="15"/>
                <w:color w:val="auto"/>
              </w:rPr>
            </w:pPr>
          </w:p>
        </w:tc>
        <w:tc>
          <w:tcPr>
            <w:tcW w:w="1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Purchased as Part</w:t>
            </w:r>
          </w:p>
        </w:tc>
        <w:tc>
          <w:tcPr>
            <w:tcW w:w="2300" w:type="dxa"/>
            <w:vAlign w:val="bottom"/>
          </w:tcPr>
          <w:p>
            <w:pPr>
              <w:jc w:val="center"/>
              <w:ind w:left="20"/>
              <w:spacing w:after="0" w:line="180" w:lineRule="exact"/>
              <w:rPr>
                <w:sz w:val="20"/>
                <w:szCs w:val="20"/>
                <w:color w:val="auto"/>
              </w:rPr>
            </w:pPr>
            <w:r>
              <w:rPr>
                <w:rFonts w:ascii="Arial" w:cs="Arial" w:eastAsia="Arial" w:hAnsi="Arial"/>
                <w:sz w:val="16"/>
                <w:szCs w:val="16"/>
                <w:b w:val="1"/>
                <w:bCs w:val="1"/>
                <w:color w:val="auto"/>
                <w:w w:val="99"/>
              </w:rPr>
              <w:t>Maximum Number (or</w:t>
            </w:r>
          </w:p>
        </w:tc>
      </w:tr>
      <w:tr>
        <w:trPr>
          <w:trHeight w:val="180"/>
        </w:trPr>
        <w:tc>
          <w:tcPr>
            <w:tcW w:w="30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Number</w:t>
            </w:r>
          </w:p>
        </w:tc>
        <w:tc>
          <w:tcPr>
            <w:tcW w:w="10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Average</w:t>
            </w:r>
          </w:p>
        </w:tc>
        <w:tc>
          <w:tcPr>
            <w:tcW w:w="1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of Publicly</w:t>
            </w:r>
          </w:p>
        </w:tc>
        <w:tc>
          <w:tcPr>
            <w:tcW w:w="2300" w:type="dxa"/>
            <w:vAlign w:val="bottom"/>
          </w:tcPr>
          <w:p>
            <w:pPr>
              <w:jc w:val="center"/>
              <w:ind w:left="20"/>
              <w:spacing w:after="0" w:line="180" w:lineRule="exact"/>
              <w:rPr>
                <w:sz w:val="20"/>
                <w:szCs w:val="20"/>
                <w:color w:val="auto"/>
              </w:rPr>
            </w:pPr>
            <w:r>
              <w:rPr>
                <w:rFonts w:ascii="Arial" w:cs="Arial" w:eastAsia="Arial" w:hAnsi="Arial"/>
                <w:sz w:val="16"/>
                <w:szCs w:val="16"/>
                <w:b w:val="1"/>
                <w:bCs w:val="1"/>
                <w:color w:val="auto"/>
              </w:rPr>
              <w:t>Approximate Dollar Value) of</w:t>
            </w:r>
          </w:p>
        </w:tc>
      </w:tr>
      <w:tr>
        <w:trPr>
          <w:trHeight w:val="180"/>
        </w:trPr>
        <w:tc>
          <w:tcPr>
            <w:tcW w:w="30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of Shares</w:t>
            </w:r>
          </w:p>
        </w:tc>
        <w:tc>
          <w:tcPr>
            <w:tcW w:w="10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Price Paid</w:t>
            </w:r>
          </w:p>
        </w:tc>
        <w:tc>
          <w:tcPr>
            <w:tcW w:w="1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Announced</w:t>
            </w:r>
          </w:p>
        </w:tc>
        <w:tc>
          <w:tcPr>
            <w:tcW w:w="2300" w:type="dxa"/>
            <w:vAlign w:val="bottom"/>
          </w:tcPr>
          <w:p>
            <w:pPr>
              <w:jc w:val="center"/>
              <w:ind w:left="20"/>
              <w:spacing w:after="0" w:line="180" w:lineRule="exact"/>
              <w:rPr>
                <w:sz w:val="20"/>
                <w:szCs w:val="20"/>
                <w:color w:val="auto"/>
              </w:rPr>
            </w:pPr>
            <w:r>
              <w:rPr>
                <w:rFonts w:ascii="Arial" w:cs="Arial" w:eastAsia="Arial" w:hAnsi="Arial"/>
                <w:sz w:val="16"/>
                <w:szCs w:val="16"/>
                <w:b w:val="1"/>
                <w:bCs w:val="1"/>
                <w:color w:val="auto"/>
                <w:w w:val="98"/>
              </w:rPr>
              <w:t>Shares (or Units) that May</w:t>
            </w:r>
          </w:p>
        </w:tc>
      </w:tr>
      <w:tr>
        <w:trPr>
          <w:trHeight w:val="180"/>
        </w:trPr>
        <w:tc>
          <w:tcPr>
            <w:tcW w:w="30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(or Units)</w:t>
            </w:r>
          </w:p>
        </w:tc>
        <w:tc>
          <w:tcPr>
            <w:tcW w:w="10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per Share</w:t>
            </w:r>
          </w:p>
        </w:tc>
        <w:tc>
          <w:tcPr>
            <w:tcW w:w="1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Plans or</w:t>
            </w:r>
          </w:p>
        </w:tc>
        <w:tc>
          <w:tcPr>
            <w:tcW w:w="2300" w:type="dxa"/>
            <w:vAlign w:val="bottom"/>
          </w:tcPr>
          <w:p>
            <w:pPr>
              <w:jc w:val="center"/>
              <w:ind w:left="20"/>
              <w:spacing w:after="0" w:line="180" w:lineRule="exact"/>
              <w:rPr>
                <w:sz w:val="20"/>
                <w:szCs w:val="20"/>
                <w:color w:val="auto"/>
              </w:rPr>
            </w:pPr>
            <w:r>
              <w:rPr>
                <w:rFonts w:ascii="Arial" w:cs="Arial" w:eastAsia="Arial" w:hAnsi="Arial"/>
                <w:sz w:val="16"/>
                <w:szCs w:val="16"/>
                <w:b w:val="1"/>
                <w:bCs w:val="1"/>
                <w:color w:val="auto"/>
                <w:w w:val="98"/>
              </w:rPr>
              <w:t>Yet Be Purchased Under the</w:t>
            </w:r>
          </w:p>
        </w:tc>
      </w:tr>
      <w:tr>
        <w:trPr>
          <w:trHeight w:val="197"/>
        </w:trPr>
        <w:tc>
          <w:tcPr>
            <w:tcW w:w="3060" w:type="dxa"/>
            <w:vAlign w:val="bottom"/>
          </w:tcPr>
          <w:p>
            <w:pPr>
              <w:ind w:left="1240"/>
              <w:spacing w:after="0"/>
              <w:rPr>
                <w:sz w:val="20"/>
                <w:szCs w:val="20"/>
                <w:color w:val="auto"/>
              </w:rPr>
            </w:pPr>
            <w:r>
              <w:rPr>
                <w:rFonts w:ascii="Arial" w:cs="Arial" w:eastAsia="Arial" w:hAnsi="Arial"/>
                <w:sz w:val="16"/>
                <w:szCs w:val="16"/>
                <w:b w:val="1"/>
                <w:bCs w:val="1"/>
                <w:color w:val="auto"/>
              </w:rPr>
              <w:t>Period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Purchased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9"/>
              </w:rPr>
              <w:t>(or Unit)</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9"/>
              </w:rPr>
              <w:t>Programs</w:t>
            </w:r>
          </w:p>
        </w:tc>
        <w:tc>
          <w:tcPr>
            <w:tcW w:w="2300" w:type="dxa"/>
            <w:vAlign w:val="bottom"/>
          </w:tcPr>
          <w:p>
            <w:pPr>
              <w:jc w:val="center"/>
              <w:ind w:left="20"/>
              <w:spacing w:after="0"/>
              <w:rPr>
                <w:sz w:val="20"/>
                <w:szCs w:val="20"/>
                <w:color w:val="auto"/>
              </w:rPr>
            </w:pPr>
            <w:r>
              <w:rPr>
                <w:rFonts w:ascii="Arial" w:cs="Arial" w:eastAsia="Arial" w:hAnsi="Arial"/>
                <w:sz w:val="16"/>
                <w:szCs w:val="16"/>
                <w:b w:val="1"/>
                <w:bCs w:val="1"/>
                <w:color w:val="auto"/>
                <w:w w:val="98"/>
              </w:rPr>
              <w:t>Plans or Programs</w:t>
            </w:r>
          </w:p>
        </w:tc>
      </w:tr>
      <w:tr>
        <w:trPr>
          <w:trHeight w:val="22"/>
        </w:trPr>
        <w:tc>
          <w:tcPr>
            <w:tcW w:w="3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42"/>
        </w:trPr>
        <w:tc>
          <w:tcPr>
            <w:tcW w:w="3060" w:type="dxa"/>
            <w:vAlign w:val="bottom"/>
          </w:tcPr>
          <w:p>
            <w:pPr>
              <w:spacing w:after="0"/>
              <w:rPr>
                <w:sz w:val="20"/>
                <w:szCs w:val="20"/>
                <w:color w:val="auto"/>
              </w:rPr>
            </w:pPr>
            <w:r>
              <w:rPr>
                <w:rFonts w:ascii="Arial" w:cs="Arial" w:eastAsia="Arial" w:hAnsi="Arial"/>
                <w:sz w:val="16"/>
                <w:szCs w:val="16"/>
                <w:color w:val="auto"/>
              </w:rPr>
              <w:t>October 1, 2025 – October 31, 2025</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861</w:t>
            </w:r>
            <w:r>
              <w:rPr>
                <w:rFonts w:ascii="Arial" w:cs="Arial" w:eastAsia="Arial" w:hAnsi="Arial"/>
                <w:sz w:val="19"/>
                <w:szCs w:val="19"/>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$228.89</w:t>
            </w:r>
            <w:r>
              <w:rPr>
                <w:rFonts w:ascii="Arial" w:cs="Arial" w:eastAsia="Arial" w:hAnsi="Arial"/>
                <w:sz w:val="19"/>
                <w:szCs w:val="19"/>
                <w:color w:val="auto"/>
                <w:w w:val="98"/>
                <w:vertAlign w:val="superscript"/>
              </w:rPr>
              <w:t>(1)</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left="20"/>
              <w:spacing w:after="0"/>
              <w:rPr>
                <w:sz w:val="20"/>
                <w:szCs w:val="20"/>
                <w:color w:val="auto"/>
              </w:rPr>
            </w:pPr>
            <w:r>
              <w:rPr>
                <w:rFonts w:ascii="Arial" w:cs="Arial" w:eastAsia="Arial" w:hAnsi="Arial"/>
                <w:sz w:val="16"/>
                <w:szCs w:val="16"/>
                <w:color w:val="auto"/>
              </w:rPr>
              <w:t>$2,896,110,760</w:t>
            </w:r>
          </w:p>
        </w:tc>
      </w:tr>
      <w:tr>
        <w:trPr>
          <w:trHeight w:val="251"/>
        </w:trPr>
        <w:tc>
          <w:tcPr>
            <w:tcW w:w="3060" w:type="dxa"/>
            <w:vAlign w:val="bottom"/>
          </w:tcPr>
          <w:p>
            <w:pPr>
              <w:spacing w:after="0"/>
              <w:rPr>
                <w:sz w:val="20"/>
                <w:szCs w:val="20"/>
                <w:color w:val="auto"/>
              </w:rPr>
            </w:pPr>
            <w:r>
              <w:rPr>
                <w:rFonts w:ascii="Arial" w:cs="Arial" w:eastAsia="Arial" w:hAnsi="Arial"/>
                <w:sz w:val="16"/>
                <w:szCs w:val="16"/>
                <w:color w:val="auto"/>
              </w:rPr>
              <w:t>November 1, 2025 – November 30, 2025</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691</w:t>
            </w:r>
            <w:r>
              <w:rPr>
                <w:rFonts w:ascii="Arial" w:cs="Arial" w:eastAsia="Arial" w:hAnsi="Arial"/>
                <w:sz w:val="19"/>
                <w:szCs w:val="19"/>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$217.83</w:t>
            </w:r>
            <w:r>
              <w:rPr>
                <w:rFonts w:ascii="Arial" w:cs="Arial" w:eastAsia="Arial" w:hAnsi="Arial"/>
                <w:sz w:val="19"/>
                <w:szCs w:val="19"/>
                <w:color w:val="auto"/>
                <w:w w:val="98"/>
                <w:vertAlign w:val="superscript"/>
              </w:rPr>
              <w:t>(1)</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left="20"/>
              <w:spacing w:after="0"/>
              <w:rPr>
                <w:sz w:val="20"/>
                <w:szCs w:val="20"/>
                <w:color w:val="auto"/>
              </w:rPr>
            </w:pPr>
            <w:r>
              <w:rPr>
                <w:rFonts w:ascii="Arial" w:cs="Arial" w:eastAsia="Arial" w:hAnsi="Arial"/>
                <w:sz w:val="16"/>
                <w:szCs w:val="16"/>
                <w:color w:val="auto"/>
              </w:rPr>
              <w:t>$2,896,110,760</w:t>
            </w:r>
          </w:p>
        </w:tc>
      </w:tr>
      <w:tr>
        <w:trPr>
          <w:trHeight w:val="250"/>
        </w:trPr>
        <w:tc>
          <w:tcPr>
            <w:tcW w:w="3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December 1, 2025 – December 31, 2025</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24,742</w:t>
            </w:r>
            <w:r>
              <w:rPr>
                <w:rFonts w:ascii="Arial" w:cs="Arial" w:eastAsia="Arial" w:hAnsi="Arial"/>
                <w:sz w:val="19"/>
                <w:szCs w:val="19"/>
                <w:color w:val="auto"/>
                <w:vertAlign w:val="superscript"/>
              </w:rPr>
              <w:t>(1)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$224.39</w:t>
            </w:r>
            <w:r>
              <w:rPr>
                <w:rFonts w:ascii="Arial" w:cs="Arial" w:eastAsia="Arial" w:hAnsi="Arial"/>
                <w:sz w:val="19"/>
                <w:szCs w:val="19"/>
                <w:color w:val="auto"/>
                <w:w w:val="98"/>
                <w:vertAlign w:val="superscript"/>
              </w:rPr>
              <w:t>(1)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$2,896,110,760</w:t>
            </w:r>
          </w:p>
        </w:tc>
      </w:tr>
      <w:tr>
        <w:trPr>
          <w:trHeight w:val="241"/>
        </w:trPr>
        <w:tc>
          <w:tcPr>
            <w:tcW w:w="3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26,294</w:t>
            </w:r>
            <w:r>
              <w:rPr>
                <w:rFonts w:ascii="Arial" w:cs="Arial" w:eastAsia="Arial" w:hAnsi="Arial"/>
                <w:sz w:val="19"/>
                <w:szCs w:val="19"/>
                <w:color w:val="auto"/>
                <w:vertAlign w:val="superscript"/>
              </w:rPr>
              <w:t>(1)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$224.36</w:t>
            </w:r>
            <w:r>
              <w:rPr>
                <w:rFonts w:ascii="Arial" w:cs="Arial" w:eastAsia="Arial" w:hAnsi="Arial"/>
                <w:sz w:val="19"/>
                <w:szCs w:val="19"/>
                <w:color w:val="auto"/>
                <w:w w:val="98"/>
                <w:vertAlign w:val="superscript"/>
              </w:rPr>
              <w:t>(1)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color w:val="auto"/>
              </w:rPr>
              <w:t>$2,896,110,760</w:t>
            </w: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50" w:hanging="350"/>
        <w:spacing w:after="0" w:line="256" w:lineRule="auto"/>
        <w:tabs>
          <w:tab w:leader="none" w:pos="35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addition to AbbVie shares repurchased on the open market under a publicly announced program, if any, these shares also included the shares purchased on the open market for the benefit of participants in the AbbVie Employee Stock Purchase Plan—861 in October; 691 in November; and 24,742 in December.</w:t>
      </w:r>
    </w:p>
    <w:p>
      <w:pPr>
        <w:spacing w:after="0" w:line="96" w:lineRule="exact"/>
        <w:rPr>
          <w:rFonts w:ascii="Arial" w:cs="Arial" w:eastAsia="Arial" w:hAnsi="Arial"/>
          <w:sz w:val="20"/>
          <w:szCs w:val="20"/>
          <w:color w:val="auto"/>
        </w:rPr>
      </w:pPr>
    </w:p>
    <w:p>
      <w:pPr>
        <w:ind w:left="350" w:right="120"/>
        <w:spacing w:after="0" w:line="269" w:lineRule="auto"/>
        <w:rPr>
          <w:rFonts w:ascii="Arial" w:cs="Arial" w:eastAsia="Arial" w:hAnsi="Arial"/>
          <w:sz w:val="20"/>
          <w:szCs w:val="20"/>
          <w:color w:val="auto"/>
        </w:rPr>
      </w:pPr>
      <w:r>
        <w:rPr>
          <w:rFonts w:ascii="Arial" w:cs="Arial" w:eastAsia="Arial" w:hAnsi="Arial"/>
          <w:sz w:val="20"/>
          <w:szCs w:val="20"/>
          <w:color w:val="auto"/>
        </w:rPr>
        <w:t>These shares do not include the shares surrendered to AbbVie to satisfy minimum tax withholding obligations in connection with the vesting or exercise of stock-based awards.</w:t>
      </w:r>
    </w:p>
    <w:p>
      <w:pPr>
        <w:spacing w:after="0" w:line="13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ITEM 6. [RESERVED]</w:t>
      </w:r>
    </w:p>
    <w:p>
      <w:pPr>
        <w:ind w:left="10"/>
        <w:spacing w:after="0"/>
        <w:rPr>
          <w:sz w:val="20"/>
          <w:szCs w:val="20"/>
          <w:color w:val="auto"/>
        </w:rPr>
      </w:pPr>
      <w:r>
        <w:rPr>
          <w:rFonts w:ascii="Times New Roman" w:cs="Times New Roman" w:eastAsia="Times New Roman" w:hAnsi="Times New Roman"/>
          <w:sz w:val="16"/>
          <w:szCs w:val="16"/>
          <w:color w:val="000039"/>
        </w:rPr>
        <w:t>...................................................................................................................................................................................................................................</w:t>
      </w:r>
    </w:p>
    <w:p>
      <w:pPr>
        <w:sectPr>
          <w:pgSz w:w="11880" w:h="15480" w:orient="portrait"/>
          <w:cols w:equalWidth="0" w:num="1">
            <w:col w:w="9110"/>
          </w:cols>
          <w:pgMar w:left="1390" w:top="1028"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23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37</w:t>
      </w:r>
    </w:p>
    <w:p>
      <w:pPr>
        <w:sectPr>
          <w:pgSz w:w="11880" w:h="15480" w:orient="portrait"/>
          <w:cols w:equalWidth="0" w:num="1">
            <w:col w:w="9110"/>
          </w:cols>
          <w:pgMar w:left="1390" w:top="1028" w:right="1380" w:bottom="87" w:gutter="0" w:footer="0" w:header="0"/>
          <w:type w:val="continuous"/>
        </w:sectPr>
      </w:pPr>
    </w:p>
    <w:bookmarkStart w:id="43" w:name="page44"/>
    <w:bookmarkEnd w:id="43"/>
    <w:p>
      <w:pPr>
        <w:ind w:right="780"/>
        <w:spacing w:after="0" w:line="216" w:lineRule="auto"/>
        <w:rPr>
          <w:sz w:val="20"/>
          <w:szCs w:val="20"/>
          <w:color w:val="auto"/>
        </w:rPr>
      </w:pPr>
      <w:r>
        <w:rPr>
          <w:rFonts w:ascii="Arial" w:cs="Arial" w:eastAsia="Arial" w:hAnsi="Arial"/>
          <w:sz w:val="20"/>
          <w:szCs w:val="20"/>
          <w:b w:val="1"/>
          <w:bCs w:val="1"/>
          <w:color w:val="000039"/>
        </w:rPr>
        <w:t>ITEM 7.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right="20" w:firstLine="359"/>
        <w:spacing w:after="0" w:line="256" w:lineRule="auto"/>
        <w:rPr>
          <w:sz w:val="20"/>
          <w:szCs w:val="20"/>
          <w:color w:val="auto"/>
        </w:rPr>
      </w:pPr>
      <w:r>
        <w:rPr>
          <w:rFonts w:ascii="Arial" w:cs="Arial" w:eastAsia="Arial" w:hAnsi="Arial"/>
          <w:sz w:val="20"/>
          <w:szCs w:val="20"/>
          <w:color w:val="auto"/>
        </w:rPr>
        <w:t>The following is a discussion and analysis of the financial condition of AbbVie Inc. (AbbVie or the company). This commentary should be read in conjunction with the Consolidated Financial Statements and accompanying notes appearing in Item 8, “Financial Statements and Supplementary Data.” This section of Form 10-K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of Operations” in Part II, Item 7 of the Company’s Annual Report on Form 10-K for the fiscal year ended December 31, 2024.</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EXECUTIVE OVERVIEW</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Company Overview</w:t>
      </w:r>
    </w:p>
    <w:p>
      <w:pPr>
        <w:spacing w:after="0" w:line="131" w:lineRule="exact"/>
        <w:rPr>
          <w:sz w:val="20"/>
          <w:szCs w:val="20"/>
          <w:color w:val="auto"/>
        </w:rPr>
      </w:pPr>
    </w:p>
    <w:p>
      <w:pPr>
        <w:ind w:firstLine="359"/>
        <w:spacing w:after="0" w:line="258" w:lineRule="auto"/>
        <w:rPr>
          <w:sz w:val="20"/>
          <w:szCs w:val="20"/>
          <w:color w:val="auto"/>
        </w:rPr>
      </w:pPr>
      <w:r>
        <w:rPr>
          <w:rFonts w:ascii="Arial" w:cs="Arial" w:eastAsia="Arial" w:hAnsi="Arial"/>
          <w:sz w:val="20"/>
          <w:szCs w:val="20"/>
          <w:color w:val="auto"/>
        </w:rPr>
        <w:t>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w:t>
      </w:r>
    </w:p>
    <w:p>
      <w:pPr>
        <w:spacing w:after="0" w:line="121" w:lineRule="exact"/>
        <w:rPr>
          <w:sz w:val="20"/>
          <w:szCs w:val="20"/>
          <w:color w:val="auto"/>
        </w:rPr>
      </w:pPr>
    </w:p>
    <w:p>
      <w:pPr>
        <w:ind w:firstLine="359"/>
        <w:spacing w:after="0" w:line="263" w:lineRule="auto"/>
        <w:rPr>
          <w:sz w:val="20"/>
          <w:szCs w:val="20"/>
          <w:color w:val="auto"/>
        </w:rPr>
      </w:pPr>
      <w:r>
        <w:rPr>
          <w:rFonts w:ascii="Arial" w:cs="Arial" w:eastAsia="Arial" w:hAnsi="Arial"/>
          <w:sz w:val="20"/>
          <w:szCs w:val="20"/>
          <w:color w:val="auto"/>
        </w:rPr>
        <w:t>On February 13, 2025, the board of directors of AbbVie unanimously elected Chief Executive Officer (CEO) Robert A. Michael to succeed Richard A. Gonzalez as Chairman of the board of directors, effective July 1, 2025, at which time Mr. Gonzalez retired from the board.</w:t>
      </w:r>
    </w:p>
    <w:p>
      <w:pPr>
        <w:spacing w:after="0" w:line="114"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color w:val="auto"/>
        </w:rPr>
        <w:t>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In the United States, AbbVie distributes pharmaceutical products principally through independent wholesale distributors, with some sales directly to retailers, pharmacies, patients or other customers. Outside the United States, AbbVie sells products primarily to wholesalers or through distributors, and depending on the market, works through largely centralized national payers systems to agree on reimbursement terms. Certain products are co-marketed or co-promoted with other companies. AbbVie operates as a single global business segment.</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2026 Strategic Objectives</w:t>
      </w:r>
    </w:p>
    <w:p>
      <w:pPr>
        <w:spacing w:after="0" w:line="131" w:lineRule="exact"/>
        <w:rPr>
          <w:sz w:val="20"/>
          <w:szCs w:val="20"/>
          <w:color w:val="auto"/>
        </w:rPr>
      </w:pPr>
    </w:p>
    <w:p>
      <w:pPr>
        <w:ind w:firstLine="359"/>
        <w:spacing w:after="0" w:line="254" w:lineRule="auto"/>
        <w:rPr>
          <w:sz w:val="20"/>
          <w:szCs w:val="20"/>
          <w:color w:val="auto"/>
        </w:rPr>
      </w:pPr>
      <w:r>
        <w:rPr>
          <w:rFonts w:ascii="Arial" w:cs="Arial" w:eastAsia="Arial" w:hAnsi="Arial"/>
          <w:sz w:val="20"/>
          <w:szCs w:val="20"/>
          <w:color w:val="auto"/>
        </w:rPr>
        <w:t>AbbVie’s mission is to discover and develop innovative medicines and products that solve serious health issues today and address the medical challenges of tomorrow while achieving top-tier financial performance through outstanding execution. AbbVie intends to execute its strategy and advance its mission in a number of ways, including: (i) maximizing the benefits of a diversified revenue base with multiple long-term growth drivers; (ii) leveraging AbbVie’s commercial strength and international infrastructure across therapeutic areas, ensuring strong commercial execution of new product launches as well as continued investment in key on-market products; (iii) continuing to invest in and expand its pipeline in support of opportunities across our core areas of immunology, neuroscience, oncology and aesthetics as well as new sources of growth such as obesity; (iv) generating substantial operating cash flows to support investments in innovative research and development and returning cash to shareholders via a strong and growing dividend while maintaining a strong investment grade credit rating. In addition, AbbVie anticipates several regulatory submissions, approvals and data readouts from key clinical trials in the next 12 months.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AbbVie expects to achieve its strategic objectives through:</w:t>
      </w:r>
    </w:p>
    <w:p>
      <w:pPr>
        <w:spacing w:after="0" w:line="131" w:lineRule="exact"/>
        <w:rPr>
          <w:sz w:val="20"/>
          <w:szCs w:val="20"/>
          <w:color w:val="auto"/>
        </w:rPr>
      </w:pPr>
    </w:p>
    <w:p>
      <w:pPr>
        <w:ind w:left="540" w:right="180" w:hanging="191"/>
        <w:spacing w:after="0" w:line="261" w:lineRule="auto"/>
        <w:tabs>
          <w:tab w:leader="none" w:pos="5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Maximizing revenue growth of our key on-market products, including Skyrizi, Rinvoq, Vraylar, Botox Therapeutic, Ubrelvy, Qulipta, Vyalev, Venclexta, Elahere, Botox Cosmetic and Juvederm Collection.</w:t>
      </w:r>
    </w:p>
    <w:p>
      <w:pPr>
        <w:sectPr>
          <w:pgSz w:w="11880" w:h="15480" w:orient="portrait"/>
          <w:cols w:equalWidth="0" w:num="1">
            <w:col w:w="9100"/>
          </w:cols>
          <w:pgMar w:left="1400" w:top="1028" w:right="1380" w:bottom="75"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sz w:val="1"/>
          <w:szCs w:val="1"/>
          <w:color w:val="auto"/>
        </w:rPr>
        <w:drawing>
          <wp:inline distT="0" distB="0" distL="0" distR="0">
            <wp:extent cx="615950" cy="12827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8" w:right="1380" w:bottom="75" w:gutter="0" w:footer="0" w:header="0"/>
          <w:type w:val="continuous"/>
        </w:sectPr>
      </w:pPr>
    </w:p>
    <w:bookmarkStart w:id="44" w:name="page45"/>
    <w:bookmarkEnd w:id="44"/>
    <w:p>
      <w:pPr>
        <w:ind w:left="550" w:hanging="191"/>
        <w:spacing w:after="0" w:line="261" w:lineRule="auto"/>
        <w:tabs>
          <w:tab w:leader="none" w:pos="55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Advancing our research and development pipeline by delivering late-stage pipeline milestones, achieving key proof-of-concept objectives across therapeutic areas and continuing to invest in key on-market product indication expansion.</w:t>
      </w:r>
    </w:p>
    <w:p>
      <w:pPr>
        <w:spacing w:after="0" w:line="93" w:lineRule="exact"/>
        <w:rPr>
          <w:rFonts w:ascii="Arial" w:cs="Arial" w:eastAsia="Arial" w:hAnsi="Arial"/>
          <w:sz w:val="20"/>
          <w:szCs w:val="20"/>
          <w:color w:val="auto"/>
        </w:rPr>
      </w:pPr>
    </w:p>
    <w:p>
      <w:pPr>
        <w:ind w:left="550" w:hanging="191"/>
        <w:spacing w:after="0"/>
        <w:tabs>
          <w:tab w:leader="none" w:pos="55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Maximizing the value of key acquisitions as well as continuing to invest in external innovation.</w:t>
      </w:r>
    </w:p>
    <w:p>
      <w:pPr>
        <w:spacing w:after="0" w:line="131" w:lineRule="exact"/>
        <w:rPr>
          <w:rFonts w:ascii="Arial" w:cs="Arial" w:eastAsia="Arial" w:hAnsi="Arial"/>
          <w:sz w:val="20"/>
          <w:szCs w:val="20"/>
          <w:color w:val="auto"/>
        </w:rPr>
      </w:pPr>
    </w:p>
    <w:p>
      <w:pPr>
        <w:ind w:left="550" w:right="140" w:hanging="191"/>
        <w:spacing w:after="0" w:line="261" w:lineRule="auto"/>
        <w:tabs>
          <w:tab w:leader="none" w:pos="55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favorable impact of pipeline products and indications recently approved or currently under regulatory review where approval is expected in 2026. These products are described in greater detail in the section labeled “Research and Development” included as part of this Item 7.</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2025 Financial Results</w:t>
      </w:r>
    </w:p>
    <w:p>
      <w:pPr>
        <w:spacing w:after="0" w:line="131" w:lineRule="exact"/>
        <w:rPr>
          <w:sz w:val="20"/>
          <w:szCs w:val="20"/>
          <w:color w:val="auto"/>
        </w:rPr>
      </w:pPr>
    </w:p>
    <w:p>
      <w:pPr>
        <w:ind w:left="10" w:right="80" w:firstLine="359"/>
        <w:spacing w:after="0" w:line="255" w:lineRule="auto"/>
        <w:rPr>
          <w:sz w:val="20"/>
          <w:szCs w:val="20"/>
          <w:color w:val="auto"/>
        </w:rPr>
      </w:pPr>
      <w:r>
        <w:rPr>
          <w:rFonts w:ascii="Arial" w:cs="Arial" w:eastAsia="Arial" w:hAnsi="Arial"/>
          <w:sz w:val="20"/>
          <w:szCs w:val="20"/>
          <w:color w:val="auto"/>
        </w:rPr>
        <w:t>AbbVie’s strategy has focused on delivering strong financial results, maximizing the benefits of a diversified revenue base, advancing and investing in its pipeline and returning value to shareholders while ensuring a strong, sustainable growth business over the long term. The company’s financial performance in 2025 included delivering worldwide net revenues of $61.2 billion, operating earnings of $15.1 billion, diluted earnings per share of $2.36 and cash flows from operations of $19.0 billion. Worldwide net revenues increased by 9% on a reported and on a constant currency basis.</w:t>
      </w:r>
    </w:p>
    <w:p>
      <w:pPr>
        <w:spacing w:after="0" w:line="122" w:lineRule="exact"/>
        <w:rPr>
          <w:sz w:val="20"/>
          <w:szCs w:val="20"/>
          <w:color w:val="auto"/>
        </w:rPr>
      </w:pPr>
    </w:p>
    <w:p>
      <w:pPr>
        <w:ind w:left="10" w:firstLine="359"/>
        <w:spacing w:after="0" w:line="268" w:lineRule="auto"/>
        <w:rPr>
          <w:sz w:val="20"/>
          <w:szCs w:val="20"/>
          <w:color w:val="auto"/>
        </w:rPr>
      </w:pPr>
      <w:r>
        <w:rPr>
          <w:rFonts w:ascii="Arial" w:cs="Arial" w:eastAsia="Arial" w:hAnsi="Arial"/>
          <w:sz w:val="19"/>
          <w:szCs w:val="19"/>
          <w:color w:val="auto"/>
        </w:rPr>
        <w:t>Financial results for 2025 also included the following costs: (i) $7.4 billion related to the amortization of intangible assets; (ii) $6.5 billion for the change in fair value of contingent consideration liabilities;</w:t>
      </w:r>
    </w:p>
    <w:p>
      <w:pPr>
        <w:spacing w:after="0" w:line="2" w:lineRule="exact"/>
        <w:rPr>
          <w:sz w:val="20"/>
          <w:szCs w:val="20"/>
          <w:color w:val="auto"/>
        </w:rPr>
      </w:pPr>
    </w:p>
    <w:p>
      <w:pPr>
        <w:ind w:left="10" w:hanging="10"/>
        <w:spacing w:after="0" w:line="257" w:lineRule="auto"/>
        <w:tabs>
          <w:tab w:leader="none" w:pos="319" w:val="left"/>
        </w:tabs>
        <w:numPr>
          <w:ilvl w:val="0"/>
          <w:numId w:val="15"/>
        </w:numPr>
        <w:rPr>
          <w:rFonts w:ascii="Arial" w:cs="Arial" w:eastAsia="Arial" w:hAnsi="Arial"/>
          <w:sz w:val="20"/>
          <w:szCs w:val="20"/>
          <w:color w:val="auto"/>
        </w:rPr>
      </w:pPr>
      <w:r>
        <w:rPr>
          <w:rFonts w:ascii="Arial" w:cs="Arial" w:eastAsia="Arial" w:hAnsi="Arial"/>
          <w:sz w:val="20"/>
          <w:szCs w:val="20"/>
          <w:color w:val="auto"/>
        </w:rPr>
        <w:t>$847 million related to intangible asset impairment; and (iv) $276 million of acquisition and integration expenses. Additionally, financial results reflected continued funding to support all stages of AbbVie’s pipeline assets and continued investment in AbbVie’s on-market brands.</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Recent Events</w:t>
      </w:r>
    </w:p>
    <w:p>
      <w:pPr>
        <w:spacing w:after="0" w:line="12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Regulatory Environment</w:t>
      </w:r>
    </w:p>
    <w:p>
      <w:pPr>
        <w:spacing w:after="0" w:line="131" w:lineRule="exact"/>
        <w:rPr>
          <w:sz w:val="20"/>
          <w:szCs w:val="20"/>
          <w:color w:val="auto"/>
        </w:rPr>
      </w:pPr>
    </w:p>
    <w:p>
      <w:pPr>
        <w:ind w:left="10" w:firstLine="359"/>
        <w:spacing w:after="0" w:line="253" w:lineRule="auto"/>
        <w:rPr>
          <w:sz w:val="20"/>
          <w:szCs w:val="20"/>
          <w:color w:val="auto"/>
        </w:rPr>
      </w:pPr>
      <w:r>
        <w:rPr>
          <w:rFonts w:ascii="Arial" w:cs="Arial" w:eastAsia="Arial" w:hAnsi="Arial"/>
          <w:sz w:val="20"/>
          <w:szCs w:val="20"/>
          <w:color w:val="auto"/>
        </w:rPr>
        <w:t>Subsequent to December 31, 2025, AbbVie announced a voluntary agreement with the U.S. government to further advance access and affordability of AbbVie’s products in the U.S. while protecting and investing in U.S. pharmaceutical innovation. AbbVie will provide low prices in Medicaid and expand affordable, direct-to-patient offerings. Additionally, AbbVie pledged $100 billion in U.S.-based research and development and capital investments, including manufacturing, over the next decade. Under this voluntary agreement, the U.S. government has agreed to provide AbbVie a three-year exemption from tariffs and future price mandates.</w:t>
      </w:r>
    </w:p>
    <w:p>
      <w:pPr>
        <w:spacing w:after="0" w:line="123" w:lineRule="exact"/>
        <w:rPr>
          <w:sz w:val="20"/>
          <w:szCs w:val="20"/>
          <w:color w:val="auto"/>
        </w:rPr>
      </w:pPr>
    </w:p>
    <w:p>
      <w:pPr>
        <w:ind w:left="10" w:firstLine="359"/>
        <w:spacing w:after="0" w:line="252" w:lineRule="auto"/>
        <w:rPr>
          <w:sz w:val="20"/>
          <w:szCs w:val="20"/>
          <w:color w:val="auto"/>
        </w:rPr>
      </w:pPr>
      <w:r>
        <w:rPr>
          <w:rFonts w:ascii="Arial" w:cs="Arial" w:eastAsia="Arial" w:hAnsi="Arial"/>
          <w:sz w:val="20"/>
          <w:szCs w:val="20"/>
          <w:color w:val="auto"/>
        </w:rPr>
        <w:t>On July 4, 2025, the United States government signed into law the One Big Beautiful Bill Act of 2025 (2025 Act). Included within the 2025 Act are provisions that permanently extend certain expiring provisions of the 2017 Tax Cuts and Jobs Act, modify the international tax framework to reduce the tax rate on certain foreign earned income, restore the tax treatment of expensing for domestic research and development costs and bonus depreciation, and allow for full expensing of qualified production property. In addition, the legislation contains multiple effective dates and transition elections, with certain provisions effective in 2025 and others implemented through 2027. The 2025 Act also includes certain new health care provisions related to the orphan drug exclusion of the Inflation Reduction Act of 2022, and Medicaid, which have various effective dates. The new legislation had a favorable impact on cash tax payments in the current year.</w:t>
      </w:r>
    </w:p>
    <w:p>
      <w:pPr>
        <w:spacing w:after="0" w:line="120" w:lineRule="exact"/>
        <w:rPr>
          <w:sz w:val="20"/>
          <w:szCs w:val="20"/>
          <w:color w:val="auto"/>
        </w:rPr>
      </w:pPr>
    </w:p>
    <w:p>
      <w:pPr>
        <w:ind w:left="10" w:firstLine="359"/>
        <w:spacing w:after="0" w:line="266" w:lineRule="auto"/>
        <w:rPr>
          <w:sz w:val="20"/>
          <w:szCs w:val="20"/>
          <w:color w:val="auto"/>
        </w:rPr>
      </w:pPr>
      <w:r>
        <w:rPr>
          <w:rFonts w:ascii="Arial" w:cs="Arial" w:eastAsia="Arial" w:hAnsi="Arial"/>
          <w:sz w:val="19"/>
          <w:szCs w:val="19"/>
          <w:color w:val="auto"/>
        </w:rPr>
        <w:t>The Inflation Reduction Act of 2022 has and will continue to have a significant impact on how drugs are covered and paid for under the Medicare program, including through the creation of financial penalties for drugs whose price increases outpace inflation, the redesign of Medicare Part D benefits to shift a greater portion of the costs to manufacturers, and through government price-setting for certain Medicare Part B and Part D drugs. In 2023, the U.S. Department of Health and Human Services, through Centers for Medicare and Medicaid Service, selected Imbruvica as one of 10 medicines subject to government-set prices in Medicare Part D beginning in 2026 and in 2025, selected Vraylar and Linzess as two of 15 medicines subject to government-set prices in Medicare Part D beginning in 2027. In January 2026, Botox was selected as one of 15 medicines subject to government-set prices in Medicare Parts B and D beginning in 2028. It is possible that more of our products, including products that generate substantial revenues, could be selected in future years, which could, among other things,</w:t>
      </w:r>
    </w:p>
    <w:p>
      <w:pPr>
        <w:sectPr>
          <w:pgSz w:w="11880" w:h="15480" w:orient="portrait"/>
          <w:cols w:equalWidth="0" w:num="1">
            <w:col w:w="9110"/>
          </w:cols>
          <w:pgMar w:left="1390" w:top="1030" w:right="1380" w:bottom="87" w:gutter="0" w:footer="0" w:header="0"/>
        </w:sectPr>
      </w:pPr>
    </w:p>
    <w:p>
      <w:pPr>
        <w:spacing w:after="0" w:line="234" w:lineRule="exact"/>
        <w:rPr>
          <w:sz w:val="20"/>
          <w:szCs w:val="20"/>
          <w:color w:val="auto"/>
        </w:rPr>
      </w:pPr>
    </w:p>
    <w:p>
      <w:pPr>
        <w:ind w:left="623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39</w:t>
      </w:r>
    </w:p>
    <w:p>
      <w:pPr>
        <w:sectPr>
          <w:pgSz w:w="11880" w:h="15480" w:orient="portrait"/>
          <w:cols w:equalWidth="0" w:num="1">
            <w:col w:w="9110"/>
          </w:cols>
          <w:pgMar w:left="1390" w:top="1030" w:right="1380" w:bottom="87" w:gutter="0" w:footer="0" w:header="0"/>
          <w:type w:val="continuous"/>
        </w:sectPr>
      </w:pPr>
    </w:p>
    <w:bookmarkStart w:id="45" w:name="page46"/>
    <w:bookmarkEnd w:id="45"/>
    <w:p>
      <w:pPr>
        <w:jc w:val="both"/>
        <w:ind w:right="280"/>
        <w:spacing w:after="0" w:line="261" w:lineRule="auto"/>
        <w:rPr>
          <w:sz w:val="20"/>
          <w:szCs w:val="20"/>
          <w:color w:val="auto"/>
        </w:rPr>
      </w:pPr>
      <w:r>
        <w:rPr>
          <w:rFonts w:ascii="Arial" w:cs="Arial" w:eastAsia="Arial" w:hAnsi="Arial"/>
          <w:sz w:val="20"/>
          <w:szCs w:val="20"/>
          <w:color w:val="auto"/>
        </w:rPr>
        <w:t>accelerate revenue erosion prior to expiration of intellectual property protections. See Part I, Item 1 “Business—Regulation—Commercialization, Distribution and Manufacturing,” Part I, Item 1A “Risk Factors” and Note 7 to the Consolidated Financial Statements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U.S. Capital Investment</w:t>
      </w:r>
    </w:p>
    <w:p>
      <w:pPr>
        <w:spacing w:after="0" w:line="131" w:lineRule="exact"/>
        <w:rPr>
          <w:sz w:val="20"/>
          <w:szCs w:val="20"/>
          <w:color w:val="auto"/>
        </w:rPr>
      </w:pPr>
    </w:p>
    <w:p>
      <w:pPr>
        <w:ind w:right="20" w:firstLine="359"/>
        <w:spacing w:after="0" w:line="255" w:lineRule="auto"/>
        <w:rPr>
          <w:sz w:val="20"/>
          <w:szCs w:val="20"/>
          <w:color w:val="auto"/>
        </w:rPr>
      </w:pPr>
      <w:r>
        <w:rPr>
          <w:rFonts w:ascii="Arial" w:cs="Arial" w:eastAsia="Arial" w:hAnsi="Arial"/>
          <w:sz w:val="20"/>
          <w:szCs w:val="20"/>
          <w:color w:val="auto"/>
        </w:rPr>
        <w:t>In 2025, AbbVie announced the start of construction of a new active pharmaceutical ingredient facility in Illinois and an expansion of biologics manufacturing and research and development capacity in Massachusetts. In January 2026, AbbVie announced that it entered into an agreement to acquire a device manufacturing facility in Arizona. These projects are part of AbbVie’s plan to increase capital investment in the U.S. to broadly support innovation and expand critical manufacturing capabilities and capacity.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Intellectual Property Protection and Regulatory Exclusivity</w:t>
      </w:r>
    </w:p>
    <w:p>
      <w:pPr>
        <w:spacing w:after="0" w:line="131" w:lineRule="exact"/>
        <w:rPr>
          <w:sz w:val="20"/>
          <w:szCs w:val="20"/>
          <w:color w:val="auto"/>
        </w:rPr>
      </w:pPr>
    </w:p>
    <w:p>
      <w:pPr>
        <w:ind w:firstLine="359"/>
        <w:spacing w:after="0" w:line="273" w:lineRule="auto"/>
        <w:rPr>
          <w:sz w:val="20"/>
          <w:szCs w:val="20"/>
          <w:color w:val="auto"/>
        </w:rPr>
      </w:pPr>
      <w:r>
        <w:rPr>
          <w:rFonts w:ascii="Arial" w:cs="Arial" w:eastAsia="Arial" w:hAnsi="Arial"/>
          <w:sz w:val="19"/>
          <w:szCs w:val="19"/>
          <w:color w:val="auto"/>
        </w:rPr>
        <w:t>In September 2025, AbbVie announced the settlement of litigation with all generic manufacturers that filed abbreviated new drug applications with the U.S. Food and Drug Administration (FDA) for generic versions of upadacitinib tablets, which AbbVie markets as Rinvoq. Given the settlement and license agreements, which are subject to standard acceleration provisions, assuming pediatric exclusivity is granted, no generic entry for any Rinvoq tablets is expected prior to April 2037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Research and Development</w:t>
      </w:r>
    </w:p>
    <w:p>
      <w:pPr>
        <w:spacing w:after="0" w:line="131" w:lineRule="exact"/>
        <w:rPr>
          <w:sz w:val="20"/>
          <w:szCs w:val="20"/>
          <w:color w:val="auto"/>
        </w:rPr>
      </w:pPr>
    </w:p>
    <w:p>
      <w:pPr>
        <w:ind w:firstLine="359"/>
        <w:spacing w:after="0" w:line="258" w:lineRule="auto"/>
        <w:rPr>
          <w:sz w:val="20"/>
          <w:szCs w:val="20"/>
          <w:color w:val="auto"/>
        </w:rPr>
      </w:pPr>
      <w:r>
        <w:rPr>
          <w:rFonts w:ascii="Arial" w:cs="Arial" w:eastAsia="Arial" w:hAnsi="Arial"/>
          <w:sz w:val="20"/>
          <w:szCs w:val="20"/>
          <w:color w:val="auto"/>
        </w:rPr>
        <w:t>Research and innovation are the cornerstones of AbbVie’s business as a global biopharmaceutical company. AbbVie’s long-term success depends to a great extent on its ability to continue to discover and develop innovative products and acquire or collaborate on compounds currently in development by other biotechnology or pharmaceutical companies.</w:t>
      </w:r>
    </w:p>
    <w:p>
      <w:pPr>
        <w:spacing w:after="0" w:line="117"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color w:val="auto"/>
        </w:rPr>
        <w:t>AbbVie’s pipeline currently includes approximately 90 compounds, devices or indications in development individually or under collaboration or license agreements. Of these programs, approximately 60 are in mid- and late-stage development. The company’s pipeline is focused on such important therapeutic areas as immunology, neuroscience, oncology and aesthetics and other specialties, including obesity.</w:t>
      </w:r>
    </w:p>
    <w:p>
      <w:pPr>
        <w:spacing w:after="0" w:line="120" w:lineRule="exact"/>
        <w:rPr>
          <w:sz w:val="20"/>
          <w:szCs w:val="20"/>
          <w:color w:val="auto"/>
        </w:rPr>
      </w:pPr>
    </w:p>
    <w:p>
      <w:pPr>
        <w:ind w:firstLine="359"/>
        <w:spacing w:after="0" w:line="258" w:lineRule="auto"/>
        <w:rPr>
          <w:sz w:val="20"/>
          <w:szCs w:val="20"/>
          <w:color w:val="auto"/>
        </w:rPr>
      </w:pPr>
      <w:r>
        <w:rPr>
          <w:rFonts w:ascii="Arial" w:cs="Arial" w:eastAsia="Arial" w:hAnsi="Arial"/>
          <w:sz w:val="20"/>
          <w:szCs w:val="20"/>
          <w:color w:val="auto"/>
        </w:rPr>
        <w:t>The following sections summarize transitions of significant programs from mid-stage development to late-stage development as well as developments in significant late-stage and registrational programs. AbbVie expects multiple mid-stage programs to transition into late-stage programs in the next 12 months.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Significant Programs and Developments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Immunology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Rinvoq</w:t>
      </w:r>
    </w:p>
    <w:p>
      <w:pPr>
        <w:spacing w:after="0" w:line="131" w:lineRule="exact"/>
        <w:rPr>
          <w:sz w:val="20"/>
          <w:szCs w:val="20"/>
          <w:color w:val="auto"/>
        </w:rPr>
      </w:pPr>
    </w:p>
    <w:p>
      <w:pPr>
        <w:ind w:left="900" w:right="360" w:hanging="191"/>
        <w:spacing w:after="0" w:line="297" w:lineRule="auto"/>
        <w:tabs>
          <w:tab w:leader="none" w:pos="9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April 2025, AbbVie announced that the European Commission (EC) granted marketing authorization to Rinvoq for the treatment of giant cell arteritis (GCA) in adult patients.</w:t>
      </w:r>
    </w:p>
    <w:p>
      <w:pPr>
        <w:spacing w:after="0" w:line="61" w:lineRule="exact"/>
        <w:rPr>
          <w:rFonts w:ascii="Arial" w:cs="Arial" w:eastAsia="Arial" w:hAnsi="Arial"/>
          <w:sz w:val="19"/>
          <w:szCs w:val="19"/>
          <w:color w:val="auto"/>
        </w:rPr>
      </w:pPr>
    </w:p>
    <w:p>
      <w:pPr>
        <w:ind w:left="900" w:right="400" w:hanging="191"/>
        <w:spacing w:after="0" w:line="269" w:lineRule="auto"/>
        <w:tabs>
          <w:tab w:leader="none" w:pos="9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 April 2025, AbbVie announced that the U.S. FDA approved Rinvoq for the treatment of GCA in adult patients.</w:t>
      </w:r>
    </w:p>
    <w:p>
      <w:pPr>
        <w:spacing w:after="0" w:line="83" w:lineRule="exact"/>
        <w:rPr>
          <w:rFonts w:ascii="Arial" w:cs="Arial" w:eastAsia="Arial" w:hAnsi="Arial"/>
          <w:sz w:val="20"/>
          <w:szCs w:val="20"/>
          <w:color w:val="auto"/>
        </w:rPr>
      </w:pPr>
    </w:p>
    <w:p>
      <w:pPr>
        <w:ind w:left="900" w:hanging="191"/>
        <w:spacing w:after="0" w:line="295" w:lineRule="auto"/>
        <w:tabs>
          <w:tab w:leader="none" w:pos="9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July 2025, AbbVie announced positive topline results from Study 2 of its Phase 3 UP-AA trial for Rinvoq as a monotherapy in adults and adolescents with severe alopecia areata (AA).</w:t>
      </w:r>
    </w:p>
    <w:p>
      <w:pPr>
        <w:spacing w:after="0" w:line="61" w:lineRule="exact"/>
        <w:rPr>
          <w:rFonts w:ascii="Arial" w:cs="Arial" w:eastAsia="Arial" w:hAnsi="Arial"/>
          <w:sz w:val="19"/>
          <w:szCs w:val="19"/>
          <w:color w:val="auto"/>
        </w:rPr>
      </w:pPr>
    </w:p>
    <w:p>
      <w:pPr>
        <w:ind w:left="900" w:right="300" w:hanging="191"/>
        <w:spacing w:after="0" w:line="295" w:lineRule="auto"/>
        <w:tabs>
          <w:tab w:leader="none" w:pos="9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August 2025, AbbVie announced positive topline results from Study 1 of its Phase 3 UP-AA trial for Rinvoq as a monotherapy in adult and adolescent patients with severe AA.</w:t>
      </w:r>
    </w:p>
    <w:p>
      <w:pPr>
        <w:spacing w:after="0" w:line="61" w:lineRule="exact"/>
        <w:rPr>
          <w:rFonts w:ascii="Arial" w:cs="Arial" w:eastAsia="Arial" w:hAnsi="Arial"/>
          <w:sz w:val="19"/>
          <w:szCs w:val="19"/>
          <w:color w:val="auto"/>
        </w:rPr>
      </w:pPr>
    </w:p>
    <w:p>
      <w:pPr>
        <w:ind w:left="900" w:hanging="191"/>
        <w:spacing w:after="0" w:line="256" w:lineRule="auto"/>
        <w:tabs>
          <w:tab w:leader="none" w:pos="9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 October 2025, AbbVie announced that the U.S. FDA approved a supplemental New Drug Application (sNDA) that updates the indication statement for Rinvoq for the treatment of adults with moderately to severely active ulcerative colitis and moderately to severely active Crohn’s disease. The updated indication allows the use of Rinvoq prior to the use of tumor</w:t>
      </w:r>
    </w:p>
    <w:p>
      <w:pPr>
        <w:sectPr>
          <w:pgSz w:w="11880" w:h="15480" w:orient="portrait"/>
          <w:cols w:equalWidth="0" w:num="1">
            <w:col w:w="9100"/>
          </w:cols>
          <w:pgMar w:left="1400" w:top="1030" w:right="1380" w:bottom="75"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sz w:val="1"/>
          <w:szCs w:val="1"/>
          <w:color w:val="auto"/>
        </w:rPr>
        <w:drawing>
          <wp:inline distT="0" distB="0" distL="0" distR="0">
            <wp:extent cx="615950" cy="1282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46" w:name="page47"/>
    <w:bookmarkEnd w:id="46"/>
    <w:p>
      <w:pPr>
        <w:ind w:left="900" w:right="660"/>
        <w:spacing w:after="0" w:line="264" w:lineRule="auto"/>
        <w:rPr>
          <w:sz w:val="20"/>
          <w:szCs w:val="20"/>
          <w:color w:val="auto"/>
        </w:rPr>
      </w:pPr>
      <w:r>
        <w:rPr>
          <w:rFonts w:ascii="Arial" w:cs="Arial" w:eastAsia="Arial" w:hAnsi="Arial"/>
          <w:sz w:val="20"/>
          <w:szCs w:val="20"/>
          <w:color w:val="auto"/>
        </w:rPr>
        <w:t>necrosis factor (TNF) blocking agents in patients for whom use of these treatments is clinically inadvisable and who have received at least one approved systemic therapy.</w:t>
      </w:r>
    </w:p>
    <w:p>
      <w:pPr>
        <w:spacing w:after="0" w:line="77" w:lineRule="exact"/>
        <w:rPr>
          <w:sz w:val="20"/>
          <w:szCs w:val="20"/>
          <w:color w:val="auto"/>
        </w:rPr>
      </w:pPr>
    </w:p>
    <w:p>
      <w:pPr>
        <w:ind w:left="900" w:right="80" w:hanging="191"/>
        <w:spacing w:after="0" w:line="249" w:lineRule="auto"/>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 October 2025, AbbVie announced positive topline results from the Phase 3b/4 head-to-head SELECT-SWITCH study evaluating the efficacy and safety of Rinvoq compared to Humira in adult patients with moderate to severe rheumatoid arthritis (RA), who had an inadequate response or intolerance to a single TNF inhibitor other than Humira. In the study, Rinvoq demonstrated superiority versus Humira in achieving low disease activity and remission.</w:t>
      </w:r>
    </w:p>
    <w:p>
      <w:pPr>
        <w:spacing w:after="0" w:line="93" w:lineRule="exact"/>
        <w:rPr>
          <w:rFonts w:ascii="Arial" w:cs="Arial" w:eastAsia="Arial" w:hAnsi="Arial"/>
          <w:sz w:val="20"/>
          <w:szCs w:val="20"/>
          <w:color w:val="auto"/>
        </w:rPr>
      </w:pPr>
    </w:p>
    <w:p>
      <w:pPr>
        <w:ind w:left="900" w:hanging="191"/>
        <w:spacing w:after="0" w:line="255" w:lineRule="auto"/>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 October 2025, AbbVie announced positive topline results from two replicate Phase 3 studies evaluating the efficacy and safety of Rinvoq in adult and adolescent patients with non-segmental vitiligo.</w:t>
      </w:r>
    </w:p>
    <w:p>
      <w:pPr>
        <w:spacing w:after="0" w:line="85" w:lineRule="exact"/>
        <w:rPr>
          <w:rFonts w:ascii="Arial" w:cs="Arial" w:eastAsia="Arial" w:hAnsi="Arial"/>
          <w:sz w:val="20"/>
          <w:szCs w:val="20"/>
          <w:color w:val="auto"/>
        </w:rPr>
      </w:pPr>
    </w:p>
    <w:p>
      <w:pPr>
        <w:ind w:left="900" w:right="220" w:hanging="191"/>
        <w:spacing w:after="0" w:line="255" w:lineRule="auto"/>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 November 2025, AbbVie submitted a marketing authorization application (MAA) to the European Medicines Agency (EMA) for Rinvoq for the treatment of adults and adolescents 12 years and older with severe AA.</w:t>
      </w:r>
    </w:p>
    <w:p>
      <w:pPr>
        <w:spacing w:after="0" w:line="85" w:lineRule="exact"/>
        <w:rPr>
          <w:rFonts w:ascii="Arial" w:cs="Arial" w:eastAsia="Arial" w:hAnsi="Arial"/>
          <w:sz w:val="20"/>
          <w:szCs w:val="20"/>
          <w:color w:val="auto"/>
        </w:rPr>
      </w:pPr>
    </w:p>
    <w:p>
      <w:pPr>
        <w:ind w:left="900" w:hanging="191"/>
        <w:spacing w:after="0" w:line="255" w:lineRule="auto"/>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 February 2026, AbbVie announced the submission of applications for a new indication to the U.S. FDA and EMA for Rinvoq for the treatment of adult and adolescent patients with non-segmental vitiligo.</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Neuroscience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Qulipta</w:t>
      </w:r>
    </w:p>
    <w:p>
      <w:pPr>
        <w:spacing w:after="0" w:line="126" w:lineRule="exact"/>
        <w:rPr>
          <w:sz w:val="20"/>
          <w:szCs w:val="20"/>
          <w:color w:val="auto"/>
        </w:rPr>
      </w:pPr>
    </w:p>
    <w:p>
      <w:pPr>
        <w:ind w:left="900" w:hanging="191"/>
        <w:spacing w:after="0" w:line="264" w:lineRule="auto"/>
        <w:tabs>
          <w:tab w:leader="none" w:pos="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February 2025, AbbVie initiated a Phase 3 clinical trial to evaluate Qulipta for the preventive treatment of menstrual migraine.</w:t>
      </w:r>
    </w:p>
    <w:p>
      <w:pPr>
        <w:spacing w:after="0" w:line="74" w:lineRule="exact"/>
        <w:rPr>
          <w:rFonts w:ascii="Arial" w:cs="Arial" w:eastAsia="Arial" w:hAnsi="Arial"/>
          <w:sz w:val="20"/>
          <w:szCs w:val="20"/>
          <w:color w:val="auto"/>
        </w:rPr>
      </w:pPr>
    </w:p>
    <w:p>
      <w:pPr>
        <w:ind w:left="900" w:right="100" w:hanging="191"/>
        <w:spacing w:after="0" w:line="252" w:lineRule="auto"/>
        <w:tabs>
          <w:tab w:leader="none" w:pos="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June 2025, AbbVie announced positive topline results from its Phase 3 TEMPLE head-to-head study evaluating the tolerability, safety and efficacy of Qulipta compared to the highest tolerated dose of topiramate in adult patients with a history of four or more migraine days per month.</w:t>
      </w:r>
    </w:p>
    <w:p>
      <w:pPr>
        <w:spacing w:after="0" w:line="85" w:lineRule="exact"/>
        <w:rPr>
          <w:rFonts w:ascii="Arial" w:cs="Arial" w:eastAsia="Arial" w:hAnsi="Arial"/>
          <w:sz w:val="20"/>
          <w:szCs w:val="20"/>
          <w:color w:val="auto"/>
        </w:rPr>
      </w:pPr>
    </w:p>
    <w:p>
      <w:pPr>
        <w:ind w:left="900" w:hanging="191"/>
        <w:spacing w:after="0" w:line="250" w:lineRule="auto"/>
        <w:tabs>
          <w:tab w:leader="none" w:pos="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December 2025, AbbVie announced results from the Phase 3 ECLIPSE study, evaluating the safety, efficacy and tolerability of Aquipta versus placebo for the acute treatment of migraine in adults. The study met its primary and key secondary endpoints, with Aquipta demonstrating superiority for achieving pain freedom at two hours after treatment of the first migraine attack.</w:t>
      </w:r>
    </w:p>
    <w:p>
      <w:pPr>
        <w:spacing w:after="0" w:line="89" w:lineRule="exact"/>
        <w:rPr>
          <w:rFonts w:ascii="Arial" w:cs="Arial" w:eastAsia="Arial" w:hAnsi="Arial"/>
          <w:sz w:val="20"/>
          <w:szCs w:val="20"/>
          <w:color w:val="auto"/>
        </w:rPr>
      </w:pPr>
    </w:p>
    <w:p>
      <w:pPr>
        <w:ind w:left="900" w:right="60" w:hanging="191"/>
        <w:spacing w:after="0" w:line="264" w:lineRule="auto"/>
        <w:tabs>
          <w:tab w:leader="none" w:pos="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December 2025, AbbVie announced the submission of an application for a new indication to the EMA for Aquipta for the acute treatment of adult patients with migraine.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Tavapadon</w:t>
      </w:r>
    </w:p>
    <w:p>
      <w:pPr>
        <w:spacing w:after="0" w:line="126" w:lineRule="exact"/>
        <w:rPr>
          <w:sz w:val="20"/>
          <w:szCs w:val="20"/>
          <w:color w:val="auto"/>
        </w:rPr>
      </w:pPr>
    </w:p>
    <w:p>
      <w:pPr>
        <w:ind w:left="900" w:right="100" w:hanging="191"/>
        <w:spacing w:after="0" w:line="255"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 September 2025, AbbVie announced the submission of a New Drug Application (NDA) to the U.S. FDA for tavapadon, a novel selective dopamine D1/D5 receptor partial agonist, for the treatment of Parkinson’s disease.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Oncology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Emrelis</w:t>
      </w:r>
    </w:p>
    <w:p>
      <w:pPr>
        <w:spacing w:after="0" w:line="125" w:lineRule="exact"/>
        <w:rPr>
          <w:sz w:val="20"/>
          <w:szCs w:val="20"/>
          <w:color w:val="auto"/>
        </w:rPr>
      </w:pPr>
    </w:p>
    <w:p>
      <w:pPr>
        <w:ind w:left="900" w:right="40" w:hanging="191"/>
        <w:spacing w:after="0" w:line="252" w:lineRule="auto"/>
        <w:tabs>
          <w:tab w:leader="none" w:pos="9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May 2025, AbbVie announced that the U.S. FDA granted accelerated approval for Emrelis (telisotuzumab vedotin-tllv) for the treatment of adult patients with locally advanced or metastatic, non-squamous non-small cell lung cancer with high c-Met protein overexpression who have received a prior systemic therapy.</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Venclexta</w:t>
      </w:r>
    </w:p>
    <w:p>
      <w:pPr>
        <w:spacing w:after="0" w:line="125" w:lineRule="exact"/>
        <w:rPr>
          <w:sz w:val="20"/>
          <w:szCs w:val="20"/>
          <w:color w:val="auto"/>
        </w:rPr>
      </w:pPr>
    </w:p>
    <w:p>
      <w:pPr>
        <w:ind w:left="900" w:hanging="191"/>
        <w:spacing w:after="0" w:line="252" w:lineRule="auto"/>
        <w:tabs>
          <w:tab w:leader="none" w:pos="9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June 2025, AbbVie announced that the global Phase 3 VERONA trial evaluating Venclexta in combination with azacitidine in the treatment of newly diagnosed higher-risk myelodysplastic syndrome did not meet the primary endpoint of overall survival. No new safety signals were observed.</w:t>
      </w:r>
    </w:p>
    <w:p>
      <w:pPr>
        <w:sectPr>
          <w:pgSz w:w="11880" w:h="15480" w:orient="portrait"/>
          <w:cols w:equalWidth="0" w:num="1">
            <w:col w:w="9100"/>
          </w:cols>
          <w:pgMar w:left="1400" w:top="1030" w:right="1380" w:bottom="87" w:gutter="0" w:footer="0" w:header="0"/>
        </w:sectPr>
      </w:pPr>
    </w:p>
    <w:p>
      <w:pPr>
        <w:spacing w:after="0" w:line="242"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41</w:t>
      </w:r>
    </w:p>
    <w:p>
      <w:pPr>
        <w:sectPr>
          <w:pgSz w:w="11880" w:h="15480" w:orient="portrait"/>
          <w:cols w:equalWidth="0" w:num="1">
            <w:col w:w="9100"/>
          </w:cols>
          <w:pgMar w:left="1400" w:top="1030" w:right="1380" w:bottom="87" w:gutter="0" w:footer="0" w:header="0"/>
          <w:type w:val="continuous"/>
        </w:sectPr>
      </w:pPr>
    </w:p>
    <w:bookmarkStart w:id="47" w:name="page48"/>
    <w:bookmarkEnd w:id="47"/>
    <w:p>
      <w:pPr>
        <w:ind w:left="900" w:hanging="191"/>
        <w:spacing w:after="0" w:line="253" w:lineRule="auto"/>
        <w:tabs>
          <w:tab w:leader="none" w:pos="9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July 2025, AbbVie announced the submission of a sNDA to the U.S. FDA for the fixed-duration, all oral combination regimen of Venclexta and acalabrutinib in previously untreated patients with chronic lymphocytic leukemia (CLL). The submission is supported by positive results from the Phase 3 AMPLIFY trial which demonstrated that the combination regimen improved progression-free survival compared to standard chemoimmunotherapy in previously untreated patients with CLL.</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Epkinly</w:t>
      </w:r>
    </w:p>
    <w:p>
      <w:pPr>
        <w:spacing w:after="0" w:line="129" w:lineRule="exact"/>
        <w:rPr>
          <w:sz w:val="20"/>
          <w:szCs w:val="20"/>
          <w:color w:val="auto"/>
        </w:rPr>
      </w:pPr>
    </w:p>
    <w:p>
      <w:pPr>
        <w:ind w:left="900" w:right="160" w:hanging="191"/>
        <w:spacing w:after="0" w:line="259"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May 2025, Genmab A/S (Genmab) announced positive topline results from the Phase 3 trial evaluating Epkinly plus rituximab and lenalidomide versus rituximab and lenalidomide alone in adult patients with relapsed or refractory (R/R) follicular lymphoma.</w:t>
      </w:r>
    </w:p>
    <w:p>
      <w:pPr>
        <w:spacing w:after="0" w:line="93" w:lineRule="exact"/>
        <w:rPr>
          <w:rFonts w:ascii="Arial" w:cs="Arial" w:eastAsia="Arial" w:hAnsi="Arial"/>
          <w:sz w:val="20"/>
          <w:szCs w:val="20"/>
          <w:color w:val="auto"/>
        </w:rPr>
      </w:pPr>
    </w:p>
    <w:p>
      <w:pPr>
        <w:ind w:left="900" w:right="320" w:hanging="191"/>
        <w:spacing w:after="0" w:line="295" w:lineRule="auto"/>
        <w:tabs>
          <w:tab w:leader="none" w:pos="9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November 2025, AbbVie announced that the U.S. FDA approved Epkinly plus rituximab and lenalidomide for the treatment of adult patients with R/R follicular lymphoma.</w:t>
      </w:r>
    </w:p>
    <w:p>
      <w:pPr>
        <w:spacing w:after="0" w:line="61" w:lineRule="exact"/>
        <w:rPr>
          <w:rFonts w:ascii="Arial" w:cs="Arial" w:eastAsia="Arial" w:hAnsi="Arial"/>
          <w:sz w:val="19"/>
          <w:szCs w:val="19"/>
          <w:color w:val="auto"/>
        </w:rPr>
      </w:pPr>
    </w:p>
    <w:p>
      <w:pPr>
        <w:ind w:left="900" w:hanging="191"/>
        <w:spacing w:after="0" w:line="254"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January 2026, AbbVie announced topline results from the Phase 3 trial evaluating Epkinly compared to investigator’s choice of chemoimmunotherapy in adult patients with R/R diffuse large B-cell lymphoma (DLBCL). The study demonstrated an improvement in progression free survival (PFS) but did not demonstrate a statistically significant improvement in overall survival (OS).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PVEK</w:t>
      </w:r>
    </w:p>
    <w:p>
      <w:pPr>
        <w:spacing w:after="0" w:line="129" w:lineRule="exact"/>
        <w:rPr>
          <w:sz w:val="20"/>
          <w:szCs w:val="20"/>
          <w:color w:val="auto"/>
        </w:rPr>
      </w:pPr>
    </w:p>
    <w:p>
      <w:pPr>
        <w:ind w:left="900" w:right="260" w:hanging="191"/>
        <w:spacing w:after="0" w:line="259" w:lineRule="auto"/>
        <w:tabs>
          <w:tab w:leader="none" w:pos="9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September 2025, AbbVie announced the submission of a BLA to the U.S. FDA for approval of pivekimab sunirine (PVEK), an investigational antibody-drug conjugate (ADC), for treatment of blastic plasmacytoid dendritic cell neoplasm (BPDCN).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Aesthetics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TrenibotE</w:t>
      </w:r>
    </w:p>
    <w:p>
      <w:pPr>
        <w:spacing w:after="0" w:line="129" w:lineRule="exact"/>
        <w:rPr>
          <w:sz w:val="20"/>
          <w:szCs w:val="20"/>
          <w:color w:val="auto"/>
        </w:rPr>
      </w:pPr>
    </w:p>
    <w:p>
      <w:pPr>
        <w:ind w:left="900" w:hanging="191"/>
        <w:spacing w:after="0" w:line="254" w:lineRule="auto"/>
        <w:tabs>
          <w:tab w:leader="none" w:pos="9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 April 2025, AbbVie announced the submission of a BLA to the U.S. FDA for approval of trenibotulinumtoxinE (TrenibotE) for the treatment of moderate to severe glabellar lines. TrenibotE is a first-in-class botulinum neurotoxin serotype E characterized by a rapid onset of action as early as 8 hours after administration and short duration of effect of 2-3 weeks. If approved, TrenibotE will be the first neurotoxin of its kind available to patients.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Juvederm Collection</w:t>
      </w:r>
    </w:p>
    <w:p>
      <w:pPr>
        <w:spacing w:after="0" w:line="129" w:lineRule="exact"/>
        <w:rPr>
          <w:sz w:val="20"/>
          <w:szCs w:val="20"/>
          <w:color w:val="auto"/>
        </w:rPr>
      </w:pPr>
    </w:p>
    <w:p>
      <w:pPr>
        <w:ind w:left="900" w:right="300" w:hanging="191"/>
        <w:spacing w:after="0" w:line="259" w:lineRule="auto"/>
        <w:tabs>
          <w:tab w:leader="none" w:pos="9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 June 2025, AbbVie announced that the U.S. FDA accepted for review the supplemental premarket approval application for Skinvive by Juvederm to reduce neck lines for the improvement of neck appearance.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Emblaveo</w:t>
      </w:r>
    </w:p>
    <w:p>
      <w:pPr>
        <w:spacing w:after="0" w:line="129" w:lineRule="exact"/>
        <w:rPr>
          <w:sz w:val="20"/>
          <w:szCs w:val="20"/>
          <w:color w:val="auto"/>
        </w:rPr>
      </w:pPr>
    </w:p>
    <w:p>
      <w:pPr>
        <w:ind w:left="900" w:right="20" w:hanging="191"/>
        <w:spacing w:after="0" w:line="256" w:lineRule="auto"/>
        <w:tabs>
          <w:tab w:leader="none" w:pos="9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February 2025, AbbVie announced that the U.S. FDA approved Emblaveo (aztreonam and avibactam), as the first fixed-dose, intravenous, monobactam/</w:t>
      </w:r>
      <w:r>
        <w:rPr>
          <w:rFonts w:ascii="Arial" w:cs="Arial" w:eastAsia="Arial" w:hAnsi="Arial"/>
          <w:sz w:val="20"/>
          <w:szCs w:val="20"/>
          <w:color w:val="auto"/>
        </w:rPr>
        <w:t>β</w:t>
      </w:r>
      <w:r>
        <w:rPr>
          <w:rFonts w:ascii="Arial" w:cs="Arial" w:eastAsia="Arial" w:hAnsi="Arial"/>
          <w:sz w:val="20"/>
          <w:szCs w:val="20"/>
          <w:color w:val="auto"/>
        </w:rPr>
        <w:t>-lactamase inhibitor combination antibiotic to treat complicated intra-abdominal infections, including those caused by Gram-negative bacteria.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Mavyret</w:t>
      </w:r>
    </w:p>
    <w:p>
      <w:pPr>
        <w:spacing w:after="0" w:line="129" w:lineRule="exact"/>
        <w:rPr>
          <w:sz w:val="20"/>
          <w:szCs w:val="20"/>
          <w:color w:val="auto"/>
        </w:rPr>
      </w:pPr>
    </w:p>
    <w:p>
      <w:pPr>
        <w:ind w:left="900" w:right="80" w:hanging="191"/>
        <w:spacing w:after="0" w:line="256" w:lineRule="auto"/>
        <w:tabs>
          <w:tab w:leader="none" w:pos="9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 June 2025, AbbVie announced that the U.S. FDA approved a label expansion for Mavyret, an oral pangenotypic direct acting antiviral therapy. It is now approved for the treatment of adults and pediatric patients three years and older with acute or chronic hepatitis C virus infection.</w:t>
      </w:r>
    </w:p>
    <w:p>
      <w:pPr>
        <w:sectPr>
          <w:pgSz w:w="11880" w:h="15480" w:orient="portrait"/>
          <w:cols w:equalWidth="0" w:num="1">
            <w:col w:w="9100"/>
          </w:cols>
          <w:pgMar w:left="1400" w:top="1030"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sz w:val="1"/>
          <w:szCs w:val="1"/>
          <w:color w:val="auto"/>
        </w:rPr>
        <w:drawing>
          <wp:inline distT="0" distB="0" distL="0" distR="0">
            <wp:extent cx="615950" cy="12827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color w:val="000039"/>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Net Revenues</w:t>
      </w:r>
    </w:p>
    <w:p>
      <w:pPr>
        <w:spacing w:after="0" w:line="131" w:lineRule="exact"/>
        <w:rPr>
          <w:sz w:val="20"/>
          <w:szCs w:val="20"/>
          <w:color w:val="auto"/>
        </w:rPr>
      </w:pPr>
    </w:p>
    <w:p>
      <w:pPr>
        <w:ind w:right="20" w:firstLine="359"/>
        <w:spacing w:after="0" w:line="248" w:lineRule="auto"/>
        <w:rPr>
          <w:sz w:val="20"/>
          <w:szCs w:val="20"/>
          <w:color w:val="auto"/>
        </w:rPr>
      </w:pPr>
      <w:r>
        <w:rPr>
          <w:rFonts w:ascii="Arial" w:cs="Arial" w:eastAsia="Arial" w:hAnsi="Arial"/>
          <w:sz w:val="20"/>
          <w:szCs w:val="20"/>
          <w:color w:val="auto"/>
        </w:rPr>
        <w:t>The comparisons presented at constant currency rates reflect comparative local currency net revenues at the prior year’s foreign exchange rates. This measure provides information on the change in net revenues assuming that foreign currency exchange rates had not changed between the prior and current periods. AbbVie believes that the non-GAAP measure of change in net revenues at constant currency rates, when used in conjunction with the GAAP measure of change in net revenues at actual currency rates, may provide a more complete understanding of the company’s operations and can facilitate analysis of the company’s results of operations, particularly in evaluating performance from one period to another.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20" w:type="dxa"/>
            <w:vAlign w:val="bottom"/>
            <w:gridSpan w:val="2"/>
          </w:tcPr>
          <w:p>
            <w:pPr>
              <w:jc w:val="right"/>
              <w:ind w:right="132"/>
              <w:spacing w:after="0"/>
              <w:rPr>
                <w:sz w:val="20"/>
                <w:szCs w:val="20"/>
                <w:color w:val="auto"/>
              </w:rPr>
            </w:pPr>
            <w:r>
              <w:rPr>
                <w:rFonts w:ascii="Arial" w:cs="Arial" w:eastAsia="Arial" w:hAnsi="Arial"/>
                <w:sz w:val="16"/>
                <w:szCs w:val="16"/>
                <w:b w:val="1"/>
                <w:bCs w:val="1"/>
                <w:color w:val="auto"/>
              </w:rPr>
              <w:t>Percent change</w:t>
            </w:r>
          </w:p>
        </w:tc>
        <w:tc>
          <w:tcPr>
            <w:tcW w:w="720" w:type="dxa"/>
            <w:vAlign w:val="bottom"/>
          </w:tcPr>
          <w:p>
            <w:pPr>
              <w:spacing w:after="0"/>
              <w:rPr>
                <w:sz w:val="17"/>
                <w:szCs w:val="17"/>
                <w:color w:val="auto"/>
              </w:rPr>
            </w:pPr>
          </w:p>
        </w:tc>
      </w:tr>
      <w:tr>
        <w:trPr>
          <w:trHeight w:val="22"/>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190"/>
        </w:trPr>
        <w:tc>
          <w:tcPr>
            <w:tcW w:w="2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 actual</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At constant</w:t>
            </w:r>
          </w:p>
        </w:tc>
      </w:tr>
      <w:tr>
        <w:trPr>
          <w:trHeight w:val="180"/>
        </w:trPr>
        <w:tc>
          <w:tcPr>
            <w:tcW w:w="2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rPr>
              <w:t>currency</w:t>
            </w:r>
          </w:p>
        </w:tc>
        <w:tc>
          <w:tcPr>
            <w:tcW w:w="14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rPr>
              <w:t>currency</w:t>
            </w:r>
          </w:p>
        </w:tc>
      </w:tr>
      <w:tr>
        <w:trPr>
          <w:trHeight w:val="197"/>
        </w:trPr>
        <w:tc>
          <w:tcPr>
            <w:tcW w:w="2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rates</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rates</w:t>
            </w:r>
          </w:p>
        </w:tc>
      </w:tr>
      <w:tr>
        <w:trPr>
          <w:trHeight w:val="22"/>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7"/>
        </w:trPr>
        <w:tc>
          <w:tcPr>
            <w:tcW w:w="2660" w:type="dxa"/>
            <w:vAlign w:val="bottom"/>
          </w:tcPr>
          <w:p>
            <w:pPr>
              <w:spacing w:after="0"/>
              <w:rPr>
                <w:sz w:val="20"/>
                <w:szCs w:val="20"/>
                <w:color w:val="auto"/>
              </w:rPr>
            </w:pPr>
            <w:r>
              <w:rPr>
                <w:rFonts w:ascii="Arial" w:cs="Arial" w:eastAsia="Arial" w:hAnsi="Arial"/>
                <w:sz w:val="16"/>
                <w:szCs w:val="16"/>
                <w:b w:val="1"/>
                <w:bCs w:val="1"/>
                <w:color w:val="auto"/>
              </w:rPr>
              <w:t>years ended (dollars in millions)</w:t>
            </w:r>
          </w:p>
        </w:tc>
        <w:tc>
          <w:tcPr>
            <w:tcW w:w="1140" w:type="dxa"/>
            <w:vAlign w:val="bottom"/>
          </w:tcPr>
          <w:p>
            <w:pPr>
              <w:jc w:val="right"/>
              <w:ind w:right="285"/>
              <w:spacing w:after="0"/>
              <w:rPr>
                <w:sz w:val="20"/>
                <w:szCs w:val="20"/>
                <w:color w:val="auto"/>
              </w:rPr>
            </w:pPr>
            <w:r>
              <w:rPr>
                <w:rFonts w:ascii="Arial" w:cs="Arial" w:eastAsia="Arial" w:hAnsi="Arial"/>
                <w:sz w:val="16"/>
                <w:szCs w:val="16"/>
                <w:b w:val="1"/>
                <w:bCs w:val="1"/>
                <w:color w:val="auto"/>
              </w:rPr>
              <w:t>2025</w:t>
            </w:r>
          </w:p>
        </w:tc>
        <w:tc>
          <w:tcPr>
            <w:tcW w:w="1120" w:type="dxa"/>
            <w:vAlign w:val="bottom"/>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1120" w:type="dxa"/>
            <w:vAlign w:val="bottom"/>
          </w:tcPr>
          <w:p>
            <w:pPr>
              <w:jc w:val="right"/>
              <w:ind w:right="285"/>
              <w:spacing w:after="0"/>
              <w:rPr>
                <w:sz w:val="20"/>
                <w:szCs w:val="20"/>
                <w:color w:val="auto"/>
              </w:rPr>
            </w:pPr>
            <w:r>
              <w:rPr>
                <w:rFonts w:ascii="Arial" w:cs="Arial" w:eastAsia="Arial" w:hAnsi="Arial"/>
                <w:sz w:val="16"/>
                <w:szCs w:val="16"/>
                <w:b w:val="1"/>
                <w:bCs w:val="1"/>
                <w:color w:val="auto"/>
              </w:rPr>
              <w:t>2023</w:t>
            </w:r>
          </w:p>
        </w:tc>
        <w:tc>
          <w:tcPr>
            <w:tcW w:w="820" w:type="dxa"/>
            <w:vAlign w:val="bottom"/>
          </w:tcPr>
          <w:p>
            <w:pPr>
              <w:jc w:val="right"/>
              <w:ind w:right="172"/>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jc w:val="right"/>
              <w:ind w:right="168"/>
              <w:spacing w:after="0"/>
              <w:rPr>
                <w:sz w:val="20"/>
                <w:szCs w:val="20"/>
                <w:color w:val="auto"/>
              </w:rPr>
            </w:pPr>
            <w:r>
              <w:rPr>
                <w:rFonts w:ascii="Arial" w:cs="Arial" w:eastAsia="Arial" w:hAnsi="Arial"/>
                <w:sz w:val="16"/>
                <w:szCs w:val="16"/>
                <w:b w:val="1"/>
                <w:bCs w:val="1"/>
                <w:color w:val="auto"/>
              </w:rPr>
              <w:t>2024</w:t>
            </w:r>
          </w:p>
        </w:tc>
        <w:tc>
          <w:tcPr>
            <w:tcW w:w="760" w:type="dxa"/>
            <w:vAlign w:val="bottom"/>
          </w:tcPr>
          <w:p>
            <w:pPr>
              <w:jc w:val="right"/>
              <w:ind w:right="192"/>
              <w:spacing w:after="0"/>
              <w:rPr>
                <w:sz w:val="20"/>
                <w:szCs w:val="20"/>
                <w:color w:val="auto"/>
              </w:rPr>
            </w:pPr>
            <w:r>
              <w:rPr>
                <w:rFonts w:ascii="Arial" w:cs="Arial" w:eastAsia="Arial" w:hAnsi="Arial"/>
                <w:sz w:val="16"/>
                <w:szCs w:val="16"/>
                <w:b w:val="1"/>
                <w:bCs w:val="1"/>
                <w:color w:val="auto"/>
              </w:rPr>
              <w:t>2025</w:t>
            </w:r>
          </w:p>
        </w:tc>
        <w:tc>
          <w:tcPr>
            <w:tcW w:w="720" w:type="dxa"/>
            <w:vAlign w:val="bottom"/>
          </w:tcPr>
          <w:p>
            <w:pPr>
              <w:jc w:val="right"/>
              <w:ind w:right="125"/>
              <w:spacing w:after="0"/>
              <w:rPr>
                <w:sz w:val="20"/>
                <w:szCs w:val="20"/>
                <w:color w:val="auto"/>
              </w:rPr>
            </w:pPr>
            <w:r>
              <w:rPr>
                <w:rFonts w:ascii="Arial" w:cs="Arial" w:eastAsia="Arial" w:hAnsi="Arial"/>
                <w:sz w:val="16"/>
                <w:szCs w:val="16"/>
                <w:b w:val="1"/>
                <w:bCs w:val="1"/>
                <w:color w:val="auto"/>
              </w:rPr>
              <w:t>2024</w:t>
            </w:r>
          </w:p>
        </w:tc>
      </w:tr>
      <w:tr>
        <w:trPr>
          <w:trHeight w:val="22"/>
        </w:trPr>
        <w:tc>
          <w:tcPr>
            <w:tcW w:w="2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20"/>
                <w:szCs w:val="20"/>
                <w:color w:val="auto"/>
              </w:rPr>
              <w:t>United States</w:t>
            </w:r>
          </w:p>
        </w:tc>
        <w:tc>
          <w:tcPr>
            <w:tcW w:w="1140" w:type="dxa"/>
            <w:vAlign w:val="bottom"/>
          </w:tcPr>
          <w:p>
            <w:pPr>
              <w:jc w:val="right"/>
              <w:ind w:right="105"/>
              <w:spacing w:after="0"/>
              <w:rPr>
                <w:sz w:val="20"/>
                <w:szCs w:val="20"/>
                <w:color w:val="auto"/>
              </w:rPr>
            </w:pPr>
            <w:r>
              <w:rPr>
                <w:rFonts w:ascii="Arial" w:cs="Arial" w:eastAsia="Arial" w:hAnsi="Arial"/>
                <w:sz w:val="20"/>
                <w:szCs w:val="20"/>
                <w:color w:val="auto"/>
              </w:rPr>
              <w:t>$46,603</w:t>
            </w:r>
          </w:p>
        </w:tc>
        <w:tc>
          <w:tcPr>
            <w:tcW w:w="1120" w:type="dxa"/>
            <w:vAlign w:val="bottom"/>
          </w:tcPr>
          <w:p>
            <w:pPr>
              <w:jc w:val="right"/>
              <w:ind w:right="105"/>
              <w:spacing w:after="0"/>
              <w:rPr>
                <w:sz w:val="20"/>
                <w:szCs w:val="20"/>
                <w:color w:val="auto"/>
              </w:rPr>
            </w:pPr>
            <w:r>
              <w:rPr>
                <w:rFonts w:ascii="Arial" w:cs="Arial" w:eastAsia="Arial" w:hAnsi="Arial"/>
                <w:sz w:val="20"/>
                <w:szCs w:val="20"/>
                <w:color w:val="auto"/>
              </w:rPr>
              <w:t>$43,029</w:t>
            </w:r>
          </w:p>
        </w:tc>
        <w:tc>
          <w:tcPr>
            <w:tcW w:w="1120" w:type="dxa"/>
            <w:vAlign w:val="bottom"/>
          </w:tcPr>
          <w:p>
            <w:pPr>
              <w:jc w:val="right"/>
              <w:ind w:right="105"/>
              <w:spacing w:after="0"/>
              <w:rPr>
                <w:sz w:val="20"/>
                <w:szCs w:val="20"/>
                <w:color w:val="auto"/>
              </w:rPr>
            </w:pPr>
            <w:r>
              <w:rPr>
                <w:rFonts w:ascii="Arial" w:cs="Arial" w:eastAsia="Arial" w:hAnsi="Arial"/>
                <w:sz w:val="20"/>
                <w:szCs w:val="20"/>
                <w:color w:val="auto"/>
              </w:rPr>
              <w:t>$41,883</w:t>
            </w:r>
          </w:p>
        </w:tc>
        <w:tc>
          <w:tcPr>
            <w:tcW w:w="820" w:type="dxa"/>
            <w:vAlign w:val="bottom"/>
          </w:tcPr>
          <w:p>
            <w:pPr>
              <w:jc w:val="right"/>
              <w:ind w:right="32"/>
              <w:spacing w:after="0"/>
              <w:rPr>
                <w:sz w:val="20"/>
                <w:szCs w:val="20"/>
                <w:color w:val="auto"/>
              </w:rPr>
            </w:pPr>
            <w:r>
              <w:rPr>
                <w:rFonts w:ascii="Arial" w:cs="Arial" w:eastAsia="Arial" w:hAnsi="Arial"/>
                <w:sz w:val="20"/>
                <w:szCs w:val="20"/>
                <w:color w:val="auto"/>
              </w:rPr>
              <w:t>8.3%</w:t>
            </w:r>
          </w:p>
        </w:tc>
        <w:tc>
          <w:tcPr>
            <w:tcW w:w="760" w:type="dxa"/>
            <w:vAlign w:val="bottom"/>
          </w:tcPr>
          <w:p>
            <w:pPr>
              <w:jc w:val="right"/>
              <w:ind w:right="48"/>
              <w:spacing w:after="0"/>
              <w:rPr>
                <w:sz w:val="20"/>
                <w:szCs w:val="20"/>
                <w:color w:val="auto"/>
              </w:rPr>
            </w:pPr>
            <w:r>
              <w:rPr>
                <w:rFonts w:ascii="Arial" w:cs="Arial" w:eastAsia="Arial" w:hAnsi="Arial"/>
                <w:sz w:val="20"/>
                <w:szCs w:val="20"/>
                <w:color w:val="auto"/>
              </w:rPr>
              <w:t>2.7%</w:t>
            </w:r>
          </w:p>
        </w:tc>
        <w:tc>
          <w:tcPr>
            <w:tcW w:w="760" w:type="dxa"/>
            <w:vAlign w:val="bottom"/>
          </w:tcPr>
          <w:p>
            <w:pPr>
              <w:jc w:val="right"/>
              <w:ind w:right="52"/>
              <w:spacing w:after="0"/>
              <w:rPr>
                <w:sz w:val="20"/>
                <w:szCs w:val="20"/>
                <w:color w:val="auto"/>
              </w:rPr>
            </w:pPr>
            <w:r>
              <w:rPr>
                <w:rFonts w:ascii="Arial" w:cs="Arial" w:eastAsia="Arial" w:hAnsi="Arial"/>
                <w:sz w:val="20"/>
                <w:szCs w:val="20"/>
                <w:color w:val="auto"/>
              </w:rPr>
              <w:t>8.3%</w:t>
            </w:r>
          </w:p>
        </w:tc>
        <w:tc>
          <w:tcPr>
            <w:tcW w:w="7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2"/>
        </w:trPr>
        <w:tc>
          <w:tcPr>
            <w:tcW w:w="2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International</w:t>
            </w:r>
          </w:p>
        </w:tc>
        <w:tc>
          <w:tcPr>
            <w:tcW w:w="1140" w:type="dxa"/>
            <w:vAlign w:val="bottom"/>
            <w:tcBorders>
              <w:bottom w:val="single" w:sz="8" w:color="auto"/>
            </w:tcBorders>
          </w:tcPr>
          <w:p>
            <w:pPr>
              <w:jc w:val="right"/>
              <w:ind w:right="105"/>
              <w:spacing w:after="0"/>
              <w:rPr>
                <w:sz w:val="20"/>
                <w:szCs w:val="20"/>
                <w:color w:val="auto"/>
              </w:rPr>
            </w:pPr>
            <w:r>
              <w:rPr>
                <w:rFonts w:ascii="Arial" w:cs="Arial" w:eastAsia="Arial" w:hAnsi="Arial"/>
                <w:sz w:val="20"/>
                <w:szCs w:val="20"/>
                <w:color w:val="auto"/>
              </w:rPr>
              <w:t>14,557</w:t>
            </w: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20"/>
                <w:szCs w:val="20"/>
                <w:color w:val="auto"/>
              </w:rPr>
              <w:t>13,305</w:t>
            </w: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20"/>
                <w:szCs w:val="20"/>
                <w:color w:val="auto"/>
              </w:rPr>
              <w:t>12,435</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20"/>
                <w:szCs w:val="20"/>
                <w:color w:val="auto"/>
              </w:rPr>
              <w:t>9.4%</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20"/>
                <w:szCs w:val="20"/>
                <w:color w:val="auto"/>
              </w:rPr>
              <w:t>7.0%</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20"/>
                <w:szCs w:val="20"/>
                <w:color w:val="auto"/>
              </w:rPr>
              <w:t>9.2%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w:t>
            </w:r>
          </w:p>
        </w:tc>
      </w:tr>
      <w:tr>
        <w:trPr>
          <w:trHeight w:val="269"/>
        </w:trPr>
        <w:tc>
          <w:tcPr>
            <w:tcW w:w="2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Net revenues</w:t>
            </w:r>
          </w:p>
        </w:tc>
        <w:tc>
          <w:tcPr>
            <w:tcW w:w="1140" w:type="dxa"/>
            <w:vAlign w:val="bottom"/>
            <w:tcBorders>
              <w:bottom w:val="single" w:sz="8" w:color="auto"/>
            </w:tcBorders>
          </w:tcPr>
          <w:p>
            <w:pPr>
              <w:jc w:val="right"/>
              <w:ind w:right="105"/>
              <w:spacing w:after="0"/>
              <w:rPr>
                <w:sz w:val="20"/>
                <w:szCs w:val="20"/>
                <w:color w:val="auto"/>
              </w:rPr>
            </w:pPr>
            <w:r>
              <w:rPr>
                <w:rFonts w:ascii="Arial" w:cs="Arial" w:eastAsia="Arial" w:hAnsi="Arial"/>
                <w:sz w:val="20"/>
                <w:szCs w:val="20"/>
                <w:color w:val="auto"/>
              </w:rPr>
              <w:t>$61,160</w:t>
            </w: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20"/>
                <w:szCs w:val="20"/>
                <w:color w:val="auto"/>
              </w:rPr>
              <w:t>$56,334</w:t>
            </w: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20"/>
                <w:szCs w:val="20"/>
                <w:color w:val="auto"/>
              </w:rPr>
              <w:t>$54,318</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20"/>
                <w:szCs w:val="20"/>
                <w:color w:val="auto"/>
              </w:rPr>
              <w:t>8.6%</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20"/>
                <w:szCs w:val="20"/>
                <w:color w:val="auto"/>
              </w:rPr>
              <w:t>3.7%</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20"/>
                <w:szCs w:val="20"/>
                <w:color w:val="auto"/>
              </w:rPr>
              <w:t>8.5%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details AbbVie’s worldwide net revenues: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Percent change</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60"/>
        </w:trPr>
        <w:tc>
          <w:tcPr>
            <w:tcW w:w="1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120"/>
              <w:spacing w:after="0" w:line="160" w:lineRule="exact"/>
              <w:rPr>
                <w:sz w:val="20"/>
                <w:szCs w:val="20"/>
                <w:color w:val="auto"/>
              </w:rPr>
            </w:pPr>
            <w:r>
              <w:rPr>
                <w:rFonts w:ascii="Arial" w:cs="Arial" w:eastAsia="Arial" w:hAnsi="Arial"/>
                <w:sz w:val="14"/>
                <w:szCs w:val="14"/>
                <w:b w:val="1"/>
                <w:bCs w:val="1"/>
                <w:color w:val="auto"/>
                <w:w w:val="98"/>
              </w:rPr>
              <w:t>At actual</w:t>
            </w:r>
          </w:p>
        </w:tc>
        <w:tc>
          <w:tcPr>
            <w:tcW w:w="156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8"/>
              </w:rPr>
              <w:t>At constant</w:t>
            </w:r>
          </w:p>
        </w:tc>
      </w:tr>
      <w:tr>
        <w:trPr>
          <w:trHeight w:val="157"/>
        </w:trPr>
        <w:tc>
          <w:tcPr>
            <w:tcW w:w="1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currency</w:t>
            </w:r>
          </w:p>
        </w:tc>
        <w:tc>
          <w:tcPr>
            <w:tcW w:w="1560" w:type="dxa"/>
            <w:vAlign w:val="bottom"/>
            <w:gridSpan w:val="3"/>
          </w:tcPr>
          <w:p>
            <w:pPr>
              <w:jc w:val="center"/>
              <w:ind w:right="80"/>
              <w:spacing w:after="0" w:line="157" w:lineRule="exact"/>
              <w:rPr>
                <w:sz w:val="20"/>
                <w:szCs w:val="20"/>
                <w:color w:val="auto"/>
              </w:rPr>
            </w:pPr>
            <w:r>
              <w:rPr>
                <w:rFonts w:ascii="Arial" w:cs="Arial" w:eastAsia="Arial" w:hAnsi="Arial"/>
                <w:sz w:val="14"/>
                <w:szCs w:val="14"/>
                <w:b w:val="1"/>
                <w:bCs w:val="1"/>
                <w:color w:val="auto"/>
              </w:rPr>
              <w:t>currency</w:t>
            </w:r>
          </w:p>
        </w:tc>
      </w:tr>
      <w:tr>
        <w:trPr>
          <w:trHeight w:val="174"/>
        </w:trPr>
        <w:tc>
          <w:tcPr>
            <w:tcW w:w="1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rates</w:t>
            </w:r>
          </w:p>
        </w:tc>
        <w:tc>
          <w:tcPr>
            <w:tcW w:w="120" w:type="dxa"/>
            <w:vAlign w:val="bottom"/>
          </w:tcPr>
          <w:p>
            <w:pPr>
              <w:spacing w:after="0"/>
              <w:rPr>
                <w:sz w:val="15"/>
                <w:szCs w:val="15"/>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rates</w:t>
            </w:r>
          </w:p>
        </w:tc>
      </w:tr>
      <w:tr>
        <w:trPr>
          <w:trHeight w:val="177"/>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 (dollars in millions)</w:t>
            </w: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6"/>
              </w:rPr>
              <w:t>2024</w:t>
            </w: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6"/>
              </w:rPr>
              <w:t>2023</w:t>
            </w:r>
          </w:p>
        </w:tc>
        <w:tc>
          <w:tcPr>
            <w:tcW w:w="7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r>
      <w:tr>
        <w:trPr>
          <w:trHeight w:val="176"/>
        </w:trPr>
        <w:tc>
          <w:tcPr>
            <w:tcW w:w="1640" w:type="dxa"/>
            <w:vAlign w:val="bottom"/>
          </w:tcPr>
          <w:p>
            <w:pPr>
              <w:spacing w:after="0"/>
              <w:rPr>
                <w:sz w:val="20"/>
                <w:szCs w:val="20"/>
                <w:color w:val="auto"/>
              </w:rPr>
            </w:pPr>
            <w:r>
              <w:rPr>
                <w:rFonts w:ascii="Arial" w:cs="Arial" w:eastAsia="Arial" w:hAnsi="Arial"/>
                <w:sz w:val="14"/>
                <w:szCs w:val="14"/>
                <w:b w:val="1"/>
                <w:bCs w:val="1"/>
                <w:color w:val="auto"/>
              </w:rPr>
              <w:t>Immunology</w:t>
            </w: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Skyrizi</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w w:val="97"/>
              </w:rPr>
              <w:t>15,202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w w:val="93"/>
              </w:rPr>
              <w:t>10,086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6,753</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50.7%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49.3%</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50.7%</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49.3%</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2,360</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1,632</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1,010</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44.6%</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61.6%</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43.0%</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65.4%</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7"/>
              </w:rPr>
              <w:t>17,562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3"/>
              </w:rPr>
              <w:t>11,718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7,763</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49.9%</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50.9%</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49.7%</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51.4%</w:t>
            </w:r>
          </w:p>
        </w:tc>
      </w:tr>
      <w:tr>
        <w:trPr>
          <w:trHeight w:val="177"/>
        </w:trPr>
        <w:tc>
          <w:tcPr>
            <w:tcW w:w="1640" w:type="dxa"/>
            <w:vAlign w:val="bottom"/>
          </w:tcPr>
          <w:p>
            <w:pPr>
              <w:spacing w:after="0"/>
              <w:rPr>
                <w:sz w:val="20"/>
                <w:szCs w:val="20"/>
                <w:color w:val="auto"/>
              </w:rPr>
            </w:pPr>
            <w:r>
              <w:rPr>
                <w:rFonts w:ascii="Arial" w:cs="Arial" w:eastAsia="Arial" w:hAnsi="Arial"/>
                <w:sz w:val="14"/>
                <w:szCs w:val="14"/>
                <w:color w:val="auto"/>
              </w:rPr>
              <w:t>Rinvoq</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5,940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4,259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2,824</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39.5%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50.8%</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39.5%</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50.8%</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2,364</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1,712</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1,145</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38.0%</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49.6%</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37.1%</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57.0%</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8,304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5,971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3,969</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39.1%</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50.4%</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38.8%</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52.5%</w:t>
            </w:r>
          </w:p>
        </w:tc>
      </w:tr>
      <w:tr>
        <w:trPr>
          <w:trHeight w:val="177"/>
        </w:trPr>
        <w:tc>
          <w:tcPr>
            <w:tcW w:w="1640" w:type="dxa"/>
            <w:vAlign w:val="bottom"/>
          </w:tcPr>
          <w:p>
            <w:pPr>
              <w:spacing w:after="0"/>
              <w:rPr>
                <w:sz w:val="20"/>
                <w:szCs w:val="20"/>
                <w:color w:val="auto"/>
              </w:rPr>
            </w:pPr>
            <w:r>
              <w:rPr>
                <w:rFonts w:ascii="Arial" w:cs="Arial" w:eastAsia="Arial" w:hAnsi="Arial"/>
                <w:sz w:val="14"/>
                <w:szCs w:val="14"/>
                <w:color w:val="auto"/>
              </w:rPr>
              <w:t>Humira</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3,062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7,142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w w:val="93"/>
              </w:rPr>
              <w:t>12,160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(57.1)%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(41.3)%</w:t>
            </w:r>
          </w:p>
        </w:tc>
        <w:tc>
          <w:tcPr>
            <w:tcW w:w="760" w:type="dxa"/>
            <w:vAlign w:val="bottom"/>
          </w:tcPr>
          <w:p>
            <w:pPr>
              <w:jc w:val="right"/>
              <w:spacing w:after="0"/>
              <w:rPr>
                <w:sz w:val="20"/>
                <w:szCs w:val="20"/>
                <w:color w:val="auto"/>
              </w:rPr>
            </w:pPr>
            <w:r>
              <w:rPr>
                <w:rFonts w:ascii="Arial" w:cs="Arial" w:eastAsia="Arial" w:hAnsi="Arial"/>
                <w:sz w:val="14"/>
                <w:szCs w:val="14"/>
                <w:color w:val="auto"/>
              </w:rPr>
              <w:t>(57.1)%</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(41.3)%</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1,478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1,851</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2,244</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(17.5)%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(13.2)%</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4,540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8,993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3"/>
              </w:rPr>
              <w:t>14,404</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(49.5)%</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(37.6)%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(36.9)%</w:t>
            </w:r>
          </w:p>
        </w:tc>
      </w:tr>
      <w:tr>
        <w:trPr>
          <w:trHeight w:val="175"/>
        </w:trPr>
        <w:tc>
          <w:tcPr>
            <w:tcW w:w="1640" w:type="dxa"/>
            <w:vAlign w:val="bottom"/>
          </w:tcPr>
          <w:p>
            <w:pPr>
              <w:spacing w:after="0"/>
              <w:rPr>
                <w:sz w:val="20"/>
                <w:szCs w:val="20"/>
                <w:color w:val="auto"/>
              </w:rPr>
            </w:pPr>
            <w:r>
              <w:rPr>
                <w:rFonts w:ascii="Arial" w:cs="Arial" w:eastAsia="Arial" w:hAnsi="Arial"/>
                <w:sz w:val="14"/>
                <w:szCs w:val="14"/>
                <w:b w:val="1"/>
                <w:bCs w:val="1"/>
                <w:color w:val="auto"/>
              </w:rPr>
              <w:t>Neuroscience</w:t>
            </w: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Vraylar</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3,612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3,260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2,755</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10.8%</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18.4%</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10.8%</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18.4%</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33.3%</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57.8%</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36.8%</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58.6%</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3,621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2,759</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10.8%</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18.4%</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10.8%</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18.4%</w:t>
            </w:r>
          </w:p>
        </w:tc>
      </w:tr>
      <w:tr>
        <w:trPr>
          <w:trHeight w:val="177"/>
        </w:trPr>
        <w:tc>
          <w:tcPr>
            <w:tcW w:w="1640" w:type="dxa"/>
            <w:vAlign w:val="bottom"/>
          </w:tcPr>
          <w:p>
            <w:pPr>
              <w:spacing w:after="0"/>
              <w:rPr>
                <w:sz w:val="20"/>
                <w:szCs w:val="20"/>
                <w:color w:val="auto"/>
              </w:rPr>
            </w:pPr>
            <w:r>
              <w:rPr>
                <w:rFonts w:ascii="Arial" w:cs="Arial" w:eastAsia="Arial" w:hAnsi="Arial"/>
                <w:sz w:val="14"/>
                <w:szCs w:val="14"/>
                <w:color w:val="auto"/>
              </w:rPr>
              <w:t>Botox Therapeutic</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3,151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2,718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2,476</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16.0%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9.8%</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16.0%</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9.8%</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618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565</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515</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9.3%</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9.8%</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9.9%</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14.0%</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3,769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2,991</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14.8%</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9.8%</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14.9%</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10.5%</w:t>
            </w:r>
          </w:p>
        </w:tc>
      </w:tr>
      <w:tr>
        <w:trPr>
          <w:trHeight w:val="177"/>
        </w:trPr>
        <w:tc>
          <w:tcPr>
            <w:tcW w:w="1640" w:type="dxa"/>
            <w:vAlign w:val="bottom"/>
          </w:tcPr>
          <w:p>
            <w:pPr>
              <w:spacing w:after="0"/>
              <w:rPr>
                <w:sz w:val="20"/>
                <w:szCs w:val="20"/>
                <w:color w:val="auto"/>
              </w:rPr>
            </w:pPr>
            <w:r>
              <w:rPr>
                <w:rFonts w:ascii="Arial" w:cs="Arial" w:eastAsia="Arial" w:hAnsi="Arial"/>
                <w:sz w:val="14"/>
                <w:szCs w:val="14"/>
                <w:color w:val="auto"/>
              </w:rPr>
              <w:t>Ubrelvy</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1,239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981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803</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26.3%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22.1%</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26.3%</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22.1%</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28.6%</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&gt;100.0%</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30.7%</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&gt;100.0%</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815</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26.4%</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23.4%</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26.5%</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23.4%</w:t>
            </w:r>
          </w:p>
        </w:tc>
      </w:tr>
      <w:tr>
        <w:trPr>
          <w:trHeight w:val="177"/>
        </w:trPr>
        <w:tc>
          <w:tcPr>
            <w:tcW w:w="1640" w:type="dxa"/>
            <w:vAlign w:val="bottom"/>
          </w:tcPr>
          <w:p>
            <w:pPr>
              <w:spacing w:after="0"/>
              <w:rPr>
                <w:sz w:val="20"/>
                <w:szCs w:val="20"/>
                <w:color w:val="auto"/>
              </w:rPr>
            </w:pPr>
            <w:r>
              <w:rPr>
                <w:rFonts w:ascii="Arial" w:cs="Arial" w:eastAsia="Arial" w:hAnsi="Arial"/>
                <w:sz w:val="14"/>
                <w:szCs w:val="14"/>
                <w:color w:val="auto"/>
              </w:rPr>
              <w:t>Qulipta</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906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628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405</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44.1%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55.3%</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44.1%</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55.3%</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130</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30</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&gt;100.0%</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&gt;100.0%</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&gt;100.0%</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&gt;100.0%</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408</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57.3%</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61.3%</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56.8%</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61.3%</w:t>
            </w:r>
          </w:p>
        </w:tc>
      </w:tr>
      <w:tr>
        <w:trPr>
          <w:trHeight w:val="177"/>
        </w:trPr>
        <w:tc>
          <w:tcPr>
            <w:tcW w:w="1640" w:type="dxa"/>
            <w:vAlign w:val="bottom"/>
          </w:tcPr>
          <w:p>
            <w:pPr>
              <w:spacing w:after="0"/>
              <w:rPr>
                <w:sz w:val="20"/>
                <w:szCs w:val="20"/>
                <w:color w:val="auto"/>
              </w:rPr>
            </w:pPr>
            <w:r>
              <w:rPr>
                <w:rFonts w:ascii="Arial" w:cs="Arial" w:eastAsia="Arial" w:hAnsi="Arial"/>
                <w:sz w:val="14"/>
                <w:szCs w:val="14"/>
                <w:color w:val="auto"/>
              </w:rPr>
              <w:t>Vyalev</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167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&gt;100.0%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n/m</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&gt;100.0%</w:t>
            </w: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n/m</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315</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&gt;100.0%</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&gt;100%</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&gt;100.0%</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&gt;100%</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&gt;100.0%</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&gt;100%</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&gt;100.0%</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&gt;100%</w:t>
            </w:r>
          </w:p>
        </w:tc>
      </w:tr>
      <w:tr>
        <w:trPr>
          <w:trHeight w:val="177"/>
        </w:trPr>
        <w:tc>
          <w:tcPr>
            <w:tcW w:w="1640" w:type="dxa"/>
            <w:vAlign w:val="bottom"/>
          </w:tcPr>
          <w:p>
            <w:pPr>
              <w:spacing w:after="0"/>
              <w:rPr>
                <w:sz w:val="20"/>
                <w:szCs w:val="20"/>
                <w:color w:val="auto"/>
              </w:rPr>
            </w:pPr>
            <w:r>
              <w:rPr>
                <w:rFonts w:ascii="Arial" w:cs="Arial" w:eastAsia="Arial" w:hAnsi="Arial"/>
                <w:sz w:val="14"/>
                <w:szCs w:val="14"/>
                <w:color w:val="auto"/>
              </w:rPr>
              <w:t>Duodopa</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73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96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97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760" w:type="dxa"/>
            <w:vAlign w:val="bottom"/>
          </w:tcPr>
          <w:p>
            <w:pPr>
              <w:jc w:val="right"/>
              <w:spacing w:after="0"/>
              <w:rPr>
                <w:sz w:val="20"/>
                <w:szCs w:val="20"/>
                <w:color w:val="auto"/>
              </w:rPr>
            </w:pPr>
            <w:r>
              <w:rPr>
                <w:rFonts w:ascii="Arial" w:cs="Arial" w:eastAsia="Arial" w:hAnsi="Arial"/>
                <w:sz w:val="14"/>
                <w:szCs w:val="14"/>
                <w:color w:val="auto"/>
              </w:rPr>
              <w:t>(23.7)%</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(1.8)%</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308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351</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371</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(12.3)%</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(5.4)%</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468</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(14.8)%</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(4.7)%</w:t>
            </w:r>
          </w:p>
        </w:tc>
      </w:tr>
      <w:tr>
        <w:trPr>
          <w:trHeight w:val="177"/>
        </w:trPr>
        <w:tc>
          <w:tcPr>
            <w:tcW w:w="1640" w:type="dxa"/>
            <w:vAlign w:val="bottom"/>
          </w:tcPr>
          <w:p>
            <w:pPr>
              <w:spacing w:after="0"/>
              <w:rPr>
                <w:sz w:val="20"/>
                <w:szCs w:val="20"/>
                <w:color w:val="auto"/>
              </w:rPr>
            </w:pPr>
            <w:r>
              <w:rPr>
                <w:rFonts w:ascii="Arial" w:cs="Arial" w:eastAsia="Arial" w:hAnsi="Arial"/>
                <w:sz w:val="14"/>
                <w:szCs w:val="14"/>
                <w:color w:val="auto"/>
              </w:rPr>
              <w:t>Other Neuroscience</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192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223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254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(12.1)%</w:t>
            </w:r>
          </w:p>
        </w:tc>
        <w:tc>
          <w:tcPr>
            <w:tcW w:w="760" w:type="dxa"/>
            <w:vAlign w:val="bottom"/>
          </w:tcPr>
          <w:p>
            <w:pPr>
              <w:jc w:val="right"/>
              <w:spacing w:after="0"/>
              <w:rPr>
                <w:sz w:val="20"/>
                <w:szCs w:val="20"/>
                <w:color w:val="auto"/>
              </w:rPr>
            </w:pPr>
            <w:r>
              <w:rPr>
                <w:rFonts w:ascii="Arial" w:cs="Arial" w:eastAsia="Arial" w:hAnsi="Arial"/>
                <w:sz w:val="14"/>
                <w:szCs w:val="14"/>
                <w:color w:val="auto"/>
              </w:rPr>
              <w:t>(13.9)%</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(12.1)%</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19</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(0.4)%</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(18.9)%</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(18.3)%</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273</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(13.0)%</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(12.5)%</w:t>
            </w:r>
          </w:p>
        </w:tc>
      </w:tr>
      <w:tr>
        <w:trPr>
          <w:trHeight w:val="175"/>
        </w:trPr>
        <w:tc>
          <w:tcPr>
            <w:tcW w:w="1640" w:type="dxa"/>
            <w:vAlign w:val="bottom"/>
          </w:tcPr>
          <w:p>
            <w:pPr>
              <w:spacing w:after="0"/>
              <w:rPr>
                <w:sz w:val="20"/>
                <w:szCs w:val="20"/>
                <w:color w:val="auto"/>
              </w:rPr>
            </w:pPr>
            <w:r>
              <w:rPr>
                <w:rFonts w:ascii="Arial" w:cs="Arial" w:eastAsia="Arial" w:hAnsi="Arial"/>
                <w:sz w:val="14"/>
                <w:szCs w:val="14"/>
                <w:b w:val="1"/>
                <w:bCs w:val="1"/>
                <w:color w:val="auto"/>
              </w:rPr>
              <w:t>Oncology</w:t>
            </w: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Imbruvica</w:t>
            </w:r>
          </w:p>
        </w:tc>
        <w:tc>
          <w:tcPr>
            <w:tcW w:w="2080" w:type="dxa"/>
            <w:vAlign w:val="bottom"/>
          </w:tcPr>
          <w:p>
            <w:pPr>
              <w:ind w:left="4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2,048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2,448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2,665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(8.1)%</w:t>
            </w:r>
          </w:p>
        </w:tc>
        <w:tc>
          <w:tcPr>
            <w:tcW w:w="760" w:type="dxa"/>
            <w:vAlign w:val="bottom"/>
          </w:tcPr>
          <w:p>
            <w:pPr>
              <w:jc w:val="right"/>
              <w:spacing w:after="0"/>
              <w:rPr>
                <w:sz w:val="20"/>
                <w:szCs w:val="20"/>
                <w:color w:val="auto"/>
              </w:rPr>
            </w:pPr>
            <w:r>
              <w:rPr>
                <w:rFonts w:ascii="Arial" w:cs="Arial" w:eastAsia="Arial" w:hAnsi="Arial"/>
                <w:sz w:val="14"/>
                <w:szCs w:val="14"/>
                <w:color w:val="auto"/>
              </w:rPr>
              <w:t>(16.4)%</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(8.1)%</w:t>
            </w:r>
          </w:p>
        </w:tc>
      </w:tr>
      <w:tr>
        <w:trPr>
          <w:trHeight w:val="188"/>
        </w:trPr>
        <w:tc>
          <w:tcPr>
            <w:tcW w:w="1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Collaboration revenues</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821</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899</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931</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(8.6)%</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(3.5)%</w:t>
            </w:r>
          </w:p>
        </w:tc>
      </w:tr>
      <w:tr>
        <w:trPr>
          <w:trHeight w:val="177"/>
        </w:trPr>
        <w:tc>
          <w:tcPr>
            <w:tcW w:w="1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2,869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3,347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3,596</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(14.3)%</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(6.9)%</w:t>
            </w:r>
          </w:p>
        </w:tc>
      </w:tr>
    </w:tbl>
    <w:p>
      <w:pPr>
        <w:spacing w:after="0" w:line="200" w:lineRule="exact"/>
        <w:rPr>
          <w:sz w:val="20"/>
          <w:szCs w:val="20"/>
          <w:color w:val="auto"/>
        </w:rPr>
      </w:pPr>
    </w:p>
    <w:p>
      <w:pPr>
        <w:sectPr>
          <w:pgSz w:w="11880" w:h="15480" w:orient="portrait"/>
          <w:cols w:equalWidth="0" w:num="1">
            <w:col w:w="9100"/>
          </w:cols>
          <w:pgMar w:left="1400" w:top="1028" w:right="1380" w:bottom="87" w:gutter="0" w:footer="0" w:header="0"/>
        </w:sectPr>
      </w:pPr>
    </w:p>
    <w:p>
      <w:pPr>
        <w:spacing w:after="0" w:line="219"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43</w:t>
      </w:r>
    </w:p>
    <w:p>
      <w:pPr>
        <w:sectPr>
          <w:pgSz w:w="11880" w:h="15480" w:orient="portrait"/>
          <w:cols w:equalWidth="0" w:num="1">
            <w:col w:w="9100"/>
          </w:cols>
          <w:pgMar w:left="1400" w:top="1028" w:right="1380" w:bottom="87"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74"/>
        </w:trPr>
        <w:tc>
          <w:tcPr>
            <w:tcW w:w="1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Percent change</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60"/>
        </w:trPr>
        <w:tc>
          <w:tcPr>
            <w:tcW w:w="1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120"/>
              <w:spacing w:after="0" w:line="160" w:lineRule="exact"/>
              <w:rPr>
                <w:sz w:val="20"/>
                <w:szCs w:val="20"/>
                <w:color w:val="auto"/>
              </w:rPr>
            </w:pPr>
            <w:r>
              <w:rPr>
                <w:rFonts w:ascii="Arial" w:cs="Arial" w:eastAsia="Arial" w:hAnsi="Arial"/>
                <w:sz w:val="14"/>
                <w:szCs w:val="14"/>
                <w:b w:val="1"/>
                <w:bCs w:val="1"/>
                <w:color w:val="auto"/>
                <w:w w:val="98"/>
              </w:rPr>
              <w:t>At actual</w:t>
            </w:r>
          </w:p>
        </w:tc>
        <w:tc>
          <w:tcPr>
            <w:tcW w:w="156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8"/>
              </w:rPr>
              <w:t>At constant</w:t>
            </w:r>
          </w:p>
        </w:tc>
      </w:tr>
      <w:tr>
        <w:trPr>
          <w:trHeight w:val="157"/>
        </w:trPr>
        <w:tc>
          <w:tcPr>
            <w:tcW w:w="1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currency</w:t>
            </w:r>
          </w:p>
        </w:tc>
        <w:tc>
          <w:tcPr>
            <w:tcW w:w="1560" w:type="dxa"/>
            <w:vAlign w:val="bottom"/>
            <w:gridSpan w:val="3"/>
          </w:tcPr>
          <w:p>
            <w:pPr>
              <w:jc w:val="center"/>
              <w:ind w:right="80"/>
              <w:spacing w:after="0" w:line="157" w:lineRule="exact"/>
              <w:rPr>
                <w:sz w:val="20"/>
                <w:szCs w:val="20"/>
                <w:color w:val="auto"/>
              </w:rPr>
            </w:pPr>
            <w:r>
              <w:rPr>
                <w:rFonts w:ascii="Arial" w:cs="Arial" w:eastAsia="Arial" w:hAnsi="Arial"/>
                <w:sz w:val="14"/>
                <w:szCs w:val="14"/>
                <w:b w:val="1"/>
                <w:bCs w:val="1"/>
                <w:color w:val="auto"/>
              </w:rPr>
              <w:t>currency</w:t>
            </w:r>
          </w:p>
        </w:tc>
      </w:tr>
      <w:tr>
        <w:trPr>
          <w:trHeight w:val="174"/>
        </w:trPr>
        <w:tc>
          <w:tcPr>
            <w:tcW w:w="1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rates</w:t>
            </w:r>
          </w:p>
        </w:tc>
        <w:tc>
          <w:tcPr>
            <w:tcW w:w="120" w:type="dxa"/>
            <w:vAlign w:val="bottom"/>
          </w:tcPr>
          <w:p>
            <w:pPr>
              <w:spacing w:after="0"/>
              <w:rPr>
                <w:sz w:val="15"/>
                <w:szCs w:val="15"/>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rates</w:t>
            </w:r>
          </w:p>
        </w:tc>
      </w:tr>
      <w:tr>
        <w:trPr>
          <w:trHeight w:val="177"/>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 (dollars in millions)</w:t>
            </w: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6"/>
              </w:rPr>
              <w:t>2024</w:t>
            </w: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6"/>
              </w:rPr>
              <w:t>2023</w:t>
            </w:r>
          </w:p>
        </w:tc>
        <w:tc>
          <w:tcPr>
            <w:tcW w:w="7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r>
      <w:tr>
        <w:trPr>
          <w:trHeight w:val="178"/>
        </w:trPr>
        <w:tc>
          <w:tcPr>
            <w:tcW w:w="1680" w:type="dxa"/>
            <w:vAlign w:val="bottom"/>
          </w:tcPr>
          <w:p>
            <w:pPr>
              <w:spacing w:after="0"/>
              <w:rPr>
                <w:sz w:val="20"/>
                <w:szCs w:val="20"/>
                <w:color w:val="auto"/>
              </w:rPr>
            </w:pPr>
            <w:r>
              <w:rPr>
                <w:rFonts w:ascii="Arial" w:cs="Arial" w:eastAsia="Arial" w:hAnsi="Arial"/>
                <w:sz w:val="14"/>
                <w:szCs w:val="14"/>
                <w:color w:val="auto"/>
              </w:rPr>
              <w:t>Venclexta</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1,306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1,234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1,087</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5.9%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13.5%</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5.9%</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13.5%</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1,486</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1,349</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1,201</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10.2%</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12.3%</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9.8%</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18.0%</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2,583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2,288</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8.1%</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12.9%</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7.9%</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15.9%</w:t>
            </w:r>
          </w:p>
        </w:tc>
      </w:tr>
      <w:tr>
        <w:trPr>
          <w:trHeight w:val="177"/>
        </w:trPr>
        <w:tc>
          <w:tcPr>
            <w:tcW w:w="1680" w:type="dxa"/>
            <w:vAlign w:val="bottom"/>
          </w:tcPr>
          <w:p>
            <w:pPr>
              <w:spacing w:after="0"/>
              <w:rPr>
                <w:sz w:val="20"/>
                <w:szCs w:val="20"/>
                <w:color w:val="auto"/>
              </w:rPr>
            </w:pPr>
            <w:r>
              <w:rPr>
                <w:rFonts w:ascii="Arial" w:cs="Arial" w:eastAsia="Arial" w:hAnsi="Arial"/>
                <w:sz w:val="14"/>
                <w:szCs w:val="14"/>
                <w:color w:val="auto"/>
              </w:rPr>
              <w:t>Elahere</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607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477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27.2%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n/m</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27.2%</w:t>
            </w: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n/m</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83</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&gt;100.0%</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n/m</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&gt;100.0%</w:t>
            </w:r>
          </w:p>
        </w:tc>
        <w:tc>
          <w:tcPr>
            <w:tcW w:w="8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n/m</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44.0%</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n/m</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43.4%</w:t>
            </w:r>
          </w:p>
        </w:tc>
        <w:tc>
          <w:tcPr>
            <w:tcW w:w="8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n/m</w:t>
            </w:r>
          </w:p>
        </w:tc>
      </w:tr>
      <w:tr>
        <w:trPr>
          <w:trHeight w:val="177"/>
        </w:trPr>
        <w:tc>
          <w:tcPr>
            <w:tcW w:w="1680" w:type="dxa"/>
            <w:vAlign w:val="bottom"/>
          </w:tcPr>
          <w:p>
            <w:pPr>
              <w:spacing w:after="0"/>
              <w:rPr>
                <w:sz w:val="20"/>
                <w:szCs w:val="20"/>
                <w:color w:val="auto"/>
              </w:rPr>
            </w:pPr>
            <w:r>
              <w:rPr>
                <w:rFonts w:ascii="Arial" w:cs="Arial" w:eastAsia="Arial" w:hAnsi="Arial"/>
                <w:sz w:val="14"/>
                <w:szCs w:val="14"/>
                <w:color w:val="auto"/>
              </w:rPr>
              <w:t>Epkinly</w:t>
            </w:r>
          </w:p>
        </w:tc>
        <w:tc>
          <w:tcPr>
            <w:tcW w:w="2040" w:type="dxa"/>
            <w:vAlign w:val="bottom"/>
          </w:tcPr>
          <w:p>
            <w:pPr>
              <w:ind w:left="380"/>
              <w:spacing w:after="0"/>
              <w:rPr>
                <w:sz w:val="20"/>
                <w:szCs w:val="20"/>
                <w:color w:val="auto"/>
              </w:rPr>
            </w:pPr>
            <w:r>
              <w:rPr>
                <w:rFonts w:ascii="Arial" w:cs="Arial" w:eastAsia="Arial" w:hAnsi="Arial"/>
                <w:sz w:val="14"/>
                <w:szCs w:val="14"/>
                <w:color w:val="auto"/>
              </w:rPr>
              <w:t>Collaboration revenues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181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52.9%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&gt;100.0%</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52.9%</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&gt;100.0%</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90</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&gt;100.0%</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&gt;100.0%</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&gt;100.0%</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&gt;100.0%</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31</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85.5%</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&gt;100.0%</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85.0%</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&gt;100.0%</w:t>
            </w:r>
          </w:p>
        </w:tc>
      </w:tr>
      <w:tr>
        <w:trPr>
          <w:trHeight w:val="177"/>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Oncology</w:t>
            </w: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n/m</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n/m</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n/m</w:t>
            </w:r>
          </w:p>
        </w:tc>
        <w:tc>
          <w:tcPr>
            <w:tcW w:w="8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n/m</w:t>
            </w:r>
          </w:p>
        </w:tc>
      </w:tr>
      <w:tr>
        <w:trPr>
          <w:trHeight w:val="175"/>
        </w:trPr>
        <w:tc>
          <w:tcPr>
            <w:tcW w:w="1680" w:type="dxa"/>
            <w:vAlign w:val="bottom"/>
          </w:tcPr>
          <w:p>
            <w:pPr>
              <w:spacing w:after="0"/>
              <w:rPr>
                <w:sz w:val="20"/>
                <w:szCs w:val="20"/>
                <w:color w:val="auto"/>
              </w:rPr>
            </w:pPr>
            <w:r>
              <w:rPr>
                <w:rFonts w:ascii="Arial" w:cs="Arial" w:eastAsia="Arial" w:hAnsi="Arial"/>
                <w:sz w:val="14"/>
                <w:szCs w:val="14"/>
                <w:b w:val="1"/>
                <w:bCs w:val="1"/>
                <w:color w:val="auto"/>
              </w:rPr>
              <w:t>Aesthetics</w:t>
            </w:r>
          </w:p>
        </w:tc>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1680" w:type="dxa"/>
            <w:vAlign w:val="bottom"/>
          </w:tcPr>
          <w:p>
            <w:pPr>
              <w:spacing w:after="0"/>
              <w:rPr>
                <w:sz w:val="20"/>
                <w:szCs w:val="20"/>
                <w:color w:val="auto"/>
              </w:rPr>
            </w:pPr>
            <w:r>
              <w:rPr>
                <w:rFonts w:ascii="Arial" w:cs="Arial" w:eastAsia="Arial" w:hAnsi="Arial"/>
                <w:sz w:val="14"/>
                <w:szCs w:val="14"/>
                <w:color w:val="auto"/>
              </w:rPr>
              <w:t>Botox Cosmetic</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1,504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1,682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1,670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0.7%</w:t>
            </w:r>
          </w:p>
        </w:tc>
        <w:tc>
          <w:tcPr>
            <w:tcW w:w="760" w:type="dxa"/>
            <w:vAlign w:val="bottom"/>
          </w:tcPr>
          <w:p>
            <w:pPr>
              <w:jc w:val="right"/>
              <w:spacing w:after="0"/>
              <w:rPr>
                <w:sz w:val="20"/>
                <w:szCs w:val="20"/>
                <w:color w:val="auto"/>
              </w:rPr>
            </w:pPr>
            <w:r>
              <w:rPr>
                <w:rFonts w:ascii="Arial" w:cs="Arial" w:eastAsia="Arial" w:hAnsi="Arial"/>
                <w:sz w:val="14"/>
                <w:szCs w:val="14"/>
                <w:color w:val="auto"/>
              </w:rPr>
              <w:t>(10.5)%</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0.7%</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1,098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1,038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1,012</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5.7%</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200" w:type="dxa"/>
            <w:vAlign w:val="bottom"/>
            <w:tcBorders>
              <w:bottom w:val="single" w:sz="8" w:color="auto"/>
            </w:tcBorders>
          </w:tcPr>
          <w:p>
            <w:pPr>
              <w:spacing w:after="0"/>
              <w:rPr>
                <w:sz w:val="16"/>
                <w:szCs w:val="16"/>
                <w:color w:val="auto"/>
              </w:rPr>
            </w:pP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2,602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2,682</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(4.3)%</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2.9%</w:t>
            </w:r>
          </w:p>
        </w:tc>
      </w:tr>
      <w:tr>
        <w:trPr>
          <w:trHeight w:val="177"/>
        </w:trPr>
        <w:tc>
          <w:tcPr>
            <w:tcW w:w="1680" w:type="dxa"/>
            <w:vAlign w:val="bottom"/>
          </w:tcPr>
          <w:p>
            <w:pPr>
              <w:spacing w:after="0"/>
              <w:rPr>
                <w:sz w:val="20"/>
                <w:szCs w:val="20"/>
                <w:color w:val="auto"/>
              </w:rPr>
            </w:pPr>
            <w:r>
              <w:rPr>
                <w:rFonts w:ascii="Arial" w:cs="Arial" w:eastAsia="Arial" w:hAnsi="Arial"/>
                <w:sz w:val="14"/>
                <w:szCs w:val="14"/>
                <w:color w:val="auto"/>
              </w:rPr>
              <w:t>Juvederm Collection</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385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469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519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(9.6)%</w:t>
            </w:r>
          </w:p>
        </w:tc>
        <w:tc>
          <w:tcPr>
            <w:tcW w:w="760" w:type="dxa"/>
            <w:vAlign w:val="bottom"/>
          </w:tcPr>
          <w:p>
            <w:pPr>
              <w:jc w:val="right"/>
              <w:spacing w:after="0"/>
              <w:rPr>
                <w:sz w:val="20"/>
                <w:szCs w:val="20"/>
                <w:color w:val="auto"/>
              </w:rPr>
            </w:pPr>
            <w:r>
              <w:rPr>
                <w:rFonts w:ascii="Arial" w:cs="Arial" w:eastAsia="Arial" w:hAnsi="Arial"/>
                <w:sz w:val="14"/>
                <w:szCs w:val="14"/>
                <w:color w:val="auto"/>
              </w:rPr>
              <w:t>(18.0)%</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(9.6)%</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608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859</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(14.1)%</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(17.6)%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(13.4)%</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1,378</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(15.6)%</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(14.6)%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(12.0)%</w:t>
            </w:r>
          </w:p>
        </w:tc>
      </w:tr>
      <w:tr>
        <w:trPr>
          <w:trHeight w:val="177"/>
        </w:trPr>
        <w:tc>
          <w:tcPr>
            <w:tcW w:w="1680" w:type="dxa"/>
            <w:vAlign w:val="bottom"/>
          </w:tcPr>
          <w:p>
            <w:pPr>
              <w:spacing w:after="0"/>
              <w:rPr>
                <w:sz w:val="20"/>
                <w:szCs w:val="20"/>
                <w:color w:val="auto"/>
              </w:rPr>
            </w:pPr>
            <w:r>
              <w:rPr>
                <w:rFonts w:ascii="Arial" w:cs="Arial" w:eastAsia="Arial" w:hAnsi="Arial"/>
                <w:sz w:val="14"/>
                <w:szCs w:val="14"/>
                <w:color w:val="auto"/>
              </w:rPr>
              <w:t>Other Aesthetics</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1,101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1,118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1,060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5.5%</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164</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161</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174</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1.8%</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(7.1)%</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(1.0)%</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1,234</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4.6%</w:t>
            </w:r>
          </w:p>
        </w:tc>
      </w:tr>
      <w:tr>
        <w:trPr>
          <w:trHeight w:val="175"/>
        </w:trPr>
        <w:tc>
          <w:tcPr>
            <w:tcW w:w="1680" w:type="dxa"/>
            <w:vAlign w:val="bottom"/>
          </w:tcPr>
          <w:p>
            <w:pPr>
              <w:spacing w:after="0"/>
              <w:rPr>
                <w:sz w:val="20"/>
                <w:szCs w:val="20"/>
                <w:color w:val="auto"/>
              </w:rPr>
            </w:pPr>
            <w:r>
              <w:rPr>
                <w:rFonts w:ascii="Arial" w:cs="Arial" w:eastAsia="Arial" w:hAnsi="Arial"/>
                <w:sz w:val="14"/>
                <w:szCs w:val="14"/>
                <w:b w:val="1"/>
                <w:bCs w:val="1"/>
                <w:color w:val="auto"/>
              </w:rPr>
              <w:t>Eye Care</w:t>
            </w:r>
          </w:p>
        </w:tc>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1680" w:type="dxa"/>
            <w:vAlign w:val="bottom"/>
          </w:tcPr>
          <w:p>
            <w:pPr>
              <w:spacing w:after="0"/>
              <w:rPr>
                <w:sz w:val="20"/>
                <w:szCs w:val="20"/>
                <w:color w:val="auto"/>
              </w:rPr>
            </w:pPr>
            <w:r>
              <w:rPr>
                <w:rFonts w:ascii="Arial" w:cs="Arial" w:eastAsia="Arial" w:hAnsi="Arial"/>
                <w:sz w:val="14"/>
                <w:szCs w:val="14"/>
                <w:color w:val="auto"/>
              </w:rPr>
              <w:t>Ozurdex</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143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760" w:type="dxa"/>
            <w:vAlign w:val="bottom"/>
          </w:tcPr>
          <w:p>
            <w:pPr>
              <w:jc w:val="right"/>
              <w:spacing w:after="0"/>
              <w:rPr>
                <w:sz w:val="20"/>
                <w:szCs w:val="20"/>
                <w:color w:val="auto"/>
              </w:rPr>
            </w:pPr>
            <w:r>
              <w:rPr>
                <w:rFonts w:ascii="Arial" w:cs="Arial" w:eastAsia="Arial" w:hAnsi="Arial"/>
                <w:sz w:val="14"/>
                <w:szCs w:val="14"/>
                <w:color w:val="auto"/>
              </w:rPr>
              <w:t>(10.1)%</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(4.1)%</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369</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356</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329</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3.7%</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8.3%</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3.0%</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10.7%</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472</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(0.2)%</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6.2%</w:t>
            </w:r>
          </w:p>
        </w:tc>
      </w:tr>
      <w:tr>
        <w:trPr>
          <w:trHeight w:val="177"/>
        </w:trPr>
        <w:tc>
          <w:tcPr>
            <w:tcW w:w="1680" w:type="dxa"/>
            <w:vAlign w:val="bottom"/>
          </w:tcPr>
          <w:p>
            <w:pPr>
              <w:spacing w:after="0"/>
              <w:rPr>
                <w:sz w:val="20"/>
                <w:szCs w:val="20"/>
                <w:color w:val="auto"/>
              </w:rPr>
            </w:pPr>
            <w:r>
              <w:rPr>
                <w:rFonts w:ascii="Arial" w:cs="Arial" w:eastAsia="Arial" w:hAnsi="Arial"/>
                <w:sz w:val="14"/>
                <w:szCs w:val="14"/>
                <w:color w:val="auto"/>
              </w:rPr>
              <w:t>Lumigan/Ganfort</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189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187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173</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1.2%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7.5%</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221</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242</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259</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(8.7)%</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(3.9)%</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432</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(4.4)%</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(0.9)%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0.6%</w:t>
            </w:r>
          </w:p>
        </w:tc>
      </w:tr>
      <w:tr>
        <w:trPr>
          <w:trHeight w:val="177"/>
        </w:trPr>
        <w:tc>
          <w:tcPr>
            <w:tcW w:w="1680" w:type="dxa"/>
            <w:vAlign w:val="bottom"/>
          </w:tcPr>
          <w:p>
            <w:pPr>
              <w:spacing w:after="0"/>
              <w:rPr>
                <w:sz w:val="20"/>
                <w:szCs w:val="20"/>
                <w:color w:val="auto"/>
              </w:rPr>
            </w:pPr>
            <w:r>
              <w:rPr>
                <w:rFonts w:ascii="Arial" w:cs="Arial" w:eastAsia="Arial" w:hAnsi="Arial"/>
                <w:sz w:val="14"/>
                <w:szCs w:val="14"/>
                <w:color w:val="auto"/>
              </w:rPr>
              <w:t>Alphagan/Combigan</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53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95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121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(43.3)%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(21.8)%</w:t>
            </w:r>
          </w:p>
        </w:tc>
        <w:tc>
          <w:tcPr>
            <w:tcW w:w="760" w:type="dxa"/>
            <w:vAlign w:val="bottom"/>
          </w:tcPr>
          <w:p>
            <w:pPr>
              <w:jc w:val="right"/>
              <w:spacing w:after="0"/>
              <w:rPr>
                <w:sz w:val="20"/>
                <w:szCs w:val="20"/>
                <w:color w:val="auto"/>
              </w:rPr>
            </w:pPr>
            <w:r>
              <w:rPr>
                <w:rFonts w:ascii="Arial" w:cs="Arial" w:eastAsia="Arial" w:hAnsi="Arial"/>
                <w:sz w:val="14"/>
                <w:szCs w:val="14"/>
                <w:color w:val="auto"/>
              </w:rPr>
              <w:t>(43.3)%</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(21.8)%</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144</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153</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151</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(6.3)%</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7.6%</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272</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(20.4)%</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(8.8)%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(5.4)%</w:t>
            </w:r>
          </w:p>
        </w:tc>
      </w:tr>
      <w:tr>
        <w:trPr>
          <w:trHeight w:val="177"/>
        </w:trPr>
        <w:tc>
          <w:tcPr>
            <w:tcW w:w="1680" w:type="dxa"/>
            <w:vAlign w:val="bottom"/>
          </w:tcPr>
          <w:p>
            <w:pPr>
              <w:spacing w:after="0"/>
              <w:rPr>
                <w:sz w:val="20"/>
                <w:szCs w:val="20"/>
                <w:color w:val="auto"/>
              </w:rPr>
            </w:pPr>
            <w:r>
              <w:rPr>
                <w:rFonts w:ascii="Arial" w:cs="Arial" w:eastAsia="Arial" w:hAnsi="Arial"/>
                <w:sz w:val="14"/>
                <w:szCs w:val="14"/>
                <w:color w:val="auto"/>
              </w:rPr>
              <w:t>Other Eye Care</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588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644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815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(21.1)%</w:t>
            </w:r>
          </w:p>
        </w:tc>
        <w:tc>
          <w:tcPr>
            <w:tcW w:w="760" w:type="dxa"/>
            <w:vAlign w:val="bottom"/>
          </w:tcPr>
          <w:p>
            <w:pPr>
              <w:jc w:val="right"/>
              <w:spacing w:after="0"/>
              <w:rPr>
                <w:sz w:val="20"/>
                <w:szCs w:val="20"/>
                <w:color w:val="auto"/>
              </w:rPr>
            </w:pPr>
            <w:r>
              <w:rPr>
                <w:rFonts w:ascii="Arial" w:cs="Arial" w:eastAsia="Arial" w:hAnsi="Arial"/>
                <w:sz w:val="14"/>
                <w:szCs w:val="14"/>
                <w:color w:val="auto"/>
              </w:rPr>
              <w:t>(8.7)%</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(21.1)%</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421</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427</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424</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0.9%</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0.5%</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5.6%</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1,239</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(13.6)%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(12.0)%</w:t>
            </w:r>
          </w:p>
        </w:tc>
      </w:tr>
      <w:tr>
        <w:trPr>
          <w:trHeight w:val="175"/>
        </w:trPr>
        <w:tc>
          <w:tcPr>
            <w:tcW w:w="1680" w:type="dxa"/>
            <w:vAlign w:val="bottom"/>
          </w:tcPr>
          <w:p>
            <w:pPr>
              <w:spacing w:after="0"/>
              <w:rPr>
                <w:sz w:val="20"/>
                <w:szCs w:val="20"/>
                <w:color w:val="auto"/>
              </w:rPr>
            </w:pPr>
            <w:r>
              <w:rPr>
                <w:rFonts w:ascii="Arial" w:cs="Arial" w:eastAsia="Arial" w:hAnsi="Arial"/>
                <w:sz w:val="14"/>
                <w:szCs w:val="14"/>
                <w:b w:val="1"/>
                <w:bCs w:val="1"/>
                <w:color w:val="auto"/>
              </w:rPr>
              <w:t>Other Key Products</w:t>
            </w:r>
          </w:p>
        </w:tc>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1680" w:type="dxa"/>
            <w:vAlign w:val="bottom"/>
          </w:tcPr>
          <w:p>
            <w:pPr>
              <w:spacing w:after="0"/>
              <w:rPr>
                <w:sz w:val="20"/>
                <w:szCs w:val="20"/>
                <w:color w:val="auto"/>
              </w:rPr>
            </w:pPr>
            <w:r>
              <w:rPr>
                <w:rFonts w:ascii="Arial" w:cs="Arial" w:eastAsia="Arial" w:hAnsi="Arial"/>
                <w:sz w:val="14"/>
                <w:szCs w:val="14"/>
                <w:color w:val="auto"/>
              </w:rPr>
              <w:t>Mavyret</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635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595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659</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color w:val="auto"/>
              </w:rPr>
              <w:t>6.7%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(9.7)%</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6.7%</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(9.7)%</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682</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716</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771</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(4.7)%</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(4.5)%</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1,430</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0.4%</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(8.3)%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(6.9)%</w:t>
            </w:r>
          </w:p>
        </w:tc>
      </w:tr>
      <w:tr>
        <w:trPr>
          <w:trHeight w:val="177"/>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Creon</w:t>
            </w: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1,268</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9.3%</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9.1%</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9.3%</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9.1%</w:t>
            </w:r>
          </w:p>
        </w:tc>
      </w:tr>
      <w:tr>
        <w:trPr>
          <w:trHeight w:val="177"/>
        </w:trPr>
        <w:tc>
          <w:tcPr>
            <w:tcW w:w="1680" w:type="dxa"/>
            <w:vAlign w:val="bottom"/>
          </w:tcPr>
          <w:p>
            <w:pPr>
              <w:spacing w:after="0"/>
              <w:rPr>
                <w:sz w:val="20"/>
                <w:szCs w:val="20"/>
                <w:color w:val="auto"/>
              </w:rPr>
            </w:pPr>
            <w:r>
              <w:rPr>
                <w:rFonts w:ascii="Arial" w:cs="Arial" w:eastAsia="Arial" w:hAnsi="Arial"/>
                <w:sz w:val="14"/>
                <w:szCs w:val="14"/>
                <w:color w:val="auto"/>
              </w:rPr>
              <w:t>Linzess/Constella</w:t>
            </w:r>
          </w:p>
        </w:tc>
        <w:tc>
          <w:tcPr>
            <w:tcW w:w="204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864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916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1,073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(14.6)%</w:t>
            </w:r>
          </w:p>
        </w:tc>
        <w:tc>
          <w:tcPr>
            <w:tcW w:w="760" w:type="dxa"/>
            <w:vAlign w:val="bottom"/>
          </w:tcPr>
          <w:p>
            <w:pPr>
              <w:jc w:val="right"/>
              <w:spacing w:after="0"/>
              <w:rPr>
                <w:sz w:val="20"/>
                <w:szCs w:val="20"/>
                <w:color w:val="auto"/>
              </w:rPr>
            </w:pPr>
            <w:r>
              <w:rPr>
                <w:rFonts w:ascii="Arial" w:cs="Arial" w:eastAsia="Arial" w:hAnsi="Arial"/>
                <w:sz w:val="14"/>
                <w:szCs w:val="14"/>
                <w:color w:val="auto"/>
              </w:rPr>
              <w:t>(5.7)%</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(14.6)%</w:t>
            </w:r>
          </w:p>
        </w:tc>
      </w:tr>
      <w:tr>
        <w:trPr>
          <w:trHeight w:val="188"/>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International</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38</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35</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13.6%</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7.5%</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13.3%</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7.2%</w:t>
            </w:r>
          </w:p>
        </w:tc>
      </w:tr>
      <w:tr>
        <w:trPr>
          <w:trHeight w:val="177"/>
        </w:trPr>
        <w:tc>
          <w:tcPr>
            <w:tcW w:w="1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1,108</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(4.9)%</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(13.9)%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(13.9)%</w:t>
            </w:r>
          </w:p>
        </w:tc>
      </w:tr>
      <w:tr>
        <w:trPr>
          <w:trHeight w:val="177"/>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 other</w:t>
            </w:r>
          </w:p>
        </w:tc>
        <w:tc>
          <w:tcPr>
            <w:tcW w:w="20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2,627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3,032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3,035</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(13.3)%</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1.4%</w:t>
            </w:r>
          </w:p>
        </w:tc>
      </w:tr>
      <w:tr>
        <w:trPr>
          <w:trHeight w:val="177"/>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net revenues</w:t>
            </w:r>
          </w:p>
        </w:tc>
        <w:tc>
          <w:tcPr>
            <w:tcW w:w="20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7"/>
              </w:rPr>
              <w:t>61,160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3"/>
              </w:rPr>
              <w:t>56,334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3"/>
              </w:rPr>
              <w:t>54,318</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8.6%</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3.7%</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8.5%</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4.6%</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147" w:lineRule="exact"/>
        <w:rPr>
          <w:sz w:val="20"/>
          <w:szCs w:val="20"/>
          <w:color w:val="auto"/>
        </w:rPr>
      </w:pPr>
    </w:p>
    <w:p>
      <w:pPr>
        <w:ind w:right="580" w:firstLine="359"/>
        <w:spacing w:after="0" w:line="273" w:lineRule="auto"/>
        <w:rPr>
          <w:sz w:val="20"/>
          <w:szCs w:val="20"/>
          <w:color w:val="auto"/>
        </w:rPr>
      </w:pPr>
      <w:r>
        <w:rPr>
          <w:rFonts w:ascii="Arial" w:cs="Arial" w:eastAsia="Arial" w:hAnsi="Arial"/>
          <w:sz w:val="20"/>
          <w:szCs w:val="20"/>
          <w:color w:val="auto"/>
        </w:rPr>
        <w:t>The following discussion and analysis of AbbVie’s net revenues by product is presented on a constant currency basis.</w:t>
      </w:r>
    </w:p>
    <w:p>
      <w:pPr>
        <w:spacing w:after="0" w:line="103" w:lineRule="exact"/>
        <w:rPr>
          <w:sz w:val="20"/>
          <w:szCs w:val="20"/>
          <w:color w:val="auto"/>
        </w:rPr>
      </w:pPr>
    </w:p>
    <w:p>
      <w:pPr>
        <w:ind w:right="160" w:firstLine="359"/>
        <w:spacing w:after="0" w:line="271" w:lineRule="auto"/>
        <w:rPr>
          <w:sz w:val="20"/>
          <w:szCs w:val="20"/>
          <w:color w:val="auto"/>
        </w:rPr>
      </w:pPr>
      <w:r>
        <w:rPr>
          <w:rFonts w:ascii="Arial" w:cs="Arial" w:eastAsia="Arial" w:hAnsi="Arial"/>
          <w:sz w:val="20"/>
          <w:szCs w:val="20"/>
          <w:color w:val="auto"/>
        </w:rPr>
        <w:t>Net revenues for Skyrizi increased 50% in 2025 primarily driven by continued strong market share uptake as well as market growth across all indications.</w:t>
      </w:r>
    </w:p>
    <w:p>
      <w:pPr>
        <w:spacing w:after="0" w:line="103" w:lineRule="exact"/>
        <w:rPr>
          <w:sz w:val="20"/>
          <w:szCs w:val="20"/>
          <w:color w:val="auto"/>
        </w:rPr>
      </w:pPr>
    </w:p>
    <w:p>
      <w:pPr>
        <w:ind w:right="140" w:firstLine="359"/>
        <w:spacing w:after="0" w:line="271" w:lineRule="auto"/>
        <w:rPr>
          <w:sz w:val="20"/>
          <w:szCs w:val="20"/>
          <w:color w:val="auto"/>
        </w:rPr>
      </w:pPr>
      <w:r>
        <w:rPr>
          <w:rFonts w:ascii="Arial" w:cs="Arial" w:eastAsia="Arial" w:hAnsi="Arial"/>
          <w:sz w:val="20"/>
          <w:szCs w:val="20"/>
          <w:color w:val="auto"/>
        </w:rPr>
        <w:t>Net revenues for Rinvoq increased 39% in 2025 primarily driven by continued strong market share uptake as well as market growth across all indications.</w:t>
      </w:r>
    </w:p>
    <w:p>
      <w:pPr>
        <w:spacing w:after="0" w:line="103" w:lineRule="exact"/>
        <w:rPr>
          <w:sz w:val="20"/>
          <w:szCs w:val="20"/>
          <w:color w:val="auto"/>
        </w:rPr>
      </w:pPr>
    </w:p>
    <w:p>
      <w:pPr>
        <w:ind w:right="420" w:firstLine="359"/>
        <w:spacing w:after="0" w:line="271" w:lineRule="auto"/>
        <w:rPr>
          <w:sz w:val="20"/>
          <w:szCs w:val="20"/>
          <w:color w:val="auto"/>
        </w:rPr>
      </w:pPr>
      <w:r>
        <w:rPr>
          <w:rFonts w:ascii="Arial" w:cs="Arial" w:eastAsia="Arial" w:hAnsi="Arial"/>
          <w:sz w:val="20"/>
          <w:szCs w:val="20"/>
          <w:color w:val="auto"/>
        </w:rPr>
        <w:t>Net revenues for Humira decreased 49% in 2025 primarily driven by continued impact of direct biosimilar competition following the loss of exclusivity.</w:t>
      </w:r>
    </w:p>
    <w:p>
      <w:pPr>
        <w:spacing w:after="0" w:line="103" w:lineRule="exact"/>
        <w:rPr>
          <w:sz w:val="20"/>
          <w:szCs w:val="20"/>
          <w:color w:val="auto"/>
        </w:rPr>
      </w:pPr>
    </w:p>
    <w:p>
      <w:pPr>
        <w:ind w:right="80" w:firstLine="359"/>
        <w:spacing w:after="0" w:line="271" w:lineRule="auto"/>
        <w:rPr>
          <w:sz w:val="20"/>
          <w:szCs w:val="20"/>
          <w:color w:val="auto"/>
        </w:rPr>
      </w:pPr>
      <w:r>
        <w:rPr>
          <w:rFonts w:ascii="Arial" w:cs="Arial" w:eastAsia="Arial" w:hAnsi="Arial"/>
          <w:sz w:val="20"/>
          <w:szCs w:val="20"/>
          <w:color w:val="auto"/>
        </w:rPr>
        <w:t>Net revenues for Vraylar increased 11% in 2025 primarily driven by continued market share uptake as well as market growth.</w:t>
      </w:r>
    </w:p>
    <w:p>
      <w:pPr>
        <w:spacing w:after="0" w:line="103" w:lineRule="exact"/>
        <w:rPr>
          <w:sz w:val="20"/>
          <w:szCs w:val="20"/>
          <w:color w:val="auto"/>
        </w:rPr>
      </w:pPr>
    </w:p>
    <w:p>
      <w:pPr>
        <w:ind w:right="300" w:firstLine="359"/>
        <w:spacing w:after="0" w:line="271" w:lineRule="auto"/>
        <w:rPr>
          <w:sz w:val="20"/>
          <w:szCs w:val="20"/>
          <w:color w:val="auto"/>
        </w:rPr>
      </w:pPr>
      <w:r>
        <w:rPr>
          <w:rFonts w:ascii="Arial" w:cs="Arial" w:eastAsia="Arial" w:hAnsi="Arial"/>
          <w:sz w:val="20"/>
          <w:szCs w:val="20"/>
          <w:color w:val="auto"/>
        </w:rPr>
        <w:t>Net revenues for Botox Therapeutic increased 15% in 2025 primarily driven by market growth as well as continued market share uptake.</w:t>
      </w:r>
    </w:p>
    <w:p>
      <w:pPr>
        <w:sectPr>
          <w:pgSz w:w="11880" w:h="15480" w:orient="portrait"/>
          <w:cols w:equalWidth="0" w:num="1">
            <w:col w:w="9100"/>
          </w:cols>
          <w:pgMar w:left="1400" w:top="1041" w:right="1380" w:bottom="75"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sz w:val="1"/>
          <w:szCs w:val="1"/>
          <w:color w:val="auto"/>
        </w:rPr>
        <w:drawing>
          <wp:inline distT="0" distB="0" distL="0" distR="0">
            <wp:extent cx="615950" cy="12827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41" w:right="1380" w:bottom="75" w:gutter="0" w:footer="0" w:header="0"/>
          <w:type w:val="continuous"/>
        </w:sectPr>
      </w:pPr>
    </w:p>
    <w:bookmarkStart w:id="50" w:name="page51"/>
    <w:bookmarkEnd w:id="50"/>
    <w:p>
      <w:pPr>
        <w:ind w:right="20" w:firstLine="359"/>
        <w:spacing w:after="0" w:line="269" w:lineRule="auto"/>
        <w:rPr>
          <w:sz w:val="20"/>
          <w:szCs w:val="20"/>
          <w:color w:val="auto"/>
        </w:rPr>
      </w:pPr>
      <w:r>
        <w:rPr>
          <w:rFonts w:ascii="Arial" w:cs="Arial" w:eastAsia="Arial" w:hAnsi="Arial"/>
          <w:sz w:val="20"/>
          <w:szCs w:val="20"/>
          <w:color w:val="auto"/>
        </w:rPr>
        <w:t>Net revenues for Ubrelvy increased 27% in 2025 primarily driven by continued market share uptake as well as market growth.</w:t>
      </w:r>
    </w:p>
    <w:p>
      <w:pPr>
        <w:spacing w:after="0" w:line="103" w:lineRule="exact"/>
        <w:rPr>
          <w:sz w:val="20"/>
          <w:szCs w:val="20"/>
          <w:color w:val="auto"/>
        </w:rPr>
      </w:pPr>
    </w:p>
    <w:p>
      <w:pPr>
        <w:ind w:right="120" w:firstLine="359"/>
        <w:spacing w:after="0" w:line="269" w:lineRule="auto"/>
        <w:rPr>
          <w:sz w:val="20"/>
          <w:szCs w:val="20"/>
          <w:color w:val="auto"/>
        </w:rPr>
      </w:pPr>
      <w:r>
        <w:rPr>
          <w:rFonts w:ascii="Arial" w:cs="Arial" w:eastAsia="Arial" w:hAnsi="Arial"/>
          <w:sz w:val="20"/>
          <w:szCs w:val="20"/>
          <w:color w:val="auto"/>
        </w:rPr>
        <w:t>Net revenues for Qulipta increased 57% in 2025 primarily driven by continued strong market share uptake as well as market growth.</w:t>
      </w:r>
    </w:p>
    <w:p>
      <w:pPr>
        <w:spacing w:after="0" w:line="103"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color w:val="auto"/>
        </w:rPr>
        <w:t>Net revenues for Imbruvica represent product revenues in the United States and collaboration revenues outside of the United States related to AbbVie’s 50% share of Imbruvica profit. AbbVie’s global Imbruvica revenues decreased 14% in 2025 primarily driven by decreased demand and unfavorable pricing in the United States as well as decreased collaboration revenues.</w:t>
      </w:r>
    </w:p>
    <w:p>
      <w:pPr>
        <w:spacing w:after="0" w:line="116" w:lineRule="exact"/>
        <w:rPr>
          <w:sz w:val="20"/>
          <w:szCs w:val="20"/>
          <w:color w:val="auto"/>
        </w:rPr>
      </w:pPr>
    </w:p>
    <w:p>
      <w:pPr>
        <w:ind w:right="240" w:firstLine="359"/>
        <w:spacing w:after="0" w:line="269" w:lineRule="auto"/>
        <w:rPr>
          <w:sz w:val="20"/>
          <w:szCs w:val="20"/>
          <w:color w:val="auto"/>
        </w:rPr>
      </w:pPr>
      <w:r>
        <w:rPr>
          <w:rFonts w:ascii="Arial" w:cs="Arial" w:eastAsia="Arial" w:hAnsi="Arial"/>
          <w:sz w:val="20"/>
          <w:szCs w:val="20"/>
          <w:color w:val="auto"/>
        </w:rPr>
        <w:t>Net revenues for Venclexta increased 8% in 2025 primarily driven by increased demand, partially offset by unfavorable pricing.</w:t>
      </w:r>
    </w:p>
    <w:p>
      <w:pPr>
        <w:spacing w:after="0" w:line="103" w:lineRule="exact"/>
        <w:rPr>
          <w:sz w:val="20"/>
          <w:szCs w:val="20"/>
          <w:color w:val="auto"/>
        </w:rPr>
      </w:pPr>
    </w:p>
    <w:p>
      <w:pPr>
        <w:ind w:right="500" w:firstLine="359"/>
        <w:spacing w:after="0" w:line="269" w:lineRule="auto"/>
        <w:rPr>
          <w:sz w:val="20"/>
          <w:szCs w:val="20"/>
          <w:color w:val="auto"/>
        </w:rPr>
      </w:pPr>
      <w:r>
        <w:rPr>
          <w:rFonts w:ascii="Arial" w:cs="Arial" w:eastAsia="Arial" w:hAnsi="Arial"/>
          <w:sz w:val="20"/>
          <w:szCs w:val="20"/>
          <w:color w:val="auto"/>
        </w:rPr>
        <w:t>Net revenues for Elahere increased 43% in 2025 primarily drive by increased demand and the favorable impact of a full period of Elahere results in 2025 compared to the prior year.</w:t>
      </w:r>
    </w:p>
    <w:p>
      <w:pPr>
        <w:spacing w:after="0" w:line="103"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Net revenues for Botox Cosmetic decreased 4% in 2025. In the United States, Botox Cosmetic net revenues decreased 11% primarily driven by unfavorable pricing due to customer loyalty program changes, lower market share and decreased consumer demand, partially offset by the timing of customer inventory destocking in the prior year. Internationally, Botox Cosmetic net revenues increased 6% primarily driven by increased consumer demand across certain international markets, partially offset by unfavorable pricing.</w:t>
      </w:r>
    </w:p>
    <w:p>
      <w:pPr>
        <w:spacing w:after="0" w:line="122" w:lineRule="exact"/>
        <w:rPr>
          <w:sz w:val="20"/>
          <w:szCs w:val="20"/>
          <w:color w:val="auto"/>
        </w:rPr>
      </w:pPr>
    </w:p>
    <w:p>
      <w:pPr>
        <w:ind w:right="460" w:firstLine="359"/>
        <w:spacing w:after="0" w:line="295" w:lineRule="auto"/>
        <w:rPr>
          <w:sz w:val="20"/>
          <w:szCs w:val="20"/>
          <w:color w:val="auto"/>
        </w:rPr>
      </w:pPr>
      <w:r>
        <w:rPr>
          <w:rFonts w:ascii="Arial" w:cs="Arial" w:eastAsia="Arial" w:hAnsi="Arial"/>
          <w:sz w:val="19"/>
          <w:szCs w:val="19"/>
          <w:color w:val="auto"/>
        </w:rPr>
        <w:t>Net revenues for Juvederm Collection decreased 15% in 2025 primarily driven by decreased consumer demand, partially offset by the timing of customer inventory destocking in the prior year.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Gross Margin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Percent change</w:t>
            </w:r>
          </w:p>
        </w:tc>
      </w:tr>
      <w:tr>
        <w:trPr>
          <w:trHeight w:val="190"/>
        </w:trPr>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ended December 31 (dollars in millions)</w:t>
            </w:r>
          </w:p>
        </w:tc>
        <w:tc>
          <w:tcPr>
            <w:tcW w:w="152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2025</w:t>
            </w:r>
          </w:p>
        </w:tc>
        <w:tc>
          <w:tcPr>
            <w:tcW w:w="108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2023</w:t>
            </w: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rPr>
              <w:t>2024</w:t>
            </w:r>
          </w:p>
        </w:tc>
      </w:tr>
      <w:tr>
        <w:trPr>
          <w:trHeight w:val="236"/>
        </w:trPr>
        <w:tc>
          <w:tcPr>
            <w:tcW w:w="3980" w:type="dxa"/>
            <w:vAlign w:val="bottom"/>
          </w:tcPr>
          <w:p>
            <w:pPr>
              <w:spacing w:after="0"/>
              <w:rPr>
                <w:sz w:val="20"/>
                <w:szCs w:val="20"/>
                <w:color w:val="auto"/>
              </w:rPr>
            </w:pPr>
            <w:r>
              <w:rPr>
                <w:rFonts w:ascii="Arial" w:cs="Arial" w:eastAsia="Arial" w:hAnsi="Arial"/>
                <w:sz w:val="20"/>
                <w:szCs w:val="20"/>
                <w:color w:val="auto"/>
              </w:rPr>
              <w:t>Gross margin</w:t>
            </w:r>
          </w:p>
        </w:tc>
        <w:tc>
          <w:tcPr>
            <w:tcW w:w="1520" w:type="dxa"/>
            <w:vAlign w:val="bottom"/>
          </w:tcPr>
          <w:p>
            <w:pPr>
              <w:jc w:val="right"/>
              <w:ind w:right="167"/>
              <w:spacing w:after="0"/>
              <w:rPr>
                <w:sz w:val="20"/>
                <w:szCs w:val="20"/>
                <w:color w:val="auto"/>
              </w:rPr>
            </w:pPr>
            <w:r>
              <w:rPr>
                <w:rFonts w:ascii="Arial" w:cs="Arial" w:eastAsia="Arial" w:hAnsi="Arial"/>
                <w:sz w:val="20"/>
                <w:szCs w:val="20"/>
                <w:color w:val="auto"/>
              </w:rPr>
              <w:t>$42,956</w:t>
            </w:r>
          </w:p>
        </w:tc>
        <w:tc>
          <w:tcPr>
            <w:tcW w:w="1080" w:type="dxa"/>
            <w:vAlign w:val="bottom"/>
          </w:tcPr>
          <w:p>
            <w:pPr>
              <w:jc w:val="right"/>
              <w:ind w:right="167"/>
              <w:spacing w:after="0"/>
              <w:rPr>
                <w:sz w:val="20"/>
                <w:szCs w:val="20"/>
                <w:color w:val="auto"/>
              </w:rPr>
            </w:pPr>
            <w:r>
              <w:rPr>
                <w:rFonts w:ascii="Arial" w:cs="Arial" w:eastAsia="Arial" w:hAnsi="Arial"/>
                <w:sz w:val="20"/>
                <w:szCs w:val="20"/>
                <w:color w:val="auto"/>
              </w:rPr>
              <w:t>$39,430</w:t>
            </w:r>
          </w:p>
        </w:tc>
        <w:tc>
          <w:tcPr>
            <w:tcW w:w="1000" w:type="dxa"/>
            <w:vAlign w:val="bottom"/>
          </w:tcPr>
          <w:p>
            <w:pPr>
              <w:jc w:val="right"/>
              <w:ind w:right="87"/>
              <w:spacing w:after="0"/>
              <w:rPr>
                <w:sz w:val="20"/>
                <w:szCs w:val="20"/>
                <w:color w:val="auto"/>
              </w:rPr>
            </w:pPr>
            <w:r>
              <w:rPr>
                <w:rFonts w:ascii="Arial" w:cs="Arial" w:eastAsia="Arial" w:hAnsi="Arial"/>
                <w:sz w:val="20"/>
                <w:szCs w:val="20"/>
                <w:color w:val="auto"/>
              </w:rPr>
              <w:t>$33,903</w:t>
            </w:r>
          </w:p>
        </w:tc>
        <w:tc>
          <w:tcPr>
            <w:tcW w:w="780" w:type="dxa"/>
            <w:vAlign w:val="bottom"/>
          </w:tcPr>
          <w:p>
            <w:pPr>
              <w:jc w:val="right"/>
              <w:ind w:right="94"/>
              <w:spacing w:after="0"/>
              <w:rPr>
                <w:sz w:val="20"/>
                <w:szCs w:val="20"/>
                <w:color w:val="auto"/>
              </w:rPr>
            </w:pPr>
            <w:r>
              <w:rPr>
                <w:rFonts w:ascii="Arial" w:cs="Arial" w:eastAsia="Arial" w:hAnsi="Arial"/>
                <w:sz w:val="20"/>
                <w:szCs w:val="20"/>
                <w:color w:val="auto"/>
              </w:rPr>
              <w:t>9%</w:t>
            </w:r>
          </w:p>
        </w:tc>
        <w:tc>
          <w:tcPr>
            <w:tcW w:w="7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4"/>
        </w:trPr>
        <w:tc>
          <w:tcPr>
            <w:tcW w:w="3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as a % of net revenues</w:t>
            </w:r>
          </w:p>
        </w:tc>
        <w:tc>
          <w:tcPr>
            <w:tcW w:w="152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70%</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70%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w:t>
            </w: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bl>
    <w:p>
      <w:pPr>
        <w:spacing w:after="0" w:line="205" w:lineRule="exact"/>
        <w:rPr>
          <w:sz w:val="20"/>
          <w:szCs w:val="20"/>
          <w:color w:val="auto"/>
        </w:rPr>
      </w:pPr>
    </w:p>
    <w:p>
      <w:pPr>
        <w:ind w:right="180" w:firstLine="359"/>
        <w:spacing w:after="0" w:line="256" w:lineRule="auto"/>
        <w:rPr>
          <w:sz w:val="20"/>
          <w:szCs w:val="20"/>
          <w:color w:val="auto"/>
        </w:rPr>
      </w:pPr>
      <w:r>
        <w:rPr>
          <w:rFonts w:ascii="Arial" w:cs="Arial" w:eastAsia="Arial" w:hAnsi="Arial"/>
          <w:sz w:val="20"/>
          <w:szCs w:val="20"/>
          <w:color w:val="auto"/>
        </w:rPr>
        <w:t>Gross margin as a percentage of net revenues in 2025 was flat compared to 2024. Gross margin percentage for 2025 was favorably impacted by increased leverage from net revenues growth, lower amortization of intangible assets and lower acquisition and integration costs offset by the unfavorable impact of intangible asset impairment charges of $847 million.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Selling, General and Administrative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6"/>
                <w:szCs w:val="16"/>
                <w:b w:val="1"/>
                <w:bCs w:val="1"/>
                <w:color w:val="auto"/>
              </w:rPr>
              <w:t>Percent change</w:t>
            </w:r>
          </w:p>
        </w:tc>
      </w:tr>
      <w:tr>
        <w:trPr>
          <w:trHeight w:val="190"/>
        </w:trPr>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ended December 31 (dollars in millions)</w:t>
            </w:r>
          </w:p>
        </w:tc>
        <w:tc>
          <w:tcPr>
            <w:tcW w:w="152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2025</w:t>
            </w:r>
          </w:p>
        </w:tc>
        <w:tc>
          <w:tcPr>
            <w:tcW w:w="108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2024</w:t>
            </w:r>
          </w:p>
        </w:tc>
      </w:tr>
      <w:tr>
        <w:trPr>
          <w:trHeight w:val="236"/>
        </w:trPr>
        <w:tc>
          <w:tcPr>
            <w:tcW w:w="3980" w:type="dxa"/>
            <w:vAlign w:val="bottom"/>
          </w:tcPr>
          <w:p>
            <w:pPr>
              <w:spacing w:after="0"/>
              <w:rPr>
                <w:sz w:val="20"/>
                <w:szCs w:val="20"/>
                <w:color w:val="auto"/>
              </w:rPr>
            </w:pPr>
            <w:r>
              <w:rPr>
                <w:rFonts w:ascii="Arial" w:cs="Arial" w:eastAsia="Arial" w:hAnsi="Arial"/>
                <w:sz w:val="20"/>
                <w:szCs w:val="20"/>
                <w:color w:val="auto"/>
              </w:rPr>
              <w:t>Selling, general and administrative</w:t>
            </w:r>
          </w:p>
        </w:tc>
        <w:tc>
          <w:tcPr>
            <w:tcW w:w="1520" w:type="dxa"/>
            <w:vAlign w:val="bottom"/>
          </w:tcPr>
          <w:p>
            <w:pPr>
              <w:jc w:val="right"/>
              <w:ind w:right="167"/>
              <w:spacing w:after="0"/>
              <w:rPr>
                <w:sz w:val="20"/>
                <w:szCs w:val="20"/>
                <w:color w:val="auto"/>
              </w:rPr>
            </w:pPr>
            <w:r>
              <w:rPr>
                <w:rFonts w:ascii="Arial" w:cs="Arial" w:eastAsia="Arial" w:hAnsi="Arial"/>
                <w:sz w:val="20"/>
                <w:szCs w:val="20"/>
                <w:color w:val="auto"/>
              </w:rPr>
              <w:t>$14,010</w:t>
            </w:r>
          </w:p>
        </w:tc>
        <w:tc>
          <w:tcPr>
            <w:tcW w:w="1080" w:type="dxa"/>
            <w:vAlign w:val="bottom"/>
          </w:tcPr>
          <w:p>
            <w:pPr>
              <w:jc w:val="right"/>
              <w:ind w:right="167"/>
              <w:spacing w:after="0"/>
              <w:rPr>
                <w:sz w:val="20"/>
                <w:szCs w:val="20"/>
                <w:color w:val="auto"/>
              </w:rPr>
            </w:pPr>
            <w:r>
              <w:rPr>
                <w:rFonts w:ascii="Arial" w:cs="Arial" w:eastAsia="Arial" w:hAnsi="Arial"/>
                <w:sz w:val="20"/>
                <w:szCs w:val="20"/>
                <w:color w:val="auto"/>
              </w:rPr>
              <w:t>$14,752</w:t>
            </w:r>
          </w:p>
        </w:tc>
        <w:tc>
          <w:tcPr>
            <w:tcW w:w="1000" w:type="dxa"/>
            <w:vAlign w:val="bottom"/>
          </w:tcPr>
          <w:p>
            <w:pPr>
              <w:jc w:val="right"/>
              <w:ind w:right="87"/>
              <w:spacing w:after="0"/>
              <w:rPr>
                <w:sz w:val="20"/>
                <w:szCs w:val="20"/>
                <w:color w:val="auto"/>
              </w:rPr>
            </w:pPr>
            <w:r>
              <w:rPr>
                <w:rFonts w:ascii="Arial" w:cs="Arial" w:eastAsia="Arial" w:hAnsi="Arial"/>
                <w:sz w:val="20"/>
                <w:szCs w:val="20"/>
                <w:color w:val="auto"/>
              </w:rPr>
              <w:t>$12,872</w:t>
            </w:r>
          </w:p>
        </w:tc>
        <w:tc>
          <w:tcPr>
            <w:tcW w:w="840" w:type="dxa"/>
            <w:vAlign w:val="bottom"/>
          </w:tcPr>
          <w:p>
            <w:pPr>
              <w:jc w:val="right"/>
              <w:ind w:right="54"/>
              <w:spacing w:after="0"/>
              <w:rPr>
                <w:sz w:val="20"/>
                <w:szCs w:val="20"/>
                <w:color w:val="auto"/>
              </w:rPr>
            </w:pPr>
            <w:r>
              <w:rPr>
                <w:rFonts w:ascii="Arial" w:cs="Arial" w:eastAsia="Arial" w:hAnsi="Arial"/>
                <w:sz w:val="20"/>
                <w:szCs w:val="20"/>
                <w:color w:val="auto"/>
              </w:rPr>
              <w:t>(5)%</w:t>
            </w:r>
          </w:p>
        </w:tc>
        <w:tc>
          <w:tcPr>
            <w:tcW w:w="6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4"/>
        </w:trPr>
        <w:tc>
          <w:tcPr>
            <w:tcW w:w="3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as a % of net revenues</w:t>
            </w:r>
          </w:p>
        </w:tc>
        <w:tc>
          <w:tcPr>
            <w:tcW w:w="152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23%</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26%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bl>
    <w:p>
      <w:pPr>
        <w:spacing w:after="0" w:line="205" w:lineRule="exact"/>
        <w:rPr>
          <w:sz w:val="20"/>
          <w:szCs w:val="20"/>
          <w:color w:val="auto"/>
        </w:rPr>
      </w:pPr>
    </w:p>
    <w:p>
      <w:pPr>
        <w:ind w:firstLine="359"/>
        <w:spacing w:after="0" w:line="279" w:lineRule="auto"/>
        <w:rPr>
          <w:sz w:val="20"/>
          <w:szCs w:val="20"/>
          <w:color w:val="auto"/>
        </w:rPr>
      </w:pPr>
      <w:r>
        <w:rPr>
          <w:rFonts w:ascii="Arial" w:cs="Arial" w:eastAsia="Arial" w:hAnsi="Arial"/>
          <w:sz w:val="19"/>
          <w:szCs w:val="19"/>
          <w:color w:val="auto"/>
        </w:rPr>
        <w:t>Selling, general and administrative (SG&amp;A) expenses as a percentage of net revenues decreased in 2025 compared to 2024. SG&amp;A expense percentage for 2025 was favorably impacted by net leverage from revenue growth, lower litigation reserve charges and lower acquisition and integration costs.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Research and Development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6"/>
                <w:szCs w:val="16"/>
                <w:b w:val="1"/>
                <w:bCs w:val="1"/>
                <w:color w:val="auto"/>
              </w:rPr>
              <w:t>Percent change</w:t>
            </w:r>
          </w:p>
        </w:tc>
      </w:tr>
      <w:tr>
        <w:trPr>
          <w:trHeight w:val="190"/>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ended December 31 (dollars in millions)</w:t>
            </w:r>
          </w:p>
        </w:tc>
        <w:tc>
          <w:tcPr>
            <w:tcW w:w="152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2025</w:t>
            </w:r>
          </w:p>
        </w:tc>
        <w:tc>
          <w:tcPr>
            <w:tcW w:w="108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rPr>
              <w:t>2023</w:t>
            </w: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2024</w:t>
            </w:r>
          </w:p>
        </w:tc>
      </w:tr>
      <w:tr>
        <w:trPr>
          <w:trHeight w:val="236"/>
        </w:trPr>
        <w:tc>
          <w:tcPr>
            <w:tcW w:w="410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1520" w:type="dxa"/>
            <w:vAlign w:val="bottom"/>
          </w:tcPr>
          <w:p>
            <w:pPr>
              <w:jc w:val="right"/>
              <w:ind w:right="187"/>
              <w:spacing w:after="0"/>
              <w:rPr>
                <w:sz w:val="20"/>
                <w:szCs w:val="20"/>
                <w:color w:val="auto"/>
              </w:rPr>
            </w:pPr>
            <w:r>
              <w:rPr>
                <w:rFonts w:ascii="Arial" w:cs="Arial" w:eastAsia="Arial" w:hAnsi="Arial"/>
                <w:sz w:val="20"/>
                <w:szCs w:val="20"/>
                <w:color w:val="auto"/>
              </w:rPr>
              <w:t>$9,096</w:t>
            </w:r>
          </w:p>
        </w:tc>
        <w:tc>
          <w:tcPr>
            <w:tcW w:w="1080" w:type="dxa"/>
            <w:vAlign w:val="bottom"/>
          </w:tcPr>
          <w:p>
            <w:pPr>
              <w:jc w:val="right"/>
              <w:ind w:right="187"/>
              <w:spacing w:after="0"/>
              <w:rPr>
                <w:sz w:val="20"/>
                <w:szCs w:val="20"/>
                <w:color w:val="auto"/>
              </w:rPr>
            </w:pPr>
            <w:r>
              <w:rPr>
                <w:rFonts w:ascii="Arial" w:cs="Arial" w:eastAsia="Arial" w:hAnsi="Arial"/>
                <w:sz w:val="20"/>
                <w:szCs w:val="20"/>
                <w:color w:val="auto"/>
              </w:rPr>
              <w:t>$12,791</w:t>
            </w:r>
          </w:p>
        </w:tc>
        <w:tc>
          <w:tcPr>
            <w:tcW w:w="880" w:type="dxa"/>
            <w:vAlign w:val="bottom"/>
          </w:tcPr>
          <w:p>
            <w:pPr>
              <w:jc w:val="right"/>
              <w:ind w:right="87"/>
              <w:spacing w:after="0"/>
              <w:rPr>
                <w:sz w:val="20"/>
                <w:szCs w:val="20"/>
                <w:color w:val="auto"/>
              </w:rPr>
            </w:pPr>
            <w:r>
              <w:rPr>
                <w:rFonts w:ascii="Arial" w:cs="Arial" w:eastAsia="Arial" w:hAnsi="Arial"/>
                <w:sz w:val="20"/>
                <w:szCs w:val="20"/>
                <w:color w:val="auto"/>
              </w:rPr>
              <w:t>$7,675</w:t>
            </w:r>
          </w:p>
        </w:tc>
        <w:tc>
          <w:tcPr>
            <w:tcW w:w="860" w:type="dxa"/>
            <w:vAlign w:val="bottom"/>
          </w:tcPr>
          <w:p>
            <w:pPr>
              <w:jc w:val="right"/>
              <w:ind w:right="14"/>
              <w:spacing w:after="0"/>
              <w:rPr>
                <w:sz w:val="20"/>
                <w:szCs w:val="20"/>
                <w:color w:val="auto"/>
              </w:rPr>
            </w:pPr>
            <w:r>
              <w:rPr>
                <w:rFonts w:ascii="Arial" w:cs="Arial" w:eastAsia="Arial" w:hAnsi="Arial"/>
                <w:sz w:val="20"/>
                <w:szCs w:val="20"/>
                <w:color w:val="auto"/>
              </w:rPr>
              <w:t>(29)%</w:t>
            </w:r>
          </w:p>
        </w:tc>
        <w:tc>
          <w:tcPr>
            <w:tcW w:w="64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34"/>
        </w:trPr>
        <w:tc>
          <w:tcPr>
            <w:tcW w:w="4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as a % of net revenues</w:t>
            </w:r>
          </w:p>
        </w:tc>
        <w:tc>
          <w:tcPr>
            <w:tcW w:w="152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15%</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9100"/>
          </w:cols>
          <w:pgMar w:left="1400" w:top="1030"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45</w:t>
      </w:r>
    </w:p>
    <w:p>
      <w:pPr>
        <w:sectPr>
          <w:pgSz w:w="11880" w:h="15480" w:orient="portrait"/>
          <w:cols w:equalWidth="0" w:num="1">
            <w:col w:w="9100"/>
          </w:cols>
          <w:pgMar w:left="1400" w:top="1030" w:right="1380" w:bottom="87" w:gutter="0" w:footer="0" w:header="0"/>
          <w:type w:val="continuous"/>
        </w:sectPr>
      </w:pPr>
    </w:p>
    <w:bookmarkStart w:id="51" w:name="page52"/>
    <w:bookmarkEnd w:id="51"/>
    <w:p>
      <w:pPr>
        <w:ind w:right="60" w:firstLine="359"/>
        <w:spacing w:after="0" w:line="256" w:lineRule="auto"/>
        <w:rPr>
          <w:sz w:val="20"/>
          <w:szCs w:val="20"/>
          <w:color w:val="auto"/>
        </w:rPr>
      </w:pPr>
      <w:r>
        <w:rPr>
          <w:rFonts w:ascii="Arial" w:cs="Arial" w:eastAsia="Arial" w:hAnsi="Arial"/>
          <w:sz w:val="20"/>
          <w:szCs w:val="20"/>
          <w:color w:val="auto"/>
        </w:rPr>
        <w:t>Research and development (R&amp;D) expenses as a percentage of net revenues decreased in 2025 compared to 2024. R&amp;D expense percentage for 2025 was favorably impacted by lower intangible asset impairment charges. Intangible asset impairment charges were $4.5 billion in 2024. R&amp;D expenses other than intangible asset impairment charges increased to support all stages of the company’s pipeline assets.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Acquired IPR&amp;D and Milestones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760" w:type="dxa"/>
            <w:vAlign w:val="bottom"/>
          </w:tcPr>
          <w:p>
            <w:pPr>
              <w:jc w:val="right"/>
              <w:ind w:right="145"/>
              <w:spacing w:after="0"/>
              <w:rPr>
                <w:sz w:val="20"/>
                <w:szCs w:val="20"/>
                <w:color w:val="auto"/>
              </w:rPr>
            </w:pPr>
            <w:r>
              <w:rPr>
                <w:rFonts w:ascii="Arial" w:cs="Arial" w:eastAsia="Arial" w:hAnsi="Arial"/>
                <w:sz w:val="16"/>
                <w:szCs w:val="16"/>
                <w:b w:val="1"/>
                <w:bCs w:val="1"/>
                <w:color w:val="auto"/>
              </w:rPr>
              <w:t>2025</w:t>
            </w:r>
          </w:p>
        </w:tc>
        <w:tc>
          <w:tcPr>
            <w:tcW w:w="840" w:type="dxa"/>
            <w:vAlign w:val="bottom"/>
          </w:tcPr>
          <w:p>
            <w:pPr>
              <w:jc w:val="right"/>
              <w:ind w:right="145"/>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20"/>
                <w:szCs w:val="20"/>
                <w:color w:val="auto"/>
              </w:rPr>
              <w:t>Upfront charges</w:t>
            </w:r>
          </w:p>
        </w:tc>
        <w:tc>
          <w:tcPr>
            <w:tcW w:w="2760" w:type="dxa"/>
            <w:vAlign w:val="bottom"/>
          </w:tcPr>
          <w:p>
            <w:pPr>
              <w:jc w:val="right"/>
              <w:ind w:right="25"/>
              <w:spacing w:after="0"/>
              <w:rPr>
                <w:sz w:val="20"/>
                <w:szCs w:val="20"/>
                <w:color w:val="auto"/>
              </w:rPr>
            </w:pPr>
            <w:r>
              <w:rPr>
                <w:rFonts w:ascii="Arial" w:cs="Arial" w:eastAsia="Arial" w:hAnsi="Arial"/>
                <w:sz w:val="20"/>
                <w:szCs w:val="20"/>
                <w:color w:val="auto"/>
              </w:rPr>
              <w:t>$4,808</w:t>
            </w:r>
          </w:p>
        </w:tc>
        <w:tc>
          <w:tcPr>
            <w:tcW w:w="840" w:type="dxa"/>
            <w:vAlign w:val="bottom"/>
          </w:tcPr>
          <w:p>
            <w:pPr>
              <w:jc w:val="right"/>
              <w:ind w:right="25"/>
              <w:spacing w:after="0"/>
              <w:rPr>
                <w:sz w:val="20"/>
                <w:szCs w:val="20"/>
                <w:color w:val="auto"/>
              </w:rPr>
            </w:pPr>
            <w:r>
              <w:rPr>
                <w:rFonts w:ascii="Arial" w:cs="Arial" w:eastAsia="Arial" w:hAnsi="Arial"/>
                <w:sz w:val="20"/>
                <w:szCs w:val="20"/>
                <w:color w:val="auto"/>
              </w:rPr>
              <w:t>$2,627</w:t>
            </w:r>
          </w:p>
        </w:tc>
        <w:tc>
          <w:tcPr>
            <w:tcW w:w="580" w:type="dxa"/>
            <w:vAlign w:val="bottom"/>
          </w:tcPr>
          <w:p>
            <w:pPr>
              <w:jc w:val="right"/>
              <w:spacing w:after="0"/>
              <w:rPr>
                <w:sz w:val="20"/>
                <w:szCs w:val="20"/>
                <w:color w:val="auto"/>
              </w:rPr>
            </w:pPr>
            <w:r>
              <w:rPr>
                <w:rFonts w:ascii="Arial" w:cs="Arial" w:eastAsia="Arial" w:hAnsi="Arial"/>
                <w:sz w:val="20"/>
                <w:szCs w:val="20"/>
                <w:color w:val="auto"/>
              </w:rPr>
              <w:t>$582</w:t>
            </w:r>
          </w:p>
        </w:tc>
      </w:tr>
      <w:tr>
        <w:trPr>
          <w:trHeight w:val="282"/>
        </w:trPr>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Development milestones</w:t>
            </w:r>
          </w:p>
        </w:tc>
        <w:tc>
          <w:tcPr>
            <w:tcW w:w="276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208</w:t>
            </w: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130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w:t>
            </w:r>
          </w:p>
        </w:tc>
      </w:tr>
      <w:tr>
        <w:trPr>
          <w:trHeight w:val="269"/>
        </w:trPr>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Acquired IPR&amp;D and milestones</w:t>
            </w:r>
          </w:p>
        </w:tc>
        <w:tc>
          <w:tcPr>
            <w:tcW w:w="276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$5,016</w:t>
            </w: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$2,757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$778</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60" w:firstLine="359"/>
        <w:spacing w:after="0" w:line="252" w:lineRule="auto"/>
        <w:rPr>
          <w:sz w:val="20"/>
          <w:szCs w:val="20"/>
          <w:color w:val="auto"/>
        </w:rPr>
      </w:pPr>
      <w:r>
        <w:rPr>
          <w:rFonts w:ascii="Arial" w:cs="Arial" w:eastAsia="Arial" w:hAnsi="Arial"/>
          <w:sz w:val="20"/>
          <w:szCs w:val="20"/>
          <w:color w:val="auto"/>
        </w:rPr>
        <w:t>Acquired IPR&amp;D and milestones expense in 2025 included upfront charges of $1.9 billion related to the acquisition of Capstan Therapeutics, Inc., $906 million related to the acquisition of Gilgamesh Pharmaceuticals, Inc., $700 million related to a license agreement with Ichnos Glenmark Innovation, Inc., $350 million related to a license agreement with Gubra A/S and $335 million related to an option-to-license agreement with ADARx Pharmaceuticals, Inc. Acquired IPR&amp;D and milestones in 2024 included upfront charges of $1.4 billion related to the acquisition of Aliada Therapeutics Holdings, Inc. and $250 million related to the acquisition of Celsius Therapeutics, Inc. See Note 5 to the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Other Operating Income</w:t>
      </w:r>
    </w:p>
    <w:p>
      <w:pPr>
        <w:spacing w:after="0" w:line="131" w:lineRule="exact"/>
        <w:rPr>
          <w:sz w:val="20"/>
          <w:szCs w:val="20"/>
          <w:color w:val="auto"/>
        </w:rPr>
      </w:pPr>
    </w:p>
    <w:p>
      <w:pPr>
        <w:ind w:right="460" w:firstLine="359"/>
        <w:spacing w:after="0" w:line="269" w:lineRule="auto"/>
        <w:rPr>
          <w:sz w:val="20"/>
          <w:szCs w:val="20"/>
          <w:color w:val="auto"/>
        </w:rPr>
      </w:pPr>
      <w:r>
        <w:rPr>
          <w:rFonts w:ascii="Arial" w:cs="Arial" w:eastAsia="Arial" w:hAnsi="Arial"/>
          <w:sz w:val="20"/>
          <w:szCs w:val="20"/>
          <w:color w:val="auto"/>
        </w:rPr>
        <w:t>Other operating income included a gain of $217 million in 2025 related to the termination of an R&amp;D collaboration agreement with Calico Life Sciences LLC.</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Other Non-Operating Expenses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060" w:type="dxa"/>
            <w:vAlign w:val="bottom"/>
          </w:tcPr>
          <w:p>
            <w:pPr>
              <w:spacing w:after="0"/>
              <w:rPr>
                <w:sz w:val="17"/>
                <w:szCs w:val="17"/>
                <w:color w:val="auto"/>
              </w:rPr>
            </w:pPr>
          </w:p>
        </w:tc>
        <w:tc>
          <w:tcPr>
            <w:tcW w:w="640" w:type="dxa"/>
            <w:vAlign w:val="bottom"/>
          </w:tcPr>
          <w:p>
            <w:pPr>
              <w:jc w:val="right"/>
              <w:ind w:right="184"/>
              <w:spacing w:after="0"/>
              <w:rPr>
                <w:sz w:val="20"/>
                <w:szCs w:val="20"/>
                <w:color w:val="auto"/>
              </w:rPr>
            </w:pPr>
            <w:r>
              <w:rPr>
                <w:rFonts w:ascii="Arial" w:cs="Arial" w:eastAsia="Arial" w:hAnsi="Arial"/>
                <w:sz w:val="16"/>
                <w:szCs w:val="16"/>
                <w:b w:val="1"/>
                <w:bCs w:val="1"/>
                <w:color w:val="auto"/>
                <w:w w:val="95"/>
              </w:rPr>
              <w:t>2025</w:t>
            </w:r>
          </w:p>
        </w:tc>
        <w:tc>
          <w:tcPr>
            <w:tcW w:w="200" w:type="dxa"/>
            <w:vAlign w:val="bottom"/>
          </w:tcPr>
          <w:p>
            <w:pPr>
              <w:spacing w:after="0"/>
              <w:rPr>
                <w:sz w:val="17"/>
                <w:szCs w:val="17"/>
                <w:color w:val="auto"/>
              </w:rPr>
            </w:pPr>
          </w:p>
        </w:tc>
        <w:tc>
          <w:tcPr>
            <w:tcW w:w="660" w:type="dxa"/>
            <w:vAlign w:val="bottom"/>
          </w:tcPr>
          <w:p>
            <w:pPr>
              <w:jc w:val="right"/>
              <w:ind w:right="184"/>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500" w:type="dxa"/>
            <w:vAlign w:val="bottom"/>
          </w:tcPr>
          <w:p>
            <w:pPr>
              <w:jc w:val="right"/>
              <w:ind w:right="44"/>
              <w:spacing w:after="0"/>
              <w:rPr>
                <w:sz w:val="20"/>
                <w:szCs w:val="20"/>
                <w:color w:val="auto"/>
              </w:rPr>
            </w:pPr>
            <w:r>
              <w:rPr>
                <w:rFonts w:ascii="Arial" w:cs="Arial" w:eastAsia="Arial" w:hAnsi="Arial"/>
                <w:sz w:val="16"/>
                <w:szCs w:val="16"/>
                <w:b w:val="1"/>
                <w:bCs w:val="1"/>
                <w:color w:val="auto"/>
                <w:w w:val="95"/>
              </w:rPr>
              <w:t>2023</w:t>
            </w:r>
          </w:p>
        </w:tc>
        <w:tc>
          <w:tcPr>
            <w:tcW w:w="60" w:type="dxa"/>
            <w:vAlign w:val="bottom"/>
          </w:tcPr>
          <w:p>
            <w:pPr>
              <w:spacing w:after="0"/>
              <w:rPr>
                <w:sz w:val="17"/>
                <w:szCs w:val="17"/>
                <w:color w:val="auto"/>
              </w:rPr>
            </w:pPr>
          </w:p>
        </w:tc>
      </w:tr>
      <w:tr>
        <w:trPr>
          <w:trHeight w:val="22"/>
        </w:trPr>
        <w:tc>
          <w:tcPr>
            <w:tcW w:w="48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840" w:type="dxa"/>
            <w:vAlign w:val="bottom"/>
          </w:tcPr>
          <w:p>
            <w:pPr>
              <w:spacing w:after="0"/>
              <w:rPr>
                <w:sz w:val="20"/>
                <w:szCs w:val="20"/>
                <w:color w:val="auto"/>
              </w:rPr>
            </w:pPr>
            <w:r>
              <w:rPr>
                <w:rFonts w:ascii="Arial" w:cs="Arial" w:eastAsia="Arial" w:hAnsi="Arial"/>
                <w:sz w:val="20"/>
                <w:szCs w:val="20"/>
                <w:color w:val="auto"/>
              </w:rPr>
              <w:t>Interest expense</w:t>
            </w:r>
          </w:p>
        </w:tc>
        <w:tc>
          <w:tcPr>
            <w:tcW w:w="206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44"/>
              <w:spacing w:after="0"/>
              <w:rPr>
                <w:sz w:val="20"/>
                <w:szCs w:val="20"/>
                <w:color w:val="auto"/>
              </w:rPr>
            </w:pPr>
            <w:r>
              <w:rPr>
                <w:rFonts w:ascii="Arial" w:cs="Arial" w:eastAsia="Arial" w:hAnsi="Arial"/>
                <w:sz w:val="20"/>
                <w:szCs w:val="20"/>
                <w:color w:val="auto"/>
                <w:w w:val="95"/>
              </w:rPr>
              <w:t>2,893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64"/>
              <w:spacing w:after="0"/>
              <w:rPr>
                <w:sz w:val="20"/>
                <w:szCs w:val="20"/>
                <w:color w:val="auto"/>
              </w:rPr>
            </w:pPr>
            <w:r>
              <w:rPr>
                <w:rFonts w:ascii="Arial" w:cs="Arial" w:eastAsia="Arial" w:hAnsi="Arial"/>
                <w:sz w:val="20"/>
                <w:szCs w:val="20"/>
                <w:color w:val="auto"/>
                <w:w w:val="95"/>
              </w:rPr>
              <w:t>2,808</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w w:val="95"/>
              </w:rPr>
              <w:t>2,224</w:t>
            </w:r>
          </w:p>
        </w:tc>
      </w:tr>
      <w:tr>
        <w:trPr>
          <w:trHeight w:val="282"/>
        </w:trPr>
        <w:tc>
          <w:tcPr>
            <w:tcW w:w="4840" w:type="dxa"/>
            <w:vAlign w:val="bottom"/>
          </w:tcPr>
          <w:p>
            <w:pPr>
              <w:spacing w:after="0"/>
              <w:rPr>
                <w:sz w:val="20"/>
                <w:szCs w:val="20"/>
                <w:color w:val="auto"/>
              </w:rPr>
            </w:pPr>
            <w:r>
              <w:rPr>
                <w:rFonts w:ascii="Arial" w:cs="Arial" w:eastAsia="Arial" w:hAnsi="Arial"/>
                <w:sz w:val="20"/>
                <w:szCs w:val="20"/>
                <w:color w:val="auto"/>
              </w:rPr>
              <w:t>Interest income</w:t>
            </w:r>
          </w:p>
        </w:tc>
        <w:tc>
          <w:tcPr>
            <w:tcW w:w="2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(266)</w:t>
            </w:r>
          </w:p>
        </w:tc>
        <w:tc>
          <w:tcPr>
            <w:tcW w:w="20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Arial" w:cs="Arial" w:eastAsia="Arial" w:hAnsi="Arial"/>
                <w:sz w:val="20"/>
                <w:szCs w:val="20"/>
                <w:color w:val="auto"/>
              </w:rPr>
              <w:t>(648)</w:t>
            </w:r>
          </w:p>
        </w:tc>
        <w:tc>
          <w:tcPr>
            <w:tcW w:w="2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(540)</w:t>
            </w:r>
          </w:p>
        </w:tc>
      </w:tr>
      <w:tr>
        <w:trPr>
          <w:trHeight w:val="269"/>
        </w:trPr>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Interest expense, net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20"/>
                <w:szCs w:val="20"/>
                <w:color w:val="auto"/>
                <w:w w:val="95"/>
              </w:rPr>
              <w:t>2,627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20"/>
                <w:szCs w:val="20"/>
                <w:color w:val="auto"/>
                <w:w w:val="95"/>
              </w:rPr>
              <w:t>2,160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5"/>
              </w:rPr>
              <w:t>1,684</w:t>
            </w:r>
          </w:p>
        </w:tc>
        <w:tc>
          <w:tcPr>
            <w:tcW w:w="60" w:type="dxa"/>
            <w:vAlign w:val="bottom"/>
          </w:tcPr>
          <w:p>
            <w:pPr>
              <w:spacing w:after="0"/>
              <w:rPr>
                <w:sz w:val="23"/>
                <w:szCs w:val="23"/>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4840" w:type="dxa"/>
            <w:vAlign w:val="bottom"/>
          </w:tcPr>
          <w:p>
            <w:pPr>
              <w:spacing w:after="0"/>
              <w:rPr>
                <w:sz w:val="20"/>
                <w:szCs w:val="20"/>
                <w:color w:val="auto"/>
              </w:rPr>
            </w:pPr>
            <w:r>
              <w:rPr>
                <w:rFonts w:ascii="Arial" w:cs="Arial" w:eastAsia="Arial" w:hAnsi="Arial"/>
                <w:sz w:val="20"/>
                <w:szCs w:val="20"/>
                <w:color w:val="auto"/>
              </w:rPr>
              <w:t>Net foreign exchange loss</w:t>
            </w:r>
          </w:p>
        </w:tc>
        <w:tc>
          <w:tcPr>
            <w:tcW w:w="206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44"/>
              <w:spacing w:after="0"/>
              <w:rPr>
                <w:sz w:val="20"/>
                <w:szCs w:val="20"/>
                <w:color w:val="auto"/>
              </w:rPr>
            </w:pPr>
            <w:r>
              <w:rPr>
                <w:rFonts w:ascii="Arial" w:cs="Arial" w:eastAsia="Arial" w:hAnsi="Arial"/>
                <w:sz w:val="20"/>
                <w:szCs w:val="20"/>
                <w:color w:val="auto"/>
              </w:rPr>
              <w:t>58</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64"/>
              <w:spacing w:after="0"/>
              <w:rPr>
                <w:sz w:val="20"/>
                <w:szCs w:val="20"/>
                <w:color w:val="auto"/>
              </w:rPr>
            </w:pPr>
            <w:r>
              <w:rPr>
                <w:rFonts w:ascii="Arial" w:cs="Arial" w:eastAsia="Arial" w:hAnsi="Arial"/>
                <w:sz w:val="20"/>
                <w:szCs w:val="20"/>
                <w:color w:val="auto"/>
              </w:rPr>
              <w:t>21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146</w:t>
            </w:r>
          </w:p>
        </w:tc>
        <w:tc>
          <w:tcPr>
            <w:tcW w:w="60" w:type="dxa"/>
            <w:vAlign w:val="bottom"/>
          </w:tcPr>
          <w:p>
            <w:pPr>
              <w:spacing w:after="0"/>
              <w:rPr>
                <w:sz w:val="22"/>
                <w:szCs w:val="22"/>
                <w:color w:val="auto"/>
              </w:rPr>
            </w:pPr>
          </w:p>
        </w:tc>
      </w:tr>
      <w:tr>
        <w:trPr>
          <w:trHeight w:val="282"/>
        </w:trPr>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 expense, net</w:t>
            </w:r>
          </w:p>
        </w:tc>
        <w:tc>
          <w:tcPr>
            <w:tcW w:w="2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20"/>
                <w:szCs w:val="20"/>
                <w:color w:val="auto"/>
                <w:w w:val="95"/>
              </w:rPr>
              <w:t>5,793</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20"/>
                <w:szCs w:val="20"/>
                <w:color w:val="auto"/>
                <w:w w:val="95"/>
              </w:rPr>
              <w:t>3,240</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4,677</w:t>
            </w:r>
          </w:p>
        </w:tc>
        <w:tc>
          <w:tcPr>
            <w:tcW w:w="60" w:type="dxa"/>
            <w:vAlign w:val="bottom"/>
          </w:tcPr>
          <w:p>
            <w:pPr>
              <w:spacing w:after="0"/>
              <w:rPr>
                <w:sz w:val="24"/>
                <w:szCs w:val="24"/>
                <w:color w:val="auto"/>
              </w:rPr>
            </w:pPr>
          </w:p>
        </w:tc>
      </w:tr>
    </w:tbl>
    <w:p>
      <w:pPr>
        <w:spacing w:after="0" w:line="185" w:lineRule="exact"/>
        <w:rPr>
          <w:sz w:val="20"/>
          <w:szCs w:val="20"/>
          <w:color w:val="auto"/>
        </w:rPr>
      </w:pPr>
    </w:p>
    <w:p>
      <w:pPr>
        <w:ind w:right="800" w:firstLine="359"/>
        <w:spacing w:after="0" w:line="269" w:lineRule="auto"/>
        <w:rPr>
          <w:sz w:val="20"/>
          <w:szCs w:val="20"/>
          <w:color w:val="auto"/>
        </w:rPr>
      </w:pPr>
      <w:r>
        <w:rPr>
          <w:rFonts w:ascii="Arial" w:cs="Arial" w:eastAsia="Arial" w:hAnsi="Arial"/>
          <w:sz w:val="20"/>
          <w:szCs w:val="20"/>
          <w:color w:val="auto"/>
        </w:rPr>
        <w:t>Interest expense in 2025 increased compared to 2024 primarily due to the impact of higher effective interest rates.</w:t>
      </w:r>
    </w:p>
    <w:p>
      <w:pPr>
        <w:spacing w:after="0" w:line="103" w:lineRule="exact"/>
        <w:rPr>
          <w:sz w:val="20"/>
          <w:szCs w:val="20"/>
          <w:color w:val="auto"/>
        </w:rPr>
      </w:pPr>
    </w:p>
    <w:p>
      <w:pPr>
        <w:ind w:right="340" w:firstLine="359"/>
        <w:spacing w:after="0" w:line="269" w:lineRule="auto"/>
        <w:rPr>
          <w:sz w:val="20"/>
          <w:szCs w:val="20"/>
          <w:color w:val="auto"/>
        </w:rPr>
      </w:pPr>
      <w:r>
        <w:rPr>
          <w:rFonts w:ascii="Arial" w:cs="Arial" w:eastAsia="Arial" w:hAnsi="Arial"/>
          <w:sz w:val="20"/>
          <w:szCs w:val="20"/>
          <w:color w:val="auto"/>
        </w:rPr>
        <w:t>Interest income in 2025 decreased compared to 2024 primarily due to a lower average cash and equivalents balance.</w:t>
      </w:r>
    </w:p>
    <w:p>
      <w:pPr>
        <w:spacing w:after="0" w:line="103" w:lineRule="exact"/>
        <w:rPr>
          <w:sz w:val="20"/>
          <w:szCs w:val="20"/>
          <w:color w:val="auto"/>
        </w:rPr>
      </w:pPr>
    </w:p>
    <w:p>
      <w:pPr>
        <w:ind w:right="60" w:firstLine="359"/>
        <w:spacing w:after="0" w:line="253" w:lineRule="auto"/>
        <w:rPr>
          <w:sz w:val="20"/>
          <w:szCs w:val="20"/>
          <w:color w:val="auto"/>
        </w:rPr>
      </w:pPr>
      <w:r>
        <w:rPr>
          <w:rFonts w:ascii="Arial" w:cs="Arial" w:eastAsia="Arial" w:hAnsi="Arial"/>
          <w:sz w:val="20"/>
          <w:szCs w:val="20"/>
          <w:color w:val="auto"/>
        </w:rPr>
        <w:t>Other expense, net included charges related to changes in fair value of contingent consideration liabilities of $6.5 billion in 2025 and $3.8 billion in 2024. The fair value of contingent consideration liabilities is impacted by the passage of time and multiple other inputs, including discount rates, the estimated amount of future sales of the acquired products and other market-based factors. In 2025, the change in fair value reflected higher estimated Skyrizi sales, the passage of time, lower discount rates and a longer estimated royalty period. In 2024, the change in fair value reflected higher estimated Skyrizi sales and the passage of time, partially offset by higher discount rates.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Income Tax Expense</w:t>
      </w:r>
    </w:p>
    <w:p>
      <w:pPr>
        <w:spacing w:after="0" w:line="131" w:lineRule="exact"/>
        <w:rPr>
          <w:sz w:val="20"/>
          <w:szCs w:val="20"/>
          <w:color w:val="auto"/>
        </w:rPr>
      </w:pPr>
    </w:p>
    <w:p>
      <w:pPr>
        <w:ind w:right="60" w:firstLine="359"/>
        <w:spacing w:after="0" w:line="271" w:lineRule="auto"/>
        <w:rPr>
          <w:sz w:val="20"/>
          <w:szCs w:val="20"/>
          <w:color w:val="auto"/>
        </w:rPr>
      </w:pPr>
      <w:r>
        <w:rPr>
          <w:rFonts w:ascii="Arial" w:cs="Arial" w:eastAsia="Arial" w:hAnsi="Arial"/>
          <w:sz w:val="19"/>
          <w:szCs w:val="19"/>
          <w:color w:val="auto"/>
        </w:rPr>
        <w:t>The effective income tax rate was 36% in 2025, (15)% in 2024 and 22% in 2023. The effective income tax rate fluctuates year to year due to the allocation of the company’s taxable earnings among jurisdictions, as well as certain discrete factors and events in each year, including changes in tax law and business development activities. The effective income tax rates in 2025, 2024 and 2023 differed from the statutory tax rate principally due to the impact of foreign operations with lower income tax rates in</w:t>
      </w:r>
    </w:p>
    <w:p>
      <w:pPr>
        <w:sectPr>
          <w:pgSz w:w="11880" w:h="15480" w:orient="portrait"/>
          <w:cols w:equalWidth="0" w:num="1">
            <w:col w:w="9160"/>
          </w:cols>
          <w:pgMar w:left="1400" w:top="1030" w:right="1320" w:bottom="75"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sz w:val="1"/>
          <w:szCs w:val="1"/>
          <w:color w:val="auto"/>
        </w:rPr>
        <w:drawing>
          <wp:inline distT="0" distB="0" distL="0" distR="0">
            <wp:extent cx="615950" cy="1282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60"/>
          </w:cols>
          <w:pgMar w:left="1400" w:top="1030" w:right="1320" w:bottom="75" w:gutter="0" w:footer="0" w:header="0"/>
          <w:type w:val="continuous"/>
        </w:sectPr>
      </w:pPr>
    </w:p>
    <w:bookmarkStart w:id="52" w:name="page53"/>
    <w:bookmarkEnd w:id="52"/>
    <w:p>
      <w:pPr>
        <w:ind w:right="60"/>
        <w:spacing w:after="0" w:line="248" w:lineRule="auto"/>
        <w:rPr>
          <w:sz w:val="20"/>
          <w:szCs w:val="20"/>
          <w:color w:val="auto"/>
        </w:rPr>
      </w:pPr>
      <w:r>
        <w:rPr>
          <w:rFonts w:ascii="Arial" w:cs="Arial" w:eastAsia="Arial" w:hAnsi="Arial"/>
          <w:sz w:val="20"/>
          <w:szCs w:val="20"/>
          <w:color w:val="auto"/>
        </w:rPr>
        <w:t>locations outside the United States, the U.S. global minimum tax, changes in fair value of contingent consideration, tax audits and settlements, tax credits and incentives in the United States, Puerto Rico and other foreign tax jurisdictions, and business development activities. The effective income tax rate in 2025 was higher than 2024 primarily due to a one-time tax benefit associated with the closing of a three-year U.S. IRS examination in 2024, partially offset by decreases in unrecognized tax benefits, a decrease in the impact of acquisition costs related to certain business development activities and a decrease related to the impact of changes in fair value of contingent consideration.</w:t>
      </w:r>
    </w:p>
    <w:p>
      <w:pPr>
        <w:spacing w:after="0" w:line="127" w:lineRule="exact"/>
        <w:rPr>
          <w:sz w:val="20"/>
          <w:szCs w:val="20"/>
          <w:color w:val="auto"/>
        </w:rPr>
      </w:pPr>
    </w:p>
    <w:p>
      <w:pPr>
        <w:ind w:right="60" w:firstLine="359"/>
        <w:spacing w:after="0" w:line="250" w:lineRule="auto"/>
        <w:rPr>
          <w:sz w:val="20"/>
          <w:szCs w:val="20"/>
          <w:color w:val="auto"/>
        </w:rPr>
      </w:pPr>
      <w:r>
        <w:rPr>
          <w:rFonts w:ascii="Arial" w:cs="Arial" w:eastAsia="Arial" w:hAnsi="Arial"/>
          <w:sz w:val="20"/>
          <w:szCs w:val="20"/>
          <w:color w:val="auto"/>
        </w:rPr>
        <w:t>The company’s net earnings and cash flows could be affected by future tax policy and law changes in the jurisdictions in which we operate, including changes in tax law related to the projects undertaken by the Organization for Economic Cooperation and Development (OECD). These projects include a global minimum tax rate of 15%, referred to as “Pillar Two”, and the creation of a new global system to tax income based on the location to which products are sold, referred to as “Pillar One.” Numerous countries have agreed to a statement in support of the OECD model rules and European Union member states have agreed to implement Pillar Two. This implementation includes aspects of legislation that were effective starting in 2024.</w:t>
      </w:r>
    </w:p>
    <w:p>
      <w:pPr>
        <w:spacing w:after="0" w:line="123" w:lineRule="exact"/>
        <w:rPr>
          <w:sz w:val="20"/>
          <w:szCs w:val="20"/>
          <w:color w:val="auto"/>
        </w:rPr>
      </w:pPr>
    </w:p>
    <w:p>
      <w:pPr>
        <w:ind w:right="100" w:firstLine="359"/>
        <w:spacing w:after="0" w:line="250" w:lineRule="auto"/>
        <w:rPr>
          <w:sz w:val="20"/>
          <w:szCs w:val="20"/>
          <w:color w:val="auto"/>
        </w:rPr>
      </w:pPr>
      <w:r>
        <w:rPr>
          <w:rFonts w:ascii="Arial" w:cs="Arial" w:eastAsia="Arial" w:hAnsi="Arial"/>
          <w:sz w:val="20"/>
          <w:szCs w:val="20"/>
          <w:color w:val="auto"/>
        </w:rPr>
        <w:t>In recent years, the OECD has issued Administrative Guidance, including the most recent side-by-side agreement released on January 5, 2026. The side-by-side agreement is intended to complement the OECD’s Pillar Two model rules with the addition of two new safe harbors that are aimed to provide clarity and reduce compliance complexity for eligible multinational companies. The Administrative Guidance generally requires further legislative action to be effective. These potential changes increase tax uncertainty and may impact income tax expense in future years. AbbVie will continue to monitor pending legislation and implementation by individual countries and evaluate the potential impact on the company’s business in future periods.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FINANCIAL POSITION, LIQUIDITY AND CAPITAL RESOURCES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600" w:type="dxa"/>
            <w:vAlign w:val="bottom"/>
          </w:tcPr>
          <w:p>
            <w:pPr>
              <w:jc w:val="right"/>
              <w:ind w:right="265"/>
              <w:spacing w:after="0"/>
              <w:rPr>
                <w:sz w:val="20"/>
                <w:szCs w:val="20"/>
                <w:color w:val="auto"/>
              </w:rPr>
            </w:pPr>
            <w:r>
              <w:rPr>
                <w:rFonts w:ascii="Arial" w:cs="Arial" w:eastAsia="Arial" w:hAnsi="Arial"/>
                <w:sz w:val="16"/>
                <w:szCs w:val="16"/>
                <w:b w:val="1"/>
                <w:bCs w:val="1"/>
                <w:color w:val="auto"/>
              </w:rPr>
              <w:t>2025</w:t>
            </w:r>
          </w:p>
        </w:tc>
        <w:tc>
          <w:tcPr>
            <w:tcW w:w="1040" w:type="dxa"/>
            <w:vAlign w:val="bottom"/>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880" w:type="dxa"/>
            <w:vAlign w:val="bottom"/>
          </w:tcPr>
          <w:p>
            <w:pPr>
              <w:jc w:val="right"/>
              <w:ind w:right="12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45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580" w:type="dxa"/>
            <w:vAlign w:val="bottom"/>
          </w:tcPr>
          <w:p>
            <w:pPr>
              <w:spacing w:after="0"/>
              <w:rPr>
                <w:sz w:val="20"/>
                <w:szCs w:val="20"/>
                <w:color w:val="auto"/>
              </w:rPr>
            </w:pPr>
            <w:r>
              <w:rPr>
                <w:rFonts w:ascii="Arial" w:cs="Arial" w:eastAsia="Arial" w:hAnsi="Arial"/>
                <w:sz w:val="20"/>
                <w:szCs w:val="20"/>
                <w:color w:val="auto"/>
              </w:rPr>
              <w:t>Cash flows provided by (used in)</w:t>
            </w:r>
          </w:p>
        </w:tc>
        <w:tc>
          <w:tcPr>
            <w:tcW w:w="2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9"/>
        </w:trPr>
        <w:tc>
          <w:tcPr>
            <w:tcW w:w="4580" w:type="dxa"/>
            <w:vAlign w:val="bottom"/>
          </w:tcPr>
          <w:p>
            <w:pPr>
              <w:spacing w:after="0"/>
              <w:rPr>
                <w:sz w:val="20"/>
                <w:szCs w:val="20"/>
                <w:color w:val="auto"/>
              </w:rPr>
            </w:pPr>
            <w:r>
              <w:rPr>
                <w:rFonts w:ascii="Arial" w:cs="Arial" w:eastAsia="Arial" w:hAnsi="Arial"/>
                <w:sz w:val="20"/>
                <w:szCs w:val="20"/>
                <w:color w:val="auto"/>
              </w:rPr>
              <w:t>Operating activities</w:t>
            </w:r>
          </w:p>
        </w:tc>
        <w:tc>
          <w:tcPr>
            <w:tcW w:w="2600" w:type="dxa"/>
            <w:vAlign w:val="bottom"/>
          </w:tcPr>
          <w:p>
            <w:pPr>
              <w:jc w:val="right"/>
              <w:ind w:right="45"/>
              <w:spacing w:after="0"/>
              <w:rPr>
                <w:sz w:val="20"/>
                <w:szCs w:val="20"/>
                <w:color w:val="auto"/>
              </w:rPr>
            </w:pPr>
            <w:r>
              <w:rPr>
                <w:rFonts w:ascii="Arial" w:cs="Arial" w:eastAsia="Arial" w:hAnsi="Arial"/>
                <w:sz w:val="20"/>
                <w:szCs w:val="20"/>
                <w:color w:val="auto"/>
              </w:rPr>
              <w:t>$ 19,030</w:t>
            </w:r>
          </w:p>
        </w:tc>
        <w:tc>
          <w:tcPr>
            <w:tcW w:w="1040" w:type="dxa"/>
            <w:vAlign w:val="bottom"/>
          </w:tcPr>
          <w:p>
            <w:pPr>
              <w:jc w:val="right"/>
              <w:ind w:right="65"/>
              <w:spacing w:after="0"/>
              <w:rPr>
                <w:sz w:val="20"/>
                <w:szCs w:val="20"/>
                <w:color w:val="auto"/>
              </w:rPr>
            </w:pPr>
            <w:r>
              <w:rPr>
                <w:rFonts w:ascii="Arial" w:cs="Arial" w:eastAsia="Arial" w:hAnsi="Arial"/>
                <w:sz w:val="20"/>
                <w:szCs w:val="20"/>
                <w:color w:val="auto"/>
              </w:rPr>
              <w:t>$ 18,806</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$ 22,839</w:t>
            </w:r>
          </w:p>
        </w:tc>
      </w:tr>
      <w:tr>
        <w:trPr>
          <w:trHeight w:val="279"/>
        </w:trPr>
        <w:tc>
          <w:tcPr>
            <w:tcW w:w="4580" w:type="dxa"/>
            <w:vAlign w:val="bottom"/>
          </w:tcPr>
          <w:p>
            <w:pPr>
              <w:spacing w:after="0"/>
              <w:rPr>
                <w:sz w:val="20"/>
                <w:szCs w:val="20"/>
                <w:color w:val="auto"/>
              </w:rPr>
            </w:pPr>
            <w:r>
              <w:rPr>
                <w:rFonts w:ascii="Arial" w:cs="Arial" w:eastAsia="Arial" w:hAnsi="Arial"/>
                <w:sz w:val="20"/>
                <w:szCs w:val="20"/>
                <w:color w:val="auto"/>
              </w:rPr>
              <w:t>Investing activities</w:t>
            </w:r>
          </w:p>
        </w:tc>
        <w:tc>
          <w:tcPr>
            <w:tcW w:w="2600" w:type="dxa"/>
            <w:vAlign w:val="bottom"/>
          </w:tcPr>
          <w:p>
            <w:pPr>
              <w:jc w:val="right"/>
              <w:spacing w:after="0"/>
              <w:rPr>
                <w:sz w:val="20"/>
                <w:szCs w:val="20"/>
                <w:color w:val="auto"/>
              </w:rPr>
            </w:pPr>
            <w:r>
              <w:rPr>
                <w:rFonts w:ascii="Arial" w:cs="Arial" w:eastAsia="Arial" w:hAnsi="Arial"/>
                <w:sz w:val="20"/>
                <w:szCs w:val="20"/>
                <w:color w:val="auto"/>
              </w:rPr>
              <w:t>(6,643)</w:t>
            </w:r>
          </w:p>
        </w:tc>
        <w:tc>
          <w:tcPr>
            <w:tcW w:w="1040" w:type="dxa"/>
            <w:vAlign w:val="bottom"/>
          </w:tcPr>
          <w:p>
            <w:pPr>
              <w:jc w:val="right"/>
              <w:spacing w:after="0"/>
              <w:rPr>
                <w:sz w:val="20"/>
                <w:szCs w:val="20"/>
                <w:color w:val="auto"/>
              </w:rPr>
            </w:pPr>
            <w:r>
              <w:rPr>
                <w:rFonts w:ascii="Arial" w:cs="Arial" w:eastAsia="Arial" w:hAnsi="Arial"/>
                <w:sz w:val="20"/>
                <w:szCs w:val="20"/>
                <w:color w:val="auto"/>
              </w:rPr>
              <w:t>(20,820)</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(2,009)</w:t>
            </w:r>
          </w:p>
        </w:tc>
      </w:tr>
      <w:tr>
        <w:trPr>
          <w:trHeight w:val="282"/>
        </w:trPr>
        <w:tc>
          <w:tcPr>
            <w:tcW w:w="4580" w:type="dxa"/>
            <w:vAlign w:val="bottom"/>
          </w:tcPr>
          <w:p>
            <w:pPr>
              <w:spacing w:after="0"/>
              <w:rPr>
                <w:sz w:val="20"/>
                <w:szCs w:val="20"/>
                <w:color w:val="auto"/>
              </w:rPr>
            </w:pPr>
            <w:r>
              <w:rPr>
                <w:rFonts w:ascii="Arial" w:cs="Arial" w:eastAsia="Arial" w:hAnsi="Arial"/>
                <w:sz w:val="20"/>
                <w:szCs w:val="20"/>
                <w:color w:val="auto"/>
              </w:rPr>
              <w:t>Financing activities</w:t>
            </w:r>
          </w:p>
        </w:tc>
        <w:tc>
          <w:tcPr>
            <w:tcW w:w="2600" w:type="dxa"/>
            <w:vAlign w:val="bottom"/>
          </w:tcPr>
          <w:p>
            <w:pPr>
              <w:jc w:val="right"/>
              <w:spacing w:after="0"/>
              <w:rPr>
                <w:sz w:val="20"/>
                <w:szCs w:val="20"/>
                <w:color w:val="auto"/>
              </w:rPr>
            </w:pPr>
            <w:r>
              <w:rPr>
                <w:rFonts w:ascii="Arial" w:cs="Arial" w:eastAsia="Arial" w:hAnsi="Arial"/>
                <w:sz w:val="20"/>
                <w:szCs w:val="20"/>
                <w:color w:val="auto"/>
              </w:rPr>
              <w:t>(12,724)</w:t>
            </w:r>
          </w:p>
        </w:tc>
        <w:tc>
          <w:tcPr>
            <w:tcW w:w="1040" w:type="dxa"/>
            <w:vAlign w:val="bottom"/>
          </w:tcPr>
          <w:p>
            <w:pPr>
              <w:jc w:val="right"/>
              <w:spacing w:after="0"/>
              <w:rPr>
                <w:sz w:val="20"/>
                <w:szCs w:val="20"/>
                <w:color w:val="auto"/>
              </w:rPr>
            </w:pPr>
            <w:r>
              <w:rPr>
                <w:rFonts w:ascii="Arial" w:cs="Arial" w:eastAsia="Arial" w:hAnsi="Arial"/>
                <w:sz w:val="20"/>
                <w:szCs w:val="20"/>
                <w:color w:val="auto"/>
              </w:rPr>
              <w:t>(5,211)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(17,222)</w:t>
            </w:r>
          </w:p>
        </w:tc>
      </w:tr>
      <w:tr>
        <w:trPr>
          <w:trHeight w:val="20"/>
        </w:trPr>
        <w:tc>
          <w:tcPr>
            <w:tcW w:w="458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ind w:right="240" w:firstLine="359"/>
        <w:spacing w:after="0" w:line="252" w:lineRule="auto"/>
        <w:rPr>
          <w:sz w:val="20"/>
          <w:szCs w:val="20"/>
          <w:color w:val="auto"/>
        </w:rPr>
      </w:pPr>
      <w:r>
        <w:rPr>
          <w:rFonts w:ascii="Arial" w:cs="Arial" w:eastAsia="Arial" w:hAnsi="Arial"/>
          <w:sz w:val="20"/>
          <w:szCs w:val="20"/>
          <w:color w:val="auto"/>
        </w:rPr>
        <w:t>Operating cash flows in 2025 increased compared to the prior year primarily due to increased results from operations driven by higher net revenues, timing of working capital and lower acquisition-related cash expenses, partially offset by higher payments related to litigation matters and higher payments of contingent consideration liabilities. Operating cash flows also reflected AbbVie’s contributions to its defined benefit plans of $348 million in 2025 and $326 million in 2024.</w:t>
      </w:r>
    </w:p>
    <w:p>
      <w:pPr>
        <w:spacing w:after="0" w:line="120" w:lineRule="exact"/>
        <w:rPr>
          <w:sz w:val="20"/>
          <w:szCs w:val="20"/>
          <w:color w:val="auto"/>
        </w:rPr>
      </w:pPr>
    </w:p>
    <w:p>
      <w:pPr>
        <w:ind w:right="60" w:firstLine="359"/>
        <w:spacing w:after="0" w:line="251" w:lineRule="auto"/>
        <w:rPr>
          <w:sz w:val="20"/>
          <w:szCs w:val="20"/>
          <w:color w:val="auto"/>
        </w:rPr>
      </w:pPr>
      <w:r>
        <w:rPr>
          <w:rFonts w:ascii="Arial" w:cs="Arial" w:eastAsia="Arial" w:hAnsi="Arial"/>
          <w:sz w:val="20"/>
          <w:szCs w:val="20"/>
          <w:color w:val="auto"/>
        </w:rPr>
        <w:t>Investing cash flows in 2025 included payments made for other acquisitions and investments, net of cash acquired of $5.2 billion and capital expenditures of $1.2 billion. Investing cash flows in 2024 included $18.5 billion cash consideration paid to acquire ImmunoGen, Inc. (ImmunoGen) and Cerevel Therapeutics Holdings, Inc. (Cerevel Therapeutics) offset by cash acquired of $952 million, net sales and maturities of investment securities of $482 million, payments made for other acquisitions and investments of $3.0 billion and capital expenditures of $974 million.</w:t>
      </w:r>
    </w:p>
    <w:p>
      <w:pPr>
        <w:spacing w:after="0" w:line="121" w:lineRule="exact"/>
        <w:rPr>
          <w:sz w:val="20"/>
          <w:szCs w:val="20"/>
          <w:color w:val="auto"/>
        </w:rPr>
      </w:pPr>
    </w:p>
    <w:p>
      <w:pPr>
        <w:ind w:right="60" w:firstLine="359"/>
        <w:spacing w:after="0" w:line="254" w:lineRule="auto"/>
        <w:rPr>
          <w:sz w:val="20"/>
          <w:szCs w:val="20"/>
          <w:color w:val="auto"/>
        </w:rPr>
      </w:pPr>
      <w:r>
        <w:rPr>
          <w:rFonts w:ascii="Arial" w:cs="Arial" w:eastAsia="Arial" w:hAnsi="Arial"/>
          <w:sz w:val="20"/>
          <w:szCs w:val="20"/>
          <w:color w:val="auto"/>
        </w:rPr>
        <w:t>Financing cash flows in 2025 included the issuance of unsecured senior notes totaling $4.0 billion aggregate principal and $2.0 billion under the 364-day term loan credit agreement. Financing cash flows also included the repayment of $3.0 billion aggregate principal of 3.80% senior notes and $3.8 billion aggregate principal 3.60% senior notes.</w:t>
      </w:r>
    </w:p>
    <w:p>
      <w:pPr>
        <w:spacing w:after="0" w:line="116" w:lineRule="exact"/>
        <w:rPr>
          <w:sz w:val="20"/>
          <w:szCs w:val="20"/>
          <w:color w:val="auto"/>
        </w:rPr>
      </w:pPr>
    </w:p>
    <w:p>
      <w:pPr>
        <w:ind w:right="60" w:firstLine="359"/>
        <w:spacing w:after="0" w:line="267" w:lineRule="auto"/>
        <w:rPr>
          <w:sz w:val="20"/>
          <w:szCs w:val="20"/>
          <w:color w:val="auto"/>
        </w:rPr>
      </w:pPr>
      <w:r>
        <w:rPr>
          <w:rFonts w:ascii="Arial" w:cs="Arial" w:eastAsia="Arial" w:hAnsi="Arial"/>
          <w:sz w:val="19"/>
          <w:szCs w:val="19"/>
          <w:color w:val="auto"/>
        </w:rPr>
        <w:t>Financing cash flows in 2024 included the issuance of unsecured senior notes totaling $15.0 billion aggregate principal which were used to finance the acquisitions of ImmunoGen and Cerevel Therapeutics. Additionally, financing cash flows included the issuance and repayment of $5.0 billion under the term loan credit agreement and repayments of $3.8 billion aggregate principal amount of 2.60% senior notes, €1.5 billion aggregate principal amount of 1.38% senior euro notes, €700 million aggregate principal amount of 1.25% senior euro notes, $1.0 billion aggregate principal amount of 3.85% senior notes,</w:t>
      </w:r>
    </w:p>
    <w:p>
      <w:pPr>
        <w:sectPr>
          <w:pgSz w:w="11880" w:h="15480" w:orient="portrait"/>
          <w:cols w:equalWidth="0" w:num="1">
            <w:col w:w="9160"/>
          </w:cols>
          <w:pgMar w:left="1400" w:top="1030" w:right="1320" w:bottom="87" w:gutter="0" w:footer="0" w:header="0"/>
        </w:sectPr>
      </w:pPr>
    </w:p>
    <w:p>
      <w:pPr>
        <w:spacing w:after="0" w:line="232"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47</w:t>
      </w:r>
    </w:p>
    <w:p>
      <w:pPr>
        <w:sectPr>
          <w:pgSz w:w="11880" w:h="15480" w:orient="portrait"/>
          <w:cols w:equalWidth="0" w:num="1">
            <w:col w:w="9160"/>
          </w:cols>
          <w:pgMar w:left="1400" w:top="1030" w:right="1320" w:bottom="87" w:gutter="0" w:footer="0" w:header="0"/>
          <w:type w:val="continuous"/>
        </w:sectPr>
      </w:pPr>
    </w:p>
    <w:bookmarkStart w:id="53" w:name="page54"/>
    <w:bookmarkEnd w:id="53"/>
    <w:p>
      <w:pPr>
        <w:ind w:right="60"/>
        <w:spacing w:after="0" w:line="250" w:lineRule="auto"/>
        <w:rPr>
          <w:sz w:val="20"/>
          <w:szCs w:val="20"/>
          <w:color w:val="auto"/>
        </w:rPr>
      </w:pPr>
      <w:r>
        <w:rPr>
          <w:rFonts w:ascii="Arial" w:cs="Arial" w:eastAsia="Arial" w:hAnsi="Arial"/>
          <w:sz w:val="20"/>
          <w:szCs w:val="20"/>
          <w:color w:val="auto"/>
        </w:rPr>
        <w:t>$99 million of secured term notes assumed from ImmunoGen in conjunction with the acquisition and settlement of $400 million aggregate amount of 2.5% convertible senior notes assumed from Cerevel Therapeutics. Additionally, the company refinanced its $2.0 billion floating rate three-year term loan. As part of the refinancing, the company repaid the existing $2.0 billion term loan due May 2025 and borrowed $2.0 billion under a new term loan due April 2027.</w:t>
      </w:r>
    </w:p>
    <w:p>
      <w:pPr>
        <w:spacing w:after="0" w:line="119" w:lineRule="exact"/>
        <w:rPr>
          <w:sz w:val="20"/>
          <w:szCs w:val="20"/>
          <w:color w:val="auto"/>
        </w:rPr>
      </w:pPr>
    </w:p>
    <w:p>
      <w:pPr>
        <w:ind w:firstLine="359"/>
        <w:spacing w:after="0" w:line="255" w:lineRule="auto"/>
        <w:rPr>
          <w:sz w:val="20"/>
          <w:szCs w:val="20"/>
          <w:color w:val="auto"/>
        </w:rPr>
      </w:pPr>
      <w:r>
        <w:rPr>
          <w:rFonts w:ascii="Arial" w:cs="Arial" w:eastAsia="Arial" w:hAnsi="Arial"/>
          <w:sz w:val="20"/>
          <w:szCs w:val="20"/>
          <w:color w:val="auto"/>
        </w:rPr>
        <w:t>Financing cash flows also included cash dividend payments of $11.7 billion in 2025 and $11.0 billion in 2024. The increase in cash dividend payments was primarily driven by an increase of the dividend rate.</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company’s stock repurchase authorization permits purchases of AbbVie shares from time to</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time in open-market or private transactions at management’s discretion. The program has no time limit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and can be discontinued at any time. AbbVie repurchased 3 million shares for $606 million in 2025</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and 7 million shares for $1.3 billion in 2024. AbbVie’s remaining stock repurchase authorization was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$2.9 billion as of December 31, 2025. On February 16, 2023, AbbVie’s board of directors authorized a</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$5.0 billion increase to the existing stock repurchase authorization.</w:t>
      </w:r>
    </w:p>
    <w:p>
      <w:pPr>
        <w:spacing w:after="0" w:line="132" w:lineRule="exact"/>
        <w:rPr>
          <w:sz w:val="20"/>
          <w:szCs w:val="20"/>
          <w:color w:val="auto"/>
        </w:rPr>
      </w:pPr>
    </w:p>
    <w:p>
      <w:pPr>
        <w:ind w:right="60" w:firstLine="359"/>
        <w:spacing w:after="0" w:line="252" w:lineRule="auto"/>
        <w:rPr>
          <w:sz w:val="20"/>
          <w:szCs w:val="20"/>
          <w:color w:val="auto"/>
        </w:rPr>
      </w:pPr>
      <w:r>
        <w:rPr>
          <w:rFonts w:ascii="Arial" w:cs="Arial" w:eastAsia="Arial" w:hAnsi="Arial"/>
          <w:sz w:val="20"/>
          <w:szCs w:val="20"/>
          <w:color w:val="auto"/>
        </w:rPr>
        <w:t>During 2025 and 2024, the company issued and redeemed commercial paper. The balance of commercial paper borrowings outstanding was $499 million as of December 31, 2025. There were no commercial paper borrowings outstanding as of December 31, 2024. AbbVie may issue additional commercial paper or retire commercial paper to meet liquidity requirements as needed.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Credit Risk</w:t>
      </w:r>
    </w:p>
    <w:p>
      <w:pPr>
        <w:spacing w:after="0" w:line="131" w:lineRule="exact"/>
        <w:rPr>
          <w:sz w:val="20"/>
          <w:szCs w:val="20"/>
          <w:color w:val="auto"/>
        </w:rPr>
      </w:pPr>
    </w:p>
    <w:p>
      <w:pPr>
        <w:ind w:firstLine="359"/>
        <w:spacing w:after="0" w:line="266" w:lineRule="auto"/>
        <w:rPr>
          <w:sz w:val="20"/>
          <w:szCs w:val="20"/>
          <w:color w:val="auto"/>
        </w:rPr>
      </w:pPr>
      <w:r>
        <w:rPr>
          <w:rFonts w:ascii="Arial" w:cs="Arial" w:eastAsia="Arial" w:hAnsi="Arial"/>
          <w:sz w:val="19"/>
          <w:szCs w:val="19"/>
          <w:color w:val="auto"/>
        </w:rPr>
        <w:t>AbbVie monitors economic conditions, the creditworthiness of customers and government regulations and funding, both domestically and abroad. AbbVie regularly communicates with its customers regarding the status of receivable balances, including their payment plans and obtains positive confirmation of the validity of the receivables. AbbVie establishes an allowance for credit losses equal to the estimate of future losses over the contractual life of outstanding accounts receivable. AbbVie may also utilize factoring arrangements to mitigate credit risk, although the receivables included in such arrangements have historically not been a significant amount of total outstanding receivables.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Credit Facilities, Access to Capital and Credit Ratings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Facilities</w:t>
      </w:r>
    </w:p>
    <w:p>
      <w:pPr>
        <w:spacing w:after="0" w:line="131"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In January 2025, AbbVie entered into a new $3.0 billion five-year revolving credit facility that matures in January 2030 which is in addition to the existing $5.0 billion five-year revolving credit facility that matures in March 2028. The revolving credit facilities are available to support AbbVie’s commercial paper program and enable the company to borrow funds to meet liquidity requirements on an unsecured basis at variable interest rates and contain various covenants. At December 31, 2025, the company was in compliance with all covenants, and commitment fees under the revolving credit facilities were insignificant. No amounts were outstanding under the company’s revolving credit facilities as of December 31, 2025 and December 31, 2024.</w:t>
      </w:r>
    </w:p>
    <w:p>
      <w:pPr>
        <w:spacing w:after="0" w:line="123" w:lineRule="exact"/>
        <w:rPr>
          <w:sz w:val="20"/>
          <w:szCs w:val="20"/>
          <w:color w:val="auto"/>
        </w:rPr>
      </w:pPr>
    </w:p>
    <w:p>
      <w:pPr>
        <w:ind w:firstLine="359"/>
        <w:spacing w:after="0" w:line="255" w:lineRule="auto"/>
        <w:rPr>
          <w:sz w:val="20"/>
          <w:szCs w:val="20"/>
          <w:color w:val="auto"/>
        </w:rPr>
      </w:pPr>
      <w:r>
        <w:rPr>
          <w:rFonts w:ascii="Arial" w:cs="Arial" w:eastAsia="Arial" w:hAnsi="Arial"/>
          <w:sz w:val="20"/>
          <w:szCs w:val="20"/>
          <w:color w:val="auto"/>
        </w:rPr>
        <w:t>In April 2025, the company entered into a $4.0 billion 364-day term loan credit agreement. In May 2025, the company borrowed $2.0 billion under this term loan credit agreement which was outstanding and included in short-term borrowings on the consolidated balance sheet as of December 31, 2025.</w:t>
      </w:r>
    </w:p>
    <w:p>
      <w:pPr>
        <w:spacing w:after="0" w:line="357" w:lineRule="exact"/>
        <w:rPr>
          <w:sz w:val="20"/>
          <w:szCs w:val="20"/>
          <w:color w:val="auto"/>
        </w:rPr>
      </w:pPr>
    </w:p>
    <w:p>
      <w:pPr>
        <w:ind w:firstLine="359"/>
        <w:spacing w:after="0" w:line="252" w:lineRule="auto"/>
        <w:rPr>
          <w:sz w:val="20"/>
          <w:szCs w:val="20"/>
          <w:color w:val="auto"/>
        </w:rPr>
      </w:pPr>
      <w:r>
        <w:rPr>
          <w:rFonts w:ascii="Arial" w:cs="Arial" w:eastAsia="Arial" w:hAnsi="Arial"/>
          <w:sz w:val="20"/>
          <w:szCs w:val="20"/>
          <w:color w:val="auto"/>
        </w:rPr>
        <w:t>In December 2023, in connection with the acquisitions of ImmunoGen and Cerevel Therapeutics, AbbVie entered into a $9.0 billion 364-day bridge credit agreement and $5.0 billion 364-day term loan credit agreement. In February 2024, AbbVie borrowed and repaid $5.0 billion under the term loan credit agreement. Subsequent to the $15.0 billion issuance of senior notes in February 2024, AbbVie terminated both the bridge and term loan credit agreements in the first quarter of 2024.</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Access to Capital</w:t>
      </w:r>
    </w:p>
    <w:p>
      <w:pPr>
        <w:spacing w:after="0" w:line="131" w:lineRule="exact"/>
        <w:rPr>
          <w:sz w:val="20"/>
          <w:szCs w:val="20"/>
          <w:color w:val="auto"/>
        </w:rPr>
      </w:pPr>
    </w:p>
    <w:p>
      <w:pPr>
        <w:ind w:right="60" w:firstLine="359"/>
        <w:spacing w:after="0" w:line="293" w:lineRule="auto"/>
        <w:rPr>
          <w:sz w:val="20"/>
          <w:szCs w:val="20"/>
          <w:color w:val="auto"/>
        </w:rPr>
      </w:pPr>
      <w:r>
        <w:rPr>
          <w:rFonts w:ascii="Arial" w:cs="Arial" w:eastAsia="Arial" w:hAnsi="Arial"/>
          <w:sz w:val="19"/>
          <w:szCs w:val="19"/>
          <w:color w:val="auto"/>
        </w:rPr>
        <w:t>The company intends to fund short-term and long-term financial obligations as they mature through cash on hand, future cash flows from operations or has the ability to issue additional debt. The</w:t>
      </w:r>
    </w:p>
    <w:p>
      <w:pPr>
        <w:sectPr>
          <w:pgSz w:w="11880" w:h="15480" w:orient="portrait"/>
          <w:cols w:equalWidth="0" w:num="1">
            <w:col w:w="9100"/>
          </w:cols>
          <w:pgMar w:left="1400" w:top="1030" w:right="1380" w:bottom="75"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sz w:val="1"/>
          <w:szCs w:val="1"/>
          <w:color w:val="auto"/>
        </w:rPr>
        <w:drawing>
          <wp:inline distT="0" distB="0" distL="0" distR="0">
            <wp:extent cx="615950" cy="1282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54" w:name="page55"/>
    <w:bookmarkEnd w:id="54"/>
    <w:p>
      <w:pPr>
        <w:ind w:left="10"/>
        <w:spacing w:after="0" w:line="248" w:lineRule="auto"/>
        <w:rPr>
          <w:sz w:val="20"/>
          <w:szCs w:val="20"/>
          <w:color w:val="auto"/>
        </w:rPr>
      </w:pPr>
      <w:r>
        <w:rPr>
          <w:rFonts w:ascii="Arial" w:cs="Arial" w:eastAsia="Arial" w:hAnsi="Arial"/>
          <w:sz w:val="20"/>
          <w:szCs w:val="20"/>
          <w:color w:val="auto"/>
        </w:rPr>
        <w:t>company’s ability to generate cash flows from operations, issue debt or enter into financing arrangements on acceptable terms could be adversely affected if there is a material decline in the demand for the company’s products or in the solvency of its customers or suppliers, deterioration in the company’s key financial ratios or credit ratings, or other material unfavorable changes in business conditions. At the current time, the company believes it has sufficient financial flexibility to issue debt, enter into other financing arrangements and attract long-term capital on acceptable terms to support the company’s growth objectives.</w:t>
      </w:r>
    </w:p>
    <w:p>
      <w:pPr>
        <w:spacing w:after="0" w:line="209" w:lineRule="exact"/>
        <w:rPr>
          <w:sz w:val="20"/>
          <w:szCs w:val="20"/>
          <w:color w:val="auto"/>
        </w:rPr>
      </w:pPr>
    </w:p>
    <w:p>
      <w:pPr>
        <w:ind w:left="10"/>
        <w:spacing w:after="0"/>
        <w:rPr>
          <w:sz w:val="20"/>
          <w:szCs w:val="20"/>
          <w:color w:val="auto"/>
        </w:rPr>
      </w:pPr>
      <w:r>
        <w:rPr>
          <w:rFonts w:ascii="Arial" w:cs="Arial" w:eastAsia="Arial" w:hAnsi="Arial"/>
          <w:sz w:val="20"/>
          <w:szCs w:val="20"/>
          <w:i w:val="1"/>
          <w:iCs w:val="1"/>
          <w:color w:val="auto"/>
        </w:rPr>
        <w:t>Credit Ratings</w:t>
      </w:r>
    </w:p>
    <w:p>
      <w:pPr>
        <w:spacing w:after="0" w:line="131" w:lineRule="exact"/>
        <w:rPr>
          <w:sz w:val="20"/>
          <w:szCs w:val="20"/>
          <w:color w:val="auto"/>
        </w:rPr>
      </w:pPr>
    </w:p>
    <w:p>
      <w:pPr>
        <w:ind w:left="10" w:firstLine="359"/>
        <w:spacing w:after="0" w:line="248" w:lineRule="auto"/>
        <w:rPr>
          <w:sz w:val="20"/>
          <w:szCs w:val="20"/>
          <w:color w:val="auto"/>
        </w:rPr>
      </w:pPr>
      <w:r>
        <w:rPr>
          <w:rFonts w:ascii="Arial" w:cs="Arial" w:eastAsia="Arial" w:hAnsi="Arial"/>
          <w:sz w:val="20"/>
          <w:szCs w:val="20"/>
          <w:color w:val="auto"/>
        </w:rPr>
        <w:t>In February 2026, Moody’s Investors Service upgraded AbbVie’s senior unsecured long -term credit rating to A2 with a stable outlook from A3 with a positive outlook and upgraded AbbVie’s short-term credit rating to Prime-1 from Prime-2. There were no other changes in the company’s credit ratings during the year ended December 31, 2025. Unfavorable changes to the ratings may have an adverse impact on future financing arrangements; however, they would not affect the company’s ability to draw on its credit facilities and would not result in an acceleration of scheduled maturities of any of the company’s outstanding debt.</w:t>
      </w:r>
    </w:p>
    <w:p>
      <w:pPr>
        <w:spacing w:after="0" w:line="20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Future Cash Requirements</w:t>
      </w:r>
    </w:p>
    <w:p>
      <w:pPr>
        <w:spacing w:after="0" w:line="129" w:lineRule="exact"/>
        <w:rPr>
          <w:sz w:val="20"/>
          <w:szCs w:val="20"/>
          <w:color w:val="auto"/>
        </w:rPr>
      </w:pPr>
    </w:p>
    <w:p>
      <w:pPr>
        <w:ind w:left="10"/>
        <w:spacing w:after="0"/>
        <w:rPr>
          <w:sz w:val="20"/>
          <w:szCs w:val="20"/>
          <w:color w:val="auto"/>
        </w:rPr>
      </w:pPr>
      <w:r>
        <w:rPr>
          <w:rFonts w:ascii="Arial" w:cs="Arial" w:eastAsia="Arial" w:hAnsi="Arial"/>
          <w:sz w:val="20"/>
          <w:szCs w:val="20"/>
          <w:i w:val="1"/>
          <w:iCs w:val="1"/>
          <w:color w:val="auto"/>
        </w:rPr>
        <w:t>Contractual Obligations</w:t>
      </w:r>
    </w:p>
    <w:p>
      <w:pPr>
        <w:spacing w:after="0" w:line="131" w:lineRule="exact"/>
        <w:rPr>
          <w:sz w:val="20"/>
          <w:szCs w:val="20"/>
          <w:color w:val="auto"/>
        </w:rPr>
      </w:pPr>
    </w:p>
    <w:p>
      <w:pPr>
        <w:ind w:left="350"/>
        <w:spacing w:after="0"/>
        <w:rPr>
          <w:sz w:val="20"/>
          <w:szCs w:val="20"/>
          <w:color w:val="auto"/>
        </w:rPr>
      </w:pPr>
      <w:r>
        <w:rPr>
          <w:rFonts w:ascii="Arial" w:cs="Arial" w:eastAsia="Arial" w:hAnsi="Arial"/>
          <w:sz w:val="20"/>
          <w:szCs w:val="20"/>
          <w:color w:val="auto"/>
        </w:rPr>
        <w:t>The following table summarizes AbbVie’s estimated material contractual obligations as of</w:t>
      </w:r>
    </w:p>
    <w:p>
      <w:pPr>
        <w:spacing w:after="0" w:line="18" w:lineRule="exact"/>
        <w:rPr>
          <w:sz w:val="20"/>
          <w:szCs w:val="20"/>
          <w:color w:val="auto"/>
        </w:rPr>
      </w:pPr>
    </w:p>
    <w:p>
      <w:pPr>
        <w:ind w:left="10"/>
        <w:spacing w:after="0"/>
        <w:rPr>
          <w:sz w:val="20"/>
          <w:szCs w:val="20"/>
          <w:color w:val="auto"/>
        </w:rPr>
      </w:pPr>
      <w:r>
        <w:rPr>
          <w:rFonts w:ascii="Arial" w:cs="Arial" w:eastAsia="Arial" w:hAnsi="Arial"/>
          <w:sz w:val="20"/>
          <w:szCs w:val="20"/>
          <w:color w:val="auto"/>
        </w:rPr>
        <w:t>December 31, 2025:</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50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280" w:type="dxa"/>
            <w:vAlign w:val="bottom"/>
          </w:tcPr>
          <w:p>
            <w:pPr>
              <w:jc w:val="right"/>
              <w:ind w:right="185"/>
              <w:spacing w:after="0"/>
              <w:rPr>
                <w:sz w:val="20"/>
                <w:szCs w:val="20"/>
                <w:color w:val="auto"/>
              </w:rPr>
            </w:pPr>
            <w:r>
              <w:rPr>
                <w:rFonts w:ascii="Arial" w:cs="Arial" w:eastAsia="Arial" w:hAnsi="Arial"/>
                <w:sz w:val="16"/>
                <w:szCs w:val="16"/>
                <w:b w:val="1"/>
                <w:bCs w:val="1"/>
                <w:color w:val="auto"/>
              </w:rPr>
              <w:t>Total</w:t>
            </w:r>
          </w:p>
        </w:tc>
        <w:tc>
          <w:tcPr>
            <w:tcW w:w="860" w:type="dxa"/>
            <w:vAlign w:val="bottom"/>
          </w:tcPr>
          <w:p>
            <w:pPr>
              <w:jc w:val="right"/>
              <w:ind w:right="45"/>
              <w:spacing w:after="0"/>
              <w:rPr>
                <w:sz w:val="20"/>
                <w:szCs w:val="20"/>
                <w:color w:val="auto"/>
              </w:rPr>
            </w:pPr>
            <w:r>
              <w:rPr>
                <w:rFonts w:ascii="Arial" w:cs="Arial" w:eastAsia="Arial" w:hAnsi="Arial"/>
                <w:sz w:val="16"/>
                <w:szCs w:val="16"/>
                <w:b w:val="1"/>
                <w:bCs w:val="1"/>
                <w:color w:val="auto"/>
              </w:rPr>
              <w:t>Current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Long-term</w:t>
            </w:r>
          </w:p>
        </w:tc>
      </w:tr>
      <w:tr>
        <w:trPr>
          <w:trHeight w:val="22"/>
        </w:trPr>
        <w:tc>
          <w:tcPr>
            <w:tcW w:w="50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20"/>
                <w:szCs w:val="20"/>
                <w:color w:val="auto"/>
              </w:rPr>
              <w:t>Long-term debt, including current portion</w:t>
            </w:r>
          </w:p>
        </w:tc>
        <w:tc>
          <w:tcPr>
            <w:tcW w:w="2280" w:type="dxa"/>
            <w:vAlign w:val="bottom"/>
          </w:tcPr>
          <w:p>
            <w:pPr>
              <w:jc w:val="right"/>
              <w:ind w:right="25"/>
              <w:spacing w:after="0"/>
              <w:rPr>
                <w:sz w:val="20"/>
                <w:szCs w:val="20"/>
                <w:color w:val="auto"/>
              </w:rPr>
            </w:pPr>
            <w:r>
              <w:rPr>
                <w:rFonts w:ascii="Arial" w:cs="Arial" w:eastAsia="Arial" w:hAnsi="Arial"/>
                <w:sz w:val="20"/>
                <w:szCs w:val="20"/>
                <w:color w:val="auto"/>
              </w:rPr>
              <w:t>$64,503</w:t>
            </w:r>
          </w:p>
        </w:tc>
        <w:tc>
          <w:tcPr>
            <w:tcW w:w="860" w:type="dxa"/>
            <w:vAlign w:val="bottom"/>
          </w:tcPr>
          <w:p>
            <w:pPr>
              <w:jc w:val="right"/>
              <w:ind w:right="25"/>
              <w:spacing w:after="0"/>
              <w:rPr>
                <w:sz w:val="20"/>
                <w:szCs w:val="20"/>
                <w:color w:val="auto"/>
              </w:rPr>
            </w:pPr>
            <w:r>
              <w:rPr>
                <w:rFonts w:ascii="Arial" w:cs="Arial" w:eastAsia="Arial" w:hAnsi="Arial"/>
                <w:sz w:val="20"/>
                <w:szCs w:val="20"/>
                <w:color w:val="auto"/>
              </w:rPr>
              <w:t>$6,000</w:t>
            </w:r>
          </w:p>
        </w:tc>
        <w:tc>
          <w:tcPr>
            <w:tcW w:w="920" w:type="dxa"/>
            <w:vAlign w:val="bottom"/>
          </w:tcPr>
          <w:p>
            <w:pPr>
              <w:jc w:val="right"/>
              <w:spacing w:after="0"/>
              <w:rPr>
                <w:sz w:val="20"/>
                <w:szCs w:val="20"/>
                <w:color w:val="auto"/>
              </w:rPr>
            </w:pPr>
            <w:r>
              <w:rPr>
                <w:rFonts w:ascii="Arial" w:cs="Arial" w:eastAsia="Arial" w:hAnsi="Arial"/>
                <w:sz w:val="20"/>
                <w:szCs w:val="20"/>
                <w:color w:val="auto"/>
              </w:rPr>
              <w:t>$58,503</w:t>
            </w:r>
          </w:p>
        </w:tc>
      </w:tr>
      <w:tr>
        <w:trPr>
          <w:trHeight w:val="292"/>
        </w:trPr>
        <w:tc>
          <w:tcPr>
            <w:tcW w:w="5040" w:type="dxa"/>
            <w:vAlign w:val="bottom"/>
          </w:tcPr>
          <w:p>
            <w:pPr>
              <w:spacing w:after="0"/>
              <w:rPr>
                <w:sz w:val="20"/>
                <w:szCs w:val="20"/>
                <w:color w:val="auto"/>
              </w:rPr>
            </w:pPr>
            <w:r>
              <w:rPr>
                <w:rFonts w:ascii="Arial" w:cs="Arial" w:eastAsia="Arial" w:hAnsi="Arial"/>
                <w:sz w:val="20"/>
                <w:szCs w:val="20"/>
                <w:color w:val="auto"/>
              </w:rPr>
              <w:t>Interest on long-term debt</w:t>
            </w:r>
            <w:r>
              <w:rPr>
                <w:rFonts w:ascii="Arial" w:cs="Arial" w:eastAsia="Arial" w:hAnsi="Arial"/>
                <w:sz w:val="25"/>
                <w:szCs w:val="25"/>
                <w:color w:val="auto"/>
                <w:vertAlign w:val="superscript"/>
              </w:rPr>
              <w:t>(a)</w:t>
            </w:r>
          </w:p>
        </w:tc>
        <w:tc>
          <w:tcPr>
            <w:tcW w:w="2280" w:type="dxa"/>
            <w:vAlign w:val="bottom"/>
          </w:tcPr>
          <w:p>
            <w:pPr>
              <w:jc w:val="right"/>
              <w:ind w:right="25"/>
              <w:spacing w:after="0"/>
              <w:rPr>
                <w:sz w:val="20"/>
                <w:szCs w:val="20"/>
                <w:color w:val="auto"/>
              </w:rPr>
            </w:pPr>
            <w:r>
              <w:rPr>
                <w:rFonts w:ascii="Arial" w:cs="Arial" w:eastAsia="Arial" w:hAnsi="Arial"/>
                <w:sz w:val="20"/>
                <w:szCs w:val="20"/>
                <w:color w:val="auto"/>
              </w:rPr>
              <w:t>35,243</w:t>
            </w:r>
          </w:p>
        </w:tc>
        <w:tc>
          <w:tcPr>
            <w:tcW w:w="860" w:type="dxa"/>
            <w:vAlign w:val="bottom"/>
          </w:tcPr>
          <w:p>
            <w:pPr>
              <w:jc w:val="right"/>
              <w:ind w:right="25"/>
              <w:spacing w:after="0"/>
              <w:rPr>
                <w:sz w:val="20"/>
                <w:szCs w:val="20"/>
                <w:color w:val="auto"/>
              </w:rPr>
            </w:pPr>
            <w:r>
              <w:rPr>
                <w:rFonts w:ascii="Arial" w:cs="Arial" w:eastAsia="Arial" w:hAnsi="Arial"/>
                <w:sz w:val="20"/>
                <w:szCs w:val="20"/>
                <w:color w:val="auto"/>
              </w:rPr>
              <w:t>2,712</w:t>
            </w:r>
          </w:p>
        </w:tc>
        <w:tc>
          <w:tcPr>
            <w:tcW w:w="920" w:type="dxa"/>
            <w:vAlign w:val="bottom"/>
          </w:tcPr>
          <w:p>
            <w:pPr>
              <w:jc w:val="right"/>
              <w:spacing w:after="0"/>
              <w:rPr>
                <w:sz w:val="20"/>
                <w:szCs w:val="20"/>
                <w:color w:val="auto"/>
              </w:rPr>
            </w:pPr>
            <w:r>
              <w:rPr>
                <w:rFonts w:ascii="Arial" w:cs="Arial" w:eastAsia="Arial" w:hAnsi="Arial"/>
                <w:sz w:val="20"/>
                <w:szCs w:val="20"/>
                <w:color w:val="auto"/>
              </w:rPr>
              <w:t>32,531</w:t>
            </w:r>
          </w:p>
        </w:tc>
      </w:tr>
      <w:tr>
        <w:trPr>
          <w:trHeight w:val="273"/>
        </w:trPr>
        <w:tc>
          <w:tcPr>
            <w:tcW w:w="5040" w:type="dxa"/>
            <w:vAlign w:val="bottom"/>
            <w:tcBorders>
              <w:bottom w:val="single" w:sz="8" w:color="auto"/>
            </w:tcBorders>
          </w:tcPr>
          <w:p>
            <w:pPr>
              <w:spacing w:after="0" w:line="272" w:lineRule="exact"/>
              <w:rPr>
                <w:sz w:val="20"/>
                <w:szCs w:val="20"/>
                <w:color w:val="auto"/>
              </w:rPr>
            </w:pPr>
            <w:r>
              <w:rPr>
                <w:rFonts w:ascii="Arial" w:cs="Arial" w:eastAsia="Arial" w:hAnsi="Arial"/>
                <w:sz w:val="20"/>
                <w:szCs w:val="20"/>
                <w:color w:val="auto"/>
              </w:rPr>
              <w:t>Contingent consideration liabilities</w:t>
            </w:r>
            <w:r>
              <w:rPr>
                <w:rFonts w:ascii="Arial" w:cs="Arial" w:eastAsia="Arial" w:hAnsi="Arial"/>
                <w:sz w:val="25"/>
                <w:szCs w:val="25"/>
                <w:color w:val="auto"/>
                <w:vertAlign w:val="superscript"/>
              </w:rPr>
              <w:t>(b)</w:t>
            </w:r>
          </w:p>
        </w:tc>
        <w:tc>
          <w:tcPr>
            <w:tcW w:w="22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25,374</w:t>
            </w: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3,455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21,919</w:t>
            </w:r>
          </w:p>
        </w:tc>
      </w:tr>
    </w:tbl>
    <w:p>
      <w:pPr>
        <w:spacing w:after="0" w:line="155" w:lineRule="exact"/>
        <w:rPr>
          <w:sz w:val="20"/>
          <w:szCs w:val="20"/>
          <w:color w:val="auto"/>
        </w:rPr>
      </w:pPr>
    </w:p>
    <w:p>
      <w:pPr>
        <w:ind w:left="350" w:hanging="350"/>
        <w:spacing w:after="0" w:line="248" w:lineRule="auto"/>
        <w:tabs>
          <w:tab w:leader="none" w:pos="35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Includes estimated future interest payments on long-term debt. Interest payments on debt are calculated for future periods using forecasted interest rates in effect at the end of 2025. Projected interest payments include the related effects of interest rate swap agreements. Certain of these projected interest payments may differ in the future based on changes in floating interest rates or other factors or events. The projected interest payments only pertain to obligations and agreements outstanding at December 31, 2025. See Note 10 to the Consolidated Financial Statements for additional information regarding the company’s debt instruments and Note 11 for additional information on the interest rate swap agreements outstanding at December 31, 2025.</w:t>
      </w:r>
    </w:p>
    <w:p>
      <w:pPr>
        <w:spacing w:after="0" w:line="92" w:lineRule="exact"/>
        <w:rPr>
          <w:rFonts w:ascii="Arial" w:cs="Arial" w:eastAsia="Arial" w:hAnsi="Arial"/>
          <w:sz w:val="20"/>
          <w:szCs w:val="20"/>
          <w:color w:val="auto"/>
        </w:rPr>
      </w:pPr>
    </w:p>
    <w:p>
      <w:pPr>
        <w:ind w:left="350" w:right="100" w:hanging="350"/>
        <w:spacing w:after="0" w:line="250" w:lineRule="auto"/>
        <w:tabs>
          <w:tab w:leader="none" w:pos="35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Includes contingent consideration liabilities which are recorded at fair value on the consolidated balance sheet. Potential contingent consideration payments that exceed the fair value recorded on the consolidated balance sheet are not included in the table of contractual obligations. See Note 11 to the Consolidated Financial Statements for additional information regarding these liabilities.</w:t>
      </w:r>
    </w:p>
    <w:p>
      <w:pPr>
        <w:spacing w:after="0" w:line="105" w:lineRule="exact"/>
        <w:rPr>
          <w:sz w:val="20"/>
          <w:szCs w:val="20"/>
          <w:color w:val="auto"/>
        </w:rPr>
      </w:pPr>
    </w:p>
    <w:p>
      <w:pPr>
        <w:ind w:left="10" w:firstLine="359"/>
        <w:spacing w:after="0" w:line="275" w:lineRule="auto"/>
        <w:rPr>
          <w:sz w:val="20"/>
          <w:szCs w:val="20"/>
          <w:color w:val="auto"/>
        </w:rPr>
      </w:pPr>
      <w:r>
        <w:rPr>
          <w:rFonts w:ascii="Arial" w:cs="Arial" w:eastAsia="Arial" w:hAnsi="Arial"/>
          <w:sz w:val="19"/>
          <w:szCs w:val="19"/>
          <w:color w:val="auto"/>
        </w:rPr>
        <w:t>AbbVie enters into certain unconditional purchase obligations and other commitments in the normal course of business. There have been no changes to these commitments that would have a material impact on the company’s ability to meet either short-term or long-term future cash requirements.</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20"/>
          <w:szCs w:val="20"/>
          <w:i w:val="1"/>
          <w:iCs w:val="1"/>
          <w:color w:val="auto"/>
        </w:rPr>
        <w:t>Income Taxes</w:t>
      </w:r>
    </w:p>
    <w:p>
      <w:pPr>
        <w:spacing w:after="0" w:line="131" w:lineRule="exact"/>
        <w:rPr>
          <w:sz w:val="20"/>
          <w:szCs w:val="20"/>
          <w:color w:val="auto"/>
        </w:rPr>
      </w:pPr>
    </w:p>
    <w:p>
      <w:pPr>
        <w:ind w:left="10" w:right="380" w:firstLine="359"/>
        <w:spacing w:after="0" w:line="252" w:lineRule="auto"/>
        <w:rPr>
          <w:sz w:val="20"/>
          <w:szCs w:val="20"/>
          <w:color w:val="auto"/>
        </w:rPr>
      </w:pPr>
      <w:r>
        <w:rPr>
          <w:rFonts w:ascii="Arial" w:cs="Arial" w:eastAsia="Arial" w:hAnsi="Arial"/>
          <w:sz w:val="20"/>
          <w:szCs w:val="20"/>
          <w:color w:val="auto"/>
        </w:rPr>
        <w:t>Future income tax cash requirements include a one-time transition tax liability on a mandatory deemed repatriation of previously untaxed earnings of foreign subsidiaries resulting from U.S. tax reform enacted in 2017. The one-time transition tax liability was $1.1 billion, which is classified as a current liability as of December 31, 2025.</w:t>
      </w:r>
    </w:p>
    <w:p>
      <w:pPr>
        <w:spacing w:after="0" w:line="106" w:lineRule="exact"/>
        <w:rPr>
          <w:sz w:val="20"/>
          <w:szCs w:val="20"/>
          <w:color w:val="auto"/>
        </w:rPr>
      </w:pPr>
    </w:p>
    <w:p>
      <w:pPr>
        <w:ind w:left="350"/>
        <w:spacing w:after="0"/>
        <w:rPr>
          <w:sz w:val="20"/>
          <w:szCs w:val="20"/>
          <w:color w:val="auto"/>
        </w:rPr>
      </w:pPr>
      <w:r>
        <w:rPr>
          <w:rFonts w:ascii="Arial" w:cs="Arial" w:eastAsia="Arial" w:hAnsi="Arial"/>
          <w:sz w:val="20"/>
          <w:szCs w:val="20"/>
          <w:color w:val="auto"/>
        </w:rPr>
        <w:t>Liabilities for unrecognized tax benefits totaled $5.6 billion as of December 31, 2025. It is not</w:t>
      </w:r>
    </w:p>
    <w:p>
      <w:pPr>
        <w:spacing w:after="0" w:line="18" w:lineRule="exact"/>
        <w:rPr>
          <w:sz w:val="20"/>
          <w:szCs w:val="20"/>
          <w:color w:val="auto"/>
        </w:rPr>
      </w:pPr>
    </w:p>
    <w:p>
      <w:pPr>
        <w:ind w:left="10"/>
        <w:spacing w:after="0"/>
        <w:rPr>
          <w:sz w:val="20"/>
          <w:szCs w:val="20"/>
          <w:color w:val="auto"/>
        </w:rPr>
      </w:pPr>
      <w:r>
        <w:rPr>
          <w:rFonts w:ascii="Arial" w:cs="Arial" w:eastAsia="Arial" w:hAnsi="Arial"/>
          <w:sz w:val="20"/>
          <w:szCs w:val="20"/>
          <w:color w:val="auto"/>
        </w:rPr>
        <w:t>possible to reliably estimate the timing of the future cash outflows related to these liabilities. See</w:t>
      </w:r>
    </w:p>
    <w:p>
      <w:pPr>
        <w:spacing w:after="0" w:line="6" w:lineRule="exact"/>
        <w:rPr>
          <w:sz w:val="20"/>
          <w:szCs w:val="20"/>
          <w:color w:val="auto"/>
        </w:rPr>
      </w:pPr>
    </w:p>
    <w:p>
      <w:pPr>
        <w:ind w:left="10"/>
        <w:spacing w:after="0"/>
        <w:rPr>
          <w:sz w:val="20"/>
          <w:szCs w:val="20"/>
          <w:color w:val="auto"/>
        </w:rPr>
      </w:pPr>
      <w:r>
        <w:rPr>
          <w:rFonts w:ascii="Arial" w:cs="Arial" w:eastAsia="Arial" w:hAnsi="Arial"/>
          <w:sz w:val="20"/>
          <w:szCs w:val="20"/>
          <w:color w:val="auto"/>
        </w:rPr>
        <w:t>Note 14 to the Consolidated Financial Statements for additional information on these unrecognized tax</w:t>
      </w:r>
    </w:p>
    <w:p>
      <w:pPr>
        <w:spacing w:after="0" w:line="6" w:lineRule="exact"/>
        <w:rPr>
          <w:sz w:val="20"/>
          <w:szCs w:val="20"/>
          <w:color w:val="auto"/>
        </w:rPr>
      </w:pPr>
    </w:p>
    <w:p>
      <w:pPr>
        <w:ind w:left="10"/>
        <w:spacing w:after="0"/>
        <w:rPr>
          <w:sz w:val="20"/>
          <w:szCs w:val="20"/>
          <w:color w:val="auto"/>
        </w:rPr>
      </w:pPr>
      <w:r>
        <w:rPr>
          <w:rFonts w:ascii="Arial" w:cs="Arial" w:eastAsia="Arial" w:hAnsi="Arial"/>
          <w:sz w:val="20"/>
          <w:szCs w:val="20"/>
          <w:color w:val="auto"/>
        </w:rPr>
        <w:t>benefits.</w:t>
      </w:r>
    </w:p>
    <w:p>
      <w:pPr>
        <w:sectPr>
          <w:pgSz w:w="11880" w:h="15480" w:orient="portrait"/>
          <w:cols w:equalWidth="0" w:num="1">
            <w:col w:w="9110"/>
          </w:cols>
          <w:pgMar w:left="1390" w:top="1030" w:right="1380" w:bottom="87" w:gutter="0" w:footer="0" w:header="0"/>
        </w:sectPr>
      </w:pPr>
    </w:p>
    <w:p>
      <w:pPr>
        <w:spacing w:after="0" w:line="260" w:lineRule="exact"/>
        <w:rPr>
          <w:sz w:val="20"/>
          <w:szCs w:val="20"/>
          <w:color w:val="auto"/>
        </w:rPr>
      </w:pPr>
    </w:p>
    <w:p>
      <w:pPr>
        <w:ind w:left="623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49</w:t>
      </w:r>
    </w:p>
    <w:p>
      <w:pPr>
        <w:sectPr>
          <w:pgSz w:w="11880" w:h="15480" w:orient="portrait"/>
          <w:cols w:equalWidth="0" w:num="1">
            <w:col w:w="9110"/>
          </w:cols>
          <w:pgMar w:left="1390" w:top="1030" w:right="1380" w:bottom="87"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i w:val="1"/>
          <w:iCs w:val="1"/>
          <w:color w:val="auto"/>
        </w:rPr>
        <w:t>Short-term Borrowings</w:t>
      </w:r>
    </w:p>
    <w:p>
      <w:pPr>
        <w:spacing w:after="0" w:line="131" w:lineRule="exact"/>
        <w:rPr>
          <w:sz w:val="20"/>
          <w:szCs w:val="20"/>
          <w:color w:val="auto"/>
        </w:rPr>
      </w:pPr>
    </w:p>
    <w:p>
      <w:pPr>
        <w:jc w:val="both"/>
        <w:ind w:firstLine="359"/>
        <w:spacing w:after="0" w:line="275" w:lineRule="auto"/>
        <w:rPr>
          <w:sz w:val="20"/>
          <w:szCs w:val="20"/>
          <w:color w:val="auto"/>
        </w:rPr>
      </w:pPr>
      <w:r>
        <w:rPr>
          <w:rFonts w:ascii="Arial" w:cs="Arial" w:eastAsia="Arial" w:hAnsi="Arial"/>
          <w:sz w:val="19"/>
          <w:szCs w:val="19"/>
          <w:color w:val="auto"/>
        </w:rPr>
        <w:t>Short-term borrowings included $2.0 billion of a 364-day term loan and $499 million of commercial paper, which are classified as current liabilities as of December 31, 2025. See Note 10 to the Consolidated Financial Statements for additional information regarding the company’s short-term borrowings.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Quarterly Cash Dividend</w:t>
      </w:r>
    </w:p>
    <w:p>
      <w:pPr>
        <w:spacing w:after="0" w:line="131" w:lineRule="exact"/>
        <w:rPr>
          <w:sz w:val="20"/>
          <w:szCs w:val="20"/>
          <w:color w:val="auto"/>
        </w:rPr>
      </w:pPr>
    </w:p>
    <w:p>
      <w:pPr>
        <w:ind w:firstLine="359"/>
        <w:spacing w:after="0" w:line="248" w:lineRule="auto"/>
        <w:rPr>
          <w:sz w:val="20"/>
          <w:szCs w:val="20"/>
          <w:color w:val="auto"/>
        </w:rPr>
      </w:pPr>
      <w:r>
        <w:rPr>
          <w:rFonts w:ascii="Arial" w:cs="Arial" w:eastAsia="Arial" w:hAnsi="Arial"/>
          <w:sz w:val="20"/>
          <w:szCs w:val="20"/>
          <w:color w:val="auto"/>
        </w:rPr>
        <w:t>On October 31, 2025, AbbVie announced that its board of directors declared an increase in the company’s quarterly dividend from $1.64 per share to $1.73 per share beginning with the dividend payable on February 17, 2026 to stockholders of record as of January 16, 2026. This reflects an increase of approximately 5.5% over the previous quarterly rate.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Collaborations, Licensing and Other Arrangements</w:t>
      </w:r>
    </w:p>
    <w:p>
      <w:pPr>
        <w:spacing w:after="0" w:line="131"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AbbVie enters into collaborative, licensing and other arrangements with third parties that may require future milestone payments to third parties contingent upon the achievement of certain development, regulatory or commercial milestones. Individually, these arrangements are insignificant in any one annual reporting period. However, if milestones for multiple products covered by these arrangements happen to be reached in the same reporting period, the aggregate charge to expense could be material to the results of operations in that period. From a business perspective, the payments are viewed as positive because they signify that the product is successfully moving through development and is now generating or is more likely to generate future cash flows from product sales. It is not possible to predict with reasonable certainty whether these milestones will be achieved or the timing for achievement. See Note 5 to the Consolidated Financial Statements for additional information on these collaboration arrangements.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Research and Development and Capital Investment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Subsequent to December 31, 2025, AbbVie announced a voluntary agreement with the U.S.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government to further advance access and affordability of AbbVie’s products in the U.S. while protecting</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and investing in U.S. pharmaceutical innovation. Under this voluntary agreement, AbbVie pledged</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$100 billion in U.S.-based research and development and capital investment, including manufacturing,</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over the next decade.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CRITICAL ACCOUNTING POLICIES AND ESTIMATES</w:t>
      </w:r>
    </w:p>
    <w:p>
      <w:pPr>
        <w:spacing w:after="0" w:line="131"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The preparation of financial statements in accordance with generally accepted accounting principles in the United States requires the use of estimates and assumptions that affect the reported amounts of assets and liabilities and the reported amounts of revenue and expenses. A summary of the company’s significant accounting policies is included in Note 2 to the Consolidated Financial Statements. Certain of these policies are considered critical as these most significantly impact the company’s financial condition and results of operations and require the most difficult, subjective, or complex judgments, often as a result of the need to make estimates about the effect of matters that are inherently uncertain. Actual results may vary from these estimates.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Revenue Recognition</w:t>
      </w:r>
    </w:p>
    <w:p>
      <w:pPr>
        <w:spacing w:after="0" w:line="131" w:lineRule="exact"/>
        <w:rPr>
          <w:sz w:val="20"/>
          <w:szCs w:val="20"/>
          <w:color w:val="auto"/>
        </w:rPr>
      </w:pPr>
    </w:p>
    <w:p>
      <w:pPr>
        <w:ind w:right="100" w:firstLine="359"/>
        <w:spacing w:after="0" w:line="251" w:lineRule="auto"/>
        <w:rPr>
          <w:sz w:val="20"/>
          <w:szCs w:val="20"/>
          <w:color w:val="auto"/>
        </w:rPr>
      </w:pPr>
      <w:r>
        <w:rPr>
          <w:rFonts w:ascii="Arial" w:cs="Arial" w:eastAsia="Arial" w:hAnsi="Arial"/>
          <w:sz w:val="20"/>
          <w:szCs w:val="20"/>
          <w:color w:val="auto"/>
        </w:rPr>
        <w:t>AbbVie recognizes revenue when control of promised goods or services is transferred to the company’s customers, in an amount that reflects the consideration AbbVie expects to be entitled to in exchange for those goods or services. Sales, value add and other taxes collected concurrent with revenue-producing activities are excluded from revenue. AbbVie generates revenue primarily from product sales. For the majority of sales, the company transfers control, invoices the customer and recognizes revenue upon shipment to the customer.</w:t>
      </w:r>
    </w:p>
    <w:p>
      <w:pPr>
        <w:sectPr>
          <w:pgSz w:w="11880" w:h="15480" w:orient="portrait"/>
          <w:cols w:equalWidth="0" w:num="1">
            <w:col w:w="9100"/>
          </w:cols>
          <w:pgMar w:left="1400" w:top="1028" w:right="1380" w:bottom="75"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w:t>
      </w:r>
      <w:r>
        <w:rPr>
          <w:sz w:val="1"/>
          <w:szCs w:val="1"/>
          <w:color w:val="auto"/>
        </w:rPr>
        <w:drawing>
          <wp:inline distT="0" distB="0" distL="0" distR="0">
            <wp:extent cx="615950" cy="1282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8" w:right="1380" w:bottom="75"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i w:val="1"/>
          <w:iCs w:val="1"/>
          <w:color w:val="auto"/>
        </w:rPr>
        <w:t>Rebates</w:t>
      </w:r>
    </w:p>
    <w:p>
      <w:pPr>
        <w:spacing w:after="0" w:line="131"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AbbVie provides rebates to pharmacy benefit managers, state government Medicaid programs, insurance companies that administer Medicare drug plans, wholesalers, group purchasing organizations and other government agencies and private entities.</w:t>
      </w:r>
    </w:p>
    <w:p>
      <w:pPr>
        <w:spacing w:after="0" w:line="113" w:lineRule="exact"/>
        <w:rPr>
          <w:sz w:val="20"/>
          <w:szCs w:val="20"/>
          <w:color w:val="auto"/>
        </w:rPr>
      </w:pPr>
    </w:p>
    <w:p>
      <w:pPr>
        <w:ind w:firstLine="359"/>
        <w:spacing w:after="0" w:line="261" w:lineRule="auto"/>
        <w:rPr>
          <w:sz w:val="20"/>
          <w:szCs w:val="20"/>
          <w:color w:val="auto"/>
        </w:rPr>
      </w:pPr>
      <w:r>
        <w:rPr>
          <w:rFonts w:ascii="Arial" w:cs="Arial" w:eastAsia="Arial" w:hAnsi="Arial"/>
          <w:sz w:val="19"/>
          <w:szCs w:val="19"/>
          <w:color w:val="auto"/>
        </w:rPr>
        <w:t>Rebate and chargeback accruals are accounted for as variable consideration and are recorded as a reduction to revenue in the period the related product is sold. Provisions for rebates and chargebacks totaled $65.1 billion in 2025, $59.3 billion in 2024 and $56.8 billion in 2023. Rebate amounts are typically based upon the volume of purchases using contractual or statutory prices, which may vary by product and by payer. For each type of rebate, the factors used in the calculations of the accrual for that rebate include the identification of the products subject to the rebate, the applicable price terms and the estimated lag time between sale and payment of the rebate, which can be significant.</w:t>
      </w:r>
    </w:p>
    <w:p>
      <w:pPr>
        <w:spacing w:after="0" w:line="111" w:lineRule="exact"/>
        <w:rPr>
          <w:sz w:val="20"/>
          <w:szCs w:val="20"/>
          <w:color w:val="auto"/>
        </w:rPr>
      </w:pPr>
    </w:p>
    <w:p>
      <w:pPr>
        <w:ind w:firstLine="359"/>
        <w:spacing w:after="0" w:line="259" w:lineRule="auto"/>
        <w:rPr>
          <w:sz w:val="20"/>
          <w:szCs w:val="20"/>
          <w:color w:val="auto"/>
        </w:rPr>
      </w:pPr>
      <w:r>
        <w:rPr>
          <w:rFonts w:ascii="Arial" w:cs="Arial" w:eastAsia="Arial" w:hAnsi="Arial"/>
          <w:sz w:val="19"/>
          <w:szCs w:val="19"/>
          <w:color w:val="auto"/>
        </w:rPr>
        <w:t>In order to establish its rebate and chargeback accruals, the company uses both internal and external data to estimate the level of inventory in the distribution channel and the rebate claims processing lag time for each type of rebate. To estimate the rebate percentage or net price, the company tracks sales by product and by customer or payer. The company evaluates inventory data reported by wholesalers, available prescription volume information, product pricing, historical experience and other factors in order to determine the adequacy of its reserves. AbbVie regularly monitors its reserves</w:t>
      </w:r>
    </w:p>
    <w:p>
      <w:pPr>
        <w:spacing w:after="0" w:line="1"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and records adjustments when rebate trends, rebate programs and contract terms, legislative changes, or other significant events indicate that a change in the reserve is appropriate. Historically, adjustments to rebate accruals have not been material to net earnings.</w:t>
      </w:r>
    </w:p>
    <w:p>
      <w:pPr>
        <w:spacing w:after="0" w:line="121" w:lineRule="exact"/>
        <w:rPr>
          <w:sz w:val="20"/>
          <w:szCs w:val="20"/>
          <w:color w:val="auto"/>
        </w:rPr>
      </w:pPr>
    </w:p>
    <w:p>
      <w:pPr>
        <w:jc w:val="both"/>
        <w:ind w:right="80" w:firstLine="359"/>
        <w:spacing w:after="0" w:line="253" w:lineRule="auto"/>
        <w:rPr>
          <w:sz w:val="20"/>
          <w:szCs w:val="20"/>
          <w:color w:val="auto"/>
        </w:rPr>
      </w:pPr>
      <w:r>
        <w:rPr>
          <w:rFonts w:ascii="Arial" w:cs="Arial" w:eastAsia="Arial" w:hAnsi="Arial"/>
          <w:sz w:val="20"/>
          <w:szCs w:val="20"/>
          <w:color w:val="auto"/>
        </w:rPr>
        <w:t>The following table is an analysis of the three largest accruals for rebates and chargebacks, which comprise approximately 94% of the total consolidated rebate and chargebacks recorded as reductions to revenues in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2440" w:type="dxa"/>
            <w:vAlign w:val="bottom"/>
            <w:gridSpan w:val="2"/>
          </w:tcPr>
          <w:p>
            <w:pPr>
              <w:jc w:val="center"/>
              <w:ind w:left="1252"/>
              <w:spacing w:after="0"/>
              <w:rPr>
                <w:sz w:val="20"/>
                <w:szCs w:val="20"/>
                <w:color w:val="auto"/>
              </w:rPr>
            </w:pPr>
            <w:r>
              <w:rPr>
                <w:rFonts w:ascii="Arial" w:cs="Arial" w:eastAsia="Arial" w:hAnsi="Arial"/>
                <w:sz w:val="16"/>
                <w:szCs w:val="16"/>
                <w:b w:val="1"/>
                <w:bCs w:val="1"/>
                <w:color w:val="auto"/>
              </w:rPr>
              <w:t>Medicaid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0"/>
        </w:trPr>
        <w:tc>
          <w:tcPr>
            <w:tcW w:w="4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jc w:val="center"/>
              <w:ind w:right="162"/>
              <w:spacing w:after="0" w:line="180" w:lineRule="exact"/>
              <w:rPr>
                <w:sz w:val="20"/>
                <w:szCs w:val="20"/>
                <w:color w:val="auto"/>
              </w:rPr>
            </w:pPr>
            <w:r>
              <w:rPr>
                <w:rFonts w:ascii="Arial" w:cs="Arial" w:eastAsia="Arial" w:hAnsi="Arial"/>
                <w:sz w:val="16"/>
                <w:szCs w:val="16"/>
                <w:b w:val="1"/>
                <w:bCs w:val="1"/>
                <w:color w:val="auto"/>
              </w:rPr>
              <w:t>and</w:t>
            </w:r>
          </w:p>
        </w:tc>
        <w:tc>
          <w:tcPr>
            <w:tcW w:w="102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97"/>
              </w:rPr>
              <w:t>Managed</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540" w:type="dxa"/>
            <w:vAlign w:val="bottom"/>
          </w:tcPr>
          <w:p>
            <w:pPr>
              <w:spacing w:after="0"/>
              <w:rPr>
                <w:sz w:val="15"/>
                <w:szCs w:val="15"/>
                <w:color w:val="auto"/>
              </w:rPr>
            </w:pPr>
          </w:p>
        </w:tc>
        <w:tc>
          <w:tcPr>
            <w:tcW w:w="2440" w:type="dxa"/>
            <w:vAlign w:val="bottom"/>
            <w:gridSpan w:val="2"/>
          </w:tcPr>
          <w:p>
            <w:pPr>
              <w:jc w:val="center"/>
              <w:ind w:left="1252"/>
              <w:spacing w:after="0" w:line="180" w:lineRule="exact"/>
              <w:rPr>
                <w:sz w:val="20"/>
                <w:szCs w:val="20"/>
                <w:color w:val="auto"/>
              </w:rPr>
            </w:pPr>
            <w:r>
              <w:rPr>
                <w:rFonts w:ascii="Arial" w:cs="Arial" w:eastAsia="Arial" w:hAnsi="Arial"/>
                <w:sz w:val="16"/>
                <w:szCs w:val="16"/>
                <w:b w:val="1"/>
                <w:bCs w:val="1"/>
                <w:color w:val="auto"/>
              </w:rPr>
              <w:t>Medicare</w:t>
            </w:r>
          </w:p>
        </w:tc>
        <w:tc>
          <w:tcPr>
            <w:tcW w:w="200" w:type="dxa"/>
            <w:vAlign w:val="bottom"/>
          </w:tcPr>
          <w:p>
            <w:pPr>
              <w:spacing w:after="0"/>
              <w:rPr>
                <w:sz w:val="15"/>
                <w:szCs w:val="15"/>
                <w:color w:val="auto"/>
              </w:rPr>
            </w:pPr>
          </w:p>
        </w:tc>
        <w:tc>
          <w:tcPr>
            <w:tcW w:w="820" w:type="dxa"/>
            <w:vAlign w:val="bottom"/>
          </w:tcPr>
          <w:p>
            <w:pPr>
              <w:jc w:val="center"/>
              <w:ind w:right="162"/>
              <w:spacing w:after="0" w:line="180" w:lineRule="exact"/>
              <w:rPr>
                <w:sz w:val="20"/>
                <w:szCs w:val="20"/>
                <w:color w:val="auto"/>
              </w:rPr>
            </w:pPr>
            <w:r>
              <w:rPr>
                <w:rFonts w:ascii="Arial" w:cs="Arial" w:eastAsia="Arial" w:hAnsi="Arial"/>
                <w:sz w:val="16"/>
                <w:szCs w:val="16"/>
                <w:b w:val="1"/>
                <w:bCs w:val="1"/>
                <w:color w:val="auto"/>
              </w:rPr>
              <w:t>Care</w:t>
            </w:r>
          </w:p>
        </w:tc>
        <w:tc>
          <w:tcPr>
            <w:tcW w:w="1100" w:type="dxa"/>
            <w:vAlign w:val="bottom"/>
            <w:gridSpan w:val="2"/>
          </w:tcPr>
          <w:p>
            <w:pPr>
              <w:jc w:val="right"/>
              <w:spacing w:after="0" w:line="180" w:lineRule="exact"/>
              <w:rPr>
                <w:sz w:val="20"/>
                <w:szCs w:val="20"/>
                <w:color w:val="auto"/>
              </w:rPr>
            </w:pPr>
            <w:r>
              <w:rPr>
                <w:rFonts w:ascii="Arial" w:cs="Arial" w:eastAsia="Arial" w:hAnsi="Arial"/>
                <w:sz w:val="16"/>
                <w:szCs w:val="16"/>
                <w:b w:val="1"/>
                <w:bCs w:val="1"/>
                <w:color w:val="auto"/>
              </w:rPr>
              <w:t>Wholesaler</w:t>
            </w:r>
          </w:p>
        </w:tc>
      </w:tr>
      <w:tr>
        <w:trPr>
          <w:trHeight w:val="197"/>
        </w:trPr>
        <w:tc>
          <w:tcPr>
            <w:tcW w:w="45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440" w:type="dxa"/>
            <w:vAlign w:val="bottom"/>
            <w:gridSpan w:val="2"/>
          </w:tcPr>
          <w:p>
            <w:pPr>
              <w:jc w:val="center"/>
              <w:ind w:left="1252"/>
              <w:spacing w:after="0"/>
              <w:rPr>
                <w:sz w:val="20"/>
                <w:szCs w:val="20"/>
                <w:color w:val="auto"/>
              </w:rPr>
            </w:pPr>
            <w:r>
              <w:rPr>
                <w:rFonts w:ascii="Arial" w:cs="Arial" w:eastAsia="Arial" w:hAnsi="Arial"/>
                <w:sz w:val="16"/>
                <w:szCs w:val="16"/>
                <w:b w:val="1"/>
                <w:bCs w:val="1"/>
                <w:color w:val="auto"/>
                <w:w w:val="99"/>
              </w:rPr>
              <w:t>Rebates</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Rebates</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Chargebacks</w:t>
            </w:r>
          </w:p>
        </w:tc>
      </w:tr>
      <w:tr>
        <w:trPr>
          <w:trHeight w:val="22"/>
        </w:trPr>
        <w:tc>
          <w:tcPr>
            <w:tcW w:w="4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4540" w:type="dxa"/>
            <w:vAlign w:val="bottom"/>
          </w:tcPr>
          <w:p>
            <w:pPr>
              <w:spacing w:after="0"/>
              <w:rPr>
                <w:sz w:val="20"/>
                <w:szCs w:val="20"/>
                <w:color w:val="auto"/>
              </w:rPr>
            </w:pPr>
            <w:r>
              <w:rPr>
                <w:rFonts w:ascii="Arial" w:cs="Arial" w:eastAsia="Arial" w:hAnsi="Arial"/>
                <w:sz w:val="20"/>
                <w:szCs w:val="20"/>
                <w:color w:val="auto"/>
              </w:rPr>
              <w:t>Balance as of December 31, 2022</w:t>
            </w: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5,198</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42"/>
              <w:spacing w:after="0"/>
              <w:rPr>
                <w:sz w:val="20"/>
                <w:szCs w:val="20"/>
                <w:color w:val="auto"/>
              </w:rPr>
            </w:pPr>
            <w:r>
              <w:rPr>
                <w:rFonts w:ascii="Arial" w:cs="Arial" w:eastAsia="Arial" w:hAnsi="Arial"/>
                <w:sz w:val="20"/>
                <w:szCs w:val="20"/>
                <w:color w:val="auto"/>
              </w:rPr>
              <w:t>4,242</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1,143</w:t>
            </w:r>
          </w:p>
        </w:tc>
      </w:tr>
      <w:tr>
        <w:trPr>
          <w:trHeight w:val="279"/>
        </w:trPr>
        <w:tc>
          <w:tcPr>
            <w:tcW w:w="4540" w:type="dxa"/>
            <w:vAlign w:val="bottom"/>
          </w:tcPr>
          <w:p>
            <w:pPr>
              <w:spacing w:after="0"/>
              <w:rPr>
                <w:sz w:val="20"/>
                <w:szCs w:val="20"/>
                <w:color w:val="auto"/>
              </w:rPr>
            </w:pPr>
            <w:r>
              <w:rPr>
                <w:rFonts w:ascii="Arial" w:cs="Arial" w:eastAsia="Arial" w:hAnsi="Arial"/>
                <w:sz w:val="20"/>
                <w:szCs w:val="20"/>
                <w:color w:val="auto"/>
              </w:rPr>
              <w:t>Provisions</w:t>
            </w:r>
          </w:p>
        </w:tc>
        <w:tc>
          <w:tcPr>
            <w:tcW w:w="160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15,153</w:t>
            </w: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Arial" w:cs="Arial" w:eastAsia="Arial" w:hAnsi="Arial"/>
                <w:sz w:val="20"/>
                <w:szCs w:val="20"/>
                <w:color w:val="auto"/>
              </w:rPr>
              <w:t>23,978</w:t>
            </w:r>
          </w:p>
        </w:tc>
        <w:tc>
          <w:tcPr>
            <w:tcW w:w="30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14,191</w:t>
            </w:r>
          </w:p>
        </w:tc>
      </w:tr>
      <w:tr>
        <w:trPr>
          <w:trHeight w:val="282"/>
        </w:trPr>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Payments</w:t>
            </w:r>
          </w:p>
        </w:tc>
        <w:tc>
          <w:tcPr>
            <w:tcW w:w="1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(15,054)</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(21,200)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(14,162)</w:t>
            </w:r>
          </w:p>
        </w:tc>
      </w:tr>
      <w:tr>
        <w:trPr>
          <w:trHeight w:val="266"/>
        </w:trPr>
        <w:tc>
          <w:tcPr>
            <w:tcW w:w="4540" w:type="dxa"/>
            <w:vAlign w:val="bottom"/>
          </w:tcPr>
          <w:p>
            <w:pPr>
              <w:spacing w:after="0"/>
              <w:rPr>
                <w:sz w:val="20"/>
                <w:szCs w:val="20"/>
                <w:color w:val="auto"/>
              </w:rPr>
            </w:pPr>
            <w:r>
              <w:rPr>
                <w:rFonts w:ascii="Arial" w:cs="Arial" w:eastAsia="Arial" w:hAnsi="Arial"/>
                <w:sz w:val="20"/>
                <w:szCs w:val="20"/>
                <w:color w:val="auto"/>
              </w:rPr>
              <w:t>Balance as of December 31, 2023</w:t>
            </w:r>
          </w:p>
        </w:tc>
        <w:tc>
          <w:tcPr>
            <w:tcW w:w="1600" w:type="dxa"/>
            <w:vAlign w:val="bottom"/>
          </w:tcPr>
          <w:p>
            <w:pPr>
              <w:spacing w:after="0"/>
              <w:rPr>
                <w:sz w:val="23"/>
                <w:szCs w:val="23"/>
                <w:color w:val="auto"/>
              </w:rPr>
            </w:pP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5,297</w:t>
            </w:r>
          </w:p>
        </w:tc>
        <w:tc>
          <w:tcPr>
            <w:tcW w:w="200" w:type="dxa"/>
            <w:vAlign w:val="bottom"/>
          </w:tcPr>
          <w:p>
            <w:pPr>
              <w:spacing w:after="0"/>
              <w:rPr>
                <w:sz w:val="23"/>
                <w:szCs w:val="23"/>
                <w:color w:val="auto"/>
              </w:rPr>
            </w:pPr>
          </w:p>
        </w:tc>
        <w:tc>
          <w:tcPr>
            <w:tcW w:w="820" w:type="dxa"/>
            <w:vAlign w:val="bottom"/>
          </w:tcPr>
          <w:p>
            <w:pPr>
              <w:jc w:val="right"/>
              <w:ind w:right="42"/>
              <w:spacing w:after="0"/>
              <w:rPr>
                <w:sz w:val="20"/>
                <w:szCs w:val="20"/>
                <w:color w:val="auto"/>
              </w:rPr>
            </w:pPr>
            <w:r>
              <w:rPr>
                <w:rFonts w:ascii="Arial" w:cs="Arial" w:eastAsia="Arial" w:hAnsi="Arial"/>
                <w:sz w:val="20"/>
                <w:szCs w:val="20"/>
                <w:color w:val="auto"/>
              </w:rPr>
              <w:t>7,020</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1,172</w:t>
            </w:r>
          </w:p>
        </w:tc>
      </w:tr>
      <w:tr>
        <w:trPr>
          <w:trHeight w:val="279"/>
        </w:trPr>
        <w:tc>
          <w:tcPr>
            <w:tcW w:w="4540" w:type="dxa"/>
            <w:vAlign w:val="bottom"/>
          </w:tcPr>
          <w:p>
            <w:pPr>
              <w:spacing w:after="0"/>
              <w:rPr>
                <w:sz w:val="20"/>
                <w:szCs w:val="20"/>
                <w:color w:val="auto"/>
              </w:rPr>
            </w:pPr>
            <w:r>
              <w:rPr>
                <w:rFonts w:ascii="Arial" w:cs="Arial" w:eastAsia="Arial" w:hAnsi="Arial"/>
                <w:sz w:val="20"/>
                <w:szCs w:val="20"/>
                <w:color w:val="auto"/>
              </w:rPr>
              <w:t>Provisions</w:t>
            </w:r>
          </w:p>
        </w:tc>
        <w:tc>
          <w:tcPr>
            <w:tcW w:w="160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15,866</w:t>
            </w: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Arial" w:cs="Arial" w:eastAsia="Arial" w:hAnsi="Arial"/>
                <w:sz w:val="20"/>
                <w:szCs w:val="20"/>
                <w:color w:val="auto"/>
              </w:rPr>
              <w:t>24,127</w:t>
            </w:r>
          </w:p>
        </w:tc>
        <w:tc>
          <w:tcPr>
            <w:tcW w:w="30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14,782</w:t>
            </w:r>
          </w:p>
        </w:tc>
      </w:tr>
      <w:tr>
        <w:trPr>
          <w:trHeight w:val="282"/>
        </w:trPr>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Payments</w:t>
            </w:r>
          </w:p>
        </w:tc>
        <w:tc>
          <w:tcPr>
            <w:tcW w:w="1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(13,756)</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(25,622)</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(14,797)</w:t>
            </w:r>
          </w:p>
        </w:tc>
      </w:tr>
      <w:tr>
        <w:trPr>
          <w:trHeight w:val="266"/>
        </w:trPr>
        <w:tc>
          <w:tcPr>
            <w:tcW w:w="4540" w:type="dxa"/>
            <w:vAlign w:val="bottom"/>
          </w:tcPr>
          <w:p>
            <w:pPr>
              <w:spacing w:after="0"/>
              <w:rPr>
                <w:sz w:val="20"/>
                <w:szCs w:val="20"/>
                <w:color w:val="auto"/>
              </w:rPr>
            </w:pPr>
            <w:r>
              <w:rPr>
                <w:rFonts w:ascii="Arial" w:cs="Arial" w:eastAsia="Arial" w:hAnsi="Arial"/>
                <w:sz w:val="20"/>
                <w:szCs w:val="20"/>
                <w:color w:val="auto"/>
              </w:rPr>
              <w:t>Balance as of December 31, 2024</w:t>
            </w:r>
          </w:p>
        </w:tc>
        <w:tc>
          <w:tcPr>
            <w:tcW w:w="1600" w:type="dxa"/>
            <w:vAlign w:val="bottom"/>
          </w:tcPr>
          <w:p>
            <w:pPr>
              <w:spacing w:after="0"/>
              <w:rPr>
                <w:sz w:val="23"/>
                <w:szCs w:val="23"/>
                <w:color w:val="auto"/>
              </w:rPr>
            </w:pP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7,407</w:t>
            </w:r>
          </w:p>
        </w:tc>
        <w:tc>
          <w:tcPr>
            <w:tcW w:w="200" w:type="dxa"/>
            <w:vAlign w:val="bottom"/>
          </w:tcPr>
          <w:p>
            <w:pPr>
              <w:spacing w:after="0"/>
              <w:rPr>
                <w:sz w:val="23"/>
                <w:szCs w:val="23"/>
                <w:color w:val="auto"/>
              </w:rPr>
            </w:pPr>
          </w:p>
        </w:tc>
        <w:tc>
          <w:tcPr>
            <w:tcW w:w="820" w:type="dxa"/>
            <w:vAlign w:val="bottom"/>
          </w:tcPr>
          <w:p>
            <w:pPr>
              <w:jc w:val="right"/>
              <w:ind w:right="42"/>
              <w:spacing w:after="0"/>
              <w:rPr>
                <w:sz w:val="20"/>
                <w:szCs w:val="20"/>
                <w:color w:val="auto"/>
              </w:rPr>
            </w:pPr>
            <w:r>
              <w:rPr>
                <w:rFonts w:ascii="Arial" w:cs="Arial" w:eastAsia="Arial" w:hAnsi="Arial"/>
                <w:sz w:val="20"/>
                <w:szCs w:val="20"/>
                <w:color w:val="auto"/>
              </w:rPr>
              <w:t>5,525</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1,157</w:t>
            </w:r>
          </w:p>
        </w:tc>
      </w:tr>
      <w:tr>
        <w:trPr>
          <w:trHeight w:val="279"/>
        </w:trPr>
        <w:tc>
          <w:tcPr>
            <w:tcW w:w="4540" w:type="dxa"/>
            <w:vAlign w:val="bottom"/>
          </w:tcPr>
          <w:p>
            <w:pPr>
              <w:spacing w:after="0"/>
              <w:rPr>
                <w:sz w:val="20"/>
                <w:szCs w:val="20"/>
                <w:color w:val="auto"/>
              </w:rPr>
            </w:pPr>
            <w:r>
              <w:rPr>
                <w:rFonts w:ascii="Arial" w:cs="Arial" w:eastAsia="Arial" w:hAnsi="Arial"/>
                <w:sz w:val="20"/>
                <w:szCs w:val="20"/>
                <w:color w:val="auto"/>
              </w:rPr>
              <w:t>Provisions</w:t>
            </w:r>
          </w:p>
        </w:tc>
        <w:tc>
          <w:tcPr>
            <w:tcW w:w="160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21,283</w:t>
            </w: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Arial" w:cs="Arial" w:eastAsia="Arial" w:hAnsi="Arial"/>
                <w:sz w:val="20"/>
                <w:szCs w:val="20"/>
                <w:color w:val="auto"/>
              </w:rPr>
              <w:t>22,307</w:t>
            </w:r>
          </w:p>
        </w:tc>
        <w:tc>
          <w:tcPr>
            <w:tcW w:w="30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17,710</w:t>
            </w:r>
          </w:p>
        </w:tc>
      </w:tr>
      <w:tr>
        <w:trPr>
          <w:trHeight w:val="282"/>
        </w:trPr>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Payments</w:t>
            </w:r>
          </w:p>
        </w:tc>
        <w:tc>
          <w:tcPr>
            <w:tcW w:w="1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(21,250)</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(22,487)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(17,482)</w:t>
            </w:r>
          </w:p>
        </w:tc>
      </w:tr>
      <w:tr>
        <w:trPr>
          <w:trHeight w:val="269"/>
        </w:trPr>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Balance as of December 31, 2025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7,440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5,345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1,385</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Allowances</w:t>
      </w:r>
    </w:p>
    <w:p>
      <w:pPr>
        <w:spacing w:after="0" w:line="131"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Other allowances include cash discounts, product returns, sales incentives and other adjustments, which are accounted for as variable consideration and are recorded as a reduction to revenue in the same period the related product is sold. Reserves for cash discounts and sales incentives are readily determinable because the company’s experience of payment history is fairly consistent. Product returns can be reliably estimated based on the company’s historical return experience. Cash discounts totaled $2.2 billion in 2025, $2.0 billion in 2024 and $2.0 billion in 2023.</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Pension and Other Post-Employment Benefits</w:t>
      </w:r>
    </w:p>
    <w:p>
      <w:pPr>
        <w:spacing w:after="0" w:line="131" w:lineRule="exact"/>
        <w:rPr>
          <w:sz w:val="20"/>
          <w:szCs w:val="20"/>
          <w:color w:val="auto"/>
        </w:rPr>
      </w:pPr>
    </w:p>
    <w:p>
      <w:pPr>
        <w:ind w:firstLine="359"/>
        <w:spacing w:after="0" w:line="269" w:lineRule="auto"/>
        <w:rPr>
          <w:sz w:val="20"/>
          <w:szCs w:val="20"/>
          <w:color w:val="auto"/>
        </w:rPr>
      </w:pPr>
      <w:r>
        <w:rPr>
          <w:rFonts w:ascii="Arial" w:cs="Arial" w:eastAsia="Arial" w:hAnsi="Arial"/>
          <w:sz w:val="19"/>
          <w:szCs w:val="19"/>
          <w:color w:val="auto"/>
        </w:rPr>
        <w:t>AbbVie engages outside actuaries to assist in the determination of the obligations and costs under the pension and other post-employment benefit plans that are direct obligations of AbbVie. The valuation of the funded status and the net periodic benefit cost for these plans are calculated using actuarial assumptions. The significant assumptions, which are reviewed annually, include the discount rate, the</w:t>
      </w:r>
    </w:p>
    <w:p>
      <w:pPr>
        <w:sectPr>
          <w:pgSz w:w="11880" w:h="15480" w:orient="portrait"/>
          <w:cols w:equalWidth="0" w:num="1">
            <w:col w:w="9100"/>
          </w:cols>
          <w:pgMar w:left="1400" w:top="1028" w:right="1380" w:bottom="87" w:gutter="0" w:footer="0" w:header="0"/>
        </w:sectPr>
      </w:pPr>
    </w:p>
    <w:p>
      <w:pPr>
        <w:spacing w:after="0" w:line="229"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51</w:t>
      </w:r>
    </w:p>
    <w:p>
      <w:pPr>
        <w:sectPr>
          <w:pgSz w:w="11880" w:h="15480" w:orient="portrait"/>
          <w:cols w:equalWidth="0" w:num="1">
            <w:col w:w="9100"/>
          </w:cols>
          <w:pgMar w:left="1400" w:top="1028" w:right="1380" w:bottom="87" w:gutter="0" w:footer="0" w:header="0"/>
          <w:type w:val="continuous"/>
        </w:sectPr>
      </w:pPr>
    </w:p>
    <w:bookmarkStart w:id="57" w:name="page58"/>
    <w:bookmarkEnd w:id="57"/>
    <w:p>
      <w:pPr>
        <w:ind w:right="20"/>
        <w:spacing w:after="0" w:line="262" w:lineRule="auto"/>
        <w:rPr>
          <w:sz w:val="20"/>
          <w:szCs w:val="20"/>
          <w:color w:val="auto"/>
        </w:rPr>
      </w:pPr>
      <w:r>
        <w:rPr>
          <w:rFonts w:ascii="Arial" w:cs="Arial" w:eastAsia="Arial" w:hAnsi="Arial"/>
          <w:sz w:val="20"/>
          <w:szCs w:val="20"/>
          <w:color w:val="auto"/>
        </w:rPr>
        <w:t>expected long-term rate of return on plan assets and the health care cost trend rates and are disclosed in Note 12 to the Consolidated Financial Statements.</w:t>
      </w:r>
    </w:p>
    <w:p>
      <w:pPr>
        <w:spacing w:after="0" w:line="105" w:lineRule="exact"/>
        <w:rPr>
          <w:sz w:val="20"/>
          <w:szCs w:val="20"/>
          <w:color w:val="auto"/>
        </w:rPr>
      </w:pPr>
    </w:p>
    <w:p>
      <w:pPr>
        <w:ind w:firstLine="359"/>
        <w:spacing w:after="0" w:line="261" w:lineRule="auto"/>
        <w:rPr>
          <w:sz w:val="20"/>
          <w:szCs w:val="20"/>
          <w:color w:val="auto"/>
        </w:rPr>
      </w:pPr>
      <w:r>
        <w:rPr>
          <w:rFonts w:ascii="Arial" w:cs="Arial" w:eastAsia="Arial" w:hAnsi="Arial"/>
          <w:sz w:val="19"/>
          <w:szCs w:val="19"/>
          <w:color w:val="auto"/>
        </w:rPr>
        <w:t>The discount rate is selected based on current market rates on high-quality, fixed-income investments at December 31 each year. AbbVie employs a yield-curve approach for countries where a robust bond market exists. The yield curve is developed using high-quality bonds. The yield-curve approach reflects the plans’ specific cash flows (i.e., duration) in calculating the benefit obligations by applying the corresponding individual spot rates along the yield curve. AbbVie reflects the plans’ specific cash flows and applies them to the corresponding individual spot rates along the yield curve in calculating the service cost and interest cost portions of expense. For certain plans, AbbVie reviews various indices such as corporate bond and government bond benchmarks to estimate the discount rate.</w:t>
      </w:r>
    </w:p>
    <w:p>
      <w:pPr>
        <w:spacing w:after="0" w:line="109" w:lineRule="exact"/>
        <w:rPr>
          <w:sz w:val="20"/>
          <w:szCs w:val="20"/>
          <w:color w:val="auto"/>
        </w:rPr>
      </w:pPr>
    </w:p>
    <w:p>
      <w:pPr>
        <w:ind w:firstLine="359"/>
        <w:spacing w:after="0" w:line="252" w:lineRule="auto"/>
        <w:rPr>
          <w:sz w:val="20"/>
          <w:szCs w:val="20"/>
          <w:color w:val="auto"/>
        </w:rPr>
      </w:pPr>
      <w:r>
        <w:rPr>
          <w:rFonts w:ascii="Arial" w:cs="Arial" w:eastAsia="Arial" w:hAnsi="Arial"/>
          <w:sz w:val="20"/>
          <w:szCs w:val="20"/>
          <w:color w:val="auto"/>
        </w:rPr>
        <w:t>AbbVie’s assumed discount rates have a significant effect on the amounts reported for defined benefit pension and other post-employment plans as of December 31, 2025. A 50 basis point change in the assumed discount rate would have had the following effects on AbbVie’s calculation of net periodic benefit costs in 2026 and projected benefit obligations as of December 31,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50 basis point</w:t>
            </w:r>
          </w:p>
        </w:tc>
      </w:tr>
      <w:tr>
        <w:trPr>
          <w:trHeight w:val="22"/>
        </w:trPr>
        <w:tc>
          <w:tcPr>
            <w:tcW w:w="73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r>
      <w:tr>
        <w:trPr>
          <w:trHeight w:val="208"/>
        </w:trPr>
        <w:tc>
          <w:tcPr>
            <w:tcW w:w="7380" w:type="dxa"/>
            <w:vAlign w:val="bottom"/>
          </w:tcPr>
          <w:p>
            <w:pPr>
              <w:spacing w:after="0"/>
              <w:rPr>
                <w:sz w:val="20"/>
                <w:szCs w:val="20"/>
                <w:color w:val="auto"/>
              </w:rPr>
            </w:pPr>
            <w:r>
              <w:rPr>
                <w:rFonts w:ascii="Arial" w:cs="Arial" w:eastAsia="Arial" w:hAnsi="Arial"/>
                <w:sz w:val="16"/>
                <w:szCs w:val="16"/>
                <w:b w:val="1"/>
                <w:bCs w:val="1"/>
                <w:color w:val="auto"/>
              </w:rPr>
              <w:t>(in millions) (brackets denote a reduction)</w:t>
            </w:r>
          </w:p>
        </w:tc>
        <w:tc>
          <w:tcPr>
            <w:tcW w:w="88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Increase</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Decrease</w:t>
            </w:r>
          </w:p>
        </w:tc>
      </w:tr>
      <w:tr>
        <w:trPr>
          <w:trHeight w:val="22"/>
        </w:trPr>
        <w:tc>
          <w:tcPr>
            <w:tcW w:w="7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60"/>
        </w:trPr>
        <w:tc>
          <w:tcPr>
            <w:tcW w:w="7380" w:type="dxa"/>
            <w:vAlign w:val="bottom"/>
          </w:tcPr>
          <w:p>
            <w:pPr>
              <w:spacing w:after="0"/>
              <w:rPr>
                <w:sz w:val="20"/>
                <w:szCs w:val="20"/>
                <w:color w:val="auto"/>
              </w:rPr>
            </w:pPr>
            <w:r>
              <w:rPr>
                <w:rFonts w:ascii="Arial" w:cs="Arial" w:eastAsia="Arial" w:hAnsi="Arial"/>
                <w:sz w:val="20"/>
                <w:szCs w:val="20"/>
                <w:b w:val="1"/>
                <w:bCs w:val="1"/>
                <w:color w:val="auto"/>
              </w:rPr>
              <w:t>Defined benefit plans</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83"/>
        </w:trPr>
        <w:tc>
          <w:tcPr>
            <w:tcW w:w="7380" w:type="dxa"/>
            <w:vAlign w:val="bottom"/>
          </w:tcPr>
          <w:p>
            <w:pPr>
              <w:spacing w:after="0"/>
              <w:rPr>
                <w:sz w:val="20"/>
                <w:szCs w:val="20"/>
                <w:color w:val="auto"/>
              </w:rPr>
            </w:pPr>
            <w:r>
              <w:rPr>
                <w:rFonts w:ascii="Arial" w:cs="Arial" w:eastAsia="Arial" w:hAnsi="Arial"/>
                <w:sz w:val="20"/>
                <w:szCs w:val="20"/>
                <w:color w:val="auto"/>
              </w:rPr>
              <w:t>Net periodic benefit cost</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24"/>
              <w:spacing w:after="0"/>
              <w:rPr>
                <w:sz w:val="20"/>
                <w:szCs w:val="20"/>
                <w:color w:val="auto"/>
              </w:rPr>
            </w:pPr>
            <w:r>
              <w:rPr>
                <w:rFonts w:ascii="Arial" w:cs="Arial" w:eastAsia="Arial" w:hAnsi="Arial"/>
                <w:sz w:val="20"/>
                <w:szCs w:val="20"/>
                <w:color w:val="auto"/>
              </w:rPr>
              <w:t>(22)</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40"/>
              <w:spacing w:after="0"/>
              <w:rPr>
                <w:sz w:val="20"/>
                <w:szCs w:val="20"/>
                <w:color w:val="auto"/>
              </w:rPr>
            </w:pPr>
            <w:r>
              <w:rPr>
                <w:rFonts w:ascii="Arial" w:cs="Arial" w:eastAsia="Arial" w:hAnsi="Arial"/>
                <w:sz w:val="20"/>
                <w:szCs w:val="20"/>
                <w:color w:val="auto"/>
              </w:rPr>
              <w:t>48</w:t>
            </w:r>
          </w:p>
        </w:tc>
      </w:tr>
      <w:tr>
        <w:trPr>
          <w:trHeight w:val="279"/>
        </w:trPr>
        <w:tc>
          <w:tcPr>
            <w:tcW w:w="7380" w:type="dxa"/>
            <w:vAlign w:val="bottom"/>
          </w:tcPr>
          <w:p>
            <w:pPr>
              <w:spacing w:after="0"/>
              <w:rPr>
                <w:sz w:val="20"/>
                <w:szCs w:val="20"/>
                <w:color w:val="auto"/>
              </w:rPr>
            </w:pPr>
            <w:r>
              <w:rPr>
                <w:rFonts w:ascii="Arial" w:cs="Arial" w:eastAsia="Arial" w:hAnsi="Arial"/>
                <w:sz w:val="20"/>
                <w:szCs w:val="20"/>
                <w:color w:val="auto"/>
              </w:rPr>
              <w:t>Projected benefit obligation</w:t>
            </w:r>
          </w:p>
        </w:tc>
        <w:tc>
          <w:tcPr>
            <w:tcW w:w="300" w:type="dxa"/>
            <w:vAlign w:val="bottom"/>
          </w:tcPr>
          <w:p>
            <w:pPr>
              <w:spacing w:after="0"/>
              <w:rPr>
                <w:sz w:val="24"/>
                <w:szCs w:val="24"/>
                <w:color w:val="auto"/>
              </w:rPr>
            </w:pPr>
          </w:p>
        </w:tc>
        <w:tc>
          <w:tcPr>
            <w:tcW w:w="580" w:type="dxa"/>
            <w:vAlign w:val="bottom"/>
          </w:tcPr>
          <w:p>
            <w:pPr>
              <w:jc w:val="right"/>
              <w:ind w:right="24"/>
              <w:spacing w:after="0"/>
              <w:rPr>
                <w:sz w:val="20"/>
                <w:szCs w:val="20"/>
                <w:color w:val="auto"/>
              </w:rPr>
            </w:pPr>
            <w:r>
              <w:rPr>
                <w:rFonts w:ascii="Arial" w:cs="Arial" w:eastAsia="Arial" w:hAnsi="Arial"/>
                <w:sz w:val="20"/>
                <w:szCs w:val="20"/>
                <w:color w:val="auto"/>
                <w:w w:val="94"/>
              </w:rPr>
              <w:t>(607)</w:t>
            </w:r>
          </w:p>
        </w:tc>
        <w:tc>
          <w:tcPr>
            <w:tcW w:w="360" w:type="dxa"/>
            <w:vAlign w:val="bottom"/>
          </w:tcPr>
          <w:p>
            <w:pPr>
              <w:spacing w:after="0"/>
              <w:rPr>
                <w:sz w:val="24"/>
                <w:szCs w:val="24"/>
                <w:color w:val="auto"/>
              </w:rPr>
            </w:pPr>
          </w:p>
        </w:tc>
        <w:tc>
          <w:tcPr>
            <w:tcW w:w="480" w:type="dxa"/>
            <w:vAlign w:val="bottom"/>
          </w:tcPr>
          <w:p>
            <w:pPr>
              <w:jc w:val="right"/>
              <w:ind w:right="40"/>
              <w:spacing w:after="0"/>
              <w:rPr>
                <w:sz w:val="20"/>
                <w:szCs w:val="20"/>
                <w:color w:val="auto"/>
              </w:rPr>
            </w:pPr>
            <w:r>
              <w:rPr>
                <w:rFonts w:ascii="Arial" w:cs="Arial" w:eastAsia="Arial" w:hAnsi="Arial"/>
                <w:sz w:val="20"/>
                <w:szCs w:val="20"/>
                <w:color w:val="auto"/>
                <w:w w:val="95"/>
              </w:rPr>
              <w:t>672</w:t>
            </w:r>
          </w:p>
        </w:tc>
      </w:tr>
      <w:tr>
        <w:trPr>
          <w:trHeight w:val="275"/>
        </w:trPr>
        <w:tc>
          <w:tcPr>
            <w:tcW w:w="7380" w:type="dxa"/>
            <w:vAlign w:val="bottom"/>
          </w:tcPr>
          <w:p>
            <w:pPr>
              <w:spacing w:after="0"/>
              <w:rPr>
                <w:sz w:val="20"/>
                <w:szCs w:val="20"/>
                <w:color w:val="auto"/>
              </w:rPr>
            </w:pPr>
            <w:r>
              <w:rPr>
                <w:rFonts w:ascii="Arial" w:cs="Arial" w:eastAsia="Arial" w:hAnsi="Arial"/>
                <w:sz w:val="20"/>
                <w:szCs w:val="20"/>
                <w:b w:val="1"/>
                <w:bCs w:val="1"/>
                <w:color w:val="auto"/>
              </w:rPr>
              <w:t>Other post-employment plans</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83"/>
        </w:trPr>
        <w:tc>
          <w:tcPr>
            <w:tcW w:w="7380" w:type="dxa"/>
            <w:vAlign w:val="bottom"/>
          </w:tcPr>
          <w:p>
            <w:pPr>
              <w:spacing w:after="0"/>
              <w:rPr>
                <w:sz w:val="20"/>
                <w:szCs w:val="20"/>
                <w:color w:val="auto"/>
              </w:rPr>
            </w:pPr>
            <w:r>
              <w:rPr>
                <w:rFonts w:ascii="Arial" w:cs="Arial" w:eastAsia="Arial" w:hAnsi="Arial"/>
                <w:sz w:val="20"/>
                <w:szCs w:val="20"/>
                <w:color w:val="auto"/>
              </w:rPr>
              <w:t>Net periodic benefit cost</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24"/>
              <w:spacing w:after="0"/>
              <w:rPr>
                <w:sz w:val="20"/>
                <w:szCs w:val="20"/>
                <w:color w:val="auto"/>
              </w:rPr>
            </w:pPr>
            <w:r>
              <w:rPr>
                <w:rFonts w:ascii="Arial" w:cs="Arial" w:eastAsia="Arial" w:hAnsi="Arial"/>
                <w:sz w:val="20"/>
                <w:szCs w:val="20"/>
                <w:color w:val="auto"/>
              </w:rPr>
              <w:t>(5)</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40"/>
              <w:spacing w:after="0"/>
              <w:rPr>
                <w:sz w:val="20"/>
                <w:szCs w:val="20"/>
                <w:color w:val="auto"/>
              </w:rPr>
            </w:pPr>
            <w:r>
              <w:rPr>
                <w:rFonts w:ascii="Arial" w:cs="Arial" w:eastAsia="Arial" w:hAnsi="Arial"/>
                <w:sz w:val="20"/>
                <w:szCs w:val="20"/>
                <w:color w:val="auto"/>
              </w:rPr>
              <w:t>6</w:t>
            </w:r>
          </w:p>
        </w:tc>
      </w:tr>
      <w:tr>
        <w:trPr>
          <w:trHeight w:val="282"/>
        </w:trPr>
        <w:tc>
          <w:tcPr>
            <w:tcW w:w="7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Projected benefit obligation</w:t>
            </w: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(47)</w:t>
            </w: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52</w:t>
            </w:r>
          </w:p>
        </w:tc>
      </w:tr>
    </w:tbl>
    <w:p>
      <w:pPr>
        <w:spacing w:after="0" w:line="181" w:lineRule="exact"/>
        <w:rPr>
          <w:sz w:val="20"/>
          <w:szCs w:val="20"/>
          <w:color w:val="auto"/>
        </w:rPr>
      </w:pPr>
    </w:p>
    <w:p>
      <w:pPr>
        <w:ind w:firstLine="359"/>
        <w:spacing w:after="0" w:line="263" w:lineRule="auto"/>
        <w:rPr>
          <w:sz w:val="20"/>
          <w:szCs w:val="20"/>
          <w:color w:val="auto"/>
        </w:rPr>
      </w:pPr>
      <w:r>
        <w:rPr>
          <w:rFonts w:ascii="Arial" w:cs="Arial" w:eastAsia="Arial" w:hAnsi="Arial"/>
          <w:sz w:val="19"/>
          <w:szCs w:val="19"/>
          <w:color w:val="auto"/>
        </w:rPr>
        <w:t>The expected long-term rate of return is based on the asset allocation, historical performance and the current view of expected future returns. AbbVie considers these inputs with a long-term focus to avoid short-term market influences. The current long-term rate of return on plan assets for each plan is supported by the historical performance of the trust’s actual and target asset allocation. AbbVie’s assumed expected long-term rate of return has a significant effect on the amounts reported for defined benefit pension plans as of December 31, 2025 and will be used in the calculation of net periodic benefit cost in 2026. A one percentage point change in assumed expected long-term rate of return on plan assets would increase or decrease the net period benefit cost of these plans in 2026 by $118 million.</w:t>
      </w:r>
    </w:p>
    <w:p>
      <w:pPr>
        <w:spacing w:after="0" w:line="108" w:lineRule="exact"/>
        <w:rPr>
          <w:sz w:val="20"/>
          <w:szCs w:val="20"/>
          <w:color w:val="auto"/>
        </w:rPr>
      </w:pPr>
    </w:p>
    <w:p>
      <w:pPr>
        <w:ind w:right="100" w:firstLine="359"/>
        <w:spacing w:after="0" w:line="250" w:lineRule="auto"/>
        <w:rPr>
          <w:sz w:val="20"/>
          <w:szCs w:val="20"/>
          <w:color w:val="auto"/>
        </w:rPr>
      </w:pPr>
      <w:r>
        <w:rPr>
          <w:rFonts w:ascii="Arial" w:cs="Arial" w:eastAsia="Arial" w:hAnsi="Arial"/>
          <w:sz w:val="20"/>
          <w:szCs w:val="20"/>
          <w:color w:val="auto"/>
        </w:rPr>
        <w:t>The health care cost trend rate is selected by reviewing historical trends and current views on projected future health care cost increases. The current health care cost trend rate is supported by the historical trend experience of each plan. Assumed health care cost trend rates have a significant effect on the amounts reported for health care plans as of December 31, 2025 and will be used in the calculation of net periodic benefit cost in 2026.</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Income Taxes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AbbVie accounts for income taxes under the asset and liability method. Provisions for federal, state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and foreign income taxes are calculated on reported pre-tax earnings based on current tax laws.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Deferred taxes are provided using enacted tax rates on the future tax consequences of temporary</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differences, which are the differences between the financial statement carrying amount of assets and</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liabilities and their respective tax bases and the tax benefits of carryforwards. A valuation allowance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is established or maintained when, based on currently available information, it is more likely than not that</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all or a portion of a deferred tax asset will not be realized.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Litigation</w:t>
      </w:r>
    </w:p>
    <w:p>
      <w:pPr>
        <w:spacing w:after="0" w:line="131" w:lineRule="exact"/>
        <w:rPr>
          <w:sz w:val="20"/>
          <w:szCs w:val="20"/>
          <w:color w:val="auto"/>
        </w:rPr>
      </w:pPr>
    </w:p>
    <w:p>
      <w:pPr>
        <w:ind w:right="20" w:firstLine="359"/>
        <w:spacing w:after="0" w:line="250" w:lineRule="auto"/>
        <w:rPr>
          <w:sz w:val="20"/>
          <w:szCs w:val="20"/>
          <w:color w:val="auto"/>
        </w:rPr>
      </w:pPr>
      <w:r>
        <w:rPr>
          <w:rFonts w:ascii="Arial" w:cs="Arial" w:eastAsia="Arial" w:hAnsi="Arial"/>
          <w:sz w:val="20"/>
          <w:szCs w:val="20"/>
          <w:color w:val="auto"/>
        </w:rPr>
        <w:t>The company is subject to contingencies, such as various claims, legal proceedings and investigations regarding product liability, intellectual property, commercial, securities and other matters that arise in the normal course of business. See Note 15 to the Consolidated Financial Statements for additional information. Loss contingency provisions are recorded for probable losses at management’s best estimate of a loss, or when a best estimate cannot be made, a minimum loss contingency amount</w:t>
      </w:r>
    </w:p>
    <w:p>
      <w:pPr>
        <w:sectPr>
          <w:pgSz w:w="11880" w:h="15480" w:orient="portrait"/>
          <w:cols w:equalWidth="0" w:num="1">
            <w:col w:w="9100"/>
          </w:cols>
          <w:pgMar w:left="1400" w:top="1030" w:right="1380" w:bottom="75"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sz w:val="1"/>
          <w:szCs w:val="1"/>
          <w:color w:val="auto"/>
        </w:rPr>
        <w:drawing>
          <wp:inline distT="0" distB="0" distL="0" distR="0">
            <wp:extent cx="615950" cy="1282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58" w:name="page59"/>
    <w:bookmarkEnd w:id="58"/>
    <w:p>
      <w:pPr>
        <w:spacing w:after="0" w:line="251" w:lineRule="auto"/>
        <w:rPr>
          <w:sz w:val="20"/>
          <w:szCs w:val="20"/>
          <w:color w:val="auto"/>
        </w:rPr>
      </w:pPr>
      <w:r>
        <w:rPr>
          <w:rFonts w:ascii="Arial" w:cs="Arial" w:eastAsia="Arial" w:hAnsi="Arial"/>
          <w:sz w:val="20"/>
          <w:szCs w:val="20"/>
          <w:color w:val="auto"/>
        </w:rPr>
        <w:t>within a probable range is recorded. Accordingly, AbbVie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Valuation of Goodwill and Intangible Assets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AbbVie has acquired and may continue to acquire significant intangible assets in connection with</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business combinations that AbbVie records at fair value. Transactions involving the purchase or sale of</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occur between companies in the pharmaceuticals industry and valuations are</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usually based on a discounted cash flow analysis incorporating the stage of completion. The discounted</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cash flow model requires assumptions about the timing and amount of future net cash flows, risk, cost</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of capital, terminal values and market participants. Each of these factors can significantly affect the value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of the intangible asset. In-process research and development (IPR&amp;D) acquired in a business</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combination is capitalized as an indefinite-lived intangible asset until regulatory approval is obtained, at</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which time it is accounted for as a definite-lived asset and amortized over its estimated useful life, or</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discontinuation, at which point the intangible asset will be written off. IPR&amp;D acquired in transactions that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are not business combinations is expensed immediately, unless deemed to have an alternative future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use. Milestone payments made to third parties subsequent to regulatory approval are capitalized and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amortized over the remaining useful life.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AbbVie reviews the recoverability of definite-lived intangible assets whenever events or changes in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circumstances indicate the carrying value of an asset may not be recoverable. Goodwill and indefinite-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lived intangible assets are reviewed for impairment annually or when an event occurs that could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result in an impairment. See Note 2 and Note 7 to the Consolidated Financial Statements for additional</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information.</w:t>
      </w:r>
    </w:p>
    <w:p>
      <w:pPr>
        <w:spacing w:after="0" w:line="136"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Annually, the company tests its goodwill for impairment by first assessing qualitative factors to determine whether it is more likely than not that the fair value is less than its carrying amount. Some of the factors considered in the assessment include general macro-economic conditions, conditions specific to the industry and market, cost factors, the overall financial performance and whether there have been sustained declines in the company’s share price. If the company concludes it is more likely than not that the fair value of the reporting unit is less than its carrying amount, a quantitative impairment test is performed. AbbVie tests indefinite-lived intangible assets for impairment by first assessing qualitative factors to determine whether it is more likely than not that the fair value is less than its carrying amount. If the company concludes it is more likely than not that the fair value is less than its carrying amount, a quantitative impairment test is performed.</w:t>
      </w:r>
    </w:p>
    <w:p>
      <w:pPr>
        <w:spacing w:after="0" w:line="128"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For its quantitative impairment tests, the company uses an estimated future cash flow approach that requires significant judgment with respect to future volume, revenue and expense growth rates, changes in working capital use, the selection of an appropriate discount rate, asset groupings and other assumptions and estimates. The estimates and assumptions used are consistent with the company’s business plans and a market participant’s views. The use of alternative estimates and assumptions could increase or decrease projected cash flows and the estimated fair value of the related intangible assets. Future changes to these estimates and assumptions could have a material impact on the company’s results of operations. Actual results may differ from the company’s estimates.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Contingent Consideration</w:t>
      </w:r>
    </w:p>
    <w:p>
      <w:pPr>
        <w:spacing w:after="0" w:line="131" w:lineRule="exact"/>
        <w:rPr>
          <w:sz w:val="20"/>
          <w:szCs w:val="20"/>
          <w:color w:val="auto"/>
        </w:rPr>
      </w:pPr>
    </w:p>
    <w:p>
      <w:pPr>
        <w:ind w:right="20" w:firstLine="359"/>
        <w:spacing w:after="0" w:line="268" w:lineRule="auto"/>
        <w:rPr>
          <w:sz w:val="20"/>
          <w:szCs w:val="20"/>
          <w:color w:val="auto"/>
        </w:rPr>
      </w:pPr>
      <w:r>
        <w:rPr>
          <w:rFonts w:ascii="Arial" w:cs="Arial" w:eastAsia="Arial" w:hAnsi="Arial"/>
          <w:sz w:val="19"/>
          <w:szCs w:val="19"/>
          <w:color w:val="auto"/>
        </w:rPr>
        <w:t>The fair value measurements of contingent consideration liabilities are determined as of the acquisition date based on significant unobservable inputs, including the discount rate, estimated probabilities and timing of achieving specified development, regulatory and commercial milestones and the estimated amount of future sales of the acquired products. Contingent consideration liabilities are revalued to fair value at each subsequent reporting date until the related contingency is resolved. The potential contingent consideration payments are estimated by applying a probability-weighted expected payment model for contingent milestone payments and a Monte Carlo simulation model for contingent</w:t>
      </w:r>
    </w:p>
    <w:p>
      <w:pPr>
        <w:sectPr>
          <w:pgSz w:w="11880" w:h="15480" w:orient="portrait"/>
          <w:cols w:equalWidth="0" w:num="1">
            <w:col w:w="9100"/>
          </w:cols>
          <w:pgMar w:left="1400" w:top="1030" w:right="1380" w:bottom="87" w:gutter="0" w:footer="0" w:header="0"/>
        </w:sectPr>
      </w:pPr>
    </w:p>
    <w:p>
      <w:pPr>
        <w:spacing w:after="0" w:line="232"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53</w:t>
      </w:r>
    </w:p>
    <w:p>
      <w:pPr>
        <w:sectPr>
          <w:pgSz w:w="11880" w:h="15480" w:orient="portrait"/>
          <w:cols w:equalWidth="0" w:num="1">
            <w:col w:w="9100"/>
          </w:cols>
          <w:pgMar w:left="1400" w:top="1030" w:right="1380" w:bottom="87" w:gutter="0" w:footer="0" w:header="0"/>
          <w:type w:val="continuous"/>
        </w:sectPr>
      </w:pPr>
    </w:p>
    <w:bookmarkStart w:id="59" w:name="page60"/>
    <w:bookmarkEnd w:id="59"/>
    <w:p>
      <w:pPr>
        <w:spacing w:after="0" w:line="264" w:lineRule="auto"/>
        <w:rPr>
          <w:sz w:val="20"/>
          <w:szCs w:val="20"/>
          <w:color w:val="auto"/>
        </w:rPr>
      </w:pPr>
      <w:r>
        <w:rPr>
          <w:rFonts w:ascii="Arial" w:cs="Arial" w:eastAsia="Arial" w:hAnsi="Arial"/>
          <w:sz w:val="19"/>
          <w:szCs w:val="19"/>
          <w:color w:val="auto"/>
        </w:rPr>
        <w:t>royalty payments, which are then discounted to present value.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certain of these inputs, which are disclosed in Note 11 to the Consolidated Financial Statements. Changes</w:t>
      </w:r>
    </w:p>
    <w:p>
      <w:pPr>
        <w:spacing w:after="0" w:line="5" w:lineRule="exact"/>
        <w:rPr>
          <w:sz w:val="20"/>
          <w:szCs w:val="20"/>
          <w:color w:val="auto"/>
        </w:rPr>
      </w:pPr>
    </w:p>
    <w:p>
      <w:pPr>
        <w:ind w:right="260"/>
        <w:spacing w:after="0" w:line="259" w:lineRule="auto"/>
        <w:rPr>
          <w:sz w:val="20"/>
          <w:szCs w:val="20"/>
          <w:color w:val="auto"/>
        </w:rPr>
      </w:pPr>
      <w:r>
        <w:rPr>
          <w:rFonts w:ascii="Arial" w:cs="Arial" w:eastAsia="Arial" w:hAnsi="Arial"/>
          <w:sz w:val="20"/>
          <w:szCs w:val="20"/>
          <w:color w:val="auto"/>
        </w:rPr>
        <w:t>to the inputs described above could have a material impact on the company’s financial position and results of operations in any given period.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ITEM 7A. QUANTITATIVE AND QUALITATIVE DISCLOSURES ABOUT MARKET RISK</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right="40" w:firstLine="359"/>
        <w:spacing w:after="0" w:line="254" w:lineRule="auto"/>
        <w:rPr>
          <w:sz w:val="20"/>
          <w:szCs w:val="20"/>
          <w:color w:val="auto"/>
        </w:rPr>
      </w:pPr>
      <w:r>
        <w:rPr>
          <w:rFonts w:ascii="Arial" w:cs="Arial" w:eastAsia="Arial" w:hAnsi="Arial"/>
          <w:sz w:val="20"/>
          <w:szCs w:val="20"/>
          <w:color w:val="auto"/>
        </w:rPr>
        <w:t>The company is exposed to risk that its earnings, cash flows and equity could be adversely impacted by changes in foreign exchange rates and interest rates. Certain derivative instruments are used when available on a cost-effective basis to hedge the company’s underlying economic exposures. See Note 11 to the Consolidated Financial Statements for additional information regarding the company’s financial instruments and hedging strategies.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Foreign Currency Risk</w:t>
      </w:r>
    </w:p>
    <w:p>
      <w:pPr>
        <w:spacing w:after="0" w:line="131" w:lineRule="exact"/>
        <w:rPr>
          <w:sz w:val="20"/>
          <w:szCs w:val="20"/>
          <w:color w:val="auto"/>
        </w:rPr>
      </w:pPr>
    </w:p>
    <w:p>
      <w:pPr>
        <w:ind w:right="80" w:firstLine="359"/>
        <w:spacing w:after="0" w:line="259" w:lineRule="auto"/>
        <w:rPr>
          <w:sz w:val="20"/>
          <w:szCs w:val="20"/>
          <w:color w:val="auto"/>
        </w:rPr>
      </w:pPr>
      <w:r>
        <w:rPr>
          <w:rFonts w:ascii="Arial" w:cs="Arial" w:eastAsia="Arial" w:hAnsi="Arial"/>
          <w:sz w:val="20"/>
          <w:szCs w:val="20"/>
          <w:color w:val="auto"/>
        </w:rPr>
        <w:t>AbbVie’s primary net foreign currency exposures are the Euro, Canadian dollar, Japanese yen and British pound. The following table reflects the total foreign currency forward exchange contracts outstanding at December 31, 2025 and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jc w:val="right"/>
              <w:ind w:right="110"/>
              <w:spacing w:after="0"/>
              <w:rPr>
                <w:sz w:val="20"/>
                <w:szCs w:val="20"/>
                <w:color w:val="auto"/>
              </w:rPr>
            </w:pPr>
            <w:r>
              <w:rPr>
                <w:rFonts w:ascii="Arial" w:cs="Arial" w:eastAsia="Arial" w:hAnsi="Arial"/>
                <w:sz w:val="16"/>
                <w:szCs w:val="16"/>
                <w:b w:val="1"/>
                <w:bCs w:val="1"/>
                <w:color w:val="auto"/>
              </w:rPr>
              <w:t>2025</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jc w:val="right"/>
              <w:ind w:right="110"/>
              <w:spacing w:after="0"/>
              <w:rPr>
                <w:sz w:val="20"/>
                <w:szCs w:val="20"/>
                <w:color w:val="auto"/>
              </w:rPr>
            </w:pPr>
            <w:r>
              <w:rPr>
                <w:rFonts w:ascii="Arial" w:cs="Arial" w:eastAsia="Arial" w:hAnsi="Arial"/>
                <w:sz w:val="16"/>
                <w:szCs w:val="16"/>
                <w:b w:val="1"/>
                <w:bCs w:val="1"/>
                <w:color w:val="auto"/>
              </w:rPr>
              <w:t>2024</w:t>
            </w:r>
          </w:p>
        </w:tc>
        <w:tc>
          <w:tcPr>
            <w:tcW w:w="900" w:type="dxa"/>
            <w:vAlign w:val="bottom"/>
          </w:tcPr>
          <w:p>
            <w:pPr>
              <w:spacing w:after="0"/>
              <w:rPr>
                <w:sz w:val="17"/>
                <w:szCs w:val="17"/>
                <w:color w:val="auto"/>
              </w:rPr>
            </w:pPr>
          </w:p>
        </w:tc>
      </w:tr>
      <w:tr>
        <w:trPr>
          <w:trHeight w:val="22"/>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0"/>
        </w:trPr>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Fair and</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Fair and</w:t>
            </w:r>
          </w:p>
        </w:tc>
      </w:tr>
      <w:tr>
        <w:trPr>
          <w:trHeight w:val="180"/>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Weighted</w:t>
            </w:r>
          </w:p>
        </w:tc>
        <w:tc>
          <w:tcPr>
            <w:tcW w:w="96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Weighted</w:t>
            </w:r>
          </w:p>
        </w:tc>
        <w:tc>
          <w:tcPr>
            <w:tcW w:w="9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carrying</w:t>
            </w:r>
          </w:p>
        </w:tc>
      </w:tr>
      <w:tr>
        <w:trPr>
          <w:trHeight w:val="180"/>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average</w:t>
            </w:r>
          </w:p>
        </w:tc>
        <w:tc>
          <w:tcPr>
            <w:tcW w:w="96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97"/>
              </w:rPr>
              <w:t>value</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5"/>
              </w:rPr>
              <w:t>average</w:t>
            </w:r>
          </w:p>
        </w:tc>
        <w:tc>
          <w:tcPr>
            <w:tcW w:w="9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value</w:t>
            </w:r>
          </w:p>
        </w:tc>
      </w:tr>
      <w:tr>
        <w:trPr>
          <w:trHeight w:val="180"/>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0"/>
              <w:spacing w:after="0" w:line="180" w:lineRule="exact"/>
              <w:rPr>
                <w:sz w:val="20"/>
                <w:szCs w:val="20"/>
                <w:color w:val="auto"/>
              </w:rPr>
            </w:pPr>
            <w:r>
              <w:rPr>
                <w:rFonts w:ascii="Arial" w:cs="Arial" w:eastAsia="Arial" w:hAnsi="Arial"/>
                <w:sz w:val="16"/>
                <w:szCs w:val="16"/>
                <w:b w:val="1"/>
                <w:bCs w:val="1"/>
                <w:color w:val="auto"/>
              </w:rPr>
              <w:t>Contract</w:t>
            </w: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exchange</w:t>
            </w:r>
          </w:p>
        </w:tc>
        <w:tc>
          <w:tcPr>
            <w:tcW w:w="960" w:type="dxa"/>
            <w:vAlign w:val="bottom"/>
            <w:gridSpan w:val="2"/>
          </w:tcPr>
          <w:p>
            <w:pPr>
              <w:jc w:val="center"/>
              <w:ind w:right="20"/>
              <w:spacing w:after="0" w:line="180" w:lineRule="exact"/>
              <w:rPr>
                <w:sz w:val="20"/>
                <w:szCs w:val="20"/>
                <w:color w:val="auto"/>
              </w:rPr>
            </w:pPr>
            <w:r>
              <w:rPr>
                <w:rFonts w:ascii="Arial" w:cs="Arial" w:eastAsia="Arial" w:hAnsi="Arial"/>
                <w:sz w:val="16"/>
                <w:szCs w:val="16"/>
                <w:b w:val="1"/>
                <w:bCs w:val="1"/>
                <w:color w:val="auto"/>
                <w:w w:val="99"/>
              </w:rPr>
              <w:t>receivable/</w:t>
            </w:r>
          </w:p>
        </w:tc>
        <w:tc>
          <w:tcPr>
            <w:tcW w:w="60" w:type="dxa"/>
            <w:vAlign w:val="bottom"/>
          </w:tcPr>
          <w:p>
            <w:pPr>
              <w:spacing w:after="0"/>
              <w:rPr>
                <w:sz w:val="15"/>
                <w:szCs w:val="15"/>
                <w:color w:val="auto"/>
              </w:rPr>
            </w:pPr>
          </w:p>
        </w:tc>
        <w:tc>
          <w:tcPr>
            <w:tcW w:w="800" w:type="dxa"/>
            <w:vAlign w:val="bottom"/>
          </w:tcPr>
          <w:p>
            <w:pPr>
              <w:jc w:val="right"/>
              <w:ind w:right="20"/>
              <w:spacing w:after="0" w:line="180" w:lineRule="exact"/>
              <w:rPr>
                <w:sz w:val="20"/>
                <w:szCs w:val="20"/>
                <w:color w:val="auto"/>
              </w:rPr>
            </w:pPr>
            <w:r>
              <w:rPr>
                <w:rFonts w:ascii="Arial" w:cs="Arial" w:eastAsia="Arial" w:hAnsi="Arial"/>
                <w:sz w:val="16"/>
                <w:szCs w:val="16"/>
                <w:b w:val="1"/>
                <w:bCs w:val="1"/>
                <w:color w:val="auto"/>
              </w:rPr>
              <w:t>Contract</w:t>
            </w: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exchange</w:t>
            </w:r>
          </w:p>
        </w:tc>
        <w:tc>
          <w:tcPr>
            <w:tcW w:w="9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receivable/</w:t>
            </w:r>
          </w:p>
        </w:tc>
      </w:tr>
      <w:tr>
        <w:trPr>
          <w:trHeight w:val="197"/>
        </w:trPr>
        <w:tc>
          <w:tcPr>
            <w:tcW w:w="378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8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b w:val="1"/>
                <w:bCs w:val="1"/>
                <w:color w:val="auto"/>
              </w:rPr>
              <w:t>amount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rate</w:t>
            </w:r>
          </w:p>
        </w:tc>
        <w:tc>
          <w:tcPr>
            <w:tcW w:w="9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9"/>
              </w:rPr>
              <w:t>(payable)</w:t>
            </w:r>
          </w:p>
        </w:tc>
        <w:tc>
          <w:tcPr>
            <w:tcW w:w="6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b w:val="1"/>
                <w:bCs w:val="1"/>
                <w:color w:val="auto"/>
              </w:rPr>
              <w:t>amount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rate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(payable)</w:t>
            </w:r>
          </w:p>
        </w:tc>
      </w:tr>
      <w:tr>
        <w:trPr>
          <w:trHeight w:val="22"/>
        </w:trPr>
        <w:tc>
          <w:tcPr>
            <w:tcW w:w="3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5"/>
        </w:trPr>
        <w:tc>
          <w:tcPr>
            <w:tcW w:w="3780" w:type="dxa"/>
            <w:vAlign w:val="bottom"/>
          </w:tcPr>
          <w:p>
            <w:pPr>
              <w:spacing w:after="0"/>
              <w:rPr>
                <w:sz w:val="20"/>
                <w:szCs w:val="20"/>
                <w:color w:val="auto"/>
              </w:rPr>
            </w:pPr>
            <w:r>
              <w:rPr>
                <w:rFonts w:ascii="Arial" w:cs="Arial" w:eastAsia="Arial" w:hAnsi="Arial"/>
                <w:sz w:val="20"/>
                <w:szCs w:val="20"/>
                <w:color w:val="auto"/>
              </w:rPr>
              <w:t>Receive primarily U.S. dollars in exchange</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8"/>
        </w:trPr>
        <w:tc>
          <w:tcPr>
            <w:tcW w:w="3780" w:type="dxa"/>
            <w:vAlign w:val="bottom"/>
          </w:tcPr>
          <w:p>
            <w:pPr>
              <w:ind w:left="180"/>
              <w:spacing w:after="0"/>
              <w:rPr>
                <w:sz w:val="20"/>
                <w:szCs w:val="20"/>
                <w:color w:val="auto"/>
              </w:rPr>
            </w:pPr>
            <w:r>
              <w:rPr>
                <w:rFonts w:ascii="Arial" w:cs="Arial" w:eastAsia="Arial" w:hAnsi="Arial"/>
                <w:sz w:val="20"/>
                <w:szCs w:val="20"/>
                <w:color w:val="auto"/>
              </w:rPr>
              <w:t>for the following currencies:</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9"/>
        </w:trPr>
        <w:tc>
          <w:tcPr>
            <w:tcW w:w="3780" w:type="dxa"/>
            <w:vAlign w:val="bottom"/>
          </w:tcPr>
          <w:p>
            <w:pPr>
              <w:spacing w:after="0"/>
              <w:rPr>
                <w:sz w:val="20"/>
                <w:szCs w:val="20"/>
                <w:color w:val="auto"/>
              </w:rPr>
            </w:pPr>
            <w:r>
              <w:rPr>
                <w:rFonts w:ascii="Arial" w:cs="Arial" w:eastAsia="Arial" w:hAnsi="Arial"/>
                <w:sz w:val="20"/>
                <w:szCs w:val="20"/>
                <w:color w:val="auto"/>
              </w:rPr>
              <w:t>Euro</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$14,505</w:t>
            </w:r>
          </w:p>
        </w:tc>
        <w:tc>
          <w:tcPr>
            <w:tcW w:w="860" w:type="dxa"/>
            <w:vAlign w:val="bottom"/>
          </w:tcPr>
          <w:p>
            <w:pPr>
              <w:jc w:val="right"/>
              <w:spacing w:after="0"/>
              <w:rPr>
                <w:sz w:val="20"/>
                <w:szCs w:val="20"/>
                <w:color w:val="auto"/>
              </w:rPr>
            </w:pPr>
            <w:r>
              <w:rPr>
                <w:rFonts w:ascii="Arial" w:cs="Arial" w:eastAsia="Arial" w:hAnsi="Arial"/>
                <w:sz w:val="20"/>
                <w:szCs w:val="20"/>
                <w:color w:val="auto"/>
              </w:rPr>
              <w:t>1.149</w:t>
            </w:r>
          </w:p>
        </w:tc>
        <w:tc>
          <w:tcPr>
            <w:tcW w:w="880" w:type="dxa"/>
            <w:vAlign w:val="bottom"/>
          </w:tcPr>
          <w:p>
            <w:pPr>
              <w:jc w:val="right"/>
              <w:spacing w:after="0"/>
              <w:rPr>
                <w:sz w:val="20"/>
                <w:szCs w:val="20"/>
                <w:color w:val="auto"/>
              </w:rPr>
            </w:pPr>
            <w:r>
              <w:rPr>
                <w:rFonts w:ascii="Arial" w:cs="Arial" w:eastAsia="Arial" w:hAnsi="Arial"/>
                <w:sz w:val="20"/>
                <w:szCs w:val="20"/>
                <w:color w:val="auto"/>
              </w:rPr>
              <w:t>$(443)</w:t>
            </w: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$10,590</w:t>
            </w:r>
          </w:p>
        </w:tc>
        <w:tc>
          <w:tcPr>
            <w:tcW w:w="860" w:type="dxa"/>
            <w:vAlign w:val="bottom"/>
          </w:tcPr>
          <w:p>
            <w:pPr>
              <w:jc w:val="right"/>
              <w:spacing w:after="0"/>
              <w:rPr>
                <w:sz w:val="20"/>
                <w:szCs w:val="20"/>
                <w:color w:val="auto"/>
              </w:rPr>
            </w:pPr>
            <w:r>
              <w:rPr>
                <w:rFonts w:ascii="Arial" w:cs="Arial" w:eastAsia="Arial" w:hAnsi="Arial"/>
                <w:sz w:val="20"/>
                <w:szCs w:val="20"/>
                <w:color w:val="auto"/>
              </w:rPr>
              <w:t>1.094</w:t>
            </w:r>
          </w:p>
        </w:tc>
        <w:tc>
          <w:tcPr>
            <w:tcW w:w="900" w:type="dxa"/>
            <w:vAlign w:val="bottom"/>
          </w:tcPr>
          <w:p>
            <w:pPr>
              <w:jc w:val="right"/>
              <w:ind w:right="109"/>
              <w:spacing w:after="0"/>
              <w:rPr>
                <w:sz w:val="20"/>
                <w:szCs w:val="20"/>
                <w:color w:val="auto"/>
              </w:rPr>
            </w:pPr>
            <w:r>
              <w:rPr>
                <w:rFonts w:ascii="Arial" w:cs="Arial" w:eastAsia="Arial" w:hAnsi="Arial"/>
                <w:sz w:val="20"/>
                <w:szCs w:val="20"/>
                <w:color w:val="auto"/>
              </w:rPr>
              <w:t>$183</w:t>
            </w:r>
          </w:p>
        </w:tc>
      </w:tr>
      <w:tr>
        <w:trPr>
          <w:trHeight w:val="279"/>
        </w:trPr>
        <w:tc>
          <w:tcPr>
            <w:tcW w:w="3780" w:type="dxa"/>
            <w:vAlign w:val="bottom"/>
          </w:tcPr>
          <w:p>
            <w:pPr>
              <w:spacing w:after="0"/>
              <w:rPr>
                <w:sz w:val="20"/>
                <w:szCs w:val="20"/>
                <w:color w:val="auto"/>
              </w:rPr>
            </w:pPr>
            <w:r>
              <w:rPr>
                <w:rFonts w:ascii="Arial" w:cs="Arial" w:eastAsia="Arial" w:hAnsi="Arial"/>
                <w:sz w:val="20"/>
                <w:szCs w:val="20"/>
                <w:color w:val="auto"/>
              </w:rPr>
              <w:t>Canadian dollar</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1,042</w:t>
            </w:r>
          </w:p>
        </w:tc>
        <w:tc>
          <w:tcPr>
            <w:tcW w:w="860" w:type="dxa"/>
            <w:vAlign w:val="bottom"/>
          </w:tcPr>
          <w:p>
            <w:pPr>
              <w:jc w:val="right"/>
              <w:spacing w:after="0"/>
              <w:rPr>
                <w:sz w:val="20"/>
                <w:szCs w:val="20"/>
                <w:color w:val="auto"/>
              </w:rPr>
            </w:pPr>
            <w:r>
              <w:rPr>
                <w:rFonts w:ascii="Arial" w:cs="Arial" w:eastAsia="Arial" w:hAnsi="Arial"/>
                <w:sz w:val="20"/>
                <w:szCs w:val="20"/>
                <w:color w:val="auto"/>
              </w:rPr>
              <w:t>1.373</w:t>
            </w:r>
          </w:p>
        </w:tc>
        <w:tc>
          <w:tcPr>
            <w:tcW w:w="88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1,042</w:t>
            </w:r>
          </w:p>
        </w:tc>
        <w:tc>
          <w:tcPr>
            <w:tcW w:w="860" w:type="dxa"/>
            <w:vAlign w:val="bottom"/>
          </w:tcPr>
          <w:p>
            <w:pPr>
              <w:jc w:val="right"/>
              <w:spacing w:after="0"/>
              <w:rPr>
                <w:sz w:val="20"/>
                <w:szCs w:val="20"/>
                <w:color w:val="auto"/>
              </w:rPr>
            </w:pPr>
            <w:r>
              <w:rPr>
                <w:rFonts w:ascii="Arial" w:cs="Arial" w:eastAsia="Arial" w:hAnsi="Arial"/>
                <w:sz w:val="20"/>
                <w:szCs w:val="20"/>
                <w:color w:val="auto"/>
              </w:rPr>
              <w:t>1.365</w:t>
            </w:r>
          </w:p>
        </w:tc>
        <w:tc>
          <w:tcPr>
            <w:tcW w:w="900" w:type="dxa"/>
            <w:vAlign w:val="bottom"/>
          </w:tcPr>
          <w:p>
            <w:pPr>
              <w:jc w:val="right"/>
              <w:ind w:right="109"/>
              <w:spacing w:after="0"/>
              <w:rPr>
                <w:sz w:val="20"/>
                <w:szCs w:val="20"/>
                <w:color w:val="auto"/>
              </w:rPr>
            </w:pPr>
            <w:r>
              <w:rPr>
                <w:rFonts w:ascii="Arial" w:cs="Arial" w:eastAsia="Arial" w:hAnsi="Arial"/>
                <w:sz w:val="20"/>
                <w:szCs w:val="20"/>
                <w:color w:val="auto"/>
              </w:rPr>
              <w:t>39</w:t>
            </w:r>
          </w:p>
        </w:tc>
      </w:tr>
      <w:tr>
        <w:trPr>
          <w:trHeight w:val="279"/>
        </w:trPr>
        <w:tc>
          <w:tcPr>
            <w:tcW w:w="3780" w:type="dxa"/>
            <w:vAlign w:val="bottom"/>
          </w:tcPr>
          <w:p>
            <w:pPr>
              <w:spacing w:after="0"/>
              <w:rPr>
                <w:sz w:val="20"/>
                <w:szCs w:val="20"/>
                <w:color w:val="auto"/>
              </w:rPr>
            </w:pPr>
            <w:r>
              <w:rPr>
                <w:rFonts w:ascii="Arial" w:cs="Arial" w:eastAsia="Arial" w:hAnsi="Arial"/>
                <w:sz w:val="20"/>
                <w:szCs w:val="20"/>
                <w:color w:val="auto"/>
              </w:rPr>
              <w:t>Japanese yen</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799</w:t>
            </w:r>
          </w:p>
        </w:tc>
        <w:tc>
          <w:tcPr>
            <w:tcW w:w="860" w:type="dxa"/>
            <w:vAlign w:val="bottom"/>
          </w:tcPr>
          <w:p>
            <w:pPr>
              <w:jc w:val="right"/>
              <w:spacing w:after="0"/>
              <w:rPr>
                <w:sz w:val="20"/>
                <w:szCs w:val="20"/>
                <w:color w:val="auto"/>
              </w:rPr>
            </w:pPr>
            <w:r>
              <w:rPr>
                <w:rFonts w:ascii="Arial" w:cs="Arial" w:eastAsia="Arial" w:hAnsi="Arial"/>
                <w:sz w:val="20"/>
                <w:szCs w:val="20"/>
                <w:color w:val="auto"/>
              </w:rPr>
              <w:t>149.220</w:t>
            </w:r>
          </w:p>
        </w:tc>
        <w:tc>
          <w:tcPr>
            <w:tcW w:w="880" w:type="dxa"/>
            <w:vAlign w:val="bottom"/>
          </w:tcPr>
          <w:p>
            <w:pPr>
              <w:jc w:val="right"/>
              <w:ind w:right="49"/>
              <w:spacing w:after="0"/>
              <w:rPr>
                <w:sz w:val="20"/>
                <w:szCs w:val="20"/>
                <w:color w:val="auto"/>
              </w:rPr>
            </w:pPr>
            <w:r>
              <w:rPr>
                <w:rFonts w:ascii="Arial" w:cs="Arial" w:eastAsia="Arial" w:hAnsi="Arial"/>
                <w:sz w:val="20"/>
                <w:szCs w:val="20"/>
                <w:color w:val="auto"/>
              </w:rPr>
              <w:t>36</w:t>
            </w: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836</w:t>
            </w:r>
          </w:p>
        </w:tc>
        <w:tc>
          <w:tcPr>
            <w:tcW w:w="860" w:type="dxa"/>
            <w:vAlign w:val="bottom"/>
          </w:tcPr>
          <w:p>
            <w:pPr>
              <w:jc w:val="right"/>
              <w:spacing w:after="0"/>
              <w:rPr>
                <w:sz w:val="20"/>
                <w:szCs w:val="20"/>
                <w:color w:val="auto"/>
              </w:rPr>
            </w:pPr>
            <w:r>
              <w:rPr>
                <w:rFonts w:ascii="Arial" w:cs="Arial" w:eastAsia="Arial" w:hAnsi="Arial"/>
                <w:sz w:val="20"/>
                <w:szCs w:val="20"/>
                <w:color w:val="auto"/>
              </w:rPr>
              <w:t>148.386</w:t>
            </w:r>
          </w:p>
        </w:tc>
        <w:tc>
          <w:tcPr>
            <w:tcW w:w="900" w:type="dxa"/>
            <w:vAlign w:val="bottom"/>
          </w:tcPr>
          <w:p>
            <w:pPr>
              <w:jc w:val="right"/>
              <w:ind w:right="109"/>
              <w:spacing w:after="0"/>
              <w:rPr>
                <w:sz w:val="20"/>
                <w:szCs w:val="20"/>
                <w:color w:val="auto"/>
              </w:rPr>
            </w:pPr>
            <w:r>
              <w:rPr>
                <w:rFonts w:ascii="Arial" w:cs="Arial" w:eastAsia="Arial" w:hAnsi="Arial"/>
                <w:sz w:val="20"/>
                <w:szCs w:val="20"/>
                <w:color w:val="auto"/>
              </w:rPr>
              <w:t>40</w:t>
            </w:r>
          </w:p>
        </w:tc>
      </w:tr>
      <w:tr>
        <w:trPr>
          <w:trHeight w:val="279"/>
        </w:trPr>
        <w:tc>
          <w:tcPr>
            <w:tcW w:w="3780" w:type="dxa"/>
            <w:vAlign w:val="bottom"/>
          </w:tcPr>
          <w:p>
            <w:pPr>
              <w:spacing w:after="0"/>
              <w:rPr>
                <w:sz w:val="20"/>
                <w:szCs w:val="20"/>
                <w:color w:val="auto"/>
              </w:rPr>
            </w:pPr>
            <w:r>
              <w:rPr>
                <w:rFonts w:ascii="Arial" w:cs="Arial" w:eastAsia="Arial" w:hAnsi="Arial"/>
                <w:sz w:val="20"/>
                <w:szCs w:val="20"/>
                <w:color w:val="auto"/>
              </w:rPr>
              <w:t>British pound</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560</w:t>
            </w:r>
          </w:p>
        </w:tc>
        <w:tc>
          <w:tcPr>
            <w:tcW w:w="860" w:type="dxa"/>
            <w:vAlign w:val="bottom"/>
          </w:tcPr>
          <w:p>
            <w:pPr>
              <w:jc w:val="right"/>
              <w:spacing w:after="0"/>
              <w:rPr>
                <w:sz w:val="20"/>
                <w:szCs w:val="20"/>
                <w:color w:val="auto"/>
              </w:rPr>
            </w:pPr>
            <w:r>
              <w:rPr>
                <w:rFonts w:ascii="Arial" w:cs="Arial" w:eastAsia="Arial" w:hAnsi="Arial"/>
                <w:sz w:val="20"/>
                <w:szCs w:val="20"/>
                <w:color w:val="auto"/>
              </w:rPr>
              <w:t>1.336</w:t>
            </w: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461</w:t>
            </w:r>
          </w:p>
        </w:tc>
        <w:tc>
          <w:tcPr>
            <w:tcW w:w="860" w:type="dxa"/>
            <w:vAlign w:val="bottom"/>
          </w:tcPr>
          <w:p>
            <w:pPr>
              <w:jc w:val="right"/>
              <w:spacing w:after="0"/>
              <w:rPr>
                <w:sz w:val="20"/>
                <w:szCs w:val="20"/>
                <w:color w:val="auto"/>
              </w:rPr>
            </w:pPr>
            <w:r>
              <w:rPr>
                <w:rFonts w:ascii="Arial" w:cs="Arial" w:eastAsia="Arial" w:hAnsi="Arial"/>
                <w:sz w:val="20"/>
                <w:szCs w:val="20"/>
                <w:color w:val="auto"/>
              </w:rPr>
              <w:t>1.271</w:t>
            </w:r>
          </w:p>
        </w:tc>
        <w:tc>
          <w:tcPr>
            <w:tcW w:w="900" w:type="dxa"/>
            <w:vAlign w:val="bottom"/>
          </w:tcPr>
          <w:p>
            <w:pPr>
              <w:jc w:val="right"/>
              <w:ind w:right="49"/>
              <w:spacing w:after="0"/>
              <w:rPr>
                <w:sz w:val="20"/>
                <w:szCs w:val="20"/>
                <w:color w:val="auto"/>
              </w:rPr>
            </w:pPr>
            <w:r>
              <w:rPr>
                <w:rFonts w:ascii="Arial" w:cs="Arial" w:eastAsia="Arial" w:hAnsi="Arial"/>
                <w:sz w:val="20"/>
                <w:szCs w:val="20"/>
                <w:color w:val="auto"/>
              </w:rPr>
              <w:t>(1)</w:t>
            </w:r>
          </w:p>
        </w:tc>
      </w:tr>
      <w:tr>
        <w:trPr>
          <w:trHeight w:val="282"/>
        </w:trPr>
        <w:tc>
          <w:tcPr>
            <w:tcW w:w="3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All other currencies</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2,662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n/a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w:t>
            </w: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2,308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n/a</w:t>
            </w: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20"/>
                <w:szCs w:val="20"/>
                <w:color w:val="auto"/>
              </w:rPr>
              <w:t>17</w:t>
            </w:r>
          </w:p>
        </w:tc>
      </w:tr>
      <w:tr>
        <w:trPr>
          <w:trHeight w:val="269"/>
        </w:trPr>
        <w:tc>
          <w:tcPr>
            <w:tcW w:w="3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$19,568</w:t>
            </w:r>
          </w:p>
        </w:tc>
        <w:tc>
          <w:tcPr>
            <w:tcW w:w="8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$(458)</w:t>
            </w:r>
          </w:p>
        </w:tc>
        <w:tc>
          <w:tcPr>
            <w:tcW w:w="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$15,237</w:t>
            </w:r>
          </w:p>
        </w:tc>
        <w:tc>
          <w:tcPr>
            <w:tcW w:w="8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20"/>
                <w:szCs w:val="20"/>
                <w:color w:val="auto"/>
              </w:rPr>
              <w:t>$278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company estimates that a 10% appreciation in the underlying currencies being hedged from</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their levels against the U.S. dollar, with all other variables held constant, would decrease the fair value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of foreign exchange forward contracts by $2.0 billion at December 31, 2025. If realized, this appreciation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would negatively affect earnings over the remaining life of the contracts. However, gains and losses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on the hedging instruments offset losses and gains on the hedged transactions and reduce the earnings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and stockholders’ equity volatility relating to foreign exchange. A 10% appreciation is believed to be a</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reasonably possible near-term change in foreign currencies.</w:t>
      </w:r>
    </w:p>
    <w:p>
      <w:pPr>
        <w:spacing w:after="0" w:line="140" w:lineRule="exact"/>
        <w:rPr>
          <w:sz w:val="20"/>
          <w:szCs w:val="20"/>
          <w:color w:val="auto"/>
        </w:rPr>
      </w:pPr>
    </w:p>
    <w:p>
      <w:pPr>
        <w:ind w:firstLine="359"/>
        <w:spacing w:after="0" w:line="268" w:lineRule="auto"/>
        <w:rPr>
          <w:sz w:val="20"/>
          <w:szCs w:val="20"/>
          <w:color w:val="auto"/>
        </w:rPr>
      </w:pPr>
      <w:r>
        <w:rPr>
          <w:rFonts w:ascii="Arial" w:cs="Arial" w:eastAsia="Arial" w:hAnsi="Arial"/>
          <w:sz w:val="19"/>
          <w:szCs w:val="19"/>
          <w:color w:val="auto"/>
        </w:rPr>
        <w:t>As of December 31, 2025, the company has unsecured senior Euro notes outstanding, which are exposed to foreign currency risk. The company designated €3.1 billion aggregate principal amount of these foreign currency denominated notes as hedges of its net investments in certain foreign subsidiaries and affiliates. As a result, any foreign currency translation gains or losses related to the Euro notes will be included in accumulated other comprehensive loss. See Note 10 to the Consolidated Financial Statements for additional information regarding the senior Euro notes and Note 11 to the Consolidated Financial Statements for additional information regarding the net investment hedging program.</w:t>
      </w:r>
    </w:p>
    <w:p>
      <w:pPr>
        <w:sectPr>
          <w:pgSz w:w="11880" w:h="15480" w:orient="portrait"/>
          <w:cols w:equalWidth="0" w:num="1">
            <w:col w:w="9100"/>
          </w:cols>
          <w:pgMar w:left="1400" w:top="1030"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sz w:val="1"/>
          <w:szCs w:val="1"/>
          <w:color w:val="auto"/>
        </w:rPr>
        <w:drawing>
          <wp:inline distT="0" distB="0" distL="0" distR="0">
            <wp:extent cx="615950" cy="12827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color w:val="000039"/>
        </w:rPr>
        <w:t>Interest Rate Risk</w:t>
      </w:r>
    </w:p>
    <w:p>
      <w:pPr>
        <w:spacing w:after="0" w:line="131"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The company estimates that an increase in interest rates of 100 basis points would adversely impact the fair value of AbbVie’s interest rate swap contracts by approximately $81 million at December 31, 2025. If realized, the fair value reduction would affect earnings over the remaining life of the contracts. The company estimates that an increase of 100 basis points in long-term interest rates would decrease the fair value of long-term debt by $4.5 billion at December 31, 2025. A 100 basis point change is believed to be a reasonably possible near-term change in interest rates.</w:t>
      </w:r>
    </w:p>
    <w:p>
      <w:pPr>
        <w:sectPr>
          <w:pgSz w:w="11880" w:h="15480" w:orient="portrait"/>
          <w:cols w:equalWidth="0" w:num="1">
            <w:col w:w="9100"/>
          </w:cols>
          <w:pgMar w:left="1400" w:top="1028"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55</w:t>
      </w:r>
    </w:p>
    <w:p>
      <w:pPr>
        <w:sectPr>
          <w:pgSz w:w="11880" w:h="15480" w:orient="portrait"/>
          <w:cols w:equalWidth="0" w:num="1">
            <w:col w:w="9100"/>
          </w:cols>
          <w:pgMar w:left="1400" w:top="1028" w:right="1380" w:bottom="87"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color w:val="000039"/>
        </w:rPr>
        <w:t>ITEM 8. FINANCIAL STATEMENTS AND SUPPLEMENTARY DATA</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5530215</wp:posOffset>
                </wp:positionH>
                <wp:positionV relativeFrom="paragraph">
                  <wp:posOffset>31115</wp:posOffset>
                </wp:positionV>
                <wp:extent cx="24193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45pt,2.45pt" to="454.5pt,2.45pt" o:allowincell="f" strokecolor="#000000" strokeweight="0.499pt"/>
            </w:pict>
          </mc:Fallback>
        </mc:AlternateConten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Financial Statements</w:t>
      </w:r>
    </w:p>
    <w:p>
      <w:pPr>
        <w:spacing w:after="0" w:line="71" w:lineRule="exact"/>
        <w:rPr>
          <w:sz w:val="20"/>
          <w:szCs w:val="20"/>
          <w:color w:val="auto"/>
        </w:rPr>
      </w:pPr>
    </w:p>
    <w:p>
      <w:pPr>
        <w:spacing w:after="0"/>
        <w:tabs>
          <w:tab w:leader="none" w:pos="8820" w:val="left"/>
        </w:tabs>
        <w:rPr>
          <w:sz w:val="20"/>
          <w:szCs w:val="20"/>
          <w:color w:val="auto"/>
        </w:rPr>
      </w:pPr>
      <w:r>
        <w:rPr>
          <w:rFonts w:ascii="Arial" w:cs="Arial" w:eastAsia="Arial" w:hAnsi="Arial"/>
          <w:sz w:val="20"/>
          <w:szCs w:val="20"/>
          <w:color w:val="auto"/>
        </w:rPr>
        <w:t>Consolidated Statements of Earnings</w:t>
      </w:r>
      <w:r>
        <w:rPr>
          <w:sz w:val="20"/>
          <w:szCs w:val="20"/>
          <w:color w:val="auto"/>
        </w:rPr>
        <w:tab/>
      </w:r>
      <w:r>
        <w:rPr>
          <w:rFonts w:ascii="Arial" w:cs="Arial" w:eastAsia="Arial" w:hAnsi="Arial"/>
          <w:sz w:val="19"/>
          <w:szCs w:val="19"/>
          <w:color w:val="auto"/>
        </w:rPr>
        <w:t>57</w:t>
      </w:r>
    </w:p>
    <w:p>
      <w:pPr>
        <w:spacing w:after="0" w:line="69" w:lineRule="exact"/>
        <w:rPr>
          <w:sz w:val="20"/>
          <w:szCs w:val="20"/>
          <w:color w:val="auto"/>
        </w:rPr>
      </w:pPr>
    </w:p>
    <w:p>
      <w:pPr>
        <w:spacing w:after="0"/>
        <w:tabs>
          <w:tab w:leader="none" w:pos="8820" w:val="left"/>
        </w:tabs>
        <w:rPr>
          <w:sz w:val="20"/>
          <w:szCs w:val="20"/>
          <w:color w:val="auto"/>
        </w:rPr>
      </w:pPr>
      <w:r>
        <w:rPr>
          <w:rFonts w:ascii="Arial" w:cs="Arial" w:eastAsia="Arial" w:hAnsi="Arial"/>
          <w:sz w:val="20"/>
          <w:szCs w:val="20"/>
          <w:color w:val="auto"/>
        </w:rPr>
        <w:t>Consolidated Statements of Comprehensive Income</w:t>
      </w:r>
      <w:r>
        <w:rPr>
          <w:sz w:val="20"/>
          <w:szCs w:val="20"/>
          <w:color w:val="auto"/>
        </w:rPr>
        <w:tab/>
      </w:r>
      <w:r>
        <w:rPr>
          <w:rFonts w:ascii="Arial" w:cs="Arial" w:eastAsia="Arial" w:hAnsi="Arial"/>
          <w:sz w:val="19"/>
          <w:szCs w:val="19"/>
          <w:color w:val="auto"/>
        </w:rPr>
        <w:t>58</w:t>
      </w:r>
    </w:p>
    <w:p>
      <w:pPr>
        <w:spacing w:after="0" w:line="69" w:lineRule="exact"/>
        <w:rPr>
          <w:sz w:val="20"/>
          <w:szCs w:val="20"/>
          <w:color w:val="auto"/>
        </w:rPr>
      </w:pPr>
    </w:p>
    <w:p>
      <w:pPr>
        <w:spacing w:after="0"/>
        <w:tabs>
          <w:tab w:leader="none" w:pos="8820" w:val="left"/>
        </w:tabs>
        <w:rPr>
          <w:sz w:val="20"/>
          <w:szCs w:val="20"/>
          <w:color w:val="auto"/>
        </w:rPr>
      </w:pPr>
      <w:r>
        <w:rPr>
          <w:rFonts w:ascii="Arial" w:cs="Arial" w:eastAsia="Arial" w:hAnsi="Arial"/>
          <w:sz w:val="20"/>
          <w:szCs w:val="20"/>
          <w:color w:val="auto"/>
        </w:rPr>
        <w:t>Consolidated Balance Sheets</w:t>
      </w:r>
      <w:r>
        <w:rPr>
          <w:sz w:val="20"/>
          <w:szCs w:val="20"/>
          <w:color w:val="auto"/>
        </w:rPr>
        <w:tab/>
      </w:r>
      <w:r>
        <w:rPr>
          <w:rFonts w:ascii="Arial" w:cs="Arial" w:eastAsia="Arial" w:hAnsi="Arial"/>
          <w:sz w:val="19"/>
          <w:szCs w:val="19"/>
          <w:color w:val="auto"/>
        </w:rPr>
        <w:t>59</w:t>
      </w:r>
    </w:p>
    <w:p>
      <w:pPr>
        <w:spacing w:after="0" w:line="69" w:lineRule="exact"/>
        <w:rPr>
          <w:sz w:val="20"/>
          <w:szCs w:val="20"/>
          <w:color w:val="auto"/>
        </w:rPr>
      </w:pPr>
    </w:p>
    <w:p>
      <w:pPr>
        <w:spacing w:after="0"/>
        <w:tabs>
          <w:tab w:leader="none" w:pos="8820" w:val="left"/>
        </w:tabs>
        <w:rPr>
          <w:sz w:val="20"/>
          <w:szCs w:val="20"/>
          <w:color w:val="auto"/>
        </w:rPr>
      </w:pPr>
      <w:r>
        <w:rPr>
          <w:rFonts w:ascii="Arial" w:cs="Arial" w:eastAsia="Arial" w:hAnsi="Arial"/>
          <w:sz w:val="20"/>
          <w:szCs w:val="20"/>
          <w:color w:val="auto"/>
        </w:rPr>
        <w:t>Consolidated Statements of Equity (Deficit)</w:t>
      </w:r>
      <w:r>
        <w:rPr>
          <w:sz w:val="20"/>
          <w:szCs w:val="20"/>
          <w:color w:val="auto"/>
        </w:rPr>
        <w:tab/>
      </w:r>
      <w:r>
        <w:rPr>
          <w:rFonts w:ascii="Arial" w:cs="Arial" w:eastAsia="Arial" w:hAnsi="Arial"/>
          <w:sz w:val="19"/>
          <w:szCs w:val="19"/>
          <w:color w:val="auto"/>
        </w:rPr>
        <w:t>60</w:t>
      </w:r>
    </w:p>
    <w:p>
      <w:pPr>
        <w:spacing w:after="0" w:line="69" w:lineRule="exact"/>
        <w:rPr>
          <w:sz w:val="20"/>
          <w:szCs w:val="20"/>
          <w:color w:val="auto"/>
        </w:rPr>
      </w:pPr>
    </w:p>
    <w:p>
      <w:pPr>
        <w:spacing w:after="0"/>
        <w:tabs>
          <w:tab w:leader="none" w:pos="8820" w:val="left"/>
        </w:tabs>
        <w:rPr>
          <w:sz w:val="20"/>
          <w:szCs w:val="20"/>
          <w:color w:val="auto"/>
        </w:rPr>
      </w:pPr>
      <w:r>
        <w:rPr>
          <w:rFonts w:ascii="Arial" w:cs="Arial" w:eastAsia="Arial" w:hAnsi="Arial"/>
          <w:sz w:val="20"/>
          <w:szCs w:val="20"/>
          <w:color w:val="auto"/>
        </w:rPr>
        <w:t>Consolidated Statements of Cash Flows</w:t>
      </w:r>
      <w:r>
        <w:rPr>
          <w:sz w:val="20"/>
          <w:szCs w:val="20"/>
          <w:color w:val="auto"/>
        </w:rPr>
        <w:tab/>
      </w:r>
      <w:r>
        <w:rPr>
          <w:rFonts w:ascii="Arial" w:cs="Arial" w:eastAsia="Arial" w:hAnsi="Arial"/>
          <w:sz w:val="19"/>
          <w:szCs w:val="19"/>
          <w:color w:val="auto"/>
        </w:rPr>
        <w:t>61</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1"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1</w:t>
      </w:r>
      <w:r>
        <w:rPr>
          <w:sz w:val="20"/>
          <w:szCs w:val="20"/>
          <w:color w:val="auto"/>
        </w:rPr>
        <w:tab/>
      </w:r>
      <w:r>
        <w:rPr>
          <w:rFonts w:ascii="Arial" w:cs="Arial" w:eastAsia="Arial" w:hAnsi="Arial"/>
          <w:sz w:val="20"/>
          <w:szCs w:val="20"/>
          <w:color w:val="auto"/>
        </w:rPr>
        <w:t>Background</w:t>
      </w:r>
      <w:r>
        <w:rPr>
          <w:sz w:val="20"/>
          <w:szCs w:val="20"/>
          <w:color w:val="auto"/>
        </w:rPr>
        <w:tab/>
      </w:r>
      <w:r>
        <w:rPr>
          <w:rFonts w:ascii="Arial" w:cs="Arial" w:eastAsia="Arial" w:hAnsi="Arial"/>
          <w:sz w:val="19"/>
          <w:szCs w:val="19"/>
          <w:color w:val="auto"/>
        </w:rPr>
        <w:t>62</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2</w:t>
      </w:r>
      <w:r>
        <w:rPr>
          <w:sz w:val="20"/>
          <w:szCs w:val="20"/>
          <w:color w:val="auto"/>
        </w:rPr>
        <w:tab/>
      </w:r>
      <w:r>
        <w:rPr>
          <w:rFonts w:ascii="Arial" w:cs="Arial" w:eastAsia="Arial" w:hAnsi="Arial"/>
          <w:sz w:val="20"/>
          <w:szCs w:val="20"/>
          <w:color w:val="auto"/>
        </w:rPr>
        <w:t>Summary of Significant Accounting Policies</w:t>
      </w:r>
      <w:r>
        <w:rPr>
          <w:sz w:val="20"/>
          <w:szCs w:val="20"/>
          <w:color w:val="auto"/>
        </w:rPr>
        <w:tab/>
      </w:r>
      <w:r>
        <w:rPr>
          <w:rFonts w:ascii="Arial" w:cs="Arial" w:eastAsia="Arial" w:hAnsi="Arial"/>
          <w:sz w:val="19"/>
          <w:szCs w:val="19"/>
          <w:color w:val="auto"/>
        </w:rPr>
        <w:t>62</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3</w:t>
      </w:r>
      <w:r>
        <w:rPr>
          <w:sz w:val="20"/>
          <w:szCs w:val="20"/>
          <w:color w:val="auto"/>
        </w:rPr>
        <w:tab/>
      </w:r>
      <w:r>
        <w:rPr>
          <w:rFonts w:ascii="Arial" w:cs="Arial" w:eastAsia="Arial" w:hAnsi="Arial"/>
          <w:sz w:val="20"/>
          <w:szCs w:val="20"/>
          <w:color w:val="auto"/>
        </w:rPr>
        <w:t>Supplemental Financial Information</w:t>
      </w:r>
      <w:r>
        <w:rPr>
          <w:sz w:val="20"/>
          <w:szCs w:val="20"/>
          <w:color w:val="auto"/>
        </w:rPr>
        <w:tab/>
      </w:r>
      <w:r>
        <w:rPr>
          <w:rFonts w:ascii="Arial" w:cs="Arial" w:eastAsia="Arial" w:hAnsi="Arial"/>
          <w:sz w:val="19"/>
          <w:szCs w:val="19"/>
          <w:color w:val="auto"/>
        </w:rPr>
        <w:t>67</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4</w:t>
      </w:r>
      <w:r>
        <w:rPr>
          <w:sz w:val="20"/>
          <w:szCs w:val="20"/>
          <w:color w:val="auto"/>
        </w:rPr>
        <w:tab/>
      </w:r>
      <w:r>
        <w:rPr>
          <w:rFonts w:ascii="Arial" w:cs="Arial" w:eastAsia="Arial" w:hAnsi="Arial"/>
          <w:sz w:val="20"/>
          <w:szCs w:val="20"/>
          <w:color w:val="auto"/>
        </w:rPr>
        <w:t>Earnings Per Share</w:t>
      </w:r>
      <w:r>
        <w:rPr>
          <w:sz w:val="20"/>
          <w:szCs w:val="20"/>
          <w:color w:val="auto"/>
        </w:rPr>
        <w:tab/>
      </w:r>
      <w:r>
        <w:rPr>
          <w:rFonts w:ascii="Arial" w:cs="Arial" w:eastAsia="Arial" w:hAnsi="Arial"/>
          <w:sz w:val="19"/>
          <w:szCs w:val="19"/>
          <w:color w:val="auto"/>
        </w:rPr>
        <w:t>68</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5</w:t>
      </w:r>
      <w:r>
        <w:rPr>
          <w:sz w:val="20"/>
          <w:szCs w:val="20"/>
          <w:color w:val="auto"/>
        </w:rPr>
        <w:tab/>
      </w:r>
      <w:r>
        <w:rPr>
          <w:rFonts w:ascii="Arial" w:cs="Arial" w:eastAsia="Arial" w:hAnsi="Arial"/>
          <w:sz w:val="20"/>
          <w:szCs w:val="20"/>
          <w:color w:val="auto"/>
        </w:rPr>
        <w:t>Licensing, Acquisitions and Other Arrangements</w:t>
      </w:r>
      <w:r>
        <w:rPr>
          <w:sz w:val="20"/>
          <w:szCs w:val="20"/>
          <w:color w:val="auto"/>
        </w:rPr>
        <w:tab/>
      </w:r>
      <w:r>
        <w:rPr>
          <w:rFonts w:ascii="Arial" w:cs="Arial" w:eastAsia="Arial" w:hAnsi="Arial"/>
          <w:sz w:val="19"/>
          <w:szCs w:val="19"/>
          <w:color w:val="auto"/>
        </w:rPr>
        <w:t>69</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6</w:t>
      </w:r>
      <w:r>
        <w:rPr>
          <w:sz w:val="20"/>
          <w:szCs w:val="20"/>
          <w:color w:val="auto"/>
        </w:rPr>
        <w:tab/>
      </w:r>
      <w:r>
        <w:rPr>
          <w:rFonts w:ascii="Arial" w:cs="Arial" w:eastAsia="Arial" w:hAnsi="Arial"/>
          <w:sz w:val="20"/>
          <w:szCs w:val="20"/>
          <w:color w:val="auto"/>
        </w:rPr>
        <w:t>Collaborations</w:t>
      </w:r>
      <w:r>
        <w:rPr>
          <w:sz w:val="20"/>
          <w:szCs w:val="20"/>
          <w:color w:val="auto"/>
        </w:rPr>
        <w:tab/>
      </w:r>
      <w:r>
        <w:rPr>
          <w:rFonts w:ascii="Arial" w:cs="Arial" w:eastAsia="Arial" w:hAnsi="Arial"/>
          <w:sz w:val="19"/>
          <w:szCs w:val="19"/>
          <w:color w:val="auto"/>
        </w:rPr>
        <w:t>75</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7</w:t>
      </w:r>
      <w:r>
        <w:rPr>
          <w:sz w:val="20"/>
          <w:szCs w:val="20"/>
          <w:color w:val="auto"/>
        </w:rPr>
        <w:tab/>
      </w:r>
      <w:r>
        <w:rPr>
          <w:rFonts w:ascii="Arial" w:cs="Arial" w:eastAsia="Arial" w:hAnsi="Arial"/>
          <w:sz w:val="20"/>
          <w:szCs w:val="20"/>
          <w:color w:val="auto"/>
        </w:rPr>
        <w:t>Goodwill and Intangible Assets</w:t>
      </w:r>
      <w:r>
        <w:rPr>
          <w:sz w:val="20"/>
          <w:szCs w:val="20"/>
          <w:color w:val="auto"/>
        </w:rPr>
        <w:tab/>
      </w:r>
      <w:r>
        <w:rPr>
          <w:rFonts w:ascii="Arial" w:cs="Arial" w:eastAsia="Arial" w:hAnsi="Arial"/>
          <w:sz w:val="19"/>
          <w:szCs w:val="19"/>
          <w:color w:val="auto"/>
        </w:rPr>
        <w:t>77</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8</w:t>
      </w:r>
      <w:r>
        <w:rPr>
          <w:sz w:val="20"/>
          <w:szCs w:val="20"/>
          <w:color w:val="auto"/>
        </w:rPr>
        <w:tab/>
      </w:r>
      <w:r>
        <w:rPr>
          <w:rFonts w:ascii="Arial" w:cs="Arial" w:eastAsia="Arial" w:hAnsi="Arial"/>
          <w:sz w:val="20"/>
          <w:szCs w:val="20"/>
          <w:color w:val="auto"/>
        </w:rPr>
        <w:t>Restructuring Plans</w:t>
      </w:r>
      <w:r>
        <w:rPr>
          <w:sz w:val="20"/>
          <w:szCs w:val="20"/>
          <w:color w:val="auto"/>
        </w:rPr>
        <w:tab/>
      </w:r>
      <w:r>
        <w:rPr>
          <w:rFonts w:ascii="Arial" w:cs="Arial" w:eastAsia="Arial" w:hAnsi="Arial"/>
          <w:sz w:val="19"/>
          <w:szCs w:val="19"/>
          <w:color w:val="auto"/>
        </w:rPr>
        <w:t>79</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9</w:t>
      </w:r>
      <w:r>
        <w:rPr>
          <w:sz w:val="20"/>
          <w:szCs w:val="20"/>
          <w:color w:val="auto"/>
        </w:rPr>
        <w:tab/>
      </w:r>
      <w:r>
        <w:rPr>
          <w:rFonts w:ascii="Arial" w:cs="Arial" w:eastAsia="Arial" w:hAnsi="Arial"/>
          <w:sz w:val="20"/>
          <w:szCs w:val="20"/>
          <w:color w:val="auto"/>
        </w:rPr>
        <w:t>Leases</w:t>
      </w:r>
      <w:r>
        <w:rPr>
          <w:sz w:val="20"/>
          <w:szCs w:val="20"/>
          <w:color w:val="auto"/>
        </w:rPr>
        <w:tab/>
      </w:r>
      <w:r>
        <w:rPr>
          <w:rFonts w:ascii="Arial" w:cs="Arial" w:eastAsia="Arial" w:hAnsi="Arial"/>
          <w:sz w:val="19"/>
          <w:szCs w:val="19"/>
          <w:color w:val="auto"/>
        </w:rPr>
        <w:t>80</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10</w:t>
        <w:tab/>
        <w:t>Debt, Credit Facilities and Commitments and Contingencies</w:t>
      </w:r>
      <w:r>
        <w:rPr>
          <w:sz w:val="20"/>
          <w:szCs w:val="20"/>
          <w:color w:val="auto"/>
        </w:rPr>
        <w:tab/>
      </w:r>
      <w:r>
        <w:rPr>
          <w:rFonts w:ascii="Arial" w:cs="Arial" w:eastAsia="Arial" w:hAnsi="Arial"/>
          <w:sz w:val="19"/>
          <w:szCs w:val="19"/>
          <w:color w:val="auto"/>
        </w:rPr>
        <w:t>81</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11</w:t>
        <w:tab/>
        <w:t>Financial Instruments and Fair Value Measures</w:t>
      </w:r>
      <w:r>
        <w:rPr>
          <w:sz w:val="20"/>
          <w:szCs w:val="20"/>
          <w:color w:val="auto"/>
        </w:rPr>
        <w:tab/>
      </w:r>
      <w:r>
        <w:rPr>
          <w:rFonts w:ascii="Arial" w:cs="Arial" w:eastAsia="Arial" w:hAnsi="Arial"/>
          <w:sz w:val="19"/>
          <w:szCs w:val="19"/>
          <w:color w:val="auto"/>
        </w:rPr>
        <w:t>84</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12</w:t>
        <w:tab/>
        <w:t>Post-Employment Benefits</w:t>
      </w:r>
      <w:r>
        <w:rPr>
          <w:sz w:val="20"/>
          <w:szCs w:val="20"/>
          <w:color w:val="auto"/>
        </w:rPr>
        <w:tab/>
      </w:r>
      <w:r>
        <w:rPr>
          <w:rFonts w:ascii="Arial" w:cs="Arial" w:eastAsia="Arial" w:hAnsi="Arial"/>
          <w:sz w:val="19"/>
          <w:szCs w:val="19"/>
          <w:color w:val="auto"/>
        </w:rPr>
        <w:t>89</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13</w:t>
        <w:tab/>
        <w:t>Equity</w:t>
      </w:r>
      <w:r>
        <w:rPr>
          <w:sz w:val="20"/>
          <w:szCs w:val="20"/>
          <w:color w:val="auto"/>
        </w:rPr>
        <w:tab/>
      </w:r>
      <w:r>
        <w:rPr>
          <w:rFonts w:ascii="Arial" w:cs="Arial" w:eastAsia="Arial" w:hAnsi="Arial"/>
          <w:sz w:val="19"/>
          <w:szCs w:val="19"/>
          <w:color w:val="auto"/>
        </w:rPr>
        <w:t>93</w:t>
      </w:r>
    </w:p>
    <w:p>
      <w:pPr>
        <w:spacing w:after="0" w:line="69" w:lineRule="exact"/>
        <w:rPr>
          <w:sz w:val="20"/>
          <w:szCs w:val="20"/>
          <w:color w:val="auto"/>
        </w:rPr>
      </w:pPr>
    </w:p>
    <w:p>
      <w:pPr>
        <w:spacing w:after="0"/>
        <w:tabs>
          <w:tab w:leader="none" w:pos="880" w:val="left"/>
          <w:tab w:leader="none" w:pos="8820" w:val="left"/>
        </w:tabs>
        <w:rPr>
          <w:sz w:val="20"/>
          <w:szCs w:val="20"/>
          <w:color w:val="auto"/>
        </w:rPr>
      </w:pPr>
      <w:r>
        <w:rPr>
          <w:rFonts w:ascii="Arial" w:cs="Arial" w:eastAsia="Arial" w:hAnsi="Arial"/>
          <w:sz w:val="20"/>
          <w:szCs w:val="20"/>
          <w:color w:val="auto"/>
        </w:rPr>
        <w:t>Note 14</w:t>
        <w:tab/>
        <w:t>Income Taxes</w:t>
      </w:r>
      <w:r>
        <w:rPr>
          <w:sz w:val="20"/>
          <w:szCs w:val="20"/>
          <w:color w:val="auto"/>
        </w:rPr>
        <w:tab/>
      </w:r>
      <w:r>
        <w:rPr>
          <w:rFonts w:ascii="Arial" w:cs="Arial" w:eastAsia="Arial" w:hAnsi="Arial"/>
          <w:sz w:val="19"/>
          <w:szCs w:val="19"/>
          <w:color w:val="auto"/>
        </w:rPr>
        <w:t>97</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Arial" w:cs="Arial" w:eastAsia="Arial" w:hAnsi="Arial"/>
          <w:sz w:val="20"/>
          <w:szCs w:val="20"/>
          <w:color w:val="auto"/>
        </w:rPr>
        <w:t>Note 15</w:t>
        <w:tab/>
        <w:t>Legal Proceedings and Contingencies</w:t>
      </w:r>
      <w:r>
        <w:rPr>
          <w:sz w:val="20"/>
          <w:szCs w:val="20"/>
          <w:color w:val="auto"/>
        </w:rPr>
        <w:tab/>
      </w:r>
      <w:r>
        <w:rPr>
          <w:rFonts w:ascii="Arial" w:cs="Arial" w:eastAsia="Arial" w:hAnsi="Arial"/>
          <w:sz w:val="19"/>
          <w:szCs w:val="19"/>
          <w:color w:val="auto"/>
        </w:rPr>
        <w:t>101</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Arial" w:cs="Arial" w:eastAsia="Arial" w:hAnsi="Arial"/>
          <w:sz w:val="20"/>
          <w:szCs w:val="20"/>
          <w:color w:val="auto"/>
        </w:rPr>
        <w:t>Note 16</w:t>
        <w:tab/>
        <w:t>Segment and Geographic Area Information</w:t>
      </w:r>
      <w:r>
        <w:rPr>
          <w:sz w:val="20"/>
          <w:szCs w:val="20"/>
          <w:color w:val="auto"/>
        </w:rPr>
        <w:tab/>
      </w:r>
      <w:r>
        <w:rPr>
          <w:rFonts w:ascii="Arial" w:cs="Arial" w:eastAsia="Arial" w:hAnsi="Arial"/>
          <w:sz w:val="19"/>
          <w:szCs w:val="19"/>
          <w:color w:val="auto"/>
        </w:rPr>
        <w:t>103</w:t>
      </w:r>
    </w:p>
    <w:p>
      <w:pPr>
        <w:spacing w:after="0" w:line="69" w:lineRule="exact"/>
        <w:rPr>
          <w:sz w:val="20"/>
          <w:szCs w:val="20"/>
          <w:color w:val="auto"/>
        </w:rPr>
      </w:pPr>
    </w:p>
    <w:p>
      <w:pPr>
        <w:spacing w:after="0"/>
        <w:tabs>
          <w:tab w:leader="none" w:pos="880" w:val="left"/>
          <w:tab w:leader="none" w:pos="8720" w:val="left"/>
        </w:tabs>
        <w:rPr>
          <w:sz w:val="20"/>
          <w:szCs w:val="20"/>
          <w:color w:val="auto"/>
        </w:rPr>
      </w:pPr>
      <w:r>
        <w:rPr>
          <w:rFonts w:ascii="Arial" w:cs="Arial" w:eastAsia="Arial" w:hAnsi="Arial"/>
          <w:sz w:val="20"/>
          <w:szCs w:val="20"/>
          <w:color w:val="auto"/>
        </w:rPr>
        <w:t>Note 17</w:t>
        <w:tab/>
        <w:t>Fourth Quarter Financial Results (unaudited)</w:t>
      </w:r>
      <w:r>
        <w:rPr>
          <w:sz w:val="20"/>
          <w:szCs w:val="20"/>
          <w:color w:val="auto"/>
        </w:rPr>
        <w:tab/>
      </w:r>
      <w:r>
        <w:rPr>
          <w:rFonts w:ascii="Arial" w:cs="Arial" w:eastAsia="Arial" w:hAnsi="Arial"/>
          <w:sz w:val="19"/>
          <w:szCs w:val="19"/>
          <w:color w:val="auto"/>
        </w:rPr>
        <w:t>106</w:t>
      </w:r>
    </w:p>
    <w:p>
      <w:pPr>
        <w:spacing w:after="0" w:line="189" w:lineRule="exact"/>
        <w:rPr>
          <w:sz w:val="20"/>
          <w:szCs w:val="20"/>
          <w:color w:val="auto"/>
        </w:rPr>
      </w:pPr>
    </w:p>
    <w:p>
      <w:pPr>
        <w:spacing w:after="0"/>
        <w:tabs>
          <w:tab w:leader="none" w:pos="8720" w:val="left"/>
        </w:tabs>
        <w:rPr>
          <w:sz w:val="20"/>
          <w:szCs w:val="20"/>
          <w:color w:val="auto"/>
        </w:rPr>
      </w:pPr>
      <w:r>
        <w:rPr>
          <w:rFonts w:ascii="Arial" w:cs="Arial" w:eastAsia="Arial" w:hAnsi="Arial"/>
          <w:sz w:val="20"/>
          <w:szCs w:val="20"/>
          <w:color w:val="auto"/>
        </w:rPr>
        <w:t>Report of Independent Registered Public Accounting Firm (PCAOB ID: 42)</w:t>
      </w:r>
      <w:r>
        <w:rPr>
          <w:sz w:val="20"/>
          <w:szCs w:val="20"/>
          <w:color w:val="auto"/>
        </w:rPr>
        <w:tab/>
      </w:r>
      <w:r>
        <w:rPr>
          <w:rFonts w:ascii="Arial" w:cs="Arial" w:eastAsia="Arial" w:hAnsi="Arial"/>
          <w:sz w:val="19"/>
          <w:szCs w:val="19"/>
          <w:color w:val="auto"/>
        </w:rPr>
        <w:t>107</w:t>
      </w:r>
    </w:p>
    <w:p>
      <w:pPr>
        <w:sectPr>
          <w:pgSz w:w="11880" w:h="15480" w:orient="portrait"/>
          <w:cols w:equalWidth="0" w:num="1">
            <w:col w:w="9100"/>
          </w:cols>
          <w:pgMar w:left="1400" w:top="965"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sz w:val="1"/>
          <w:szCs w:val="1"/>
          <w:color w:val="auto"/>
        </w:rPr>
        <w:drawing>
          <wp:inline distT="0" distB="0" distL="0" distR="0">
            <wp:extent cx="615950" cy="12827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965" w:right="1380" w:bottom="75" w:gutter="0" w:footer="0" w:header="0"/>
          <w:type w:val="continuous"/>
        </w:sectPr>
      </w:pPr>
    </w:p>
    <w:bookmarkStart w:id="62" w:name="page63"/>
    <w:bookmarkEnd w:id="62"/>
    <w:p>
      <w:pPr>
        <w:spacing w:after="0"/>
        <w:rPr>
          <w:sz w:val="20"/>
          <w:szCs w:val="20"/>
          <w:color w:val="auto"/>
        </w:rPr>
      </w:pPr>
      <w:r>
        <w:rPr>
          <w:rFonts w:ascii="Arial" w:cs="Arial" w:eastAsia="Arial" w:hAnsi="Arial"/>
          <w:sz w:val="22"/>
          <w:szCs w:val="22"/>
          <w:b w:val="1"/>
          <w:bCs w:val="1"/>
          <w:color w:val="000039"/>
        </w:rPr>
        <w:t>AbbVie Inc. and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Consolidated Statements of Earnings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 except per share data)</w:t>
            </w:r>
          </w:p>
        </w:tc>
        <w:tc>
          <w:tcPr>
            <w:tcW w:w="1000" w:type="dxa"/>
            <w:vAlign w:val="bottom"/>
          </w:tcPr>
          <w:p>
            <w:pPr>
              <w:spacing w:after="0"/>
              <w:rPr>
                <w:sz w:val="17"/>
                <w:szCs w:val="17"/>
                <w:color w:val="auto"/>
              </w:rPr>
            </w:pPr>
          </w:p>
        </w:tc>
        <w:tc>
          <w:tcPr>
            <w:tcW w:w="760" w:type="dxa"/>
            <w:vAlign w:val="bottom"/>
          </w:tcPr>
          <w:p>
            <w:pPr>
              <w:jc w:val="right"/>
              <w:ind w:right="241"/>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760" w:type="dxa"/>
            <w:vAlign w:val="bottom"/>
          </w:tcPr>
          <w:p>
            <w:pPr>
              <w:jc w:val="right"/>
              <w:ind w:right="241"/>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620" w:type="dxa"/>
            <w:vAlign w:val="bottom"/>
          </w:tcPr>
          <w:p>
            <w:pPr>
              <w:jc w:val="right"/>
              <w:ind w:right="101"/>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5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560" w:type="dxa"/>
            <w:vAlign w:val="bottom"/>
          </w:tcPr>
          <w:p>
            <w:pPr>
              <w:spacing w:after="0"/>
              <w:rPr>
                <w:sz w:val="20"/>
                <w:szCs w:val="20"/>
                <w:color w:val="auto"/>
              </w:rPr>
            </w:pPr>
            <w:r>
              <w:rPr>
                <w:rFonts w:ascii="Arial" w:cs="Arial" w:eastAsia="Arial" w:hAnsi="Arial"/>
                <w:sz w:val="20"/>
                <w:szCs w:val="20"/>
                <w:b w:val="1"/>
                <w:bCs w:val="1"/>
                <w:color w:val="auto"/>
              </w:rPr>
              <w:t>Net revenues</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61"/>
              <w:spacing w:after="0"/>
              <w:rPr>
                <w:sz w:val="20"/>
                <w:szCs w:val="20"/>
                <w:color w:val="auto"/>
              </w:rPr>
            </w:pPr>
            <w:r>
              <w:rPr>
                <w:rFonts w:ascii="Arial" w:cs="Arial" w:eastAsia="Arial" w:hAnsi="Arial"/>
                <w:sz w:val="20"/>
                <w:szCs w:val="20"/>
                <w:color w:val="auto"/>
                <w:w w:val="94"/>
              </w:rPr>
              <w:t>61,160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41"/>
              <w:spacing w:after="0"/>
              <w:rPr>
                <w:sz w:val="20"/>
                <w:szCs w:val="20"/>
                <w:color w:val="auto"/>
              </w:rPr>
            </w:pPr>
            <w:r>
              <w:rPr>
                <w:rFonts w:ascii="Arial" w:cs="Arial" w:eastAsia="Arial" w:hAnsi="Arial"/>
                <w:sz w:val="20"/>
                <w:szCs w:val="20"/>
                <w:color w:val="auto"/>
                <w:w w:val="98"/>
              </w:rPr>
              <w:t>56,334</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54,318</w:t>
            </w:r>
          </w:p>
        </w:tc>
        <w:tc>
          <w:tcPr>
            <w:tcW w:w="60" w:type="dxa"/>
            <w:vAlign w:val="bottom"/>
          </w:tcPr>
          <w:p>
            <w:pPr>
              <w:spacing w:after="0"/>
              <w:rPr>
                <w:sz w:val="22"/>
                <w:szCs w:val="22"/>
                <w:color w:val="auto"/>
              </w:rPr>
            </w:pPr>
          </w:p>
        </w:tc>
      </w:tr>
      <w:tr>
        <w:trPr>
          <w:trHeight w:val="279"/>
        </w:trPr>
        <w:tc>
          <w:tcPr>
            <w:tcW w:w="5560" w:type="dxa"/>
            <w:vAlign w:val="bottom"/>
          </w:tcPr>
          <w:p>
            <w:pPr>
              <w:spacing w:after="0"/>
              <w:rPr>
                <w:sz w:val="20"/>
                <w:szCs w:val="20"/>
                <w:color w:val="auto"/>
              </w:rPr>
            </w:pPr>
            <w:r>
              <w:rPr>
                <w:rFonts w:ascii="Arial" w:cs="Arial" w:eastAsia="Arial" w:hAnsi="Arial"/>
                <w:sz w:val="20"/>
                <w:szCs w:val="20"/>
                <w:color w:val="auto"/>
              </w:rPr>
              <w:t>Cost of products sold</w:t>
            </w:r>
          </w:p>
        </w:tc>
        <w:tc>
          <w:tcPr>
            <w:tcW w:w="10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20"/>
                <w:szCs w:val="20"/>
                <w:color w:val="auto"/>
                <w:w w:val="94"/>
              </w:rPr>
              <w:t>18,204</w:t>
            </w:r>
          </w:p>
        </w:tc>
        <w:tc>
          <w:tcPr>
            <w:tcW w:w="20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w w:val="98"/>
              </w:rPr>
              <w:t>16,904</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20,415</w:t>
            </w:r>
          </w:p>
        </w:tc>
        <w:tc>
          <w:tcPr>
            <w:tcW w:w="60" w:type="dxa"/>
            <w:vAlign w:val="bottom"/>
          </w:tcPr>
          <w:p>
            <w:pPr>
              <w:spacing w:after="0"/>
              <w:rPr>
                <w:sz w:val="24"/>
                <w:szCs w:val="24"/>
                <w:color w:val="auto"/>
              </w:rPr>
            </w:pPr>
          </w:p>
        </w:tc>
      </w:tr>
      <w:tr>
        <w:trPr>
          <w:trHeight w:val="279"/>
        </w:trPr>
        <w:tc>
          <w:tcPr>
            <w:tcW w:w="5560" w:type="dxa"/>
            <w:vAlign w:val="bottom"/>
          </w:tcPr>
          <w:p>
            <w:pPr>
              <w:spacing w:after="0"/>
              <w:rPr>
                <w:sz w:val="20"/>
                <w:szCs w:val="20"/>
                <w:color w:val="auto"/>
              </w:rPr>
            </w:pPr>
            <w:r>
              <w:rPr>
                <w:rFonts w:ascii="Arial" w:cs="Arial" w:eastAsia="Arial" w:hAnsi="Arial"/>
                <w:sz w:val="20"/>
                <w:szCs w:val="20"/>
                <w:color w:val="auto"/>
              </w:rPr>
              <w:t>Selling, general and administrative</w:t>
            </w:r>
          </w:p>
        </w:tc>
        <w:tc>
          <w:tcPr>
            <w:tcW w:w="10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20"/>
                <w:szCs w:val="20"/>
                <w:color w:val="auto"/>
                <w:w w:val="94"/>
              </w:rPr>
              <w:t>14,010</w:t>
            </w:r>
          </w:p>
        </w:tc>
        <w:tc>
          <w:tcPr>
            <w:tcW w:w="20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w w:val="98"/>
              </w:rPr>
              <w:t>14,752</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12,872</w:t>
            </w:r>
          </w:p>
        </w:tc>
        <w:tc>
          <w:tcPr>
            <w:tcW w:w="60" w:type="dxa"/>
            <w:vAlign w:val="bottom"/>
          </w:tcPr>
          <w:p>
            <w:pPr>
              <w:spacing w:after="0"/>
              <w:rPr>
                <w:sz w:val="24"/>
                <w:szCs w:val="24"/>
                <w:color w:val="auto"/>
              </w:rPr>
            </w:pPr>
          </w:p>
        </w:tc>
      </w:tr>
      <w:tr>
        <w:trPr>
          <w:trHeight w:val="279"/>
        </w:trPr>
        <w:tc>
          <w:tcPr>
            <w:tcW w:w="556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10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20"/>
                <w:szCs w:val="20"/>
                <w:color w:val="auto"/>
              </w:rPr>
              <w:t>9,096</w:t>
            </w:r>
          </w:p>
        </w:tc>
        <w:tc>
          <w:tcPr>
            <w:tcW w:w="20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w w:val="98"/>
              </w:rPr>
              <w:t>12,791</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7,675</w:t>
            </w:r>
          </w:p>
        </w:tc>
        <w:tc>
          <w:tcPr>
            <w:tcW w:w="60" w:type="dxa"/>
            <w:vAlign w:val="bottom"/>
          </w:tcPr>
          <w:p>
            <w:pPr>
              <w:spacing w:after="0"/>
              <w:rPr>
                <w:sz w:val="24"/>
                <w:szCs w:val="24"/>
                <w:color w:val="auto"/>
              </w:rPr>
            </w:pPr>
          </w:p>
        </w:tc>
      </w:tr>
      <w:tr>
        <w:trPr>
          <w:trHeight w:val="279"/>
        </w:trPr>
        <w:tc>
          <w:tcPr>
            <w:tcW w:w="5560" w:type="dxa"/>
            <w:vAlign w:val="bottom"/>
          </w:tcPr>
          <w:p>
            <w:pPr>
              <w:spacing w:after="0"/>
              <w:rPr>
                <w:sz w:val="20"/>
                <w:szCs w:val="20"/>
                <w:color w:val="auto"/>
              </w:rPr>
            </w:pPr>
            <w:r>
              <w:rPr>
                <w:rFonts w:ascii="Arial" w:cs="Arial" w:eastAsia="Arial" w:hAnsi="Arial"/>
                <w:sz w:val="20"/>
                <w:szCs w:val="20"/>
                <w:color w:val="auto"/>
              </w:rPr>
              <w:t>Acquired IPR&amp;D and milestones</w:t>
            </w:r>
          </w:p>
        </w:tc>
        <w:tc>
          <w:tcPr>
            <w:tcW w:w="10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20"/>
                <w:szCs w:val="20"/>
                <w:color w:val="auto"/>
              </w:rPr>
              <w:t>5,016</w:t>
            </w:r>
          </w:p>
        </w:tc>
        <w:tc>
          <w:tcPr>
            <w:tcW w:w="20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2,757</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778</w:t>
            </w:r>
          </w:p>
        </w:tc>
        <w:tc>
          <w:tcPr>
            <w:tcW w:w="60" w:type="dxa"/>
            <w:vAlign w:val="bottom"/>
          </w:tcPr>
          <w:p>
            <w:pPr>
              <w:spacing w:after="0"/>
              <w:rPr>
                <w:sz w:val="24"/>
                <w:szCs w:val="24"/>
                <w:color w:val="auto"/>
              </w:rPr>
            </w:pPr>
          </w:p>
        </w:tc>
      </w:tr>
      <w:tr>
        <w:trPr>
          <w:trHeight w:val="282"/>
        </w:trPr>
        <w:tc>
          <w:tcPr>
            <w:tcW w:w="5560" w:type="dxa"/>
            <w:vAlign w:val="bottom"/>
          </w:tcPr>
          <w:p>
            <w:pPr>
              <w:spacing w:after="0"/>
              <w:rPr>
                <w:sz w:val="20"/>
                <w:szCs w:val="20"/>
                <w:color w:val="auto"/>
              </w:rPr>
            </w:pPr>
            <w:r>
              <w:rPr>
                <w:rFonts w:ascii="Arial" w:cs="Arial" w:eastAsia="Arial" w:hAnsi="Arial"/>
                <w:sz w:val="20"/>
                <w:szCs w:val="20"/>
                <w:color w:val="auto"/>
              </w:rPr>
              <w:t>Other operating income</w:t>
            </w:r>
          </w:p>
        </w:tc>
        <w:tc>
          <w:tcPr>
            <w:tcW w:w="10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(241)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(179)</w:t>
            </w:r>
          </w:p>
        </w:tc>
      </w:tr>
      <w:tr>
        <w:trPr>
          <w:trHeight w:val="269"/>
        </w:trPr>
        <w:tc>
          <w:tcPr>
            <w:tcW w:w="556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Total operating costs and expenses</w:t>
            </w:r>
          </w:p>
        </w:tc>
        <w:tc>
          <w:tcPr>
            <w:tcW w:w="100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94"/>
              </w:rPr>
              <w:t>46,085</w:t>
            </w:r>
          </w:p>
        </w:tc>
        <w:tc>
          <w:tcPr>
            <w:tcW w:w="20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98"/>
              </w:rPr>
              <w:t>47,197</w:t>
            </w:r>
          </w:p>
        </w:tc>
        <w:tc>
          <w:tcPr>
            <w:tcW w:w="20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8"/>
              </w:rPr>
              <w:t>41,561</w:t>
            </w:r>
          </w:p>
        </w:tc>
        <w:tc>
          <w:tcPr>
            <w:tcW w:w="60" w:type="dxa"/>
            <w:vAlign w:val="bottom"/>
          </w:tcPr>
          <w:p>
            <w:pPr>
              <w:spacing w:after="0"/>
              <w:rPr>
                <w:sz w:val="23"/>
                <w:szCs w:val="23"/>
                <w:color w:val="auto"/>
              </w:rPr>
            </w:pPr>
          </w:p>
        </w:tc>
      </w:tr>
      <w:tr>
        <w:trPr>
          <w:trHeight w:val="266"/>
        </w:trPr>
        <w:tc>
          <w:tcPr>
            <w:tcW w:w="5560" w:type="dxa"/>
            <w:vAlign w:val="bottom"/>
          </w:tcPr>
          <w:p>
            <w:pPr>
              <w:spacing w:after="0"/>
              <w:rPr>
                <w:sz w:val="20"/>
                <w:szCs w:val="20"/>
                <w:color w:val="auto"/>
              </w:rPr>
            </w:pPr>
            <w:r>
              <w:rPr>
                <w:rFonts w:ascii="Arial" w:cs="Arial" w:eastAsia="Arial" w:hAnsi="Arial"/>
                <w:sz w:val="20"/>
                <w:szCs w:val="20"/>
                <w:color w:val="auto"/>
              </w:rPr>
              <w:t>Operating earnings</w:t>
            </w:r>
          </w:p>
        </w:tc>
        <w:tc>
          <w:tcPr>
            <w:tcW w:w="100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Arial" w:cs="Arial" w:eastAsia="Arial" w:hAnsi="Arial"/>
                <w:sz w:val="20"/>
                <w:szCs w:val="20"/>
                <w:color w:val="auto"/>
                <w:w w:val="94"/>
              </w:rPr>
              <w:t>15,075</w:t>
            </w:r>
          </w:p>
        </w:tc>
        <w:tc>
          <w:tcPr>
            <w:tcW w:w="200" w:type="dxa"/>
            <w:vAlign w:val="bottom"/>
          </w:tcPr>
          <w:p>
            <w:pPr>
              <w:spacing w:after="0"/>
              <w:rPr>
                <w:sz w:val="23"/>
                <w:szCs w:val="23"/>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9,137</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12,757</w:t>
            </w:r>
          </w:p>
        </w:tc>
        <w:tc>
          <w:tcPr>
            <w:tcW w:w="60" w:type="dxa"/>
            <w:vAlign w:val="bottom"/>
          </w:tcPr>
          <w:p>
            <w:pPr>
              <w:spacing w:after="0"/>
              <w:rPr>
                <w:sz w:val="23"/>
                <w:szCs w:val="23"/>
                <w:color w:val="auto"/>
              </w:rPr>
            </w:pPr>
          </w:p>
        </w:tc>
      </w:tr>
      <w:tr>
        <w:trPr>
          <w:trHeight w:val="279"/>
        </w:trPr>
        <w:tc>
          <w:tcPr>
            <w:tcW w:w="5560" w:type="dxa"/>
            <w:vAlign w:val="bottom"/>
          </w:tcPr>
          <w:p>
            <w:pPr>
              <w:spacing w:after="0"/>
              <w:rPr>
                <w:sz w:val="20"/>
                <w:szCs w:val="20"/>
                <w:color w:val="auto"/>
              </w:rPr>
            </w:pPr>
            <w:r>
              <w:rPr>
                <w:rFonts w:ascii="Arial" w:cs="Arial" w:eastAsia="Arial" w:hAnsi="Arial"/>
                <w:sz w:val="20"/>
                <w:szCs w:val="20"/>
                <w:color w:val="auto"/>
              </w:rPr>
              <w:t>Interest expense, net</w:t>
            </w:r>
          </w:p>
        </w:tc>
        <w:tc>
          <w:tcPr>
            <w:tcW w:w="10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20"/>
                <w:szCs w:val="20"/>
                <w:color w:val="auto"/>
              </w:rPr>
              <w:t>2,627</w:t>
            </w:r>
          </w:p>
        </w:tc>
        <w:tc>
          <w:tcPr>
            <w:tcW w:w="20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2,160</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1,684</w:t>
            </w:r>
          </w:p>
        </w:tc>
        <w:tc>
          <w:tcPr>
            <w:tcW w:w="60" w:type="dxa"/>
            <w:vAlign w:val="bottom"/>
          </w:tcPr>
          <w:p>
            <w:pPr>
              <w:spacing w:after="0"/>
              <w:rPr>
                <w:sz w:val="24"/>
                <w:szCs w:val="24"/>
                <w:color w:val="auto"/>
              </w:rPr>
            </w:pPr>
          </w:p>
        </w:tc>
      </w:tr>
      <w:tr>
        <w:trPr>
          <w:trHeight w:val="279"/>
        </w:trPr>
        <w:tc>
          <w:tcPr>
            <w:tcW w:w="5560" w:type="dxa"/>
            <w:vAlign w:val="bottom"/>
          </w:tcPr>
          <w:p>
            <w:pPr>
              <w:spacing w:after="0"/>
              <w:rPr>
                <w:sz w:val="20"/>
                <w:szCs w:val="20"/>
                <w:color w:val="auto"/>
              </w:rPr>
            </w:pPr>
            <w:r>
              <w:rPr>
                <w:rFonts w:ascii="Arial" w:cs="Arial" w:eastAsia="Arial" w:hAnsi="Arial"/>
                <w:sz w:val="20"/>
                <w:szCs w:val="20"/>
                <w:color w:val="auto"/>
              </w:rPr>
              <w:t>Net foreign exchange loss</w:t>
            </w:r>
          </w:p>
        </w:tc>
        <w:tc>
          <w:tcPr>
            <w:tcW w:w="10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20"/>
                <w:szCs w:val="20"/>
                <w:color w:val="auto"/>
              </w:rPr>
              <w:t>58</w:t>
            </w:r>
          </w:p>
        </w:tc>
        <w:tc>
          <w:tcPr>
            <w:tcW w:w="20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21</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146</w:t>
            </w:r>
          </w:p>
        </w:tc>
        <w:tc>
          <w:tcPr>
            <w:tcW w:w="60" w:type="dxa"/>
            <w:vAlign w:val="bottom"/>
          </w:tcPr>
          <w:p>
            <w:pPr>
              <w:spacing w:after="0"/>
              <w:rPr>
                <w:sz w:val="24"/>
                <w:szCs w:val="24"/>
                <w:color w:val="auto"/>
              </w:rPr>
            </w:pPr>
          </w:p>
        </w:tc>
      </w:tr>
      <w:tr>
        <w:trPr>
          <w:trHeight w:val="282"/>
        </w:trPr>
        <w:tc>
          <w:tcPr>
            <w:tcW w:w="5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 expense, net</w:t>
            </w:r>
          </w:p>
        </w:tc>
        <w:tc>
          <w:tcPr>
            <w:tcW w:w="1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5,793</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3,240</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4,677</w:t>
            </w:r>
          </w:p>
        </w:tc>
        <w:tc>
          <w:tcPr>
            <w:tcW w:w="60" w:type="dxa"/>
            <w:vAlign w:val="bottom"/>
          </w:tcPr>
          <w:p>
            <w:pPr>
              <w:spacing w:after="0"/>
              <w:rPr>
                <w:sz w:val="24"/>
                <w:szCs w:val="24"/>
                <w:color w:val="auto"/>
              </w:rPr>
            </w:pPr>
          </w:p>
        </w:tc>
      </w:tr>
      <w:tr>
        <w:trPr>
          <w:trHeight w:val="266"/>
        </w:trPr>
        <w:tc>
          <w:tcPr>
            <w:tcW w:w="5560" w:type="dxa"/>
            <w:vAlign w:val="bottom"/>
          </w:tcPr>
          <w:p>
            <w:pPr>
              <w:spacing w:after="0"/>
              <w:rPr>
                <w:sz w:val="20"/>
                <w:szCs w:val="20"/>
                <w:color w:val="auto"/>
              </w:rPr>
            </w:pPr>
            <w:r>
              <w:rPr>
                <w:rFonts w:ascii="Arial" w:cs="Arial" w:eastAsia="Arial" w:hAnsi="Arial"/>
                <w:sz w:val="20"/>
                <w:szCs w:val="20"/>
                <w:color w:val="auto"/>
              </w:rPr>
              <w:t>Earnings before income tax expense</w:t>
            </w:r>
          </w:p>
        </w:tc>
        <w:tc>
          <w:tcPr>
            <w:tcW w:w="1000" w:type="dxa"/>
            <w:vAlign w:val="bottom"/>
          </w:tcPr>
          <w:p>
            <w:pPr>
              <w:spacing w:after="0"/>
              <w:rPr>
                <w:sz w:val="23"/>
                <w:szCs w:val="23"/>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6,597</w:t>
            </w:r>
          </w:p>
        </w:tc>
        <w:tc>
          <w:tcPr>
            <w:tcW w:w="200" w:type="dxa"/>
            <w:vAlign w:val="bottom"/>
          </w:tcPr>
          <w:p>
            <w:pPr>
              <w:spacing w:after="0"/>
              <w:rPr>
                <w:sz w:val="23"/>
                <w:szCs w:val="23"/>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3,716</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6,250</w:t>
            </w:r>
          </w:p>
        </w:tc>
        <w:tc>
          <w:tcPr>
            <w:tcW w:w="60" w:type="dxa"/>
            <w:vAlign w:val="bottom"/>
          </w:tcPr>
          <w:p>
            <w:pPr>
              <w:spacing w:after="0"/>
              <w:rPr>
                <w:sz w:val="23"/>
                <w:szCs w:val="23"/>
                <w:color w:val="auto"/>
              </w:rPr>
            </w:pPr>
          </w:p>
        </w:tc>
      </w:tr>
      <w:tr>
        <w:trPr>
          <w:trHeight w:val="282"/>
        </w:trPr>
        <w:tc>
          <w:tcPr>
            <w:tcW w:w="5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Income tax expense (benefit)</w:t>
            </w:r>
          </w:p>
        </w:tc>
        <w:tc>
          <w:tcPr>
            <w:tcW w:w="1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2,364</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(570)</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1,377</w:t>
            </w:r>
          </w:p>
        </w:tc>
        <w:tc>
          <w:tcPr>
            <w:tcW w:w="60" w:type="dxa"/>
            <w:vAlign w:val="bottom"/>
          </w:tcPr>
          <w:p>
            <w:pPr>
              <w:spacing w:after="0"/>
              <w:rPr>
                <w:sz w:val="24"/>
                <w:szCs w:val="24"/>
                <w:color w:val="auto"/>
              </w:rPr>
            </w:pPr>
          </w:p>
        </w:tc>
      </w:tr>
      <w:tr>
        <w:trPr>
          <w:trHeight w:val="266"/>
        </w:trPr>
        <w:tc>
          <w:tcPr>
            <w:tcW w:w="5560" w:type="dxa"/>
            <w:vAlign w:val="bottom"/>
          </w:tcPr>
          <w:p>
            <w:pPr>
              <w:spacing w:after="0"/>
              <w:rPr>
                <w:sz w:val="20"/>
                <w:szCs w:val="20"/>
                <w:color w:val="auto"/>
              </w:rPr>
            </w:pPr>
            <w:r>
              <w:rPr>
                <w:rFonts w:ascii="Arial" w:cs="Arial" w:eastAsia="Arial" w:hAnsi="Arial"/>
                <w:sz w:val="20"/>
                <w:szCs w:val="20"/>
                <w:color w:val="auto"/>
              </w:rPr>
              <w:t>Net earnings</w:t>
            </w:r>
          </w:p>
        </w:tc>
        <w:tc>
          <w:tcPr>
            <w:tcW w:w="1000" w:type="dxa"/>
            <w:vAlign w:val="bottom"/>
          </w:tcPr>
          <w:p>
            <w:pPr>
              <w:spacing w:after="0"/>
              <w:rPr>
                <w:sz w:val="23"/>
                <w:szCs w:val="23"/>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4,233</w:t>
            </w:r>
          </w:p>
        </w:tc>
        <w:tc>
          <w:tcPr>
            <w:tcW w:w="200" w:type="dxa"/>
            <w:vAlign w:val="bottom"/>
          </w:tcPr>
          <w:p>
            <w:pPr>
              <w:spacing w:after="0"/>
              <w:rPr>
                <w:sz w:val="23"/>
                <w:szCs w:val="23"/>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4,286</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4,873</w:t>
            </w:r>
          </w:p>
        </w:tc>
        <w:tc>
          <w:tcPr>
            <w:tcW w:w="60" w:type="dxa"/>
            <w:vAlign w:val="bottom"/>
          </w:tcPr>
          <w:p>
            <w:pPr>
              <w:spacing w:after="0"/>
              <w:rPr>
                <w:sz w:val="23"/>
                <w:szCs w:val="23"/>
                <w:color w:val="auto"/>
              </w:rPr>
            </w:pPr>
          </w:p>
        </w:tc>
      </w:tr>
      <w:tr>
        <w:trPr>
          <w:trHeight w:val="282"/>
        </w:trPr>
        <w:tc>
          <w:tcPr>
            <w:tcW w:w="5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Net earnings attributable to noncontrolling interest</w:t>
            </w:r>
          </w:p>
        </w:tc>
        <w:tc>
          <w:tcPr>
            <w:tcW w:w="1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8</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r>
      <w:tr>
        <w:trPr>
          <w:trHeight w:val="269"/>
        </w:trPr>
        <w:tc>
          <w:tcPr>
            <w:tcW w:w="55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Net earnings attributable to AbbVie Inc.</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4,226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4,278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4,863</w:t>
            </w:r>
          </w:p>
        </w:tc>
        <w:tc>
          <w:tcPr>
            <w:tcW w:w="60" w:type="dxa"/>
            <w:vAlign w:val="bottom"/>
          </w:tcPr>
          <w:p>
            <w:pPr>
              <w:spacing w:after="0"/>
              <w:rPr>
                <w:sz w:val="23"/>
                <w:szCs w:val="23"/>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7"/>
        </w:trPr>
        <w:tc>
          <w:tcPr>
            <w:tcW w:w="55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Per share data</w:t>
            </w:r>
          </w:p>
        </w:tc>
        <w:tc>
          <w:tcPr>
            <w:tcW w:w="1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68"/>
        </w:trPr>
        <w:tc>
          <w:tcPr>
            <w:tcW w:w="5560" w:type="dxa"/>
            <w:vAlign w:val="bottom"/>
          </w:tcPr>
          <w:p>
            <w:pPr>
              <w:spacing w:after="0"/>
              <w:rPr>
                <w:sz w:val="20"/>
                <w:szCs w:val="20"/>
                <w:color w:val="auto"/>
              </w:rPr>
            </w:pPr>
            <w:r>
              <w:rPr>
                <w:rFonts w:ascii="Arial" w:cs="Arial" w:eastAsia="Arial" w:hAnsi="Arial"/>
                <w:sz w:val="20"/>
                <w:szCs w:val="20"/>
                <w:color w:val="auto"/>
              </w:rPr>
              <w:t>Basic earnings per share attributable to AbbVie Inc.</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2.37</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2.40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2.73</w:t>
            </w:r>
          </w:p>
        </w:tc>
        <w:tc>
          <w:tcPr>
            <w:tcW w:w="60" w:type="dxa"/>
            <w:vAlign w:val="bottom"/>
          </w:tcPr>
          <w:p>
            <w:pPr>
              <w:spacing w:after="0"/>
              <w:rPr>
                <w:sz w:val="23"/>
                <w:szCs w:val="23"/>
                <w:color w:val="auto"/>
              </w:rPr>
            </w:pPr>
          </w:p>
        </w:tc>
      </w:tr>
      <w:tr>
        <w:trPr>
          <w:trHeight w:val="282"/>
        </w:trPr>
        <w:tc>
          <w:tcPr>
            <w:tcW w:w="5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Diluted earnings per share attributable to AbbVie Inc.</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w:t>
            </w:r>
          </w:p>
        </w:tc>
        <w:tc>
          <w:tcPr>
            <w:tcW w:w="60" w:type="dxa"/>
            <w:vAlign w:val="bottom"/>
          </w:tcPr>
          <w:p>
            <w:pPr>
              <w:spacing w:after="0"/>
              <w:rPr>
                <w:sz w:val="24"/>
                <w:szCs w:val="24"/>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20"/>
                <w:szCs w:val="20"/>
                <w:color w:val="auto"/>
              </w:rPr>
              <w:t>Weighted-average basic shares outstanding</w:t>
            </w:r>
          </w:p>
        </w:tc>
        <w:tc>
          <w:tcPr>
            <w:tcW w:w="100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1,769</w:t>
            </w:r>
          </w:p>
        </w:tc>
        <w:tc>
          <w:tcPr>
            <w:tcW w:w="20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1,769</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1,768</w:t>
            </w:r>
          </w:p>
        </w:tc>
        <w:tc>
          <w:tcPr>
            <w:tcW w:w="60" w:type="dxa"/>
            <w:vAlign w:val="bottom"/>
          </w:tcPr>
          <w:p>
            <w:pPr>
              <w:spacing w:after="0"/>
              <w:rPr>
                <w:sz w:val="24"/>
                <w:szCs w:val="24"/>
                <w:color w:val="auto"/>
              </w:rPr>
            </w:pPr>
          </w:p>
        </w:tc>
      </w:tr>
      <w:tr>
        <w:trPr>
          <w:trHeight w:val="282"/>
        </w:trPr>
        <w:tc>
          <w:tcPr>
            <w:tcW w:w="5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Weighted-average diluted shares outstanding</w:t>
            </w:r>
          </w:p>
        </w:tc>
        <w:tc>
          <w:tcPr>
            <w:tcW w:w="1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1,773</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1,773</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1,773</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160"/>
          </w:cols>
          <w:pgMar w:left="1400" w:top="1025" w:right="132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57</w:t>
      </w:r>
    </w:p>
    <w:p>
      <w:pPr>
        <w:sectPr>
          <w:pgSz w:w="11880" w:h="15480" w:orient="portrait"/>
          <w:cols w:equalWidth="0" w:num="1">
            <w:col w:w="9160"/>
          </w:cols>
          <w:pgMar w:left="1400" w:top="1025" w:right="1320" w:bottom="87" w:gutter="0" w:footer="0" w:header="0"/>
          <w:type w:val="continuous"/>
        </w:sectPr>
      </w:pPr>
    </w:p>
    <w:bookmarkStart w:id="63" w:name="page64"/>
    <w:bookmarkEnd w:id="63"/>
    <w:p>
      <w:pPr>
        <w:spacing w:after="0"/>
        <w:rPr>
          <w:sz w:val="20"/>
          <w:szCs w:val="20"/>
          <w:color w:val="auto"/>
        </w:rPr>
      </w:pPr>
      <w:r>
        <w:rPr>
          <w:rFonts w:ascii="Arial" w:cs="Arial" w:eastAsia="Arial" w:hAnsi="Arial"/>
          <w:sz w:val="22"/>
          <w:szCs w:val="22"/>
          <w:b w:val="1"/>
          <w:bCs w:val="1"/>
          <w:color w:val="000039"/>
        </w:rPr>
        <w:t>AbbVie Inc. and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Consolidated Statements of Comprehensive Income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80" w:type="dxa"/>
            <w:vAlign w:val="bottom"/>
          </w:tcPr>
          <w:p>
            <w:pPr>
              <w:spacing w:after="0"/>
              <w:rPr>
                <w:sz w:val="17"/>
                <w:szCs w:val="17"/>
                <w:color w:val="auto"/>
              </w:rPr>
            </w:pPr>
          </w:p>
        </w:tc>
        <w:tc>
          <w:tcPr>
            <w:tcW w:w="660" w:type="dxa"/>
            <w:vAlign w:val="bottom"/>
          </w:tcPr>
          <w:p>
            <w:pPr>
              <w:jc w:val="right"/>
              <w:ind w:right="182"/>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720" w:type="dxa"/>
            <w:vAlign w:val="bottom"/>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700" w:type="dxa"/>
            <w:vAlign w:val="bottom"/>
          </w:tcPr>
          <w:p>
            <w:pPr>
              <w:jc w:val="right"/>
              <w:ind w:right="4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6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540" w:type="dxa"/>
            <w:vAlign w:val="bottom"/>
          </w:tcPr>
          <w:p>
            <w:pPr>
              <w:spacing w:after="0"/>
              <w:rPr>
                <w:sz w:val="20"/>
                <w:szCs w:val="20"/>
                <w:color w:val="auto"/>
              </w:rPr>
            </w:pPr>
            <w:r>
              <w:rPr>
                <w:rFonts w:ascii="Arial" w:cs="Arial" w:eastAsia="Arial" w:hAnsi="Arial"/>
                <w:sz w:val="20"/>
                <w:szCs w:val="20"/>
                <w:b w:val="1"/>
                <w:bCs w:val="1"/>
                <w:color w:val="auto"/>
              </w:rPr>
              <w:t>Net earnings</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62"/>
              <w:spacing w:after="0"/>
              <w:rPr>
                <w:sz w:val="20"/>
                <w:szCs w:val="20"/>
                <w:color w:val="auto"/>
              </w:rPr>
            </w:pPr>
            <w:r>
              <w:rPr>
                <w:rFonts w:ascii="Arial" w:cs="Arial" w:eastAsia="Arial" w:hAnsi="Arial"/>
                <w:sz w:val="20"/>
                <w:szCs w:val="20"/>
                <w:color w:val="auto"/>
                <w:w w:val="95"/>
              </w:rPr>
              <w:t>4,233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4,286</w:t>
            </w:r>
          </w:p>
        </w:tc>
        <w:tc>
          <w:tcPr>
            <w:tcW w:w="700" w:type="dxa"/>
            <w:vAlign w:val="bottom"/>
          </w:tcPr>
          <w:p>
            <w:pPr>
              <w:jc w:val="right"/>
              <w:spacing w:after="0"/>
              <w:rPr>
                <w:sz w:val="20"/>
                <w:szCs w:val="20"/>
                <w:color w:val="auto"/>
              </w:rPr>
            </w:pPr>
            <w:r>
              <w:rPr>
                <w:rFonts w:ascii="Arial" w:cs="Arial" w:eastAsia="Arial" w:hAnsi="Arial"/>
                <w:sz w:val="20"/>
                <w:szCs w:val="20"/>
                <w:color w:val="auto"/>
              </w:rPr>
              <w:t>$4,873</w:t>
            </w:r>
          </w:p>
        </w:tc>
        <w:tc>
          <w:tcPr>
            <w:tcW w:w="60" w:type="dxa"/>
            <w:vAlign w:val="bottom"/>
          </w:tcPr>
          <w:p>
            <w:pPr>
              <w:spacing w:after="0"/>
              <w:rPr>
                <w:sz w:val="22"/>
                <w:szCs w:val="22"/>
                <w:color w:val="auto"/>
              </w:rPr>
            </w:pPr>
          </w:p>
        </w:tc>
      </w:tr>
      <w:tr>
        <w:trPr>
          <w:trHeight w:val="271"/>
        </w:trPr>
        <w:tc>
          <w:tcPr>
            <w:tcW w:w="6540" w:type="dxa"/>
            <w:vAlign w:val="bottom"/>
          </w:tcPr>
          <w:p>
            <w:pPr>
              <w:spacing w:after="0"/>
              <w:rPr>
                <w:sz w:val="20"/>
                <w:szCs w:val="20"/>
                <w:color w:val="auto"/>
              </w:rPr>
            </w:pPr>
            <w:r>
              <w:rPr>
                <w:rFonts w:ascii="Arial" w:cs="Arial" w:eastAsia="Arial" w:hAnsi="Arial"/>
                <w:sz w:val="20"/>
                <w:szCs w:val="20"/>
                <w:color w:val="auto"/>
              </w:rPr>
              <w:t>Foreign currency translation adjustments, net of tax expense (benefit) of</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8"/>
        </w:trPr>
        <w:tc>
          <w:tcPr>
            <w:tcW w:w="6540" w:type="dxa"/>
            <w:vAlign w:val="bottom"/>
          </w:tcPr>
          <w:p>
            <w:pPr>
              <w:ind w:left="180"/>
              <w:spacing w:after="0"/>
              <w:rPr>
                <w:sz w:val="20"/>
                <w:szCs w:val="20"/>
                <w:color w:val="auto"/>
              </w:rPr>
            </w:pPr>
            <w:r>
              <w:rPr>
                <w:rFonts w:ascii="Arial" w:cs="Arial" w:eastAsia="Arial" w:hAnsi="Arial"/>
                <w:sz w:val="20"/>
                <w:szCs w:val="20"/>
                <w:color w:val="auto"/>
              </w:rPr>
              <w:t>$63 in 2025, $(39) in 2024 and $15 in 2023</w:t>
            </w:r>
          </w:p>
        </w:tc>
        <w:tc>
          <w:tcPr>
            <w:tcW w:w="280" w:type="dxa"/>
            <w:vAlign w:val="bottom"/>
          </w:tcPr>
          <w:p>
            <w:pPr>
              <w:spacing w:after="0"/>
              <w:rPr>
                <w:sz w:val="21"/>
                <w:szCs w:val="21"/>
                <w:color w:val="auto"/>
              </w:rPr>
            </w:pPr>
          </w:p>
        </w:tc>
        <w:tc>
          <w:tcPr>
            <w:tcW w:w="660" w:type="dxa"/>
            <w:vAlign w:val="bottom"/>
          </w:tcPr>
          <w:p>
            <w:pPr>
              <w:jc w:val="right"/>
              <w:ind w:right="62"/>
              <w:spacing w:after="0"/>
              <w:rPr>
                <w:sz w:val="20"/>
                <w:szCs w:val="20"/>
                <w:color w:val="auto"/>
              </w:rPr>
            </w:pPr>
            <w:r>
              <w:rPr>
                <w:rFonts w:ascii="Arial" w:cs="Arial" w:eastAsia="Arial" w:hAnsi="Arial"/>
                <w:sz w:val="20"/>
                <w:szCs w:val="20"/>
                <w:color w:val="auto"/>
                <w:w w:val="95"/>
              </w:rPr>
              <w:t>1,481</w:t>
            </w: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20"/>
                <w:szCs w:val="20"/>
                <w:color w:val="auto"/>
                <w:w w:val="94"/>
              </w:rPr>
              <w:t>(1,008)</w:t>
            </w:r>
          </w:p>
        </w:tc>
        <w:tc>
          <w:tcPr>
            <w:tcW w:w="700" w:type="dxa"/>
            <w:vAlign w:val="bottom"/>
          </w:tcPr>
          <w:p>
            <w:pPr>
              <w:jc w:val="right"/>
              <w:spacing w:after="0"/>
              <w:rPr>
                <w:sz w:val="20"/>
                <w:szCs w:val="20"/>
                <w:color w:val="auto"/>
              </w:rPr>
            </w:pPr>
            <w:r>
              <w:rPr>
                <w:rFonts w:ascii="Arial" w:cs="Arial" w:eastAsia="Arial" w:hAnsi="Arial"/>
                <w:sz w:val="20"/>
                <w:szCs w:val="20"/>
                <w:color w:val="auto"/>
              </w:rPr>
              <w:t>407</w:t>
            </w:r>
          </w:p>
        </w:tc>
        <w:tc>
          <w:tcPr>
            <w:tcW w:w="60" w:type="dxa"/>
            <w:vAlign w:val="bottom"/>
          </w:tcPr>
          <w:p>
            <w:pPr>
              <w:spacing w:after="0"/>
              <w:rPr>
                <w:sz w:val="21"/>
                <w:szCs w:val="21"/>
                <w:color w:val="auto"/>
              </w:rPr>
            </w:pPr>
          </w:p>
        </w:tc>
      </w:tr>
      <w:tr>
        <w:trPr>
          <w:trHeight w:val="271"/>
        </w:trPr>
        <w:tc>
          <w:tcPr>
            <w:tcW w:w="6540" w:type="dxa"/>
            <w:vAlign w:val="bottom"/>
          </w:tcPr>
          <w:p>
            <w:pPr>
              <w:spacing w:after="0"/>
              <w:rPr>
                <w:sz w:val="20"/>
                <w:szCs w:val="20"/>
                <w:color w:val="auto"/>
              </w:rPr>
            </w:pPr>
            <w:r>
              <w:rPr>
                <w:rFonts w:ascii="Arial" w:cs="Arial" w:eastAsia="Arial" w:hAnsi="Arial"/>
                <w:sz w:val="20"/>
                <w:szCs w:val="20"/>
                <w:color w:val="auto"/>
              </w:rPr>
              <w:t>Net investment hedging activities, net of tax expense (benefit) of $(266)</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8"/>
        </w:trPr>
        <w:tc>
          <w:tcPr>
            <w:tcW w:w="6540" w:type="dxa"/>
            <w:vAlign w:val="bottom"/>
          </w:tcPr>
          <w:p>
            <w:pPr>
              <w:ind w:left="180"/>
              <w:spacing w:after="0"/>
              <w:rPr>
                <w:sz w:val="20"/>
                <w:szCs w:val="20"/>
                <w:color w:val="auto"/>
              </w:rPr>
            </w:pPr>
            <w:r>
              <w:rPr>
                <w:rFonts w:ascii="Arial" w:cs="Arial" w:eastAsia="Arial" w:hAnsi="Arial"/>
                <w:sz w:val="20"/>
                <w:szCs w:val="20"/>
                <w:color w:val="auto"/>
              </w:rPr>
              <w:t>in 2025, $133 in 2024 and $(109) in 2023</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(971)</w:t>
            </w:r>
          </w:p>
        </w:tc>
        <w:tc>
          <w:tcPr>
            <w:tcW w:w="200" w:type="dxa"/>
            <w:vAlign w:val="bottom"/>
          </w:tcPr>
          <w:p>
            <w:pPr>
              <w:spacing w:after="0"/>
              <w:rPr>
                <w:sz w:val="21"/>
                <w:szCs w:val="21"/>
                <w:color w:val="auto"/>
              </w:rPr>
            </w:pP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484</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(399)</w:t>
            </w:r>
          </w:p>
        </w:tc>
      </w:tr>
      <w:tr>
        <w:trPr>
          <w:trHeight w:val="271"/>
        </w:trPr>
        <w:tc>
          <w:tcPr>
            <w:tcW w:w="6540" w:type="dxa"/>
            <w:vAlign w:val="bottom"/>
          </w:tcPr>
          <w:p>
            <w:pPr>
              <w:spacing w:after="0"/>
              <w:rPr>
                <w:sz w:val="20"/>
                <w:szCs w:val="20"/>
                <w:color w:val="auto"/>
              </w:rPr>
            </w:pPr>
            <w:r>
              <w:rPr>
                <w:rFonts w:ascii="Arial" w:cs="Arial" w:eastAsia="Arial" w:hAnsi="Arial"/>
                <w:sz w:val="20"/>
                <w:szCs w:val="20"/>
                <w:color w:val="auto"/>
              </w:rPr>
              <w:t>Pension and post-employment benefits, net of tax expense (benefit) of</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8"/>
        </w:trPr>
        <w:tc>
          <w:tcPr>
            <w:tcW w:w="6540" w:type="dxa"/>
            <w:vAlign w:val="bottom"/>
          </w:tcPr>
          <w:p>
            <w:pPr>
              <w:ind w:left="180"/>
              <w:spacing w:after="0"/>
              <w:rPr>
                <w:sz w:val="20"/>
                <w:szCs w:val="20"/>
                <w:color w:val="auto"/>
              </w:rPr>
            </w:pPr>
            <w:r>
              <w:rPr>
                <w:rFonts w:ascii="Arial" w:cs="Arial" w:eastAsia="Arial" w:hAnsi="Arial"/>
                <w:sz w:val="20"/>
                <w:szCs w:val="20"/>
                <w:color w:val="auto"/>
              </w:rPr>
              <w:t>$98 in 2025, $206 in 2024 and $(6) in 2023</w:t>
            </w:r>
          </w:p>
        </w:tc>
        <w:tc>
          <w:tcPr>
            <w:tcW w:w="280" w:type="dxa"/>
            <w:vAlign w:val="bottom"/>
          </w:tcPr>
          <w:p>
            <w:pPr>
              <w:spacing w:after="0"/>
              <w:rPr>
                <w:sz w:val="21"/>
                <w:szCs w:val="21"/>
                <w:color w:val="auto"/>
              </w:rPr>
            </w:pPr>
          </w:p>
        </w:tc>
        <w:tc>
          <w:tcPr>
            <w:tcW w:w="660" w:type="dxa"/>
            <w:vAlign w:val="bottom"/>
          </w:tcPr>
          <w:p>
            <w:pPr>
              <w:jc w:val="right"/>
              <w:ind w:right="62"/>
              <w:spacing w:after="0"/>
              <w:rPr>
                <w:sz w:val="20"/>
                <w:szCs w:val="20"/>
                <w:color w:val="auto"/>
              </w:rPr>
            </w:pPr>
            <w:r>
              <w:rPr>
                <w:rFonts w:ascii="Arial" w:cs="Arial" w:eastAsia="Arial" w:hAnsi="Arial"/>
                <w:sz w:val="20"/>
                <w:szCs w:val="20"/>
                <w:color w:val="auto"/>
              </w:rPr>
              <w:t>421</w:t>
            </w:r>
          </w:p>
        </w:tc>
        <w:tc>
          <w:tcPr>
            <w:tcW w:w="200" w:type="dxa"/>
            <w:vAlign w:val="bottom"/>
          </w:tcPr>
          <w:p>
            <w:pPr>
              <w:spacing w:after="0"/>
              <w:rPr>
                <w:sz w:val="21"/>
                <w:szCs w:val="21"/>
                <w:color w:val="auto"/>
              </w:rPr>
            </w:pP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824</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(30)</w:t>
            </w:r>
          </w:p>
        </w:tc>
      </w:tr>
      <w:tr>
        <w:trPr>
          <w:trHeight w:val="271"/>
        </w:trPr>
        <w:tc>
          <w:tcPr>
            <w:tcW w:w="6540" w:type="dxa"/>
            <w:vAlign w:val="bottom"/>
          </w:tcPr>
          <w:p>
            <w:pPr>
              <w:spacing w:after="0"/>
              <w:rPr>
                <w:sz w:val="20"/>
                <w:szCs w:val="20"/>
                <w:color w:val="auto"/>
              </w:rPr>
            </w:pPr>
            <w:r>
              <w:rPr>
                <w:rFonts w:ascii="Arial" w:cs="Arial" w:eastAsia="Arial" w:hAnsi="Arial"/>
                <w:sz w:val="20"/>
                <w:szCs w:val="20"/>
                <w:color w:val="auto"/>
              </w:rPr>
              <w:t>Cash flow hedging activities, net of tax expense (benefit) of $(18) in</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51"/>
        </w:trPr>
        <w:tc>
          <w:tcPr>
            <w:tcW w:w="6540" w:type="dxa"/>
            <w:vAlign w:val="bottom"/>
          </w:tcPr>
          <w:p>
            <w:pPr>
              <w:ind w:left="180"/>
              <w:spacing w:after="0"/>
              <w:rPr>
                <w:sz w:val="20"/>
                <w:szCs w:val="20"/>
                <w:color w:val="auto"/>
              </w:rPr>
            </w:pPr>
            <w:r>
              <w:rPr>
                <w:rFonts w:ascii="Arial" w:cs="Arial" w:eastAsia="Arial" w:hAnsi="Arial"/>
                <w:sz w:val="20"/>
                <w:szCs w:val="20"/>
                <w:color w:val="auto"/>
              </w:rPr>
              <w:t>2025, $16 in 2024 and $(19) in 2023</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(150)</w:t>
            </w:r>
          </w:p>
        </w:tc>
        <w:tc>
          <w:tcPr>
            <w:tcW w:w="200" w:type="dxa"/>
            <w:vAlign w:val="bottom"/>
          </w:tcPr>
          <w:p>
            <w:pPr>
              <w:spacing w:after="0"/>
              <w:rPr>
                <w:sz w:val="21"/>
                <w:szCs w:val="21"/>
                <w:color w:val="auto"/>
              </w:rPr>
            </w:pP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80</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(84)</w:t>
            </w:r>
          </w:p>
        </w:tc>
      </w:tr>
      <w:tr>
        <w:trPr>
          <w:trHeight w:val="20"/>
        </w:trPr>
        <w:tc>
          <w:tcPr>
            <w:tcW w:w="6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6540" w:type="dxa"/>
            <w:vAlign w:val="bottom"/>
          </w:tcPr>
          <w:p>
            <w:pPr>
              <w:spacing w:after="0"/>
              <w:rPr>
                <w:sz w:val="20"/>
                <w:szCs w:val="20"/>
                <w:color w:val="auto"/>
              </w:rPr>
            </w:pPr>
            <w:r>
              <w:rPr>
                <w:rFonts w:ascii="Arial" w:cs="Arial" w:eastAsia="Arial" w:hAnsi="Arial"/>
                <w:sz w:val="20"/>
                <w:szCs w:val="20"/>
                <w:color w:val="auto"/>
              </w:rPr>
              <w:t>Other comprehensive income (loss)</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62"/>
              <w:spacing w:after="0"/>
              <w:rPr>
                <w:sz w:val="20"/>
                <w:szCs w:val="20"/>
                <w:color w:val="auto"/>
              </w:rPr>
            </w:pPr>
            <w:r>
              <w:rPr>
                <w:rFonts w:ascii="Arial" w:cs="Arial" w:eastAsia="Arial" w:hAnsi="Arial"/>
                <w:sz w:val="20"/>
                <w:szCs w:val="20"/>
                <w:color w:val="auto"/>
              </w:rPr>
              <w:t>781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380</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 (106)</w:t>
            </w:r>
          </w:p>
        </w:tc>
      </w:tr>
      <w:tr>
        <w:trPr>
          <w:trHeight w:val="266"/>
        </w:trPr>
        <w:tc>
          <w:tcPr>
            <w:tcW w:w="65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Comprehensive income</w:t>
            </w:r>
          </w:p>
        </w:tc>
        <w:tc>
          <w:tcPr>
            <w:tcW w:w="2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20"/>
                <w:szCs w:val="20"/>
                <w:color w:val="auto"/>
                <w:w w:val="95"/>
              </w:rPr>
              <w:t>5,014</w:t>
            </w: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ind w:right="62"/>
              <w:spacing w:after="0"/>
              <w:rPr>
                <w:sz w:val="20"/>
                <w:szCs w:val="20"/>
                <w:color w:val="auto"/>
              </w:rPr>
            </w:pPr>
            <w:r>
              <w:rPr>
                <w:rFonts w:ascii="Arial" w:cs="Arial" w:eastAsia="Arial" w:hAnsi="Arial"/>
                <w:sz w:val="20"/>
                <w:szCs w:val="20"/>
                <w:color w:val="auto"/>
              </w:rPr>
              <w:t>4,666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4,767</w:t>
            </w:r>
          </w:p>
        </w:tc>
        <w:tc>
          <w:tcPr>
            <w:tcW w:w="60" w:type="dxa"/>
            <w:vAlign w:val="bottom"/>
          </w:tcPr>
          <w:p>
            <w:pPr>
              <w:spacing w:after="0"/>
              <w:rPr>
                <w:sz w:val="23"/>
                <w:szCs w:val="23"/>
                <w:color w:val="auto"/>
              </w:rPr>
            </w:pPr>
          </w:p>
        </w:tc>
      </w:tr>
      <w:tr>
        <w:trPr>
          <w:trHeight w:val="282"/>
        </w:trPr>
        <w:tc>
          <w:tcPr>
            <w:tcW w:w="6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Comprehensive income attributable to noncontrolling interest</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7</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r>
      <w:tr>
        <w:trPr>
          <w:trHeight w:val="269"/>
        </w:trPr>
        <w:tc>
          <w:tcPr>
            <w:tcW w:w="65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Comprehensive income attributable to AbbVie Inc.</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95"/>
              </w:rPr>
              <w:t>5,007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4,658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$4,757</w:t>
            </w:r>
          </w:p>
        </w:tc>
        <w:tc>
          <w:tcPr>
            <w:tcW w:w="60" w:type="dxa"/>
            <w:vAlign w:val="bottom"/>
          </w:tcPr>
          <w:p>
            <w:pPr>
              <w:spacing w:after="0"/>
              <w:rPr>
                <w:sz w:val="23"/>
                <w:szCs w:val="23"/>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160"/>
          </w:cols>
          <w:pgMar w:left="1400" w:top="1025" w:right="132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w:t>
      </w:r>
      <w:r>
        <w:rPr>
          <w:sz w:val="1"/>
          <w:szCs w:val="1"/>
          <w:color w:val="auto"/>
        </w:rPr>
        <w:drawing>
          <wp:inline distT="0" distB="0" distL="0" distR="0">
            <wp:extent cx="615950" cy="12827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60"/>
          </w:cols>
          <w:pgMar w:left="1400" w:top="1025" w:right="1320" w:bottom="75" w:gutter="0" w:footer="0" w:header="0"/>
          <w:type w:val="continuous"/>
        </w:sectPr>
      </w:pPr>
    </w:p>
    <w:bookmarkStart w:id="64" w:name="page65"/>
    <w:bookmarkEnd w:id="64"/>
    <w:p>
      <w:pPr>
        <w:spacing w:after="0"/>
        <w:rPr>
          <w:sz w:val="20"/>
          <w:szCs w:val="20"/>
          <w:color w:val="auto"/>
        </w:rPr>
      </w:pPr>
      <w:r>
        <w:rPr>
          <w:rFonts w:ascii="Arial" w:cs="Arial" w:eastAsia="Arial" w:hAnsi="Arial"/>
          <w:sz w:val="22"/>
          <w:szCs w:val="22"/>
          <w:b w:val="1"/>
          <w:bCs w:val="1"/>
          <w:color w:val="000039"/>
        </w:rPr>
        <w:t>AbbVie Inc. and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20"/>
                <w:szCs w:val="20"/>
                <w:color w:val="auto"/>
              </w:rPr>
            </w:pPr>
            <w:r>
              <w:rPr>
                <w:rFonts w:ascii="Arial" w:cs="Arial" w:eastAsia="Arial" w:hAnsi="Arial"/>
                <w:sz w:val="16"/>
                <w:szCs w:val="16"/>
                <w:b w:val="1"/>
                <w:bCs w:val="1"/>
                <w:color w:val="auto"/>
              </w:rPr>
              <w:t>as of December 31 (in millions, except share data)</w:t>
            </w:r>
          </w:p>
        </w:tc>
        <w:tc>
          <w:tcPr>
            <w:tcW w:w="320" w:type="dxa"/>
            <w:vAlign w:val="bottom"/>
          </w:tcPr>
          <w:p>
            <w:pPr>
              <w:spacing w:after="0"/>
              <w:rPr>
                <w:sz w:val="17"/>
                <w:szCs w:val="17"/>
                <w:color w:val="auto"/>
              </w:rPr>
            </w:pPr>
          </w:p>
        </w:tc>
        <w:tc>
          <w:tcPr>
            <w:tcW w:w="880" w:type="dxa"/>
            <w:vAlign w:val="bottom"/>
          </w:tcPr>
          <w:p>
            <w:pPr>
              <w:jc w:val="right"/>
              <w:ind w:right="301"/>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740" w:type="dxa"/>
            <w:vAlign w:val="bottom"/>
          </w:tcPr>
          <w:p>
            <w:pPr>
              <w:jc w:val="right"/>
              <w:ind w:right="14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r>
      <w:tr>
        <w:trPr>
          <w:trHeight w:val="22"/>
        </w:trPr>
        <w:tc>
          <w:tcPr>
            <w:tcW w:w="6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698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6980" w:type="dxa"/>
            <w:vAlign w:val="bottom"/>
          </w:tcPr>
          <w:p>
            <w:pPr>
              <w:spacing w:after="0"/>
              <w:rPr>
                <w:sz w:val="20"/>
                <w:szCs w:val="20"/>
                <w:color w:val="auto"/>
              </w:rPr>
            </w:pPr>
            <w:r>
              <w:rPr>
                <w:rFonts w:ascii="Arial" w:cs="Arial" w:eastAsia="Arial" w:hAnsi="Arial"/>
                <w:sz w:val="20"/>
                <w:szCs w:val="20"/>
                <w:color w:val="auto"/>
              </w:rPr>
              <w:t>Cash and equivalents</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5,229</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5,524</w:t>
            </w: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Short-term investments</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28</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31</w:t>
            </w: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12,589</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10,919</w:t>
            </w: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Inventories</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4,951</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4,181</w:t>
            </w:r>
          </w:p>
        </w:tc>
        <w:tc>
          <w:tcPr>
            <w:tcW w:w="60" w:type="dxa"/>
            <w:vAlign w:val="bottom"/>
          </w:tcPr>
          <w:p>
            <w:pPr>
              <w:spacing w:after="0"/>
              <w:rPr>
                <w:sz w:val="24"/>
                <w:szCs w:val="24"/>
                <w:color w:val="auto"/>
              </w:rPr>
            </w:pPr>
          </w:p>
        </w:tc>
      </w:tr>
      <w:tr>
        <w:trPr>
          <w:trHeight w:val="282"/>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Prepaid expenses and other</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6,265</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4,927</w:t>
            </w:r>
          </w:p>
        </w:tc>
        <w:tc>
          <w:tcPr>
            <w:tcW w:w="60" w:type="dxa"/>
            <w:vAlign w:val="bottom"/>
          </w:tcPr>
          <w:p>
            <w:pPr>
              <w:spacing w:after="0"/>
              <w:rPr>
                <w:sz w:val="24"/>
                <w:szCs w:val="24"/>
                <w:color w:val="auto"/>
              </w:rPr>
            </w:pPr>
          </w:p>
        </w:tc>
      </w:tr>
      <w:tr>
        <w:trPr>
          <w:trHeight w:val="269"/>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Total current assets</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29,062</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25,582</w:t>
            </w:r>
          </w:p>
        </w:tc>
        <w:tc>
          <w:tcPr>
            <w:tcW w:w="60" w:type="dxa"/>
            <w:vAlign w:val="bottom"/>
          </w:tcPr>
          <w:p>
            <w:pPr>
              <w:spacing w:after="0"/>
              <w:rPr>
                <w:sz w:val="23"/>
                <w:szCs w:val="23"/>
                <w:color w:val="auto"/>
              </w:rPr>
            </w:pPr>
          </w:p>
        </w:tc>
      </w:tr>
      <w:tr>
        <w:trPr>
          <w:trHeight w:val="386"/>
        </w:trPr>
        <w:tc>
          <w:tcPr>
            <w:tcW w:w="6980" w:type="dxa"/>
            <w:vAlign w:val="bottom"/>
          </w:tcPr>
          <w:p>
            <w:pPr>
              <w:spacing w:after="0"/>
              <w:rPr>
                <w:sz w:val="20"/>
                <w:szCs w:val="20"/>
                <w:color w:val="auto"/>
              </w:rPr>
            </w:pPr>
            <w:r>
              <w:rPr>
                <w:rFonts w:ascii="Arial" w:cs="Arial" w:eastAsia="Arial" w:hAnsi="Arial"/>
                <w:sz w:val="20"/>
                <w:szCs w:val="20"/>
                <w:color w:val="auto"/>
              </w:rPr>
              <w:t>Investments</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268</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279</w:t>
            </w: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5,628</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5,134</w:t>
            </w: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Intangible assets, net</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52,641</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60,068</w:t>
            </w: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Goodwill</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35,640</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34,956</w:t>
            </w:r>
          </w:p>
        </w:tc>
        <w:tc>
          <w:tcPr>
            <w:tcW w:w="60" w:type="dxa"/>
            <w:vAlign w:val="bottom"/>
          </w:tcPr>
          <w:p>
            <w:pPr>
              <w:spacing w:after="0"/>
              <w:rPr>
                <w:sz w:val="24"/>
                <w:szCs w:val="24"/>
                <w:color w:val="auto"/>
              </w:rPr>
            </w:pPr>
          </w:p>
        </w:tc>
      </w:tr>
      <w:tr>
        <w:trPr>
          <w:trHeight w:val="282"/>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 assets</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10,721</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9,142</w:t>
            </w:r>
          </w:p>
        </w:tc>
        <w:tc>
          <w:tcPr>
            <w:tcW w:w="60" w:type="dxa"/>
            <w:vAlign w:val="bottom"/>
          </w:tcPr>
          <w:p>
            <w:pPr>
              <w:spacing w:after="0"/>
              <w:rPr>
                <w:sz w:val="24"/>
                <w:szCs w:val="24"/>
                <w:color w:val="auto"/>
              </w:rPr>
            </w:pPr>
          </w:p>
        </w:tc>
      </w:tr>
      <w:tr>
        <w:trPr>
          <w:trHeight w:val="269"/>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96"/>
              </w:rPr>
              <w:t>133,960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135,161</w:t>
            </w:r>
          </w:p>
        </w:tc>
        <w:tc>
          <w:tcPr>
            <w:tcW w:w="60" w:type="dxa"/>
            <w:vAlign w:val="bottom"/>
          </w:tcPr>
          <w:p>
            <w:pPr>
              <w:spacing w:after="0"/>
              <w:rPr>
                <w:sz w:val="23"/>
                <w:szCs w:val="23"/>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6980" w:type="dxa"/>
            <w:vAlign w:val="bottom"/>
          </w:tcPr>
          <w:p>
            <w:pPr>
              <w:spacing w:after="0"/>
              <w:rPr>
                <w:sz w:val="20"/>
                <w:szCs w:val="20"/>
                <w:color w:val="auto"/>
              </w:rPr>
            </w:pPr>
            <w:r>
              <w:rPr>
                <w:rFonts w:ascii="Arial" w:cs="Arial" w:eastAsia="Arial" w:hAnsi="Arial"/>
                <w:sz w:val="20"/>
                <w:szCs w:val="20"/>
                <w:b w:val="1"/>
                <w:bCs w:val="1"/>
                <w:color w:val="auto"/>
              </w:rPr>
              <w:t>Liabilities and Equity</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b w:val="1"/>
                <w:bCs w:val="1"/>
                <w:color w:val="auto"/>
              </w:rPr>
              <w:t>Current liabilities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6980" w:type="dxa"/>
            <w:vAlign w:val="bottom"/>
          </w:tcPr>
          <w:p>
            <w:pPr>
              <w:spacing w:after="0"/>
              <w:rPr>
                <w:sz w:val="20"/>
                <w:szCs w:val="20"/>
                <w:color w:val="auto"/>
              </w:rPr>
            </w:pPr>
            <w:r>
              <w:rPr>
                <w:rFonts w:ascii="Arial" w:cs="Arial" w:eastAsia="Arial" w:hAnsi="Arial"/>
                <w:sz w:val="20"/>
                <w:szCs w:val="20"/>
                <w:color w:val="auto"/>
              </w:rPr>
              <w:t>Short-term borrowings</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2,499</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Current portion of long-term debt and finance lease obligations</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6,056</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6,804</w:t>
            </w:r>
          </w:p>
        </w:tc>
        <w:tc>
          <w:tcPr>
            <w:tcW w:w="60" w:type="dxa"/>
            <w:vAlign w:val="bottom"/>
          </w:tcPr>
          <w:p>
            <w:pPr>
              <w:spacing w:after="0"/>
              <w:rPr>
                <w:sz w:val="24"/>
                <w:szCs w:val="24"/>
                <w:color w:val="auto"/>
              </w:rPr>
            </w:pPr>
          </w:p>
        </w:tc>
      </w:tr>
      <w:tr>
        <w:trPr>
          <w:trHeight w:val="282"/>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Accounts payable and accrued liabilities</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34,734</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31,945</w:t>
            </w:r>
          </w:p>
        </w:tc>
        <w:tc>
          <w:tcPr>
            <w:tcW w:w="60" w:type="dxa"/>
            <w:vAlign w:val="bottom"/>
          </w:tcPr>
          <w:p>
            <w:pPr>
              <w:spacing w:after="0"/>
              <w:rPr>
                <w:sz w:val="24"/>
                <w:szCs w:val="24"/>
                <w:color w:val="auto"/>
              </w:rPr>
            </w:pPr>
          </w:p>
        </w:tc>
      </w:tr>
      <w:tr>
        <w:trPr>
          <w:trHeight w:val="269"/>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Total current liabilities</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43,289</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38,749</w:t>
            </w:r>
          </w:p>
        </w:tc>
        <w:tc>
          <w:tcPr>
            <w:tcW w:w="60" w:type="dxa"/>
            <w:vAlign w:val="bottom"/>
          </w:tcPr>
          <w:p>
            <w:pPr>
              <w:spacing w:after="0"/>
              <w:rPr>
                <w:sz w:val="23"/>
                <w:szCs w:val="23"/>
                <w:color w:val="auto"/>
              </w:rPr>
            </w:pPr>
          </w:p>
        </w:tc>
      </w:tr>
      <w:tr>
        <w:trPr>
          <w:trHeight w:val="386"/>
        </w:trPr>
        <w:tc>
          <w:tcPr>
            <w:tcW w:w="6980" w:type="dxa"/>
            <w:vAlign w:val="bottom"/>
          </w:tcPr>
          <w:p>
            <w:pPr>
              <w:spacing w:after="0"/>
              <w:rPr>
                <w:sz w:val="20"/>
                <w:szCs w:val="20"/>
                <w:color w:val="auto"/>
              </w:rPr>
            </w:pPr>
            <w:r>
              <w:rPr>
                <w:rFonts w:ascii="Arial" w:cs="Arial" w:eastAsia="Arial" w:hAnsi="Arial"/>
                <w:sz w:val="20"/>
                <w:szCs w:val="20"/>
                <w:color w:val="auto"/>
              </w:rPr>
              <w:t>Long-term debt and finance lease obligations</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58,941</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60,340</w:t>
            </w: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Deferred income taxes</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2,389</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2,579</w:t>
            </w: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Other long-term liabilities</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32,569</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30,129</w:t>
            </w:r>
          </w:p>
        </w:tc>
        <w:tc>
          <w:tcPr>
            <w:tcW w:w="60" w:type="dxa"/>
            <w:vAlign w:val="bottom"/>
          </w:tcPr>
          <w:p>
            <w:pPr>
              <w:spacing w:after="0"/>
              <w:rPr>
                <w:sz w:val="24"/>
                <w:szCs w:val="24"/>
                <w:color w:val="auto"/>
              </w:rPr>
            </w:pPr>
          </w:p>
        </w:tc>
      </w:tr>
      <w:tr>
        <w:trPr>
          <w:trHeight w:val="399"/>
        </w:trPr>
        <w:tc>
          <w:tcPr>
            <w:tcW w:w="6980" w:type="dxa"/>
            <w:vAlign w:val="bottom"/>
          </w:tcPr>
          <w:p>
            <w:pPr>
              <w:spacing w:after="0"/>
              <w:rPr>
                <w:sz w:val="20"/>
                <w:szCs w:val="20"/>
                <w:color w:val="auto"/>
              </w:rPr>
            </w:pPr>
            <w:r>
              <w:rPr>
                <w:rFonts w:ascii="Arial" w:cs="Arial" w:eastAsia="Arial" w:hAnsi="Arial"/>
                <w:sz w:val="20"/>
                <w:szCs w:val="20"/>
                <w:color w:val="auto"/>
              </w:rPr>
              <w:t>Commitments and contingencies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5"/>
        </w:trPr>
        <w:tc>
          <w:tcPr>
            <w:tcW w:w="6980" w:type="dxa"/>
            <w:vAlign w:val="bottom"/>
          </w:tcPr>
          <w:p>
            <w:pPr>
              <w:spacing w:after="0"/>
              <w:rPr>
                <w:sz w:val="20"/>
                <w:szCs w:val="20"/>
                <w:color w:val="auto"/>
              </w:rPr>
            </w:pPr>
            <w:r>
              <w:rPr>
                <w:rFonts w:ascii="Arial" w:cs="Arial" w:eastAsia="Arial" w:hAnsi="Arial"/>
                <w:sz w:val="20"/>
                <w:szCs w:val="20"/>
                <w:b w:val="1"/>
                <w:bCs w:val="1"/>
                <w:color w:val="auto"/>
              </w:rPr>
              <w:t>Stockholders’ equity (deficit)</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5"/>
        </w:trPr>
        <w:tc>
          <w:tcPr>
            <w:tcW w:w="6980" w:type="dxa"/>
            <w:vAlign w:val="bottom"/>
          </w:tcPr>
          <w:p>
            <w:pPr>
              <w:spacing w:after="0"/>
              <w:rPr>
                <w:sz w:val="20"/>
                <w:szCs w:val="20"/>
                <w:color w:val="auto"/>
              </w:rPr>
            </w:pPr>
            <w:r>
              <w:rPr>
                <w:rFonts w:ascii="Arial" w:cs="Arial" w:eastAsia="Arial" w:hAnsi="Arial"/>
                <w:sz w:val="20"/>
                <w:szCs w:val="20"/>
                <w:color w:val="auto"/>
              </w:rPr>
              <w:t>Common stock, $0.01 par value, 4,000,000,000 shares authorized,</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9"/>
        </w:trPr>
        <w:tc>
          <w:tcPr>
            <w:tcW w:w="6980" w:type="dxa"/>
            <w:vAlign w:val="bottom"/>
          </w:tcPr>
          <w:p>
            <w:pPr>
              <w:ind w:left="180"/>
              <w:spacing w:after="0"/>
              <w:rPr>
                <w:sz w:val="20"/>
                <w:szCs w:val="20"/>
                <w:color w:val="auto"/>
              </w:rPr>
            </w:pPr>
            <w:r>
              <w:rPr>
                <w:rFonts w:ascii="Arial" w:cs="Arial" w:eastAsia="Arial" w:hAnsi="Arial"/>
                <w:sz w:val="20"/>
                <w:szCs w:val="20"/>
                <w:color w:val="auto"/>
              </w:rPr>
              <w:t>1,838,678,628 shares issued as of December 31, 2025 and 1,831,594,494</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6980" w:type="dxa"/>
            <w:vAlign w:val="bottom"/>
          </w:tcPr>
          <w:p>
            <w:pPr>
              <w:ind w:left="180"/>
              <w:spacing w:after="0"/>
              <w:rPr>
                <w:sz w:val="20"/>
                <w:szCs w:val="20"/>
                <w:color w:val="auto"/>
              </w:rPr>
            </w:pPr>
            <w:r>
              <w:rPr>
                <w:rFonts w:ascii="Arial" w:cs="Arial" w:eastAsia="Arial" w:hAnsi="Arial"/>
                <w:sz w:val="20"/>
                <w:szCs w:val="20"/>
                <w:color w:val="auto"/>
              </w:rPr>
              <w:t>as of December 31, 2024</w:t>
            </w:r>
          </w:p>
        </w:tc>
        <w:tc>
          <w:tcPr>
            <w:tcW w:w="320" w:type="dxa"/>
            <w:vAlign w:val="bottom"/>
          </w:tcPr>
          <w:p>
            <w:pPr>
              <w:spacing w:after="0"/>
              <w:rPr>
                <w:sz w:val="21"/>
                <w:szCs w:val="21"/>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18</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1"/>
                <w:szCs w:val="21"/>
                <w:color w:val="auto"/>
              </w:rPr>
            </w:pPr>
          </w:p>
        </w:tc>
      </w:tr>
      <w:tr>
        <w:trPr>
          <w:trHeight w:val="271"/>
        </w:trPr>
        <w:tc>
          <w:tcPr>
            <w:tcW w:w="6980" w:type="dxa"/>
            <w:vAlign w:val="bottom"/>
          </w:tcPr>
          <w:p>
            <w:pPr>
              <w:spacing w:after="0"/>
              <w:rPr>
                <w:sz w:val="20"/>
                <w:szCs w:val="20"/>
                <w:color w:val="auto"/>
              </w:rPr>
            </w:pPr>
            <w:r>
              <w:rPr>
                <w:rFonts w:ascii="Arial" w:cs="Arial" w:eastAsia="Arial" w:hAnsi="Arial"/>
                <w:sz w:val="20"/>
                <w:szCs w:val="20"/>
                <w:color w:val="auto"/>
              </w:rPr>
              <w:t>Common stock held in treasury, at cost, 70,802,593 shares as of</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8"/>
        </w:trPr>
        <w:tc>
          <w:tcPr>
            <w:tcW w:w="6980" w:type="dxa"/>
            <w:vAlign w:val="bottom"/>
          </w:tcPr>
          <w:p>
            <w:pPr>
              <w:ind w:left="180"/>
              <w:spacing w:after="0"/>
              <w:rPr>
                <w:sz w:val="20"/>
                <w:szCs w:val="20"/>
                <w:color w:val="auto"/>
              </w:rPr>
            </w:pPr>
            <w:r>
              <w:rPr>
                <w:rFonts w:ascii="Arial" w:cs="Arial" w:eastAsia="Arial" w:hAnsi="Arial"/>
                <w:sz w:val="20"/>
                <w:szCs w:val="20"/>
                <w:color w:val="auto"/>
              </w:rPr>
              <w:t>December 31, 2025 and 66,337,508 as of December 31, 2024</w:t>
            </w:r>
          </w:p>
        </w:tc>
        <w:tc>
          <w:tcPr>
            <w:tcW w:w="32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(9,146)</w:t>
            </w:r>
          </w:p>
        </w:tc>
        <w:tc>
          <w:tcPr>
            <w:tcW w:w="1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(8,201)</w:t>
            </w: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Additional paid-in capital</w:t>
            </w:r>
          </w:p>
        </w:tc>
        <w:tc>
          <w:tcPr>
            <w:tcW w:w="32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20"/>
                <w:szCs w:val="20"/>
                <w:color w:val="auto"/>
              </w:rPr>
              <w:t>22,495</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21,333</w:t>
            </w:r>
          </w:p>
        </w:tc>
        <w:tc>
          <w:tcPr>
            <w:tcW w:w="60" w:type="dxa"/>
            <w:vAlign w:val="bottom"/>
          </w:tcPr>
          <w:p>
            <w:pPr>
              <w:spacing w:after="0"/>
              <w:rPr>
                <w:sz w:val="24"/>
                <w:szCs w:val="24"/>
                <w:color w:val="auto"/>
              </w:rPr>
            </w:pP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Accumulated deficit</w:t>
            </w:r>
          </w:p>
        </w:tc>
        <w:tc>
          <w:tcPr>
            <w:tcW w:w="32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(15,493)</w:t>
            </w: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(7,900)</w:t>
            </w:r>
          </w:p>
        </w:tc>
      </w:tr>
      <w:tr>
        <w:trPr>
          <w:trHeight w:val="282"/>
        </w:trPr>
        <w:tc>
          <w:tcPr>
            <w:tcW w:w="6980" w:type="dxa"/>
            <w:vAlign w:val="bottom"/>
          </w:tcPr>
          <w:p>
            <w:pPr>
              <w:spacing w:after="0"/>
              <w:rPr>
                <w:sz w:val="20"/>
                <w:szCs w:val="20"/>
                <w:color w:val="auto"/>
              </w:rPr>
            </w:pPr>
            <w:r>
              <w:rPr>
                <w:rFonts w:ascii="Arial" w:cs="Arial" w:eastAsia="Arial" w:hAnsi="Arial"/>
                <w:sz w:val="20"/>
                <w:szCs w:val="20"/>
                <w:color w:val="auto"/>
              </w:rPr>
              <w:t>Accumulated other comprehensive loss</w:t>
            </w:r>
          </w:p>
        </w:tc>
        <w:tc>
          <w:tcPr>
            <w:tcW w:w="32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(1,144)</w:t>
            </w: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(1,925)</w:t>
            </w:r>
          </w:p>
        </w:tc>
      </w:tr>
      <w:tr>
        <w:trPr>
          <w:trHeight w:val="266"/>
        </w:trPr>
        <w:tc>
          <w:tcPr>
            <w:tcW w:w="698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Total stockholders’ equity (deficit)</w:t>
            </w:r>
          </w:p>
        </w:tc>
        <w:tc>
          <w:tcPr>
            <w:tcW w:w="3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(3,270)</w:t>
            </w:r>
          </w:p>
        </w:tc>
        <w:tc>
          <w:tcPr>
            <w:tcW w:w="1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3,325</w:t>
            </w:r>
          </w:p>
        </w:tc>
        <w:tc>
          <w:tcPr>
            <w:tcW w:w="60" w:type="dxa"/>
            <w:vAlign w:val="bottom"/>
          </w:tcPr>
          <w:p>
            <w:pPr>
              <w:spacing w:after="0"/>
              <w:rPr>
                <w:sz w:val="23"/>
                <w:szCs w:val="23"/>
                <w:color w:val="auto"/>
              </w:rPr>
            </w:pPr>
          </w:p>
        </w:tc>
      </w:tr>
      <w:tr>
        <w:trPr>
          <w:trHeight w:val="282"/>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Noncontrolling interest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42</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60" w:type="dxa"/>
            <w:vAlign w:val="bottom"/>
          </w:tcPr>
          <w:p>
            <w:pPr>
              <w:spacing w:after="0"/>
              <w:rPr>
                <w:sz w:val="24"/>
                <w:szCs w:val="24"/>
                <w:color w:val="auto"/>
              </w:rPr>
            </w:pPr>
          </w:p>
        </w:tc>
      </w:tr>
      <w:tr>
        <w:trPr>
          <w:trHeight w:val="269"/>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Total equity (deficit)</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(3,228)</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3,364</w:t>
            </w:r>
          </w:p>
        </w:tc>
        <w:tc>
          <w:tcPr>
            <w:tcW w:w="60" w:type="dxa"/>
            <w:vAlign w:val="bottom"/>
          </w:tcPr>
          <w:p>
            <w:pPr>
              <w:spacing w:after="0"/>
              <w:rPr>
                <w:sz w:val="23"/>
                <w:szCs w:val="23"/>
                <w:color w:val="auto"/>
              </w:rPr>
            </w:pPr>
          </w:p>
        </w:tc>
      </w:tr>
      <w:tr>
        <w:trPr>
          <w:trHeight w:val="389"/>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Total liabilities and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96"/>
              </w:rPr>
              <w:t>133,960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135,161</w:t>
            </w:r>
          </w:p>
        </w:tc>
        <w:tc>
          <w:tcPr>
            <w:tcW w:w="60" w:type="dxa"/>
            <w:vAlign w:val="bottom"/>
          </w:tcPr>
          <w:p>
            <w:pPr>
              <w:spacing w:after="0"/>
              <w:rPr>
                <w:sz w:val="24"/>
                <w:szCs w:val="24"/>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160"/>
          </w:cols>
          <w:pgMar w:left="1400" w:top="1025" w:right="132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59</w:t>
      </w:r>
    </w:p>
    <w:p>
      <w:pPr>
        <w:sectPr>
          <w:pgSz w:w="11880" w:h="15480" w:orient="portrait"/>
          <w:cols w:equalWidth="0" w:num="1">
            <w:col w:w="9160"/>
          </w:cols>
          <w:pgMar w:left="1400" w:top="1025" w:right="1320" w:bottom="87" w:gutter="0" w:footer="0" w:header="0"/>
          <w:type w:val="continuous"/>
        </w:sectPr>
      </w:pPr>
    </w:p>
    <w:bookmarkStart w:id="65" w:name="page66"/>
    <w:bookmarkEnd w:id="65"/>
    <w:p>
      <w:pPr>
        <w:spacing w:after="0"/>
        <w:rPr>
          <w:sz w:val="20"/>
          <w:szCs w:val="20"/>
          <w:color w:val="auto"/>
        </w:rPr>
      </w:pPr>
      <w:r>
        <w:rPr>
          <w:rFonts w:ascii="Arial" w:cs="Arial" w:eastAsia="Arial" w:hAnsi="Arial"/>
          <w:sz w:val="22"/>
          <w:szCs w:val="22"/>
          <w:b w:val="1"/>
          <w:bCs w:val="1"/>
          <w:color w:val="000039"/>
        </w:rPr>
        <w:t>AbbVie Inc. and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Consolidated Statements of Equity (Deficit)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Retained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Accumulated</w:t>
            </w: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2760" w:type="dxa"/>
            <w:vAlign w:val="bottom"/>
          </w:tcPr>
          <w:p>
            <w:pPr>
              <w:spacing w:after="0"/>
              <w:rPr>
                <w:sz w:val="15"/>
                <w:szCs w:val="15"/>
                <w:color w:val="auto"/>
              </w:rPr>
            </w:pPr>
          </w:p>
        </w:tc>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Common</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Additional</w:t>
            </w:r>
          </w:p>
        </w:tc>
        <w:tc>
          <w:tcPr>
            <w:tcW w:w="11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rPr>
              <w:t>earnings</w:t>
            </w:r>
          </w:p>
        </w:tc>
        <w:tc>
          <w:tcPr>
            <w:tcW w:w="13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other</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2760" w:type="dxa"/>
            <w:vAlign w:val="bottom"/>
          </w:tcPr>
          <w:p>
            <w:pPr>
              <w:spacing w:after="0" w:line="180" w:lineRule="exact"/>
              <w:rPr>
                <w:sz w:val="20"/>
                <w:szCs w:val="20"/>
                <w:color w:val="auto"/>
              </w:rPr>
            </w:pPr>
            <w:r>
              <w:rPr>
                <w:rFonts w:ascii="Arial" w:cs="Arial" w:eastAsia="Arial" w:hAnsi="Arial"/>
                <w:sz w:val="16"/>
                <w:szCs w:val="16"/>
                <w:b w:val="1"/>
                <w:bCs w:val="1"/>
                <w:color w:val="auto"/>
              </w:rPr>
              <w:t>years ended December 31</w:t>
            </w:r>
          </w:p>
        </w:tc>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shares</w:t>
            </w:r>
          </w:p>
        </w:tc>
        <w:tc>
          <w:tcPr>
            <w:tcW w:w="8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Common</w:t>
            </w:r>
          </w:p>
        </w:tc>
        <w:tc>
          <w:tcPr>
            <w:tcW w:w="80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Treasury</w:t>
            </w:r>
          </w:p>
        </w:tc>
        <w:tc>
          <w:tcPr>
            <w:tcW w:w="9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paid-in</w:t>
            </w:r>
          </w:p>
        </w:tc>
        <w:tc>
          <w:tcPr>
            <w:tcW w:w="11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rPr>
              <w:t>(accumulated</w:t>
            </w:r>
          </w:p>
        </w:tc>
        <w:tc>
          <w:tcPr>
            <w:tcW w:w="13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comprehensive</w:t>
            </w:r>
          </w:p>
        </w:tc>
        <w:tc>
          <w:tcPr>
            <w:tcW w:w="1280" w:type="dxa"/>
            <w:vAlign w:val="bottom"/>
          </w:tcPr>
          <w:p>
            <w:pPr>
              <w:jc w:val="right"/>
              <w:ind w:right="5"/>
              <w:spacing w:after="0" w:line="180" w:lineRule="exact"/>
              <w:rPr>
                <w:sz w:val="20"/>
                <w:szCs w:val="20"/>
                <w:color w:val="auto"/>
              </w:rPr>
            </w:pPr>
            <w:r>
              <w:rPr>
                <w:rFonts w:ascii="Arial" w:cs="Arial" w:eastAsia="Arial" w:hAnsi="Arial"/>
                <w:sz w:val="16"/>
                <w:szCs w:val="16"/>
                <w:b w:val="1"/>
                <w:bCs w:val="1"/>
                <w:color w:val="auto"/>
              </w:rPr>
              <w:t>Noncontrolling</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7"/>
        </w:trPr>
        <w:tc>
          <w:tcPr>
            <w:tcW w:w="276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820" w:type="dxa"/>
            <w:vAlign w:val="bottom"/>
          </w:tcPr>
          <w:p>
            <w:pPr>
              <w:jc w:val="right"/>
              <w:ind w:right="125"/>
              <w:spacing w:after="0"/>
              <w:rPr>
                <w:sz w:val="20"/>
                <w:szCs w:val="20"/>
                <w:color w:val="auto"/>
              </w:rPr>
            </w:pPr>
            <w:r>
              <w:rPr>
                <w:rFonts w:ascii="Arial" w:cs="Arial" w:eastAsia="Arial" w:hAnsi="Arial"/>
                <w:sz w:val="16"/>
                <w:szCs w:val="16"/>
                <w:b w:val="1"/>
                <w:bCs w:val="1"/>
                <w:color w:val="auto"/>
              </w:rPr>
              <w:t>stock</w:t>
            </w:r>
          </w:p>
        </w:tc>
        <w:tc>
          <w:tcPr>
            <w:tcW w:w="800" w:type="dxa"/>
            <w:vAlign w:val="bottom"/>
          </w:tcPr>
          <w:p>
            <w:pPr>
              <w:jc w:val="right"/>
              <w:ind w:right="105"/>
              <w:spacing w:after="0"/>
              <w:rPr>
                <w:sz w:val="20"/>
                <w:szCs w:val="20"/>
                <w:color w:val="auto"/>
              </w:rPr>
            </w:pPr>
            <w:r>
              <w:rPr>
                <w:rFonts w:ascii="Arial" w:cs="Arial" w:eastAsia="Arial" w:hAnsi="Arial"/>
                <w:sz w:val="16"/>
                <w:szCs w:val="16"/>
                <w:b w:val="1"/>
                <w:bCs w:val="1"/>
                <w:color w:val="auto"/>
              </w:rPr>
              <w:t>stock</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capital</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deficit)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loss</w:t>
            </w:r>
          </w:p>
        </w:tc>
        <w:tc>
          <w:tcPr>
            <w:tcW w:w="1280" w:type="dxa"/>
            <w:vAlign w:val="bottom"/>
          </w:tcPr>
          <w:p>
            <w:pPr>
              <w:jc w:val="right"/>
              <w:ind w:right="285"/>
              <w:spacing w:after="0"/>
              <w:rPr>
                <w:sz w:val="20"/>
                <w:szCs w:val="20"/>
                <w:color w:val="auto"/>
              </w:rPr>
            </w:pPr>
            <w:r>
              <w:rPr>
                <w:rFonts w:ascii="Arial" w:cs="Arial" w:eastAsia="Arial" w:hAnsi="Arial"/>
                <w:sz w:val="16"/>
                <w:szCs w:val="16"/>
                <w:b w:val="1"/>
                <w:bCs w:val="1"/>
                <w:color w:val="auto"/>
              </w:rPr>
              <w:t>interest</w:t>
            </w:r>
          </w:p>
        </w:tc>
        <w:tc>
          <w:tcPr>
            <w:tcW w:w="1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Total</w:t>
            </w: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5"/>
                <w:szCs w:val="15"/>
                <w:b w:val="1"/>
                <w:bCs w:val="1"/>
                <w:color w:val="auto"/>
              </w:rPr>
              <w:t>Balance at December 31, 2022</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1,769</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$18</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$(4,594)</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$19,245</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05"/>
              <w:spacing w:after="0"/>
              <w:rPr>
                <w:sz w:val="20"/>
                <w:szCs w:val="20"/>
                <w:color w:val="auto"/>
              </w:rPr>
            </w:pPr>
            <w:r>
              <w:rPr>
                <w:rFonts w:ascii="Arial" w:cs="Arial" w:eastAsia="Arial" w:hAnsi="Arial"/>
                <w:sz w:val="15"/>
                <w:szCs w:val="15"/>
                <w:color w:val="auto"/>
              </w:rPr>
              <w:t>4,784</w:t>
            </w:r>
          </w:p>
        </w:tc>
        <w:tc>
          <w:tcPr>
            <w:tcW w:w="1300" w:type="dxa"/>
            <w:vAlign w:val="bottom"/>
          </w:tcPr>
          <w:p>
            <w:pPr>
              <w:jc w:val="right"/>
              <w:ind w:right="264"/>
              <w:spacing w:after="0"/>
              <w:rPr>
                <w:sz w:val="20"/>
                <w:szCs w:val="20"/>
                <w:color w:val="auto"/>
              </w:rPr>
            </w:pPr>
            <w:r>
              <w:rPr>
                <w:rFonts w:ascii="Arial" w:cs="Arial" w:eastAsia="Arial" w:hAnsi="Arial"/>
                <w:sz w:val="15"/>
                <w:szCs w:val="15"/>
                <w:color w:val="auto"/>
              </w:rPr>
              <w:t>$(2,199)</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$33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17,287</w:t>
            </w: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Net earnings attributable to AbbVie Inc.</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auto"/>
              </w:rPr>
              <w:t>4,863</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4,863</w:t>
            </w: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Other comprehensive loss, net of tax</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64"/>
              <w:spacing w:after="0"/>
              <w:rPr>
                <w:sz w:val="20"/>
                <w:szCs w:val="20"/>
                <w:color w:val="auto"/>
              </w:rPr>
            </w:pPr>
            <w:r>
              <w:rPr>
                <w:rFonts w:ascii="Arial" w:cs="Arial" w:eastAsia="Arial" w:hAnsi="Arial"/>
                <w:sz w:val="15"/>
                <w:szCs w:val="15"/>
                <w:color w:val="auto"/>
              </w:rPr>
              <w:t>(106)</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(106)</w:t>
            </w: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Dividends declared</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color w:val="auto"/>
                <w:w w:val="96"/>
              </w:rPr>
              <w:t>(10,647)</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(10,647)</w:t>
            </w: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Purchases of treasury stock</w:t>
            </w:r>
          </w:p>
        </w:tc>
        <w:tc>
          <w:tcPr>
            <w:tcW w:w="1080" w:type="dxa"/>
            <w:vAlign w:val="bottom"/>
          </w:tcPr>
          <w:p>
            <w:pPr>
              <w:jc w:val="right"/>
              <w:ind w:right="225"/>
              <w:spacing w:after="0"/>
              <w:rPr>
                <w:sz w:val="20"/>
                <w:szCs w:val="20"/>
                <w:color w:val="auto"/>
              </w:rPr>
            </w:pPr>
            <w:r>
              <w:rPr>
                <w:rFonts w:ascii="Arial" w:cs="Arial" w:eastAsia="Arial" w:hAnsi="Arial"/>
                <w:sz w:val="15"/>
                <w:szCs w:val="15"/>
                <w:color w:val="auto"/>
              </w:rPr>
              <w:t>(12)</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(1,978)</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(1,978)</w:t>
            </w:r>
          </w:p>
        </w:tc>
      </w:tr>
      <w:tr>
        <w:trPr>
          <w:trHeight w:val="238"/>
        </w:trPr>
        <w:tc>
          <w:tcPr>
            <w:tcW w:w="2760" w:type="dxa"/>
            <w:vAlign w:val="bottom"/>
          </w:tcPr>
          <w:p>
            <w:pPr>
              <w:spacing w:after="0"/>
              <w:rPr>
                <w:sz w:val="20"/>
                <w:szCs w:val="20"/>
                <w:color w:val="auto"/>
              </w:rPr>
            </w:pPr>
            <w:r>
              <w:rPr>
                <w:rFonts w:ascii="Arial" w:cs="Arial" w:eastAsia="Arial" w:hAnsi="Arial"/>
                <w:sz w:val="15"/>
                <w:szCs w:val="15"/>
                <w:color w:val="auto"/>
              </w:rPr>
              <w:t>Stock-based compensation plans and</w:t>
            </w: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6"/>
        </w:trPr>
        <w:tc>
          <w:tcPr>
            <w:tcW w:w="2760" w:type="dxa"/>
            <w:vAlign w:val="bottom"/>
          </w:tcPr>
          <w:p>
            <w:pPr>
              <w:ind w:left="160"/>
              <w:spacing w:after="0"/>
              <w:rPr>
                <w:sz w:val="20"/>
                <w:szCs w:val="20"/>
                <w:color w:val="auto"/>
              </w:rPr>
            </w:pPr>
            <w:r>
              <w:rPr>
                <w:rFonts w:ascii="Arial" w:cs="Arial" w:eastAsia="Arial" w:hAnsi="Arial"/>
                <w:sz w:val="15"/>
                <w:szCs w:val="15"/>
                <w:color w:val="auto"/>
              </w:rPr>
              <w:t>other</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9</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39</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935</w:t>
            </w:r>
          </w:p>
        </w:tc>
        <w:tc>
          <w:tcPr>
            <w:tcW w:w="380" w:type="dxa"/>
            <w:vAlign w:val="bottom"/>
          </w:tcPr>
          <w:p>
            <w:pPr>
              <w:spacing w:after="0"/>
              <w:rPr>
                <w:sz w:val="16"/>
                <w:szCs w:val="16"/>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974</w:t>
            </w:r>
          </w:p>
        </w:tc>
        <w:tc>
          <w:tcPr>
            <w:tcW w:w="40" w:type="dxa"/>
            <w:vAlign w:val="bottom"/>
          </w:tcPr>
          <w:p>
            <w:pPr>
              <w:spacing w:after="0"/>
              <w:rPr>
                <w:sz w:val="16"/>
                <w:szCs w:val="16"/>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Change in noncontrolling interest</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w:t>
            </w:r>
          </w:p>
        </w:tc>
        <w:tc>
          <w:tcPr>
            <w:tcW w:w="40" w:type="dxa"/>
            <w:vAlign w:val="bottom"/>
          </w:tcPr>
          <w:p>
            <w:pPr>
              <w:spacing w:after="0"/>
              <w:rPr>
                <w:sz w:val="21"/>
                <w:szCs w:val="2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760" w:type="dxa"/>
            <w:vAlign w:val="bottom"/>
          </w:tcPr>
          <w:p>
            <w:pPr>
              <w:spacing w:after="0"/>
              <w:rPr>
                <w:sz w:val="20"/>
                <w:szCs w:val="20"/>
                <w:color w:val="auto"/>
              </w:rPr>
            </w:pPr>
            <w:r>
              <w:rPr>
                <w:rFonts w:ascii="Arial" w:cs="Arial" w:eastAsia="Arial" w:hAnsi="Arial"/>
                <w:sz w:val="15"/>
                <w:szCs w:val="15"/>
                <w:b w:val="1"/>
                <w:bCs w:val="1"/>
                <w:color w:val="auto"/>
              </w:rPr>
              <w:t>Balance at December 31, 2023</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1,766</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18</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(6,533)</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20,180</w:t>
            </w:r>
          </w:p>
        </w:tc>
        <w:tc>
          <w:tcPr>
            <w:tcW w:w="380" w:type="dxa"/>
            <w:vAlign w:val="bottom"/>
          </w:tcPr>
          <w:p>
            <w:pPr>
              <w:spacing w:after="0"/>
              <w:rPr>
                <w:sz w:val="18"/>
                <w:szCs w:val="18"/>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color w:val="auto"/>
              </w:rPr>
              <w:t>(1,000)</w:t>
            </w:r>
          </w:p>
        </w:tc>
        <w:tc>
          <w:tcPr>
            <w:tcW w:w="1300" w:type="dxa"/>
            <w:vAlign w:val="bottom"/>
          </w:tcPr>
          <w:p>
            <w:pPr>
              <w:jc w:val="right"/>
              <w:ind w:right="264"/>
              <w:spacing w:after="0"/>
              <w:rPr>
                <w:sz w:val="20"/>
                <w:szCs w:val="20"/>
                <w:color w:val="auto"/>
              </w:rPr>
            </w:pPr>
            <w:r>
              <w:rPr>
                <w:rFonts w:ascii="Arial" w:cs="Arial" w:eastAsia="Arial" w:hAnsi="Arial"/>
                <w:sz w:val="15"/>
                <w:szCs w:val="15"/>
                <w:color w:val="auto"/>
              </w:rPr>
              <w:t>(2,305)</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37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10,397</w:t>
            </w:r>
          </w:p>
        </w:tc>
        <w:tc>
          <w:tcPr>
            <w:tcW w:w="40" w:type="dxa"/>
            <w:vAlign w:val="bottom"/>
          </w:tcPr>
          <w:p>
            <w:pPr>
              <w:spacing w:after="0"/>
              <w:rPr>
                <w:sz w:val="18"/>
                <w:szCs w:val="18"/>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Net earnings attributable to AbbVie Inc.</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4,278</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4,278</w:t>
            </w:r>
          </w:p>
        </w:tc>
        <w:tc>
          <w:tcPr>
            <w:tcW w:w="40" w:type="dxa"/>
            <w:vAlign w:val="bottom"/>
          </w:tcPr>
          <w:p>
            <w:pPr>
              <w:spacing w:after="0"/>
              <w:rPr>
                <w:sz w:val="21"/>
                <w:szCs w:val="21"/>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Other comprehensive income, net of tax</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380</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380</w:t>
            </w:r>
          </w:p>
        </w:tc>
        <w:tc>
          <w:tcPr>
            <w:tcW w:w="40" w:type="dxa"/>
            <w:vAlign w:val="bottom"/>
          </w:tcPr>
          <w:p>
            <w:pPr>
              <w:spacing w:after="0"/>
              <w:rPr>
                <w:sz w:val="21"/>
                <w:szCs w:val="21"/>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Dividends declared</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color w:val="auto"/>
                <w:w w:val="96"/>
              </w:rPr>
              <w:t>(11,178)</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(11,178)</w:t>
            </w: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Purchases of treasury stock</w:t>
            </w:r>
          </w:p>
        </w:tc>
        <w:tc>
          <w:tcPr>
            <w:tcW w:w="1080" w:type="dxa"/>
            <w:vAlign w:val="bottom"/>
          </w:tcPr>
          <w:p>
            <w:pPr>
              <w:jc w:val="right"/>
              <w:ind w:right="225"/>
              <w:spacing w:after="0"/>
              <w:rPr>
                <w:sz w:val="20"/>
                <w:szCs w:val="20"/>
                <w:color w:val="auto"/>
              </w:rPr>
            </w:pPr>
            <w:r>
              <w:rPr>
                <w:rFonts w:ascii="Arial" w:cs="Arial" w:eastAsia="Arial" w:hAnsi="Arial"/>
                <w:sz w:val="15"/>
                <w:szCs w:val="15"/>
                <w:color w:val="auto"/>
              </w:rPr>
              <w:t>(9)</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(1,703)</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(1,703)</w:t>
            </w:r>
          </w:p>
        </w:tc>
      </w:tr>
      <w:tr>
        <w:trPr>
          <w:trHeight w:val="238"/>
        </w:trPr>
        <w:tc>
          <w:tcPr>
            <w:tcW w:w="2760" w:type="dxa"/>
            <w:vAlign w:val="bottom"/>
          </w:tcPr>
          <w:p>
            <w:pPr>
              <w:spacing w:after="0"/>
              <w:rPr>
                <w:sz w:val="20"/>
                <w:szCs w:val="20"/>
                <w:color w:val="auto"/>
              </w:rPr>
            </w:pPr>
            <w:r>
              <w:rPr>
                <w:rFonts w:ascii="Arial" w:cs="Arial" w:eastAsia="Arial" w:hAnsi="Arial"/>
                <w:sz w:val="15"/>
                <w:szCs w:val="15"/>
                <w:color w:val="auto"/>
              </w:rPr>
              <w:t>Stock-based compensation plans and</w:t>
            </w: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6"/>
        </w:trPr>
        <w:tc>
          <w:tcPr>
            <w:tcW w:w="2760" w:type="dxa"/>
            <w:vAlign w:val="bottom"/>
          </w:tcPr>
          <w:p>
            <w:pPr>
              <w:ind w:left="160"/>
              <w:spacing w:after="0"/>
              <w:rPr>
                <w:sz w:val="20"/>
                <w:szCs w:val="20"/>
                <w:color w:val="auto"/>
              </w:rPr>
            </w:pPr>
            <w:r>
              <w:rPr>
                <w:rFonts w:ascii="Arial" w:cs="Arial" w:eastAsia="Arial" w:hAnsi="Arial"/>
                <w:sz w:val="15"/>
                <w:szCs w:val="15"/>
                <w:color w:val="auto"/>
              </w:rPr>
              <w:t>other</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8</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35</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1,153</w:t>
            </w:r>
          </w:p>
        </w:tc>
        <w:tc>
          <w:tcPr>
            <w:tcW w:w="380" w:type="dxa"/>
            <w:vAlign w:val="bottom"/>
          </w:tcPr>
          <w:p>
            <w:pPr>
              <w:spacing w:after="0"/>
              <w:rPr>
                <w:sz w:val="16"/>
                <w:szCs w:val="16"/>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1,188</w:t>
            </w:r>
          </w:p>
        </w:tc>
        <w:tc>
          <w:tcPr>
            <w:tcW w:w="40" w:type="dxa"/>
            <w:vAlign w:val="bottom"/>
          </w:tcPr>
          <w:p>
            <w:pPr>
              <w:spacing w:after="0"/>
              <w:rPr>
                <w:sz w:val="16"/>
                <w:szCs w:val="16"/>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Change in noncontrolling interest</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w:t>
            </w:r>
          </w:p>
        </w:tc>
        <w:tc>
          <w:tcPr>
            <w:tcW w:w="40" w:type="dxa"/>
            <w:vAlign w:val="bottom"/>
          </w:tcPr>
          <w:p>
            <w:pPr>
              <w:spacing w:after="0"/>
              <w:rPr>
                <w:sz w:val="21"/>
                <w:szCs w:val="2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760" w:type="dxa"/>
            <w:vAlign w:val="bottom"/>
          </w:tcPr>
          <w:p>
            <w:pPr>
              <w:spacing w:after="0"/>
              <w:rPr>
                <w:sz w:val="20"/>
                <w:szCs w:val="20"/>
                <w:color w:val="auto"/>
              </w:rPr>
            </w:pPr>
            <w:r>
              <w:rPr>
                <w:rFonts w:ascii="Arial" w:cs="Arial" w:eastAsia="Arial" w:hAnsi="Arial"/>
                <w:sz w:val="15"/>
                <w:szCs w:val="15"/>
                <w:b w:val="1"/>
                <w:bCs w:val="1"/>
                <w:color w:val="auto"/>
              </w:rPr>
              <w:t>Balance at December 31, 2024</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1,765</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18</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(8,201)</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21,333</w:t>
            </w:r>
          </w:p>
        </w:tc>
        <w:tc>
          <w:tcPr>
            <w:tcW w:w="380" w:type="dxa"/>
            <w:vAlign w:val="bottom"/>
          </w:tcPr>
          <w:p>
            <w:pPr>
              <w:spacing w:after="0"/>
              <w:rPr>
                <w:sz w:val="18"/>
                <w:szCs w:val="18"/>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color w:val="auto"/>
              </w:rPr>
              <w:t>(7,900)</w:t>
            </w:r>
          </w:p>
        </w:tc>
        <w:tc>
          <w:tcPr>
            <w:tcW w:w="1300" w:type="dxa"/>
            <w:vAlign w:val="bottom"/>
          </w:tcPr>
          <w:p>
            <w:pPr>
              <w:jc w:val="right"/>
              <w:ind w:right="264"/>
              <w:spacing w:after="0"/>
              <w:rPr>
                <w:sz w:val="20"/>
                <w:szCs w:val="20"/>
                <w:color w:val="auto"/>
              </w:rPr>
            </w:pPr>
            <w:r>
              <w:rPr>
                <w:rFonts w:ascii="Arial" w:cs="Arial" w:eastAsia="Arial" w:hAnsi="Arial"/>
                <w:sz w:val="15"/>
                <w:szCs w:val="15"/>
                <w:color w:val="auto"/>
              </w:rPr>
              <w:t>(1,925)</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39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3,364</w:t>
            </w:r>
          </w:p>
        </w:tc>
        <w:tc>
          <w:tcPr>
            <w:tcW w:w="40" w:type="dxa"/>
            <w:vAlign w:val="bottom"/>
          </w:tcPr>
          <w:p>
            <w:pPr>
              <w:spacing w:after="0"/>
              <w:rPr>
                <w:sz w:val="18"/>
                <w:szCs w:val="18"/>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Net earnings attributable to AbbVie Inc.</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4,226</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4,226</w:t>
            </w:r>
          </w:p>
        </w:tc>
        <w:tc>
          <w:tcPr>
            <w:tcW w:w="40" w:type="dxa"/>
            <w:vAlign w:val="bottom"/>
          </w:tcPr>
          <w:p>
            <w:pPr>
              <w:spacing w:after="0"/>
              <w:rPr>
                <w:sz w:val="21"/>
                <w:szCs w:val="21"/>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Other comprehensive income, net of tax</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781</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781</w:t>
            </w:r>
          </w:p>
        </w:tc>
        <w:tc>
          <w:tcPr>
            <w:tcW w:w="40" w:type="dxa"/>
            <w:vAlign w:val="bottom"/>
          </w:tcPr>
          <w:p>
            <w:pPr>
              <w:spacing w:after="0"/>
              <w:rPr>
                <w:sz w:val="21"/>
                <w:szCs w:val="21"/>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Dividends declared</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color w:val="auto"/>
                <w:w w:val="96"/>
              </w:rPr>
              <w:t>(11,819)</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(11,819)</w:t>
            </w: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Purchases of treasury stock</w:t>
            </w:r>
          </w:p>
        </w:tc>
        <w:tc>
          <w:tcPr>
            <w:tcW w:w="1080" w:type="dxa"/>
            <w:vAlign w:val="bottom"/>
          </w:tcPr>
          <w:p>
            <w:pPr>
              <w:jc w:val="right"/>
              <w:ind w:right="225"/>
              <w:spacing w:after="0"/>
              <w:rPr>
                <w:sz w:val="20"/>
                <w:szCs w:val="20"/>
                <w:color w:val="auto"/>
              </w:rPr>
            </w:pPr>
            <w:r>
              <w:rPr>
                <w:rFonts w:ascii="Arial" w:cs="Arial" w:eastAsia="Arial" w:hAnsi="Arial"/>
                <w:sz w:val="15"/>
                <w:szCs w:val="15"/>
                <w:color w:val="auto"/>
              </w:rPr>
              <w:t>(5)</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(980)</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(980)</w:t>
            </w:r>
          </w:p>
        </w:tc>
      </w:tr>
      <w:tr>
        <w:trPr>
          <w:trHeight w:val="238"/>
        </w:trPr>
        <w:tc>
          <w:tcPr>
            <w:tcW w:w="2760" w:type="dxa"/>
            <w:vAlign w:val="bottom"/>
          </w:tcPr>
          <w:p>
            <w:pPr>
              <w:spacing w:after="0"/>
              <w:rPr>
                <w:sz w:val="20"/>
                <w:szCs w:val="20"/>
                <w:color w:val="auto"/>
              </w:rPr>
            </w:pPr>
            <w:r>
              <w:rPr>
                <w:rFonts w:ascii="Arial" w:cs="Arial" w:eastAsia="Arial" w:hAnsi="Arial"/>
                <w:sz w:val="15"/>
                <w:szCs w:val="15"/>
                <w:color w:val="auto"/>
              </w:rPr>
              <w:t>Stock-based compensation plans and</w:t>
            </w: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6"/>
        </w:trPr>
        <w:tc>
          <w:tcPr>
            <w:tcW w:w="2760" w:type="dxa"/>
            <w:vAlign w:val="bottom"/>
          </w:tcPr>
          <w:p>
            <w:pPr>
              <w:ind w:left="160"/>
              <w:spacing w:after="0"/>
              <w:rPr>
                <w:sz w:val="20"/>
                <w:szCs w:val="20"/>
                <w:color w:val="auto"/>
              </w:rPr>
            </w:pPr>
            <w:r>
              <w:rPr>
                <w:rFonts w:ascii="Arial" w:cs="Arial" w:eastAsia="Arial" w:hAnsi="Arial"/>
                <w:sz w:val="15"/>
                <w:szCs w:val="15"/>
                <w:color w:val="auto"/>
              </w:rPr>
              <w:t>other</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8</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35</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1,162</w:t>
            </w:r>
          </w:p>
        </w:tc>
        <w:tc>
          <w:tcPr>
            <w:tcW w:w="380" w:type="dxa"/>
            <w:vAlign w:val="bottom"/>
          </w:tcPr>
          <w:p>
            <w:pPr>
              <w:spacing w:after="0"/>
              <w:rPr>
                <w:sz w:val="16"/>
                <w:szCs w:val="16"/>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1,197</w:t>
            </w:r>
          </w:p>
        </w:tc>
        <w:tc>
          <w:tcPr>
            <w:tcW w:w="40" w:type="dxa"/>
            <w:vAlign w:val="bottom"/>
          </w:tcPr>
          <w:p>
            <w:pPr>
              <w:spacing w:after="0"/>
              <w:rPr>
                <w:sz w:val="16"/>
                <w:szCs w:val="16"/>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5"/>
                <w:szCs w:val="15"/>
                <w:color w:val="auto"/>
              </w:rPr>
              <w:t>Change in noncontrolling interest</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1"/>
                <w:szCs w:val="21"/>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21"/>
                <w:szCs w:val="21"/>
                <w:color w:val="auto"/>
              </w:rPr>
            </w:pPr>
          </w:p>
        </w:tc>
      </w:tr>
      <w:tr>
        <w:trPr>
          <w:trHeight w:val="23"/>
        </w:trPr>
        <w:tc>
          <w:tcPr>
            <w:tcW w:w="2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2760" w:type="dxa"/>
            <w:vAlign w:val="bottom"/>
          </w:tcPr>
          <w:p>
            <w:pPr>
              <w:spacing w:after="0"/>
              <w:rPr>
                <w:sz w:val="20"/>
                <w:szCs w:val="20"/>
                <w:color w:val="auto"/>
              </w:rPr>
            </w:pPr>
            <w:r>
              <w:rPr>
                <w:rFonts w:ascii="Arial" w:cs="Arial" w:eastAsia="Arial" w:hAnsi="Arial"/>
                <w:sz w:val="15"/>
                <w:szCs w:val="15"/>
                <w:b w:val="1"/>
                <w:bCs w:val="1"/>
                <w:color w:val="auto"/>
              </w:rPr>
              <w:t>Balance at December 31, 2025</w:t>
            </w:r>
          </w:p>
        </w:tc>
        <w:tc>
          <w:tcPr>
            <w:tcW w:w="1080" w:type="dxa"/>
            <w:vAlign w:val="bottom"/>
          </w:tcPr>
          <w:p>
            <w:pPr>
              <w:jc w:val="right"/>
              <w:ind w:right="265"/>
              <w:spacing w:after="0"/>
              <w:rPr>
                <w:sz w:val="20"/>
                <w:szCs w:val="20"/>
                <w:color w:val="auto"/>
              </w:rPr>
            </w:pPr>
            <w:r>
              <w:rPr>
                <w:rFonts w:ascii="Arial" w:cs="Arial" w:eastAsia="Arial" w:hAnsi="Arial"/>
                <w:sz w:val="15"/>
                <w:szCs w:val="15"/>
                <w:color w:val="auto"/>
              </w:rPr>
              <w:t>1,768</w:t>
            </w:r>
          </w:p>
        </w:tc>
        <w:tc>
          <w:tcPr>
            <w:tcW w:w="820" w:type="dxa"/>
            <w:vAlign w:val="bottom"/>
          </w:tcPr>
          <w:p>
            <w:pPr>
              <w:jc w:val="right"/>
              <w:ind w:right="205"/>
              <w:spacing w:after="0"/>
              <w:rPr>
                <w:sz w:val="20"/>
                <w:szCs w:val="20"/>
                <w:color w:val="auto"/>
              </w:rPr>
            </w:pPr>
            <w:r>
              <w:rPr>
                <w:rFonts w:ascii="Arial" w:cs="Arial" w:eastAsia="Arial" w:hAnsi="Arial"/>
                <w:sz w:val="15"/>
                <w:szCs w:val="15"/>
                <w:color w:val="auto"/>
              </w:rPr>
              <w:t>$18</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$(9,146)</w:t>
            </w: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$22,495</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165"/>
              <w:spacing w:after="0"/>
              <w:rPr>
                <w:sz w:val="20"/>
                <w:szCs w:val="20"/>
                <w:color w:val="auto"/>
              </w:rPr>
            </w:pPr>
            <w:r>
              <w:rPr>
                <w:rFonts w:ascii="Arial" w:cs="Arial" w:eastAsia="Arial" w:hAnsi="Arial"/>
                <w:sz w:val="15"/>
                <w:szCs w:val="15"/>
                <w:color w:val="auto"/>
                <w:w w:val="96"/>
              </w:rPr>
              <w:t>(15,493)</w:t>
            </w:r>
          </w:p>
        </w:tc>
        <w:tc>
          <w:tcPr>
            <w:tcW w:w="1300" w:type="dxa"/>
            <w:vAlign w:val="bottom"/>
          </w:tcPr>
          <w:p>
            <w:pPr>
              <w:jc w:val="right"/>
              <w:ind w:right="264"/>
              <w:spacing w:after="0"/>
              <w:rPr>
                <w:sz w:val="20"/>
                <w:szCs w:val="20"/>
                <w:color w:val="auto"/>
              </w:rPr>
            </w:pPr>
            <w:r>
              <w:rPr>
                <w:rFonts w:ascii="Arial" w:cs="Arial" w:eastAsia="Arial" w:hAnsi="Arial"/>
                <w:sz w:val="15"/>
                <w:szCs w:val="15"/>
                <w:color w:val="auto"/>
              </w:rPr>
              <w:t>$(1,144)</w:t>
            </w:r>
          </w:p>
        </w:tc>
        <w:tc>
          <w:tcPr>
            <w:tcW w:w="1280" w:type="dxa"/>
            <w:vAlign w:val="bottom"/>
          </w:tcPr>
          <w:p>
            <w:pPr>
              <w:jc w:val="right"/>
              <w:ind w:right="445"/>
              <w:spacing w:after="0"/>
              <w:rPr>
                <w:sz w:val="20"/>
                <w:szCs w:val="20"/>
                <w:color w:val="auto"/>
              </w:rPr>
            </w:pPr>
            <w:r>
              <w:rPr>
                <w:rFonts w:ascii="Arial" w:cs="Arial" w:eastAsia="Arial" w:hAnsi="Arial"/>
                <w:sz w:val="15"/>
                <w:szCs w:val="15"/>
                <w:color w:val="auto"/>
              </w:rPr>
              <w:t>$42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(3,228)</w:t>
            </w:r>
          </w:p>
        </w:tc>
      </w:tr>
      <w:tr>
        <w:trPr>
          <w:trHeight w:val="23"/>
        </w:trPr>
        <w:tc>
          <w:tcPr>
            <w:tcW w:w="2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10840"/>
          </w:cols>
          <w:pgMar w:left="540" w:top="1025" w:right="50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60  </w:t>
      </w:r>
      <w:r>
        <w:rPr>
          <w:sz w:val="1"/>
          <w:szCs w:val="1"/>
          <w:color w:val="auto"/>
        </w:rPr>
        <w:drawing>
          <wp:inline distT="0" distB="0" distL="0" distR="0">
            <wp:extent cx="615950" cy="12827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10840"/>
          </w:cols>
          <w:pgMar w:left="540" w:top="1025" w:right="500" w:bottom="75" w:gutter="0" w:footer="0" w:header="0"/>
          <w:type w:val="continuous"/>
        </w:sectPr>
      </w:pPr>
    </w:p>
    <w:bookmarkStart w:id="66" w:name="page67"/>
    <w:bookmarkEnd w:id="66"/>
    <w:p>
      <w:pPr>
        <w:spacing w:after="0"/>
        <w:rPr>
          <w:sz w:val="20"/>
          <w:szCs w:val="20"/>
          <w:color w:val="auto"/>
        </w:rPr>
      </w:pPr>
      <w:r>
        <w:rPr>
          <w:rFonts w:ascii="Arial" w:cs="Arial" w:eastAsia="Arial" w:hAnsi="Arial"/>
          <w:sz w:val="22"/>
          <w:szCs w:val="22"/>
          <w:b w:val="1"/>
          <w:bCs w:val="1"/>
          <w:color w:val="000039"/>
        </w:rPr>
        <w:t>AbbVie Inc. and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Consolidated Statements of 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ended December 31 (in millions) (brackets denote cash outflows)</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6300" w:type="dxa"/>
            <w:vAlign w:val="bottom"/>
          </w:tcPr>
          <w:p>
            <w:pPr>
              <w:spacing w:after="0"/>
              <w:rPr>
                <w:sz w:val="20"/>
                <w:szCs w:val="20"/>
                <w:color w:val="auto"/>
              </w:rPr>
            </w:pPr>
            <w:r>
              <w:rPr>
                <w:rFonts w:ascii="Arial" w:cs="Arial" w:eastAsia="Arial" w:hAnsi="Arial"/>
                <w:sz w:val="18"/>
                <w:szCs w:val="18"/>
                <w:color w:val="auto"/>
              </w:rPr>
              <w:t>Net earnings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4,233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4,286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4,873</w:t>
            </w:r>
          </w:p>
        </w:tc>
        <w:tc>
          <w:tcPr>
            <w:tcW w:w="40" w:type="dxa"/>
            <w:vAlign w:val="bottom"/>
          </w:tcPr>
          <w:p>
            <w:pPr>
              <w:spacing w:after="0"/>
              <w:rPr>
                <w:sz w:val="20"/>
                <w:szCs w:val="20"/>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c>
          <w:tcPr>
            <w:tcW w:w="40" w:type="dxa"/>
            <w:vAlign w:val="bottom"/>
          </w:tcPr>
          <w:p>
            <w:pPr>
              <w:spacing w:after="0"/>
              <w:rPr>
                <w:sz w:val="20"/>
                <w:szCs w:val="20"/>
                <w:color w:val="auto"/>
              </w:rPr>
            </w:pP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7,377</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7,622</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7,946</w:t>
            </w:r>
          </w:p>
        </w:tc>
        <w:tc>
          <w:tcPr>
            <w:tcW w:w="40" w:type="dxa"/>
            <w:vAlign w:val="bottom"/>
          </w:tcPr>
          <w:p>
            <w:pPr>
              <w:spacing w:after="0"/>
              <w:rPr>
                <w:sz w:val="20"/>
                <w:szCs w:val="20"/>
                <w:color w:val="auto"/>
              </w:rPr>
            </w:pP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(1,449)</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(2,889)</w:t>
            </w: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 liabilities</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6,495</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3,771</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5,128</w:t>
            </w:r>
          </w:p>
        </w:tc>
        <w:tc>
          <w:tcPr>
            <w:tcW w:w="40" w:type="dxa"/>
            <w:vAlign w:val="bottom"/>
          </w:tcPr>
          <w:p>
            <w:pPr>
              <w:spacing w:after="0"/>
              <w:rPr>
                <w:sz w:val="20"/>
                <w:szCs w:val="20"/>
                <w:color w:val="auto"/>
              </w:rPr>
            </w:pP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Payments of contingent consideration liabilities</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(2,865)</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(870)</w:t>
            </w: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20"/>
                <w:szCs w:val="20"/>
                <w:color w:val="auto"/>
              </w:rPr>
            </w:pP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Acquired IPR&amp;D and milestones</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5,016</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2,757</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c>
          <w:tcPr>
            <w:tcW w:w="40" w:type="dxa"/>
            <w:vAlign w:val="bottom"/>
          </w:tcPr>
          <w:p>
            <w:pPr>
              <w:spacing w:after="0"/>
              <w:rPr>
                <w:sz w:val="20"/>
                <w:szCs w:val="20"/>
                <w:color w:val="auto"/>
              </w:rPr>
            </w:pP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Non-cash litigation reserve adjustments, net of cash payments</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(933)</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(443)</w:t>
            </w: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Impairment of intangible assets</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4,229</w:t>
            </w:r>
          </w:p>
        </w:tc>
        <w:tc>
          <w:tcPr>
            <w:tcW w:w="40" w:type="dxa"/>
            <w:vAlign w:val="bottom"/>
          </w:tcPr>
          <w:p>
            <w:pPr>
              <w:spacing w:after="0"/>
              <w:rPr>
                <w:sz w:val="20"/>
                <w:szCs w:val="20"/>
                <w:color w:val="auto"/>
              </w:rPr>
            </w:pP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(225)</w:t>
            </w:r>
          </w:p>
        </w:tc>
      </w:tr>
      <w:tr>
        <w:trPr>
          <w:trHeight w:val="235"/>
        </w:trPr>
        <w:tc>
          <w:tcPr>
            <w:tcW w:w="63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acquisitions:</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5"/>
        </w:trPr>
        <w:tc>
          <w:tcPr>
            <w:tcW w:w="63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0"/>
                <w:szCs w:val="20"/>
                <w:color w:val="auto"/>
              </w:rPr>
            </w:pPr>
          </w:p>
        </w:tc>
      </w:tr>
      <w:tr>
        <w:trPr>
          <w:trHeight w:val="235"/>
        </w:trPr>
        <w:tc>
          <w:tcPr>
            <w:tcW w:w="63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(417)</w:t>
            </w:r>
          </w:p>
        </w:tc>
      </w:tr>
      <w:tr>
        <w:trPr>
          <w:trHeight w:val="235"/>
        </w:trPr>
        <w:tc>
          <w:tcPr>
            <w:tcW w:w="63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(188)</w:t>
            </w:r>
          </w:p>
        </w:tc>
      </w:tr>
      <w:tr>
        <w:trPr>
          <w:trHeight w:val="235"/>
        </w:trPr>
        <w:tc>
          <w:tcPr>
            <w:tcW w:w="6300" w:type="dxa"/>
            <w:vAlign w:val="bottom"/>
          </w:tcPr>
          <w:p>
            <w:pPr>
              <w:ind w:left="340"/>
              <w:spacing w:after="0"/>
              <w:rPr>
                <w:sz w:val="20"/>
                <w:szCs w:val="20"/>
                <w:color w:val="auto"/>
              </w:rPr>
            </w:pPr>
            <w:r>
              <w:rPr>
                <w:rFonts w:ascii="Arial" w:cs="Arial" w:eastAsia="Arial" w:hAnsi="Arial"/>
                <w:sz w:val="18"/>
                <w:szCs w:val="18"/>
                <w:color w:val="auto"/>
              </w:rPr>
              <w:t>Accounts payable and other liabilities</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3,840</w:t>
            </w:r>
          </w:p>
        </w:tc>
      </w:tr>
      <w:tr>
        <w:trPr>
          <w:trHeight w:val="235"/>
        </w:trPr>
        <w:tc>
          <w:tcPr>
            <w:tcW w:w="6300" w:type="dxa"/>
            <w:vAlign w:val="bottom"/>
          </w:tcPr>
          <w:p>
            <w:pPr>
              <w:ind w:left="340"/>
              <w:spacing w:after="0"/>
              <w:rPr>
                <w:sz w:val="20"/>
                <w:szCs w:val="20"/>
                <w:color w:val="auto"/>
              </w:rPr>
            </w:pPr>
            <w:r>
              <w:rPr>
                <w:rFonts w:ascii="Arial" w:cs="Arial" w:eastAsia="Arial" w:hAnsi="Arial"/>
                <w:sz w:val="18"/>
                <w:szCs w:val="18"/>
                <w:color w:val="auto"/>
              </w:rPr>
              <w:t>Income tax assets and liabilities, net</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(3,208)</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(488)</w:t>
            </w:r>
          </w:p>
        </w:tc>
      </w:tr>
      <w:tr>
        <w:trPr>
          <w:trHeight w:val="225"/>
        </w:trPr>
        <w:tc>
          <w:tcPr>
            <w:tcW w:w="6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19,030</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18,806</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22,839</w:t>
            </w:r>
          </w:p>
        </w:tc>
        <w:tc>
          <w:tcPr>
            <w:tcW w:w="40" w:type="dxa"/>
            <w:vAlign w:val="bottom"/>
          </w:tcPr>
          <w:p>
            <w:pPr>
              <w:spacing w:after="0"/>
              <w:rPr>
                <w:sz w:val="19"/>
                <w:szCs w:val="19"/>
                <w:color w:val="auto"/>
              </w:rPr>
            </w:pPr>
          </w:p>
        </w:tc>
      </w:tr>
      <w:tr>
        <w:trPr>
          <w:trHeight w:val="353"/>
        </w:trPr>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630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(17,493)</w:t>
            </w:r>
          </w:p>
        </w:tc>
        <w:tc>
          <w:tcPr>
            <w:tcW w:w="14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Other acquisitions and investments, net of cash acquired</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(5,237)</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(3,024)</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(1,223)</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Acquisitions of property and equipment</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(777)</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Purchases of investment securities</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Sales and maturities of investment securities</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0"/>
                <w:szCs w:val="20"/>
                <w:color w:val="auto"/>
              </w:rPr>
            </w:pPr>
          </w:p>
        </w:tc>
      </w:tr>
      <w:tr>
        <w:trPr>
          <w:trHeight w:val="235"/>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(6,643)</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(20,820)</w:t>
            </w:r>
          </w:p>
        </w:tc>
        <w:tc>
          <w:tcPr>
            <w:tcW w:w="1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(2,009)</w:t>
            </w:r>
          </w:p>
        </w:tc>
      </w:tr>
      <w:tr>
        <w:trPr>
          <w:trHeight w:val="353"/>
        </w:trPr>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6300" w:type="dxa"/>
            <w:vAlign w:val="bottom"/>
          </w:tcPr>
          <w:p>
            <w:pPr>
              <w:spacing w:after="0"/>
              <w:rPr>
                <w:sz w:val="20"/>
                <w:szCs w:val="20"/>
                <w:color w:val="auto"/>
              </w:rPr>
            </w:pPr>
            <w:r>
              <w:rPr>
                <w:rFonts w:ascii="Arial" w:cs="Arial" w:eastAsia="Arial" w:hAnsi="Arial"/>
                <w:sz w:val="18"/>
                <w:szCs w:val="18"/>
                <w:color w:val="auto"/>
              </w:rPr>
              <w:t>Net change in commercial paper borrowings with original maturities of</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300" w:type="dxa"/>
            <w:vAlign w:val="bottom"/>
          </w:tcPr>
          <w:p>
            <w:pPr>
              <w:ind w:left="160"/>
              <w:spacing w:after="0"/>
              <w:rPr>
                <w:sz w:val="20"/>
                <w:szCs w:val="20"/>
                <w:color w:val="auto"/>
              </w:rPr>
            </w:pPr>
            <w:r>
              <w:rPr>
                <w:rFonts w:ascii="Arial" w:cs="Arial" w:eastAsia="Arial" w:hAnsi="Arial"/>
                <w:sz w:val="18"/>
                <w:szCs w:val="18"/>
                <w:color w:val="auto"/>
              </w:rPr>
              <w:t>three months or less</w:t>
            </w:r>
          </w:p>
        </w:tc>
        <w:tc>
          <w:tcPr>
            <w:tcW w:w="4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Proceeds from issuance of other short-term borrowings</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4,798</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5,008</w:t>
            </w:r>
          </w:p>
        </w:tc>
        <w:tc>
          <w:tcPr>
            <w:tcW w:w="14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Repayments of other short-term borrowings</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(5,008)</w:t>
            </w:r>
          </w:p>
        </w:tc>
        <w:tc>
          <w:tcPr>
            <w:tcW w:w="14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3,994</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16,963</w:t>
            </w:r>
          </w:p>
        </w:tc>
        <w:tc>
          <w:tcPr>
            <w:tcW w:w="14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Repayments of long-term debt and finance lease obligations</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(6,797)</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(9,613)</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(4,149)</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(11,657)</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(11,025)</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(10,539)</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(1,708)</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(1,972)</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20"/>
                <w:szCs w:val="20"/>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Payments of contingent consideration liabilities</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(752)</w:t>
            </w:r>
          </w:p>
        </w:tc>
      </w:tr>
      <w:tr>
        <w:trPr>
          <w:trHeight w:val="236"/>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0"/>
                <w:szCs w:val="20"/>
                <w:color w:val="auto"/>
              </w:rPr>
            </w:pPr>
          </w:p>
        </w:tc>
      </w:tr>
      <w:tr>
        <w:trPr>
          <w:trHeight w:val="225"/>
        </w:trPr>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(12,724)</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(5,211)</w:t>
            </w:r>
          </w:p>
        </w:tc>
        <w:tc>
          <w:tcPr>
            <w:tcW w:w="1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(17,222)</w:t>
            </w:r>
          </w:p>
        </w:tc>
      </w:tr>
      <w:tr>
        <w:trPr>
          <w:trHeight w:val="236"/>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changes on cash and equivalents</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6300" w:type="dxa"/>
            <w:vAlign w:val="bottom"/>
          </w:tcPr>
          <w:p>
            <w:pPr>
              <w:spacing w:after="0"/>
              <w:rPr>
                <w:sz w:val="20"/>
                <w:szCs w:val="20"/>
                <w:color w:val="auto"/>
              </w:rPr>
            </w:pPr>
            <w:r>
              <w:rPr>
                <w:rFonts w:ascii="Arial" w:cs="Arial" w:eastAsia="Arial" w:hAnsi="Arial"/>
                <w:sz w:val="18"/>
                <w:szCs w:val="18"/>
                <w:color w:val="auto"/>
              </w:rPr>
              <w:t>Net change in cash and equivalents</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(7,290)</w:t>
            </w: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3,613</w:t>
            </w:r>
          </w:p>
        </w:tc>
        <w:tc>
          <w:tcPr>
            <w:tcW w:w="40" w:type="dxa"/>
            <w:vAlign w:val="bottom"/>
          </w:tcPr>
          <w:p>
            <w:pPr>
              <w:spacing w:after="0"/>
              <w:rPr>
                <w:sz w:val="19"/>
                <w:szCs w:val="19"/>
                <w:color w:val="auto"/>
              </w:rPr>
            </w:pPr>
          </w:p>
        </w:tc>
      </w:tr>
      <w:tr>
        <w:trPr>
          <w:trHeight w:val="236"/>
        </w:trPr>
        <w:tc>
          <w:tcPr>
            <w:tcW w:w="6300" w:type="dxa"/>
            <w:vAlign w:val="bottom"/>
          </w:tcPr>
          <w:p>
            <w:pPr>
              <w:spacing w:after="0"/>
              <w:rPr>
                <w:sz w:val="20"/>
                <w:szCs w:val="20"/>
                <w:color w:val="auto"/>
              </w:rPr>
            </w:pPr>
            <w:r>
              <w:rPr>
                <w:rFonts w:ascii="Arial" w:cs="Arial" w:eastAsia="Arial" w:hAnsi="Arial"/>
                <w:sz w:val="18"/>
                <w:szCs w:val="18"/>
                <w:color w:val="auto"/>
              </w:rPr>
              <w:t>Cash and equivalents, beginning of year</w:t>
            </w:r>
          </w:p>
        </w:tc>
        <w:tc>
          <w:tcPr>
            <w:tcW w:w="4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5,524</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12,814</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9,201</w:t>
            </w:r>
          </w:p>
        </w:tc>
        <w:tc>
          <w:tcPr>
            <w:tcW w:w="40" w:type="dxa"/>
            <w:vAlign w:val="bottom"/>
          </w:tcPr>
          <w:p>
            <w:pPr>
              <w:spacing w:after="0"/>
              <w:rPr>
                <w:sz w:val="20"/>
                <w:szCs w:val="20"/>
                <w:color w:val="auto"/>
              </w:rPr>
            </w:pPr>
          </w:p>
        </w:tc>
      </w:tr>
      <w:tr>
        <w:trPr>
          <w:trHeight w:val="225"/>
        </w:trPr>
        <w:tc>
          <w:tcPr>
            <w:tcW w:w="6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Cash and equivalents, end of year</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5,229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5,524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8"/>
                <w:szCs w:val="18"/>
                <w:b w:val="1"/>
                <w:bCs w:val="1"/>
                <w:color w:val="auto"/>
              </w:rPr>
              <w:t>Other supplemental information</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paid, net of portion capitalized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160"/>
          </w:cols>
          <w:pgMar w:left="1400" w:top="1025" w:right="1320" w:bottom="87" w:gutter="0" w:footer="0" w:header="0"/>
        </w:sectPr>
      </w:pPr>
    </w:p>
    <w:p>
      <w:pPr>
        <w:spacing w:after="0" w:line="272"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61</w:t>
      </w:r>
    </w:p>
    <w:p>
      <w:pPr>
        <w:sectPr>
          <w:pgSz w:w="11880" w:h="15480" w:orient="portrait"/>
          <w:cols w:equalWidth="0" w:num="1">
            <w:col w:w="9160"/>
          </w:cols>
          <w:pgMar w:left="1400" w:top="1025" w:right="1320" w:bottom="87"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b w:val="1"/>
          <w:bCs w:val="1"/>
          <w:color w:val="000039"/>
        </w:rPr>
        <w:t>AbbVie Inc. and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Notes to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1 Background</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Background</w:t>
      </w:r>
    </w:p>
    <w:p>
      <w:pPr>
        <w:spacing w:after="0" w:line="131"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The principal business of AbbVie Inc. (AbbVie or the company) is the discovery, development, manufacturing and sale of a broad line of therapies that address some of the world’s most complex and serious diseases. 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In the United States, AbbVie distributes pharmaceutical products principally through independent wholesale distributors, with some sales directly to retailers, pharmacies, patients or other customers. Outside the United States, AbbVie sells products primarily to wholesalers or through distributors, and depending on the market, works through largely centralized national payers systems to agree on reimbursement terms.</w:t>
      </w:r>
    </w:p>
    <w:p>
      <w:pPr>
        <w:spacing w:after="0" w:line="129" w:lineRule="exact"/>
        <w:rPr>
          <w:sz w:val="20"/>
          <w:szCs w:val="20"/>
          <w:color w:val="auto"/>
        </w:rPr>
      </w:pPr>
    </w:p>
    <w:p>
      <w:pPr>
        <w:jc w:val="both"/>
        <w:ind w:right="120" w:firstLine="359"/>
        <w:spacing w:after="0" w:line="261" w:lineRule="auto"/>
        <w:rPr>
          <w:sz w:val="20"/>
          <w:szCs w:val="20"/>
          <w:color w:val="auto"/>
        </w:rPr>
      </w:pPr>
      <w:r>
        <w:rPr>
          <w:rFonts w:ascii="Arial" w:cs="Arial" w:eastAsia="Arial" w:hAnsi="Arial"/>
          <w:sz w:val="20"/>
          <w:szCs w:val="20"/>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2 Summary of Significant Accounting Policies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Use of Estimates</w:t>
      </w:r>
    </w:p>
    <w:p>
      <w:pPr>
        <w:spacing w:after="0" w:line="131" w:lineRule="exact"/>
        <w:rPr>
          <w:sz w:val="20"/>
          <w:szCs w:val="20"/>
          <w:color w:val="auto"/>
        </w:rPr>
      </w:pPr>
    </w:p>
    <w:p>
      <w:pPr>
        <w:jc w:val="both"/>
        <w:ind w:right="300" w:firstLine="359"/>
        <w:spacing w:after="0" w:line="256" w:lineRule="auto"/>
        <w:rPr>
          <w:sz w:val="20"/>
          <w:szCs w:val="20"/>
          <w:color w:val="auto"/>
        </w:rPr>
      </w:pPr>
      <w:r>
        <w:rPr>
          <w:rFonts w:ascii="Arial" w:cs="Arial" w:eastAsia="Arial" w:hAnsi="Arial"/>
          <w:sz w:val="20"/>
          <w:szCs w:val="20"/>
          <w:color w:val="auto"/>
        </w:rPr>
        <w:t>The consolidated financial statements have been prepared in accordance with U.S. generally accepted accounting principles (GAAP) and necessarily include amounts based on estimates and assumptions by management. Actual results could differ from those amounts. Significant estimates include amounts for rebates, pension and other post-employment benefits, income taxes, litigation, valuation of goodwill, intangible assets and contingent consideration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Basis of Consolidation</w:t>
      </w:r>
    </w:p>
    <w:p>
      <w:pPr>
        <w:spacing w:after="0" w:line="131" w:lineRule="exact"/>
        <w:rPr>
          <w:sz w:val="20"/>
          <w:szCs w:val="20"/>
          <w:color w:val="auto"/>
        </w:rPr>
      </w:pPr>
    </w:p>
    <w:p>
      <w:pPr>
        <w:ind w:firstLine="359"/>
        <w:spacing w:after="0" w:line="254" w:lineRule="auto"/>
        <w:rPr>
          <w:sz w:val="20"/>
          <w:szCs w:val="20"/>
          <w:color w:val="auto"/>
        </w:rPr>
      </w:pPr>
      <w:r>
        <w:rPr>
          <w:rFonts w:ascii="Arial" w:cs="Arial" w:eastAsia="Arial" w:hAnsi="Arial"/>
          <w:sz w:val="20"/>
          <w:szCs w:val="20"/>
          <w:color w:val="auto"/>
        </w:rPr>
        <w:t>The consolidated financial statements include the accounts of AbbVie and all of its subsidiaries in which a controlling interest is maintained. Controlling interest is determined by majority ownership interest and the absence of substantive third-party participating rights or, in the case of variable interest entities, where AbbVie is determined to be the primary beneficiary. Investments in companies over which AbbVie has a significant influence but not a controlling interest are accounted for using the equity method with AbbVie’s share of earnings or losses reported in other expense, net in the consolidated statements of earnings. Intercompany balances and transactions are eliminated. Certain reclassifications have been made to conform the prior period consolidated financial statements to the current period presentation.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Revenue Recognition</w:t>
      </w:r>
    </w:p>
    <w:p>
      <w:pPr>
        <w:spacing w:after="0" w:line="131" w:lineRule="exact"/>
        <w:rPr>
          <w:sz w:val="20"/>
          <w:szCs w:val="20"/>
          <w:color w:val="auto"/>
        </w:rPr>
      </w:pPr>
    </w:p>
    <w:p>
      <w:pPr>
        <w:ind w:right="80" w:firstLine="359"/>
        <w:spacing w:after="0" w:line="254" w:lineRule="auto"/>
        <w:rPr>
          <w:sz w:val="20"/>
          <w:szCs w:val="20"/>
          <w:color w:val="auto"/>
        </w:rPr>
      </w:pPr>
      <w:r>
        <w:rPr>
          <w:rFonts w:ascii="Arial" w:cs="Arial" w:eastAsia="Arial" w:hAnsi="Arial"/>
          <w:sz w:val="20"/>
          <w:szCs w:val="20"/>
          <w:color w:val="auto"/>
        </w:rPr>
        <w:t>AbbVie recognizes revenue when control of promised goods or services is transferred to the company’s customers, in an amount that reflects the consideration AbbVie expects to be entitled to in exchange for those goods or services. Sales, value add and other taxes collected concurrent with revenue-producing activities are excluded from revenue. AbbVie generates revenue primarily from product sales. For the majority of sales, the company transfers control, invoices the customer and recognizes revenue upon shipment to the customer. The company recognizes shipping and handling costs as an expense in cost of products sold when the company transfers control to the customer. Payment terms vary depending on the type and location of the customer, are based on customary commercial terms and are generally less than one year. AbbVie does not adjust revenue for the</w:t>
      </w:r>
    </w:p>
    <w:p>
      <w:pPr>
        <w:sectPr>
          <w:pgSz w:w="11880" w:h="15480" w:orient="portrait"/>
          <w:cols w:equalWidth="0" w:num="1">
            <w:col w:w="9100"/>
          </w:cols>
          <w:pgMar w:left="1400" w:top="1025" w:right="1380" w:bottom="75"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sz w:val="1"/>
          <w:szCs w:val="1"/>
          <w:color w:val="auto"/>
        </w:rPr>
        <w:drawing>
          <wp:inline distT="0" distB="0" distL="0" distR="0">
            <wp:extent cx="615950" cy="12827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5" w:right="1380" w:bottom="75" w:gutter="0" w:footer="0" w:header="0"/>
          <w:type w:val="continuous"/>
        </w:sectPr>
      </w:pPr>
    </w:p>
    <w:bookmarkStart w:id="68" w:name="page69"/>
    <w:bookmarkEnd w:id="68"/>
    <w:p>
      <w:pPr>
        <w:spacing w:after="0" w:line="266" w:lineRule="auto"/>
        <w:rPr>
          <w:sz w:val="20"/>
          <w:szCs w:val="20"/>
          <w:color w:val="auto"/>
        </w:rPr>
      </w:pPr>
      <w:r>
        <w:rPr>
          <w:rFonts w:ascii="Arial" w:cs="Arial" w:eastAsia="Arial" w:hAnsi="Arial"/>
          <w:sz w:val="20"/>
          <w:szCs w:val="20"/>
          <w:color w:val="auto"/>
        </w:rPr>
        <w:t>effects of a significant financing component for contracts where AbbVie expects the period between the transfer of the good or service and collection to be one year or less.</w:t>
      </w:r>
    </w:p>
    <w:p>
      <w:pPr>
        <w:spacing w:after="0" w:line="105"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Cash discounts, rebates and chargebacks, sales incentives, product returns and certain other adjustments are accounted for as variable consideration. Provisions for variable consideration are based on current pricing, executed contracts, government pricing legislation and historical data and are provided for in the period the related revenues are recorded. Rebate amounts are typically based upon the volume of purchases using contractual or statutory prices, which may vary by product and by payer. For each type of rebate, factors used in the calculation of the accrual include the identification of the products subject to the rebate, the applicable price terms and the estimated lag time between sale and payment of the rebate, which can be significant.</w:t>
      </w:r>
    </w:p>
    <w:p>
      <w:pPr>
        <w:spacing w:after="0" w:line="123" w:lineRule="exact"/>
        <w:rPr>
          <w:sz w:val="20"/>
          <w:szCs w:val="20"/>
          <w:color w:val="auto"/>
        </w:rPr>
      </w:pPr>
    </w:p>
    <w:p>
      <w:pPr>
        <w:ind w:right="40" w:firstLine="359"/>
        <w:spacing w:after="0" w:line="254" w:lineRule="auto"/>
        <w:rPr>
          <w:sz w:val="20"/>
          <w:szCs w:val="20"/>
          <w:color w:val="auto"/>
        </w:rPr>
      </w:pPr>
      <w:r>
        <w:rPr>
          <w:rFonts w:ascii="Arial" w:cs="Arial" w:eastAsia="Arial" w:hAnsi="Arial"/>
          <w:sz w:val="20"/>
          <w:szCs w:val="20"/>
          <w:color w:val="auto"/>
        </w:rPr>
        <w:t>In addition to revenue from contracts with customers, the company also recognizes certain collaboration revenues. See Note 6 for additional information related to the collaborations with Janssen Biotech, Inc. and its affiliates (Janssen) and Genentech, Inc. (Genentech). Additionally, see Note 16 for disaggregation of revenue by product and geography.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Research and Development Expenses</w:t>
      </w:r>
    </w:p>
    <w:p>
      <w:pPr>
        <w:spacing w:after="0" w:line="131" w:lineRule="exact"/>
        <w:rPr>
          <w:sz w:val="20"/>
          <w:szCs w:val="20"/>
          <w:color w:val="auto"/>
        </w:rPr>
      </w:pPr>
    </w:p>
    <w:p>
      <w:pPr>
        <w:ind w:right="580" w:firstLine="359"/>
        <w:spacing w:after="0" w:line="266" w:lineRule="auto"/>
        <w:rPr>
          <w:sz w:val="20"/>
          <w:szCs w:val="20"/>
          <w:color w:val="auto"/>
        </w:rPr>
      </w:pPr>
      <w:r>
        <w:rPr>
          <w:rFonts w:ascii="Arial" w:cs="Arial" w:eastAsia="Arial" w:hAnsi="Arial"/>
          <w:sz w:val="20"/>
          <w:szCs w:val="20"/>
          <w:color w:val="auto"/>
        </w:rPr>
        <w:t>Internal research and development (R&amp;D) costs are expensed as incurred. Clinical trial costs incurred by third parties are expensed as the contracted work is performed.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Acquired IPR&amp;D and Milestones Expenses</w:t>
      </w:r>
    </w:p>
    <w:p>
      <w:pPr>
        <w:spacing w:after="0" w:line="131"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In an asset acquisition, payments incurred prior to regulatory approval to acquire rights to in-process R&amp;D projects are expensed as acquired IPR&amp;D and milestones expense in the consolidated statements of earnings unless the project has an alternative future use. These costs include upfront and development milestone payments related to R&amp;D collaborations, licensing arrangements, or other asset acquisitions that provide rights to develop, manufacture and/or sell pharmaceutical products. Where contingent development milestone payments are due to third parties, prior to regulatory approval, the payment obligations are expensed when the milestone results are achieved. Regulatory and commercial milestone payments made to third parties subsequent to regulatory approval are capitalized as intangible assets and amortized to cost of products sold over the remaining useful life of the related product.</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Business Combinations</w:t>
      </w:r>
    </w:p>
    <w:p>
      <w:pPr>
        <w:spacing w:after="0" w:line="131" w:lineRule="exact"/>
        <w:rPr>
          <w:sz w:val="20"/>
          <w:szCs w:val="20"/>
          <w:color w:val="auto"/>
        </w:rPr>
      </w:pPr>
    </w:p>
    <w:p>
      <w:pPr>
        <w:ind w:firstLine="359"/>
        <w:spacing w:after="0" w:line="264" w:lineRule="auto"/>
        <w:rPr>
          <w:sz w:val="20"/>
          <w:szCs w:val="20"/>
          <w:color w:val="auto"/>
        </w:rPr>
      </w:pPr>
      <w:r>
        <w:rPr>
          <w:rFonts w:ascii="Arial" w:cs="Arial" w:eastAsia="Arial" w:hAnsi="Arial"/>
          <w:sz w:val="19"/>
          <w:szCs w:val="19"/>
          <w:color w:val="auto"/>
        </w:rPr>
        <w:t>AbbVie utilizes the acquisition method of accounting for business combinations. This method requires, among other things, that results of operations of acquired companies are included in AbbVie’s results of operations beginning on the acquisition date and that assets acquired and liabilities assumed are recognized at fair value as of the acquisition date. Any excess of the fair value of consideration transferred over the fair value of the net assets acquired is recognized as goodwill. Contingent consideration liabilities are recognized at the estimated fair value on the acquisition date. Subsequent changes to the fair value of contingent consideration liabilities are recognized in other expense, net in the consolidated statements of earnings. The fair value of assets acquired and liabilities assumed in certain cases may be subject to revision based on the final determination of fair value during a period of time not to exceed 12 months from the acquisition date. Legal costs, due diligence costs, business valuation costs and all other business acquisition costs are expensed when incurred.</w:t>
      </w:r>
    </w:p>
    <w:p>
      <w:pPr>
        <w:spacing w:after="0" w:line="108" w:lineRule="exact"/>
        <w:rPr>
          <w:sz w:val="20"/>
          <w:szCs w:val="20"/>
          <w:color w:val="auto"/>
        </w:rPr>
      </w:pPr>
    </w:p>
    <w:p>
      <w:pPr>
        <w:ind w:firstLine="359"/>
        <w:spacing w:after="0" w:line="269" w:lineRule="auto"/>
        <w:rPr>
          <w:sz w:val="20"/>
          <w:szCs w:val="20"/>
          <w:color w:val="auto"/>
        </w:rPr>
      </w:pPr>
      <w:r>
        <w:rPr>
          <w:rFonts w:ascii="Arial" w:cs="Arial" w:eastAsia="Arial" w:hAnsi="Arial"/>
          <w:sz w:val="19"/>
          <w:szCs w:val="19"/>
          <w:color w:val="auto"/>
        </w:rPr>
        <w:t>In a business combination, the fair value of IPR&amp;D projects acquired is capitalized and accounted for as indefinite-lived intangible assets until the underlying project receives regulatory approval, at which point the intangible asset will be accounted for as a definite-lived intangible asset, or discontinuation, at which point the intangible asset will be written off. R&amp;D costs incurred by the company after the acquisition are expensed to R&amp;D in the consolidated statements of earnings when incurred.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Collaborations and Other Arrangements</w:t>
      </w:r>
    </w:p>
    <w:p>
      <w:pPr>
        <w:spacing w:after="0" w:line="131" w:lineRule="exact"/>
        <w:rPr>
          <w:sz w:val="20"/>
          <w:szCs w:val="20"/>
          <w:color w:val="auto"/>
        </w:rPr>
      </w:pPr>
    </w:p>
    <w:p>
      <w:pPr>
        <w:ind w:right="60" w:firstLine="359"/>
        <w:spacing w:after="0" w:line="295" w:lineRule="auto"/>
        <w:rPr>
          <w:sz w:val="20"/>
          <w:szCs w:val="20"/>
          <w:color w:val="auto"/>
        </w:rPr>
      </w:pPr>
      <w:r>
        <w:rPr>
          <w:rFonts w:ascii="Arial" w:cs="Arial" w:eastAsia="Arial" w:hAnsi="Arial"/>
          <w:sz w:val="19"/>
          <w:szCs w:val="19"/>
          <w:color w:val="auto"/>
        </w:rPr>
        <w:t>The company enters into collaborative agreements with third parties to develop and commercialize drug candidates. Collaborative activities may include joint research and development and</w:t>
      </w:r>
    </w:p>
    <w:p>
      <w:pPr>
        <w:sectPr>
          <w:pgSz w:w="11880" w:h="15480" w:orient="portrait"/>
          <w:cols w:equalWidth="0" w:num="1">
            <w:col w:w="9100"/>
          </w:cols>
          <w:pgMar w:left="1400" w:top="1030" w:right="1380" w:bottom="87" w:gutter="0" w:footer="0" w:header="0"/>
        </w:sectPr>
      </w:pPr>
    </w:p>
    <w:p>
      <w:pPr>
        <w:spacing w:after="0" w:line="206"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63</w:t>
      </w:r>
    </w:p>
    <w:p>
      <w:pPr>
        <w:sectPr>
          <w:pgSz w:w="11880" w:h="15480" w:orient="portrait"/>
          <w:cols w:equalWidth="0" w:num="1">
            <w:col w:w="9100"/>
          </w:cols>
          <w:pgMar w:left="1400" w:top="1030" w:right="1380" w:bottom="87" w:gutter="0" w:footer="0" w:header="0"/>
          <w:type w:val="continuous"/>
        </w:sectPr>
      </w:pPr>
    </w:p>
    <w:bookmarkStart w:id="69" w:name="page70"/>
    <w:bookmarkEnd w:id="69"/>
    <w:p>
      <w:pPr>
        <w:spacing w:after="0"/>
        <w:rPr>
          <w:sz w:val="20"/>
          <w:szCs w:val="20"/>
          <w:color w:val="auto"/>
        </w:rPr>
      </w:pPr>
      <w:r>
        <w:rPr>
          <w:rFonts w:ascii="Arial" w:cs="Arial" w:eastAsia="Arial" w:hAnsi="Arial"/>
          <w:sz w:val="20"/>
          <w:szCs w:val="20"/>
          <w:color w:val="auto"/>
        </w:rPr>
        <w:t>commercialization of new products. AbbVie generally receives certain licensing rights under these</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arrangements. These collaborations often require upfront payments and may include additional milestone,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R&amp;D cost sharing, royalty or profit share payments, contingent upon the occurrence of certain future</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events linked to the success of the asset in development and commercialization. Upfront payments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associated with collaborative arrangements and subsequent payments made to the partner for the</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achievement of development milestones prior to regulatory approval are expensed to acquired</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IPR&amp;D and milestones expense in the consolidated statements of earnings. Regulatory and commercial</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milestone payments made to the partner subsequent to regulatory approval are capitalized as intangible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assets and amortized to cost of products sold over the estimated useful life of the related asset.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Royalties are expensed to cost of products sold in the consolidated statements of earnings when</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incurred.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Advertising</w:t>
      </w:r>
    </w:p>
    <w:p>
      <w:pPr>
        <w:spacing w:after="0" w:line="131" w:lineRule="exact"/>
        <w:rPr>
          <w:sz w:val="20"/>
          <w:szCs w:val="20"/>
          <w:color w:val="auto"/>
        </w:rPr>
      </w:pPr>
    </w:p>
    <w:p>
      <w:pPr>
        <w:ind w:right="120" w:firstLine="359"/>
        <w:spacing w:after="0" w:line="255" w:lineRule="auto"/>
        <w:rPr>
          <w:sz w:val="20"/>
          <w:szCs w:val="20"/>
          <w:color w:val="auto"/>
        </w:rPr>
      </w:pPr>
      <w:r>
        <w:rPr>
          <w:rFonts w:ascii="Arial" w:cs="Arial" w:eastAsia="Arial" w:hAnsi="Arial"/>
          <w:sz w:val="20"/>
          <w:szCs w:val="20"/>
          <w:color w:val="auto"/>
        </w:rPr>
        <w:t>Costs associated with advertising are expensed as incurred and are included in selling, general and administrative (SG&amp;A) expense in the consolidated statements of earnings. Advertising expenses were $2.1 billion in 2025, $2.1 billion in 2024 and $2.2 billion in 2023.</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Pension and Other Post-Employment Benefits</w:t>
      </w:r>
    </w:p>
    <w:p>
      <w:pPr>
        <w:spacing w:after="0" w:line="131" w:lineRule="exact"/>
        <w:rPr>
          <w:sz w:val="20"/>
          <w:szCs w:val="20"/>
          <w:color w:val="auto"/>
        </w:rPr>
      </w:pPr>
    </w:p>
    <w:p>
      <w:pPr>
        <w:jc w:val="both"/>
        <w:ind w:firstLine="359"/>
        <w:spacing w:after="0" w:line="263" w:lineRule="auto"/>
        <w:rPr>
          <w:sz w:val="20"/>
          <w:szCs w:val="20"/>
          <w:color w:val="auto"/>
        </w:rPr>
      </w:pPr>
      <w:r>
        <w:rPr>
          <w:rFonts w:ascii="Arial" w:cs="Arial" w:eastAsia="Arial" w:hAnsi="Arial"/>
          <w:sz w:val="19"/>
          <w:szCs w:val="19"/>
          <w:color w:val="auto"/>
        </w:rPr>
        <w:t>AbbVie records annual expenses relating to its defined benefit pension and other post-employment benefit plans based on calculations which utilize various actuarial assumptions including discount rates, rates of return on assets, compensation increases, turnover rates and health care cost trend rates.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AbbVie reviews its actuarial assumptions on an annual basis and makes modifications to the assumptions based on current rates and trends. Actuarial gains and losses are deferred in accumulated other comprehensive income (loss) (AOCI), net of tax and are amortized over the remaining service attribution periods of the employees under the corridor method. Differences between the expected long-term return on plan assets and the actual annual return are generally amortized to net periodic benefit cost over a five-year period.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Income Taxes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Income taxes are accounted for under the asset and liability method. Provisions for federal, state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and foreign income taxes are calculated on reported pre-tax earnings based on current tax laws.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Deferred taxes are provided using enacted tax rates on the future tax consequences of temporary</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differences, which are the differences between the financial statement carrying amounts of assets and</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liabilities and their respective tax bases and the tax benefits of carryforwards. A valuation allowance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is established or maintained when, based on currently available information, it is more likely than not that</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all or a portion of a deferred tax asset will not be realized.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Cash and Equivalents</w:t>
      </w:r>
    </w:p>
    <w:p>
      <w:pPr>
        <w:spacing w:after="0" w:line="131" w:lineRule="exact"/>
        <w:rPr>
          <w:sz w:val="20"/>
          <w:szCs w:val="20"/>
          <w:color w:val="auto"/>
        </w:rPr>
      </w:pPr>
    </w:p>
    <w:p>
      <w:pPr>
        <w:ind w:right="420" w:firstLine="359"/>
        <w:spacing w:after="0" w:line="264" w:lineRule="auto"/>
        <w:rPr>
          <w:sz w:val="20"/>
          <w:szCs w:val="20"/>
          <w:color w:val="auto"/>
        </w:rPr>
      </w:pPr>
      <w:r>
        <w:rPr>
          <w:rFonts w:ascii="Arial" w:cs="Arial" w:eastAsia="Arial" w:hAnsi="Arial"/>
          <w:sz w:val="20"/>
          <w:szCs w:val="20"/>
          <w:color w:val="auto"/>
        </w:rPr>
        <w:t>Cash and equivalents include money market funds and time deposits with original maturities of three months or less.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Investments</w:t>
      </w:r>
    </w:p>
    <w:p>
      <w:pPr>
        <w:spacing w:after="0" w:line="131" w:lineRule="exact"/>
        <w:rPr>
          <w:sz w:val="20"/>
          <w:szCs w:val="20"/>
          <w:color w:val="auto"/>
        </w:rPr>
      </w:pPr>
    </w:p>
    <w:p>
      <w:pPr>
        <w:ind w:firstLine="359"/>
        <w:spacing w:after="0" w:line="263" w:lineRule="auto"/>
        <w:rPr>
          <w:sz w:val="20"/>
          <w:szCs w:val="20"/>
          <w:color w:val="auto"/>
        </w:rPr>
      </w:pPr>
      <w:r>
        <w:rPr>
          <w:rFonts w:ascii="Arial" w:cs="Arial" w:eastAsia="Arial" w:hAnsi="Arial"/>
          <w:sz w:val="19"/>
          <w:szCs w:val="19"/>
          <w:color w:val="auto"/>
        </w:rPr>
        <w:t>Investments consist primarily of equity securities, held-to-maturity debt securities, marketable debt securities and time deposits. Investments in equity securities that have readily determinable fair values are recorded at fair value. Investments in equity securities that do not have readily determinable fair values are recorded at cost and are remeasured to fair value based on certain observable price changes or impairment events as they occur. Held-to-maturity debt securities are recorded at cost. Gains or losses on investments are included in other expense, net in the consolidated statements of earnings. Investments in marketable debt securities are classified as available-for-sale and are recorded at fair value with any unrealized holding gains or losses, net of tax, included in AOCI on the consolidated balance sheets until realized, at which time the gains or losses are recognized in earnings.</w:t>
      </w:r>
    </w:p>
    <w:p>
      <w:pPr>
        <w:spacing w:after="0" w:line="110" w:lineRule="exact"/>
        <w:rPr>
          <w:sz w:val="20"/>
          <w:szCs w:val="20"/>
          <w:color w:val="auto"/>
        </w:rPr>
      </w:pPr>
    </w:p>
    <w:p>
      <w:pPr>
        <w:ind w:right="20" w:firstLine="359"/>
        <w:spacing w:after="0" w:line="293" w:lineRule="auto"/>
        <w:rPr>
          <w:sz w:val="20"/>
          <w:szCs w:val="20"/>
          <w:color w:val="auto"/>
        </w:rPr>
      </w:pPr>
      <w:r>
        <w:rPr>
          <w:rFonts w:ascii="Arial" w:cs="Arial" w:eastAsia="Arial" w:hAnsi="Arial"/>
          <w:sz w:val="19"/>
          <w:szCs w:val="19"/>
          <w:color w:val="auto"/>
        </w:rPr>
        <w:t>AbbVie periodically assesses its marketable debt securities for impairment and credit losses. When a decline in the fair value of marketable debt security is due to credit related factors, an allowance for</w:t>
      </w:r>
    </w:p>
    <w:p>
      <w:pPr>
        <w:sectPr>
          <w:pgSz w:w="11880" w:h="15480" w:orient="portrait"/>
          <w:cols w:equalWidth="0" w:num="1">
            <w:col w:w="9100"/>
          </w:cols>
          <w:pgMar w:left="1400" w:top="1030" w:right="1380" w:bottom="75"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sz w:val="1"/>
          <w:szCs w:val="1"/>
          <w:color w:val="auto"/>
        </w:rPr>
        <w:drawing>
          <wp:inline distT="0" distB="0" distL="0" distR="0">
            <wp:extent cx="615950" cy="12827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70" w:name="page71"/>
    <w:bookmarkEnd w:id="70"/>
    <w:p>
      <w:pPr>
        <w:ind w:right="60"/>
        <w:spacing w:after="0" w:line="264" w:lineRule="auto"/>
        <w:rPr>
          <w:sz w:val="20"/>
          <w:szCs w:val="20"/>
          <w:color w:val="auto"/>
        </w:rPr>
      </w:pPr>
      <w:r>
        <w:rPr>
          <w:rFonts w:ascii="Arial" w:cs="Arial" w:eastAsia="Arial" w:hAnsi="Arial"/>
          <w:sz w:val="19"/>
          <w:szCs w:val="19"/>
          <w:color w:val="auto"/>
        </w:rPr>
        <w:t>credit losses is recorded with a corresponding charge to other expense, net in the consolidated statements of earnings. When AbbVie determines that a non-credit related impairment has occurred, the amortized cost basis of the investment, net of allowance for credit losses, is written down with a charge to other expense, net in the consolidated statements of earnings and an available-for-sale investment’s unrealized loss is reclassified from AOCI to other expense, net in the consolidated statements of earnings. Realized gains and losses on sales of investments are computed using the first-in, first-out method adjusted for any impairments and credit losses that were recorded in net earnings.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Accounts Receivable</w:t>
      </w:r>
    </w:p>
    <w:p>
      <w:pPr>
        <w:spacing w:after="0" w:line="131" w:lineRule="exact"/>
        <w:rPr>
          <w:sz w:val="20"/>
          <w:szCs w:val="20"/>
          <w:color w:val="auto"/>
        </w:rPr>
      </w:pPr>
    </w:p>
    <w:p>
      <w:pPr>
        <w:ind w:right="60" w:firstLine="359"/>
        <w:spacing w:after="0" w:line="250" w:lineRule="auto"/>
        <w:rPr>
          <w:sz w:val="20"/>
          <w:szCs w:val="20"/>
          <w:color w:val="auto"/>
        </w:rPr>
      </w:pPr>
      <w:r>
        <w:rPr>
          <w:rFonts w:ascii="Arial" w:cs="Arial" w:eastAsia="Arial" w:hAnsi="Arial"/>
          <w:sz w:val="20"/>
          <w:szCs w:val="20"/>
          <w:color w:val="auto"/>
        </w:rPr>
        <w:t>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 financial condition and both current and forecasted economic conditions.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Inventories</w:t>
      </w:r>
    </w:p>
    <w:p>
      <w:pPr>
        <w:spacing w:after="0" w:line="131" w:lineRule="exact"/>
        <w:rPr>
          <w:sz w:val="20"/>
          <w:szCs w:val="20"/>
          <w:color w:val="auto"/>
        </w:rPr>
      </w:pPr>
    </w:p>
    <w:p>
      <w:pPr>
        <w:ind w:right="100" w:firstLine="359"/>
        <w:spacing w:after="0" w:line="264" w:lineRule="auto"/>
        <w:rPr>
          <w:sz w:val="20"/>
          <w:szCs w:val="20"/>
          <w:color w:val="auto"/>
        </w:rPr>
      </w:pPr>
      <w:r>
        <w:rPr>
          <w:rFonts w:ascii="Arial" w:cs="Arial" w:eastAsia="Arial" w:hAnsi="Arial"/>
          <w:sz w:val="20"/>
          <w:szCs w:val="20"/>
          <w:color w:val="auto"/>
        </w:rPr>
        <w:t>Inventories are valued at the lower of cost (first-in, first-out basis) or market. Cost includes material and conversion costs. Inventories consisted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2440" w:type="dxa"/>
            <w:vAlign w:val="bottom"/>
          </w:tcPr>
          <w:p>
            <w:pPr>
              <w:spacing w:after="0"/>
              <w:rPr>
                <w:sz w:val="17"/>
                <w:szCs w:val="17"/>
                <w:color w:val="auto"/>
              </w:rPr>
            </w:pPr>
          </w:p>
        </w:tc>
        <w:tc>
          <w:tcPr>
            <w:tcW w:w="780" w:type="dxa"/>
            <w:vAlign w:val="bottom"/>
          </w:tcPr>
          <w:p>
            <w:pPr>
              <w:jc w:val="right"/>
              <w:ind w:right="83"/>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r>
      <w:tr>
        <w:trPr>
          <w:trHeight w:val="22"/>
        </w:trPr>
        <w:tc>
          <w:tcPr>
            <w:tcW w:w="50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80" w:type="dxa"/>
            <w:vAlign w:val="bottom"/>
          </w:tcPr>
          <w:p>
            <w:pPr>
              <w:spacing w:after="0"/>
              <w:rPr>
                <w:sz w:val="20"/>
                <w:szCs w:val="20"/>
                <w:color w:val="auto"/>
              </w:rPr>
            </w:pPr>
            <w:r>
              <w:rPr>
                <w:rFonts w:ascii="Arial" w:cs="Arial" w:eastAsia="Arial" w:hAnsi="Arial"/>
                <w:sz w:val="20"/>
                <w:szCs w:val="20"/>
                <w:color w:val="auto"/>
              </w:rPr>
              <w:t>Finished goods</w:t>
            </w:r>
          </w:p>
        </w:tc>
        <w:tc>
          <w:tcPr>
            <w:tcW w:w="2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$1,580</w:t>
            </w:r>
          </w:p>
        </w:tc>
        <w:tc>
          <w:tcPr>
            <w:tcW w:w="18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w w:val="98"/>
              </w:rPr>
              <w:t>$1,173</w:t>
            </w:r>
          </w:p>
        </w:tc>
      </w:tr>
      <w:tr>
        <w:trPr>
          <w:trHeight w:val="279"/>
        </w:trPr>
        <w:tc>
          <w:tcPr>
            <w:tcW w:w="5080" w:type="dxa"/>
            <w:vAlign w:val="bottom"/>
          </w:tcPr>
          <w:p>
            <w:pPr>
              <w:spacing w:after="0"/>
              <w:rPr>
                <w:sz w:val="20"/>
                <w:szCs w:val="20"/>
                <w:color w:val="auto"/>
              </w:rPr>
            </w:pPr>
            <w:r>
              <w:rPr>
                <w:rFonts w:ascii="Arial" w:cs="Arial" w:eastAsia="Arial" w:hAnsi="Arial"/>
                <w:sz w:val="20"/>
                <w:szCs w:val="20"/>
                <w:color w:val="auto"/>
              </w:rPr>
              <w:t>Work-in-process</w:t>
            </w:r>
          </w:p>
        </w:tc>
        <w:tc>
          <w:tcPr>
            <w:tcW w:w="2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2,287</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1,951</w:t>
            </w:r>
          </w:p>
        </w:tc>
        <w:tc>
          <w:tcPr>
            <w:tcW w:w="60" w:type="dxa"/>
            <w:vAlign w:val="bottom"/>
          </w:tcPr>
          <w:p>
            <w:pPr>
              <w:spacing w:after="0"/>
              <w:rPr>
                <w:sz w:val="24"/>
                <w:szCs w:val="24"/>
                <w:color w:val="auto"/>
              </w:rPr>
            </w:pPr>
          </w:p>
        </w:tc>
      </w:tr>
      <w:tr>
        <w:trPr>
          <w:trHeight w:val="282"/>
        </w:trPr>
        <w:tc>
          <w:tcPr>
            <w:tcW w:w="5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Raw materials</w:t>
            </w:r>
          </w:p>
        </w:tc>
        <w:tc>
          <w:tcPr>
            <w:tcW w:w="2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1,057</w:t>
            </w:r>
          </w:p>
        </w:tc>
        <w:tc>
          <w:tcPr>
            <w:tcW w:w="60" w:type="dxa"/>
            <w:vAlign w:val="bottom"/>
          </w:tcPr>
          <w:p>
            <w:pPr>
              <w:spacing w:after="0"/>
              <w:rPr>
                <w:sz w:val="24"/>
                <w:szCs w:val="24"/>
                <w:color w:val="auto"/>
              </w:rPr>
            </w:pPr>
          </w:p>
        </w:tc>
      </w:tr>
      <w:tr>
        <w:trPr>
          <w:trHeight w:val="269"/>
        </w:trPr>
        <w:tc>
          <w:tcPr>
            <w:tcW w:w="5080" w:type="dxa"/>
            <w:vAlign w:val="bottom"/>
          </w:tcPr>
          <w:p>
            <w:pPr>
              <w:spacing w:after="0"/>
              <w:rPr>
                <w:sz w:val="20"/>
                <w:szCs w:val="20"/>
                <w:color w:val="auto"/>
              </w:rPr>
            </w:pPr>
            <w:r>
              <w:rPr>
                <w:rFonts w:ascii="Arial" w:cs="Arial" w:eastAsia="Arial" w:hAnsi="Arial"/>
                <w:sz w:val="20"/>
                <w:szCs w:val="20"/>
                <w:color w:val="auto"/>
              </w:rPr>
              <w:t>Inventories</w:t>
            </w:r>
          </w:p>
        </w:tc>
        <w:tc>
          <w:tcPr>
            <w:tcW w:w="2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$4,951</w:t>
            </w:r>
          </w:p>
        </w:tc>
        <w:tc>
          <w:tcPr>
            <w:tcW w:w="18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w w:val="98"/>
              </w:rPr>
              <w:t>$4,181</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8"/>
        </w:trPr>
        <w:tc>
          <w:tcPr>
            <w:tcW w:w="5080" w:type="dxa"/>
            <w:vAlign w:val="bottom"/>
          </w:tcPr>
          <w:p>
            <w:pPr>
              <w:spacing w:after="0"/>
              <w:rPr>
                <w:sz w:val="20"/>
                <w:szCs w:val="20"/>
                <w:color w:val="auto"/>
              </w:rPr>
            </w:pPr>
            <w:r>
              <w:rPr>
                <w:rFonts w:ascii="Arial" w:cs="Arial" w:eastAsia="Arial" w:hAnsi="Arial"/>
                <w:sz w:val="20"/>
                <w:szCs w:val="20"/>
                <w:b w:val="1"/>
                <w:bCs w:val="1"/>
                <w:color w:val="000039"/>
              </w:rPr>
              <w:t>Property and Equipment, Net</w:t>
            </w:r>
          </w:p>
        </w:tc>
        <w:tc>
          <w:tcPr>
            <w:tcW w:w="2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7"/>
        </w:trPr>
        <w:tc>
          <w:tcPr>
            <w:tcW w:w="508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2440" w:type="dxa"/>
            <w:vAlign w:val="bottom"/>
          </w:tcPr>
          <w:p>
            <w:pPr>
              <w:spacing w:after="0"/>
              <w:rPr>
                <w:sz w:val="24"/>
                <w:szCs w:val="24"/>
                <w:color w:val="auto"/>
              </w:rPr>
            </w:pPr>
          </w:p>
        </w:tc>
        <w:tc>
          <w:tcPr>
            <w:tcW w:w="780" w:type="dxa"/>
            <w:vAlign w:val="bottom"/>
          </w:tcPr>
          <w:p>
            <w:pPr>
              <w:jc w:val="right"/>
              <w:ind w:right="263"/>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4"/>
                <w:szCs w:val="24"/>
                <w:color w:val="auto"/>
              </w:rPr>
            </w:pPr>
          </w:p>
        </w:tc>
        <w:tc>
          <w:tcPr>
            <w:tcW w:w="620" w:type="dxa"/>
            <w:vAlign w:val="bottom"/>
          </w:tcPr>
          <w:p>
            <w:pPr>
              <w:jc w:val="right"/>
              <w:ind w:right="10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4"/>
                <w:szCs w:val="24"/>
                <w:color w:val="auto"/>
              </w:rPr>
            </w:pPr>
          </w:p>
        </w:tc>
      </w:tr>
      <w:tr>
        <w:trPr>
          <w:trHeight w:val="22"/>
        </w:trPr>
        <w:tc>
          <w:tcPr>
            <w:tcW w:w="50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80" w:type="dxa"/>
            <w:vAlign w:val="bottom"/>
          </w:tcPr>
          <w:p>
            <w:pPr>
              <w:spacing w:after="0"/>
              <w:rPr>
                <w:sz w:val="20"/>
                <w:szCs w:val="20"/>
                <w:color w:val="auto"/>
              </w:rPr>
            </w:pPr>
            <w:r>
              <w:rPr>
                <w:rFonts w:ascii="Arial" w:cs="Arial" w:eastAsia="Arial" w:hAnsi="Arial"/>
                <w:sz w:val="20"/>
                <w:szCs w:val="20"/>
                <w:color w:val="auto"/>
              </w:rPr>
              <w:t>Land</w:t>
            </w:r>
          </w:p>
        </w:tc>
        <w:tc>
          <w:tcPr>
            <w:tcW w:w="244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63"/>
              <w:spacing w:after="0"/>
              <w:rPr>
                <w:sz w:val="20"/>
                <w:szCs w:val="20"/>
                <w:color w:val="auto"/>
              </w:rPr>
            </w:pPr>
            <w:r>
              <w:rPr>
                <w:rFonts w:ascii="Arial" w:cs="Arial" w:eastAsia="Arial" w:hAnsi="Arial"/>
                <w:sz w:val="20"/>
                <w:szCs w:val="20"/>
                <w:color w:val="auto"/>
              </w:rPr>
              <w:t>287</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284</w:t>
            </w:r>
          </w:p>
        </w:tc>
        <w:tc>
          <w:tcPr>
            <w:tcW w:w="60" w:type="dxa"/>
            <w:vAlign w:val="bottom"/>
          </w:tcPr>
          <w:p>
            <w:pPr>
              <w:spacing w:after="0"/>
              <w:rPr>
                <w:sz w:val="22"/>
                <w:szCs w:val="22"/>
                <w:color w:val="auto"/>
              </w:rPr>
            </w:pPr>
          </w:p>
        </w:tc>
      </w:tr>
      <w:tr>
        <w:trPr>
          <w:trHeight w:val="279"/>
        </w:trPr>
        <w:tc>
          <w:tcPr>
            <w:tcW w:w="5080" w:type="dxa"/>
            <w:vAlign w:val="bottom"/>
          </w:tcPr>
          <w:p>
            <w:pPr>
              <w:spacing w:after="0"/>
              <w:rPr>
                <w:sz w:val="20"/>
                <w:szCs w:val="20"/>
                <w:color w:val="auto"/>
              </w:rPr>
            </w:pPr>
            <w:r>
              <w:rPr>
                <w:rFonts w:ascii="Arial" w:cs="Arial" w:eastAsia="Arial" w:hAnsi="Arial"/>
                <w:sz w:val="20"/>
                <w:szCs w:val="20"/>
                <w:color w:val="auto"/>
              </w:rPr>
              <w:t>Buildings</w:t>
            </w:r>
          </w:p>
        </w:tc>
        <w:tc>
          <w:tcPr>
            <w:tcW w:w="2440" w:type="dxa"/>
            <w:vAlign w:val="bottom"/>
          </w:tcPr>
          <w:p>
            <w:pPr>
              <w:spacing w:after="0"/>
              <w:rPr>
                <w:sz w:val="24"/>
                <w:szCs w:val="24"/>
                <w:color w:val="auto"/>
              </w:rPr>
            </w:pPr>
          </w:p>
        </w:tc>
        <w:tc>
          <w:tcPr>
            <w:tcW w:w="780" w:type="dxa"/>
            <w:vAlign w:val="bottom"/>
          </w:tcPr>
          <w:p>
            <w:pPr>
              <w:jc w:val="right"/>
              <w:ind w:right="63"/>
              <w:spacing w:after="0"/>
              <w:rPr>
                <w:sz w:val="20"/>
                <w:szCs w:val="20"/>
                <w:color w:val="auto"/>
              </w:rPr>
            </w:pPr>
            <w:r>
              <w:rPr>
                <w:rFonts w:ascii="Arial" w:cs="Arial" w:eastAsia="Arial" w:hAnsi="Arial"/>
                <w:sz w:val="20"/>
                <w:szCs w:val="20"/>
                <w:color w:val="auto"/>
              </w:rPr>
              <w:t>3,057</w:t>
            </w:r>
          </w:p>
        </w:tc>
        <w:tc>
          <w:tcPr>
            <w:tcW w:w="1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2,895</w:t>
            </w:r>
          </w:p>
        </w:tc>
      </w:tr>
      <w:tr>
        <w:trPr>
          <w:trHeight w:val="279"/>
        </w:trPr>
        <w:tc>
          <w:tcPr>
            <w:tcW w:w="5080" w:type="dxa"/>
            <w:vAlign w:val="bottom"/>
          </w:tcPr>
          <w:p>
            <w:pPr>
              <w:spacing w:after="0"/>
              <w:rPr>
                <w:sz w:val="20"/>
                <w:szCs w:val="20"/>
                <w:color w:val="auto"/>
              </w:rPr>
            </w:pPr>
            <w:r>
              <w:rPr>
                <w:rFonts w:ascii="Arial" w:cs="Arial" w:eastAsia="Arial" w:hAnsi="Arial"/>
                <w:sz w:val="20"/>
                <w:szCs w:val="20"/>
                <w:color w:val="auto"/>
              </w:rPr>
              <w:t>Equipment</w:t>
            </w:r>
          </w:p>
        </w:tc>
        <w:tc>
          <w:tcPr>
            <w:tcW w:w="2440" w:type="dxa"/>
            <w:vAlign w:val="bottom"/>
          </w:tcPr>
          <w:p>
            <w:pPr>
              <w:spacing w:after="0"/>
              <w:rPr>
                <w:sz w:val="24"/>
                <w:szCs w:val="24"/>
                <w:color w:val="auto"/>
              </w:rPr>
            </w:pPr>
          </w:p>
        </w:tc>
        <w:tc>
          <w:tcPr>
            <w:tcW w:w="780" w:type="dxa"/>
            <w:vAlign w:val="bottom"/>
          </w:tcPr>
          <w:p>
            <w:pPr>
              <w:jc w:val="right"/>
              <w:ind w:right="63"/>
              <w:spacing w:after="0"/>
              <w:rPr>
                <w:sz w:val="20"/>
                <w:szCs w:val="20"/>
                <w:color w:val="auto"/>
              </w:rPr>
            </w:pPr>
            <w:r>
              <w:rPr>
                <w:rFonts w:ascii="Arial" w:cs="Arial" w:eastAsia="Arial" w:hAnsi="Arial"/>
                <w:sz w:val="20"/>
                <w:szCs w:val="20"/>
                <w:color w:val="auto"/>
              </w:rPr>
              <w:t>8,785</w:t>
            </w:r>
          </w:p>
        </w:tc>
        <w:tc>
          <w:tcPr>
            <w:tcW w:w="1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7,995</w:t>
            </w:r>
          </w:p>
        </w:tc>
      </w:tr>
      <w:tr>
        <w:trPr>
          <w:trHeight w:val="282"/>
        </w:trPr>
        <w:tc>
          <w:tcPr>
            <w:tcW w:w="5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Construction in progress</w:t>
            </w:r>
          </w:p>
        </w:tc>
        <w:tc>
          <w:tcPr>
            <w:tcW w:w="2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20"/>
                <w:szCs w:val="20"/>
                <w:color w:val="auto"/>
              </w:rPr>
              <w:t>1,401</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1,093</w:t>
            </w:r>
          </w:p>
        </w:tc>
        <w:tc>
          <w:tcPr>
            <w:tcW w:w="60" w:type="dxa"/>
            <w:vAlign w:val="bottom"/>
          </w:tcPr>
          <w:p>
            <w:pPr>
              <w:spacing w:after="0"/>
              <w:rPr>
                <w:sz w:val="24"/>
                <w:szCs w:val="24"/>
                <w:color w:val="auto"/>
              </w:rPr>
            </w:pPr>
          </w:p>
        </w:tc>
      </w:tr>
      <w:tr>
        <w:trPr>
          <w:trHeight w:val="266"/>
        </w:trPr>
        <w:tc>
          <w:tcPr>
            <w:tcW w:w="5080" w:type="dxa"/>
            <w:vAlign w:val="bottom"/>
          </w:tcPr>
          <w:p>
            <w:pPr>
              <w:spacing w:after="0"/>
              <w:rPr>
                <w:sz w:val="20"/>
                <w:szCs w:val="20"/>
                <w:color w:val="auto"/>
              </w:rPr>
            </w:pPr>
            <w:r>
              <w:rPr>
                <w:rFonts w:ascii="Arial" w:cs="Arial" w:eastAsia="Arial" w:hAnsi="Arial"/>
                <w:sz w:val="20"/>
                <w:szCs w:val="20"/>
                <w:color w:val="auto"/>
              </w:rPr>
              <w:t>Property and equipment, gross</w:t>
            </w:r>
          </w:p>
        </w:tc>
        <w:tc>
          <w:tcPr>
            <w:tcW w:w="244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20"/>
                <w:szCs w:val="20"/>
                <w:color w:val="auto"/>
                <w:w w:val="98"/>
              </w:rPr>
              <w:t>13,530</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12,267</w:t>
            </w:r>
          </w:p>
        </w:tc>
        <w:tc>
          <w:tcPr>
            <w:tcW w:w="60" w:type="dxa"/>
            <w:vAlign w:val="bottom"/>
          </w:tcPr>
          <w:p>
            <w:pPr>
              <w:spacing w:after="0"/>
              <w:rPr>
                <w:sz w:val="23"/>
                <w:szCs w:val="23"/>
                <w:color w:val="auto"/>
              </w:rPr>
            </w:pPr>
          </w:p>
        </w:tc>
      </w:tr>
      <w:tr>
        <w:trPr>
          <w:trHeight w:val="282"/>
        </w:trPr>
        <w:tc>
          <w:tcPr>
            <w:tcW w:w="5080" w:type="dxa"/>
            <w:vAlign w:val="bottom"/>
          </w:tcPr>
          <w:p>
            <w:pPr>
              <w:spacing w:after="0"/>
              <w:rPr>
                <w:sz w:val="20"/>
                <w:szCs w:val="20"/>
                <w:color w:val="auto"/>
              </w:rPr>
            </w:pPr>
            <w:r>
              <w:rPr>
                <w:rFonts w:ascii="Arial" w:cs="Arial" w:eastAsia="Arial" w:hAnsi="Arial"/>
                <w:sz w:val="20"/>
                <w:szCs w:val="20"/>
                <w:color w:val="auto"/>
              </w:rPr>
              <w:t>Less accumulated depreciation</w:t>
            </w:r>
          </w:p>
        </w:tc>
        <w:tc>
          <w:tcPr>
            <w:tcW w:w="244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(7,902)</w:t>
            </w: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(7,133)</w:t>
            </w:r>
          </w:p>
        </w:tc>
      </w:tr>
      <w:tr>
        <w:trPr>
          <w:trHeight w:val="269"/>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Property and equipment, net</w:t>
            </w:r>
          </w:p>
        </w:tc>
        <w:tc>
          <w:tcPr>
            <w:tcW w:w="2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20"/>
                <w:szCs w:val="20"/>
                <w:color w:val="auto"/>
              </w:rPr>
              <w:t>5,628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5,134</w:t>
            </w:r>
          </w:p>
        </w:tc>
        <w:tc>
          <w:tcPr>
            <w:tcW w:w="60" w:type="dxa"/>
            <w:vAlign w:val="bottom"/>
          </w:tcPr>
          <w:p>
            <w:pPr>
              <w:spacing w:after="0"/>
              <w:rPr>
                <w:sz w:val="23"/>
                <w:szCs w:val="23"/>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right="300" w:firstLine="359"/>
        <w:spacing w:after="0" w:line="255" w:lineRule="auto"/>
        <w:rPr>
          <w:sz w:val="20"/>
          <w:szCs w:val="20"/>
          <w:color w:val="auto"/>
        </w:rPr>
      </w:pPr>
      <w:r>
        <w:rPr>
          <w:rFonts w:ascii="Arial" w:cs="Arial" w:eastAsia="Arial" w:hAnsi="Arial"/>
          <w:sz w:val="20"/>
          <w:szCs w:val="20"/>
          <w:color w:val="auto"/>
        </w:rPr>
        <w:t>Depreciation for property and equipment is recorded on a straight-line basis over the estimated useful lives of the assets (10 to 50 years for buildings and 2 to 25 years for equipment). Depreciation expense was $762 million in 2025, $764 million in 2024 and $752 million in 2023.</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Leases</w:t>
      </w:r>
    </w:p>
    <w:p>
      <w:pPr>
        <w:spacing w:after="0" w:line="131" w:lineRule="exact"/>
        <w:rPr>
          <w:sz w:val="20"/>
          <w:szCs w:val="20"/>
          <w:color w:val="auto"/>
        </w:rPr>
      </w:pPr>
    </w:p>
    <w:p>
      <w:pPr>
        <w:ind w:right="60" w:firstLine="359"/>
        <w:spacing w:after="0" w:line="255" w:lineRule="auto"/>
        <w:rPr>
          <w:sz w:val="20"/>
          <w:szCs w:val="20"/>
          <w:color w:val="auto"/>
        </w:rPr>
      </w:pPr>
      <w:r>
        <w:rPr>
          <w:rFonts w:ascii="Arial" w:cs="Arial" w:eastAsia="Arial" w:hAnsi="Arial"/>
          <w:sz w:val="20"/>
          <w:szCs w:val="20"/>
          <w:color w:val="auto"/>
        </w:rPr>
        <w:t>Short-term leases with a term of 12 months or less are not recorded on the balance sheet. For leases commencing or modified in 2019 or later, AbbVie does not separate lease components from non-lease components.</w:t>
      </w:r>
    </w:p>
    <w:p>
      <w:pPr>
        <w:spacing w:after="0" w:line="113" w:lineRule="exact"/>
        <w:rPr>
          <w:sz w:val="20"/>
          <w:szCs w:val="20"/>
          <w:color w:val="auto"/>
        </w:rPr>
      </w:pPr>
    </w:p>
    <w:p>
      <w:pPr>
        <w:ind w:right="60" w:firstLine="359"/>
        <w:spacing w:after="0" w:line="250" w:lineRule="auto"/>
        <w:rPr>
          <w:sz w:val="20"/>
          <w:szCs w:val="20"/>
          <w:color w:val="auto"/>
        </w:rPr>
      </w:pPr>
      <w:r>
        <w:rPr>
          <w:rFonts w:ascii="Arial" w:cs="Arial" w:eastAsia="Arial" w:hAnsi="Arial"/>
          <w:sz w:val="20"/>
          <w:szCs w:val="20"/>
          <w:color w:val="auto"/>
        </w:rPr>
        <w:t>The company records lease liabilities based on the present value of lease payments over the lease term. AbbVie generally uses an incremental borrowing rate to discount its lease liabilities, as the rate implicit in the lease is typically not readily determinable. Certain lease agreements include renewal options that are under the company’s control. AbbVie includes optional renewal periods in the lease term only when it is reasonably certain that AbbVie will exercise its option.</w:t>
      </w:r>
    </w:p>
    <w:p>
      <w:pPr>
        <w:spacing w:after="0" w:line="119" w:lineRule="exact"/>
        <w:rPr>
          <w:sz w:val="20"/>
          <w:szCs w:val="20"/>
          <w:color w:val="auto"/>
        </w:rPr>
      </w:pPr>
    </w:p>
    <w:p>
      <w:pPr>
        <w:jc w:val="both"/>
        <w:ind w:right="120" w:firstLine="359"/>
        <w:spacing w:after="0" w:line="256" w:lineRule="auto"/>
        <w:rPr>
          <w:sz w:val="20"/>
          <w:szCs w:val="20"/>
          <w:color w:val="auto"/>
        </w:rPr>
      </w:pPr>
      <w:r>
        <w:rPr>
          <w:rFonts w:ascii="Arial" w:cs="Arial" w:eastAsia="Arial" w:hAnsi="Arial"/>
          <w:sz w:val="20"/>
          <w:szCs w:val="20"/>
          <w:color w:val="auto"/>
        </w:rPr>
        <w:t>Variable lease payments include payments to lessors for taxes, maintenance, insurance and other operating costs as well as payments that are adjusted based on an index or rate. The company’s lease agreements do not contain any significant residual value guarantees or restrictive covenants.</w:t>
      </w:r>
    </w:p>
    <w:p>
      <w:pPr>
        <w:sectPr>
          <w:pgSz w:w="11880" w:h="15480" w:orient="portrait"/>
          <w:cols w:equalWidth="0" w:num="1">
            <w:col w:w="9160"/>
          </w:cols>
          <w:pgMar w:left="1400" w:top="1030" w:right="1320" w:bottom="87" w:gutter="0" w:footer="0" w:header="0"/>
        </w:sectPr>
      </w:pPr>
    </w:p>
    <w:p>
      <w:pPr>
        <w:spacing w:after="0" w:line="240"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65</w:t>
      </w:r>
    </w:p>
    <w:p>
      <w:pPr>
        <w:sectPr>
          <w:pgSz w:w="11880" w:h="15480" w:orient="portrait"/>
          <w:cols w:equalWidth="0" w:num="1">
            <w:col w:w="9160"/>
          </w:cols>
          <w:pgMar w:left="1400" w:top="1030" w:right="1320" w:bottom="87"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color w:val="000039"/>
        </w:rPr>
        <w:t>Litigation and Contingencies</w:t>
      </w:r>
    </w:p>
    <w:p>
      <w:pPr>
        <w:spacing w:after="0" w:line="131" w:lineRule="exact"/>
        <w:rPr>
          <w:sz w:val="20"/>
          <w:szCs w:val="20"/>
          <w:color w:val="auto"/>
        </w:rPr>
      </w:pPr>
    </w:p>
    <w:p>
      <w:pPr>
        <w:ind w:firstLine="359"/>
        <w:spacing w:after="0" w:line="242" w:lineRule="auto"/>
        <w:rPr>
          <w:sz w:val="20"/>
          <w:szCs w:val="20"/>
          <w:color w:val="auto"/>
        </w:rPr>
      </w:pPr>
      <w:r>
        <w:rPr>
          <w:rFonts w:ascii="Arial" w:cs="Arial" w:eastAsia="Arial" w:hAnsi="Arial"/>
          <w:sz w:val="20"/>
          <w:szCs w:val="20"/>
          <w:color w:val="auto"/>
        </w:rPr>
        <w:t>Loss contingency provisions are recorded when it is probable that a liability has been incurred and the amount of the liability can be reasonably estimated based on existing information. When a best estimate cannot be made, the minimum loss contingency amount in a probable range is recorded. Legal fees are expensed as incurred. AbbVie accrues for product liability claims on an undiscounted basis. The liabilities are evaluated quarterly and adjusted if necessary as additional information becomes available. Receivables for insurance recoveries for product liability claims, if any, are recorded as assets on an undiscounted basis when it is probable that a recovery will be realized.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Goodwill and Intangible Assets</w:t>
      </w:r>
    </w:p>
    <w:p>
      <w:pPr>
        <w:spacing w:after="0" w:line="131" w:lineRule="exact"/>
        <w:rPr>
          <w:sz w:val="20"/>
          <w:szCs w:val="20"/>
          <w:color w:val="auto"/>
        </w:rPr>
      </w:pPr>
    </w:p>
    <w:p>
      <w:pPr>
        <w:ind w:firstLine="359"/>
        <w:spacing w:after="0" w:line="241" w:lineRule="auto"/>
        <w:rPr>
          <w:sz w:val="20"/>
          <w:szCs w:val="20"/>
          <w:color w:val="auto"/>
        </w:rPr>
      </w:pPr>
      <w:r>
        <w:rPr>
          <w:rFonts w:ascii="Arial" w:cs="Arial" w:eastAsia="Arial" w:hAnsi="Arial"/>
          <w:sz w:val="20"/>
          <w:szCs w:val="20"/>
          <w:color w:val="auto"/>
        </w:rPr>
        <w:t>Intangible assets acquired in a business combination are recorded at fair value using a discounted cash flow model. The discounted cash flow model requires assumptions about the timing and amount of future net cash flows, risk, the cost of capital and terminal values of market participants. Definite-lived intangibles are amortized over their estimated useful lives using the estimated pattern of economic benefit. AbbVie reviews the recoverability of definite-lived intangible assets whenever events or changes in circumstances indicate the carrying value of an asset may not be recoverable. AbbVie first compares the projected undiscounted cash flows to be generated by the asset to its carrying value. If the undiscounted cash flows of an intangible asset are less than the carrying value, the intangible asset is written down to its fair value. Where cash flows cannot be identified for an individual asset, the review is applied at the lowest level for which cash flows are largely independent of the cash flows of other assets and liabilities.</w:t>
      </w:r>
    </w:p>
    <w:p>
      <w:pPr>
        <w:spacing w:after="0" w:line="98" w:lineRule="exact"/>
        <w:rPr>
          <w:sz w:val="20"/>
          <w:szCs w:val="20"/>
          <w:color w:val="auto"/>
        </w:rPr>
      </w:pPr>
    </w:p>
    <w:p>
      <w:pPr>
        <w:ind w:firstLine="359"/>
        <w:spacing w:after="0" w:line="244" w:lineRule="auto"/>
        <w:rPr>
          <w:sz w:val="20"/>
          <w:szCs w:val="20"/>
          <w:color w:val="auto"/>
        </w:rPr>
      </w:pPr>
      <w:r>
        <w:rPr>
          <w:rFonts w:ascii="Arial" w:cs="Arial" w:eastAsia="Arial" w:hAnsi="Arial"/>
          <w:sz w:val="20"/>
          <w:szCs w:val="20"/>
          <w:color w:val="auto"/>
        </w:rPr>
        <w:t>Goodwill and indefinite-lived assets are not amortized but are subject to an impairment review annually and more frequently when indicators of impairment exist. An impairment of goodwill could occur if the carrying amount of a reporting unit exceeded the fair value of that reporting unit. An impairment of indefinite-lived intangible assets would occur if the fair value of the intangible asset is less than the carrying value.</w:t>
      </w:r>
    </w:p>
    <w:p>
      <w:pPr>
        <w:spacing w:after="0" w:line="92" w:lineRule="exact"/>
        <w:rPr>
          <w:sz w:val="20"/>
          <w:szCs w:val="20"/>
          <w:color w:val="auto"/>
        </w:rPr>
      </w:pPr>
    </w:p>
    <w:p>
      <w:pPr>
        <w:ind w:firstLine="359"/>
        <w:spacing w:after="0"/>
        <w:rPr>
          <w:sz w:val="20"/>
          <w:szCs w:val="20"/>
          <w:color w:val="auto"/>
        </w:rPr>
      </w:pPr>
      <w:r>
        <w:rPr>
          <w:rFonts w:ascii="Arial" w:cs="Arial" w:eastAsia="Arial" w:hAnsi="Arial"/>
          <w:sz w:val="20"/>
          <w:szCs w:val="20"/>
          <w:color w:val="auto"/>
        </w:rPr>
        <w:t>The company tests its goodwill for impairment by first assessing qualitative factors to determine whether it is more likely than not that the fair value is less than its carrying amount. If the company concludes it is more likely than not that the fair value of the reporting unit is less than its carrying amount, a quantitative impairment test is performed. AbbVie tests indefinite-lived intangible assets for impairment by first assessing qualitative factors to determine whether it is more likely than not that the fair value is less than its carrying amount. If the company concludes it is more likely than not that the fair value is less than its carrying amount, a quantitative impairment test is performed. For its quantitative impairment tests, the company uses an estimated future cash flow approach that requires significant judgment with respect to future volume, revenue and expense growth rates, changes in working capital use, the selection of an appropriate discount rate, asset groupings and other assumptions and estimates. The estimates and assumptions used are consistent with the company’s business plans and a market participant’s views. The use of alternative estimates and assumptions could increase or decrease projected cash flows and the estimated fair value of the related intangible assets. Future changes to these estimates and assumptions could have a material impact on the company’s results of operations. Actual results may differ from the company’s estimates.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Foreign Currency Translation</w:t>
      </w:r>
    </w:p>
    <w:p>
      <w:pPr>
        <w:spacing w:after="0" w:line="131" w:lineRule="exact"/>
        <w:rPr>
          <w:sz w:val="20"/>
          <w:szCs w:val="20"/>
          <w:color w:val="auto"/>
        </w:rPr>
      </w:pPr>
    </w:p>
    <w:p>
      <w:pPr>
        <w:ind w:firstLine="359"/>
        <w:spacing w:after="0" w:line="242" w:lineRule="auto"/>
        <w:rPr>
          <w:sz w:val="20"/>
          <w:szCs w:val="20"/>
          <w:color w:val="auto"/>
        </w:rPr>
      </w:pPr>
      <w:r>
        <w:rPr>
          <w:rFonts w:ascii="Arial" w:cs="Arial" w:eastAsia="Arial" w:hAnsi="Arial"/>
          <w:sz w:val="20"/>
          <w:szCs w:val="20"/>
          <w:color w:val="auto"/>
        </w:rPr>
        <w:t>Foreign subsidiary earnings are translated into U.S. dollars using average exchange rates. The net assets of foreign subsidiaries are translated into U.S. dollars using period-end exchange rates. The U.S. dollar effects that arise from translating the net assets of these subsidiaries at changing rates are recognized in other comprehensive income (loss) in the consolidated statements of comprehensive income. The net assets of subsidiaries in highly inflationary economies are remeasured as if the functional currency were the reporting currency. The remeasurement is recognized in net foreign exchange loss in the consolidated statements of earnings.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Derivatives</w:t>
      </w:r>
    </w:p>
    <w:p>
      <w:pPr>
        <w:spacing w:after="0" w:line="131" w:lineRule="exact"/>
        <w:rPr>
          <w:sz w:val="20"/>
          <w:szCs w:val="20"/>
          <w:color w:val="auto"/>
        </w:rPr>
      </w:pPr>
    </w:p>
    <w:p>
      <w:pPr>
        <w:jc w:val="both"/>
        <w:ind w:right="720" w:firstLine="359"/>
        <w:spacing w:after="0" w:line="249" w:lineRule="auto"/>
        <w:rPr>
          <w:sz w:val="20"/>
          <w:szCs w:val="20"/>
          <w:color w:val="auto"/>
        </w:rPr>
      </w:pPr>
      <w:r>
        <w:rPr>
          <w:rFonts w:ascii="Arial" w:cs="Arial" w:eastAsia="Arial" w:hAnsi="Arial"/>
          <w:sz w:val="20"/>
          <w:szCs w:val="20"/>
          <w:color w:val="auto"/>
        </w:rPr>
        <w:t>All derivative instruments are recognized as either assets or liabilities at fair value on the consolidated balance sheets and are classified as current or long-term based on the scheduled maturity of the instrument.</w:t>
      </w:r>
    </w:p>
    <w:p>
      <w:pPr>
        <w:sectPr>
          <w:pgSz w:w="11880" w:h="15480" w:orient="portrait"/>
          <w:cols w:equalWidth="0" w:num="1">
            <w:col w:w="9100"/>
          </w:cols>
          <w:pgMar w:left="1400" w:top="1028" w:right="1380" w:bottom="75"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sz w:val="1"/>
          <w:szCs w:val="1"/>
          <w:color w:val="auto"/>
        </w:rPr>
        <w:drawing>
          <wp:inline distT="0" distB="0" distL="0" distR="0">
            <wp:extent cx="615950" cy="1282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8" w:right="1380" w:bottom="75" w:gutter="0" w:footer="0" w:header="0"/>
          <w:type w:val="continuous"/>
        </w:sectPr>
      </w:pPr>
    </w:p>
    <w:bookmarkStart w:id="72" w:name="page73"/>
    <w:bookmarkEnd w:id="72"/>
    <w:p>
      <w:pPr>
        <w:ind w:right="60" w:firstLine="359"/>
        <w:spacing w:after="0" w:line="252" w:lineRule="auto"/>
        <w:rPr>
          <w:sz w:val="20"/>
          <w:szCs w:val="20"/>
          <w:color w:val="auto"/>
        </w:rPr>
      </w:pPr>
      <w:r>
        <w:rPr>
          <w:rFonts w:ascii="Arial" w:cs="Arial" w:eastAsia="Arial" w:hAnsi="Arial"/>
          <w:sz w:val="20"/>
          <w:szCs w:val="20"/>
          <w:color w:val="auto"/>
        </w:rPr>
        <w:t>For derivatives formally designated as hedges, the company assesses at inception and quarterly thereafter whether the hedging derivatives are highly effective in offsetting changes in the fair value or cash flows of the hedged item. The changes in fair value of a derivative designated as a fair value hedge and of the hedged item attributable to the hedged risk are recognized in earnings immediately. The effective portions of changes in the fair value of a derivative designated as a cash flow hedge are reported in AOCI and are subsequently recognized in earnings consistent with the underlying hedged item. If it is determined that a derivative is no longer highly effective as a hedge, the company discontinues hedge accounting prospectively. If a hedged forecasted transaction becomes probable of not occurring, any gains or losses are reclassified from AOCI to earnings. Derivatives that are not designated as hedges are adjusted to fair value through current earnings.</w:t>
      </w:r>
    </w:p>
    <w:p>
      <w:pPr>
        <w:spacing w:after="0" w:line="120" w:lineRule="exact"/>
        <w:rPr>
          <w:sz w:val="20"/>
          <w:szCs w:val="20"/>
          <w:color w:val="auto"/>
        </w:rPr>
      </w:pPr>
    </w:p>
    <w:p>
      <w:pPr>
        <w:jc w:val="both"/>
        <w:ind w:right="180" w:firstLine="359"/>
        <w:spacing w:after="0" w:line="259" w:lineRule="auto"/>
        <w:rPr>
          <w:sz w:val="20"/>
          <w:szCs w:val="20"/>
          <w:color w:val="auto"/>
        </w:rPr>
      </w:pPr>
      <w:r>
        <w:rPr>
          <w:rFonts w:ascii="Arial" w:cs="Arial" w:eastAsia="Arial" w:hAnsi="Arial"/>
          <w:sz w:val="20"/>
          <w:szCs w:val="20"/>
          <w:color w:val="auto"/>
        </w:rPr>
        <w:t>The company also uses derivative instruments or foreign currency denominated debt to hedge its net investments in certain foreign subsidiaries and affiliates. Realized and unrealized gains and losses from these hedges are included in AOCI.</w:t>
      </w:r>
    </w:p>
    <w:p>
      <w:pPr>
        <w:spacing w:after="0" w:line="114" w:lineRule="exact"/>
        <w:rPr>
          <w:sz w:val="20"/>
          <w:szCs w:val="20"/>
          <w:color w:val="auto"/>
        </w:rPr>
      </w:pPr>
    </w:p>
    <w:p>
      <w:pPr>
        <w:ind w:right="180" w:firstLine="359"/>
        <w:spacing w:after="0" w:line="256" w:lineRule="auto"/>
        <w:rPr>
          <w:sz w:val="20"/>
          <w:szCs w:val="20"/>
          <w:color w:val="auto"/>
        </w:rPr>
      </w:pPr>
      <w:r>
        <w:rPr>
          <w:rFonts w:ascii="Arial" w:cs="Arial" w:eastAsia="Arial" w:hAnsi="Arial"/>
          <w:sz w:val="20"/>
          <w:szCs w:val="20"/>
          <w:color w:val="auto"/>
        </w:rPr>
        <w:t>Derivative cash flows, with the exception of net investment hedges, are principally classified in the operating section of the consolidated statements of cash flows, consistent with the underlying hedged item. Cash flows related to net investment hedges are classified in the investing section of the consolidated statements of cash flows.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Recent Accounting Pronouncements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 Accounting Pronouncements Not Yet Adopted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ASU No. 2024-03</w:t>
      </w:r>
    </w:p>
    <w:p>
      <w:pPr>
        <w:spacing w:after="0" w:line="147" w:lineRule="exact"/>
        <w:rPr>
          <w:sz w:val="20"/>
          <w:szCs w:val="20"/>
          <w:color w:val="auto"/>
        </w:rPr>
      </w:pPr>
    </w:p>
    <w:p>
      <w:pPr>
        <w:ind w:right="60" w:firstLine="359"/>
        <w:spacing w:after="0" w:line="253" w:lineRule="auto"/>
        <w:rPr>
          <w:sz w:val="20"/>
          <w:szCs w:val="20"/>
          <w:color w:val="auto"/>
        </w:rPr>
      </w:pPr>
      <w:r>
        <w:rPr>
          <w:rFonts w:ascii="Arial" w:cs="Arial" w:eastAsia="Arial" w:hAnsi="Arial"/>
          <w:sz w:val="20"/>
          <w:szCs w:val="20"/>
          <w:color w:val="auto"/>
        </w:rPr>
        <w:t xml:space="preserve">In November 2024, the Financial Accounting Standards Board (FASB) issued </w:t>
      </w:r>
      <w:r>
        <w:rPr>
          <w:rFonts w:ascii="Arial" w:cs="Arial" w:eastAsia="Arial" w:hAnsi="Arial"/>
          <w:sz w:val="20"/>
          <w:szCs w:val="20"/>
          <w:i w:val="1"/>
          <w:iCs w:val="1"/>
          <w:color w:val="auto"/>
        </w:rPr>
        <w:t>Accounting Standards</w:t>
      </w:r>
      <w:r>
        <w:rPr>
          <w:rFonts w:ascii="Arial" w:cs="Arial" w:eastAsia="Arial" w:hAnsi="Arial"/>
          <w:sz w:val="20"/>
          <w:szCs w:val="20"/>
          <w:color w:val="auto"/>
        </w:rPr>
        <w:t xml:space="preserve"> </w:t>
      </w:r>
      <w:r>
        <w:rPr>
          <w:rFonts w:ascii="Arial" w:cs="Arial" w:eastAsia="Arial" w:hAnsi="Arial"/>
          <w:sz w:val="20"/>
          <w:szCs w:val="20"/>
          <w:i w:val="1"/>
          <w:iCs w:val="1"/>
          <w:color w:val="auto"/>
        </w:rPr>
        <w:t>Update (ASU) No. 2024-03, Income Statement—Reporting Comprehensive Income—Expense Disaggregation Disclosures (Subtopic 220-40</w:t>
      </w:r>
      <w:r>
        <w:rPr>
          <w:rFonts w:ascii="Arial" w:cs="Arial" w:eastAsia="Arial" w:hAnsi="Arial"/>
          <w:sz w:val="20"/>
          <w:szCs w:val="20"/>
          <w:color w:val="auto"/>
        </w:rPr>
        <w:t>). The standard requires further disaggregation of relevant</w:t>
      </w:r>
      <w:r>
        <w:rPr>
          <w:rFonts w:ascii="Arial" w:cs="Arial" w:eastAsia="Arial" w:hAnsi="Arial"/>
          <w:sz w:val="20"/>
          <w:szCs w:val="20"/>
          <w:i w:val="1"/>
          <w:iCs w:val="1"/>
          <w:color w:val="auto"/>
        </w:rPr>
        <w:t xml:space="preserve"> </w:t>
      </w:r>
      <w:r>
        <w:rPr>
          <w:rFonts w:ascii="Arial" w:cs="Arial" w:eastAsia="Arial" w:hAnsi="Arial"/>
          <w:sz w:val="20"/>
          <w:szCs w:val="20"/>
          <w:color w:val="auto"/>
        </w:rPr>
        <w:t>expense captions in a separate note to the financial statements. The standard is effective for AbbVie starting in annual periods in 2027 and interim periods beginning in 2028, with early adoption permitted. AbbVie is currently assessing the impact of adopting this guidance on its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Adopted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ASU No. 2023-09</w:t>
      </w:r>
    </w:p>
    <w:p>
      <w:pPr>
        <w:spacing w:after="0" w:line="147" w:lineRule="exact"/>
        <w:rPr>
          <w:sz w:val="20"/>
          <w:szCs w:val="20"/>
          <w:color w:val="auto"/>
        </w:rPr>
      </w:pPr>
    </w:p>
    <w:p>
      <w:pPr>
        <w:ind w:right="120" w:firstLine="359"/>
        <w:spacing w:after="0" w:line="255" w:lineRule="auto"/>
        <w:rPr>
          <w:sz w:val="20"/>
          <w:szCs w:val="20"/>
          <w:color w:val="auto"/>
        </w:rPr>
      </w:pPr>
      <w:r>
        <w:rPr>
          <w:rFonts w:ascii="Arial" w:cs="Arial" w:eastAsia="Arial" w:hAnsi="Arial"/>
          <w:sz w:val="20"/>
          <w:szCs w:val="20"/>
          <w:color w:val="auto"/>
        </w:rPr>
        <w:t xml:space="preserve">In December 2023, the FASB issued ASU No. 2023-09, </w:t>
      </w:r>
      <w:r>
        <w:rPr>
          <w:rFonts w:ascii="Arial" w:cs="Arial" w:eastAsia="Arial" w:hAnsi="Arial"/>
          <w:sz w:val="20"/>
          <w:szCs w:val="20"/>
          <w:i w:val="1"/>
          <w:iCs w:val="1"/>
          <w:color w:val="auto"/>
        </w:rPr>
        <w:t>Income Taxes (Topic 740)</w:t>
      </w:r>
      <w:r>
        <w:rPr>
          <w:rFonts w:ascii="Arial" w:cs="Arial" w:eastAsia="Arial" w:hAnsi="Arial"/>
          <w:sz w:val="20"/>
          <w:szCs w:val="20"/>
          <w:color w:val="auto"/>
        </w:rPr>
        <w:t>. The standard requires disaggregation of the effective tax rate reconciliation into standard categories, enhances disclosure of income taxes paid, and modifies other income tax-related disclosures. AbbVie adopted the standard in the fourth quarter of 2025 on a prospective basis. The adoption did not have a material impact on its consolidated financial statements. See Note 14 for additional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3 Supplemental Financial Information</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Interest Expense,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700" w:type="dxa"/>
            <w:vAlign w:val="bottom"/>
          </w:tcPr>
          <w:p>
            <w:pPr>
              <w:jc w:val="right"/>
              <w:ind w:right="185"/>
              <w:spacing w:after="0"/>
              <w:rPr>
                <w:sz w:val="20"/>
                <w:szCs w:val="20"/>
                <w:color w:val="auto"/>
              </w:rPr>
            </w:pPr>
            <w:r>
              <w:rPr>
                <w:rFonts w:ascii="Arial" w:cs="Arial" w:eastAsia="Arial" w:hAnsi="Arial"/>
                <w:sz w:val="16"/>
                <w:szCs w:val="16"/>
                <w:b w:val="1"/>
                <w:bCs w:val="1"/>
                <w:color w:val="auto"/>
              </w:rPr>
              <w:t>2025</w:t>
            </w:r>
          </w:p>
        </w:tc>
        <w:tc>
          <w:tcPr>
            <w:tcW w:w="860" w:type="dxa"/>
            <w:vAlign w:val="bottom"/>
          </w:tcPr>
          <w:p>
            <w:pPr>
              <w:jc w:val="right"/>
              <w:ind w:right="185"/>
              <w:spacing w:after="0"/>
              <w:rPr>
                <w:sz w:val="20"/>
                <w:szCs w:val="20"/>
                <w:color w:val="auto"/>
              </w:rPr>
            </w:pPr>
            <w:r>
              <w:rPr>
                <w:rFonts w:ascii="Arial" w:cs="Arial" w:eastAsia="Arial" w:hAnsi="Arial"/>
                <w:sz w:val="16"/>
                <w:szCs w:val="16"/>
                <w:b w:val="1"/>
                <w:bCs w:val="1"/>
                <w:color w:val="auto"/>
              </w:rPr>
              <w:t>2024</w:t>
            </w:r>
          </w:p>
        </w:tc>
        <w:tc>
          <w:tcPr>
            <w:tcW w:w="700" w:type="dxa"/>
            <w:vAlign w:val="bottom"/>
          </w:tcPr>
          <w:p>
            <w:pPr>
              <w:jc w:val="right"/>
              <w:ind w:right="4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48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840" w:type="dxa"/>
            <w:vAlign w:val="bottom"/>
          </w:tcPr>
          <w:p>
            <w:pPr>
              <w:spacing w:after="0"/>
              <w:rPr>
                <w:sz w:val="20"/>
                <w:szCs w:val="20"/>
                <w:color w:val="auto"/>
              </w:rPr>
            </w:pPr>
            <w:r>
              <w:rPr>
                <w:rFonts w:ascii="Arial" w:cs="Arial" w:eastAsia="Arial" w:hAnsi="Arial"/>
                <w:sz w:val="20"/>
                <w:szCs w:val="20"/>
                <w:color w:val="auto"/>
              </w:rPr>
              <w:t>Interest expense</w:t>
            </w:r>
          </w:p>
        </w:tc>
        <w:tc>
          <w:tcPr>
            <w:tcW w:w="2700" w:type="dxa"/>
            <w:vAlign w:val="bottom"/>
          </w:tcPr>
          <w:p>
            <w:pPr>
              <w:jc w:val="right"/>
              <w:ind w:right="45"/>
              <w:spacing w:after="0"/>
              <w:rPr>
                <w:sz w:val="20"/>
                <w:szCs w:val="20"/>
                <w:color w:val="auto"/>
              </w:rPr>
            </w:pPr>
            <w:r>
              <w:rPr>
                <w:rFonts w:ascii="Arial" w:cs="Arial" w:eastAsia="Arial" w:hAnsi="Arial"/>
                <w:sz w:val="20"/>
                <w:szCs w:val="20"/>
                <w:color w:val="auto"/>
              </w:rPr>
              <w:t>$2,893</w:t>
            </w:r>
          </w:p>
        </w:tc>
        <w:tc>
          <w:tcPr>
            <w:tcW w:w="860" w:type="dxa"/>
            <w:vAlign w:val="bottom"/>
          </w:tcPr>
          <w:p>
            <w:pPr>
              <w:jc w:val="right"/>
              <w:ind w:right="65"/>
              <w:spacing w:after="0"/>
              <w:rPr>
                <w:sz w:val="20"/>
                <w:szCs w:val="20"/>
                <w:color w:val="auto"/>
              </w:rPr>
            </w:pPr>
            <w:r>
              <w:rPr>
                <w:rFonts w:ascii="Arial" w:cs="Arial" w:eastAsia="Arial" w:hAnsi="Arial"/>
                <w:sz w:val="20"/>
                <w:szCs w:val="20"/>
                <w:color w:val="auto"/>
              </w:rPr>
              <w:t>$2,808</w:t>
            </w: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$2,224</w:t>
            </w:r>
          </w:p>
        </w:tc>
      </w:tr>
      <w:tr>
        <w:trPr>
          <w:trHeight w:val="282"/>
        </w:trPr>
        <w:tc>
          <w:tcPr>
            <w:tcW w:w="4840" w:type="dxa"/>
            <w:vAlign w:val="bottom"/>
          </w:tcPr>
          <w:p>
            <w:pPr>
              <w:spacing w:after="0"/>
              <w:rPr>
                <w:sz w:val="20"/>
                <w:szCs w:val="20"/>
                <w:color w:val="auto"/>
              </w:rPr>
            </w:pPr>
            <w:r>
              <w:rPr>
                <w:rFonts w:ascii="Arial" w:cs="Arial" w:eastAsia="Arial" w:hAnsi="Arial"/>
                <w:sz w:val="20"/>
                <w:szCs w:val="20"/>
                <w:color w:val="auto"/>
              </w:rPr>
              <w:t>Interest income</w:t>
            </w:r>
          </w:p>
        </w:tc>
        <w:tc>
          <w:tcPr>
            <w:tcW w:w="2700" w:type="dxa"/>
            <w:vAlign w:val="bottom"/>
          </w:tcPr>
          <w:p>
            <w:pPr>
              <w:jc w:val="right"/>
              <w:spacing w:after="0"/>
              <w:rPr>
                <w:sz w:val="20"/>
                <w:szCs w:val="20"/>
                <w:color w:val="auto"/>
              </w:rPr>
            </w:pPr>
            <w:r>
              <w:rPr>
                <w:rFonts w:ascii="Arial" w:cs="Arial" w:eastAsia="Arial" w:hAnsi="Arial"/>
                <w:sz w:val="20"/>
                <w:szCs w:val="20"/>
                <w:color w:val="auto"/>
              </w:rPr>
              <w:t>(266)</w:t>
            </w:r>
          </w:p>
        </w:tc>
        <w:tc>
          <w:tcPr>
            <w:tcW w:w="860" w:type="dxa"/>
            <w:vAlign w:val="bottom"/>
          </w:tcPr>
          <w:p>
            <w:pPr>
              <w:jc w:val="right"/>
              <w:ind w:right="5"/>
              <w:spacing w:after="0"/>
              <w:rPr>
                <w:sz w:val="20"/>
                <w:szCs w:val="20"/>
                <w:color w:val="auto"/>
              </w:rPr>
            </w:pPr>
            <w:r>
              <w:rPr>
                <w:rFonts w:ascii="Arial" w:cs="Arial" w:eastAsia="Arial" w:hAnsi="Arial"/>
                <w:sz w:val="20"/>
                <w:szCs w:val="20"/>
                <w:color w:val="auto"/>
              </w:rPr>
              <w:t>(648)</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(540)</w:t>
            </w:r>
          </w:p>
        </w:tc>
      </w:tr>
      <w:tr>
        <w:trPr>
          <w:trHeight w:val="269"/>
        </w:trPr>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Interest expense, net</w:t>
            </w:r>
          </w:p>
        </w:tc>
        <w:tc>
          <w:tcPr>
            <w:tcW w:w="27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20"/>
                <w:szCs w:val="20"/>
                <w:color w:val="auto"/>
              </w:rPr>
              <w:t>$2,627</w:t>
            </w:r>
          </w:p>
        </w:tc>
        <w:tc>
          <w:tcPr>
            <w:tcW w:w="8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20"/>
                <w:szCs w:val="20"/>
                <w:color w:val="auto"/>
              </w:rPr>
              <w:t>$2,160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$1,684</w:t>
            </w:r>
          </w:p>
        </w:tc>
        <w:tc>
          <w:tcPr>
            <w:tcW w:w="60" w:type="dxa"/>
            <w:vAlign w:val="bottom"/>
          </w:tcPr>
          <w:p>
            <w:pPr>
              <w:spacing w:after="0"/>
              <w:rPr>
                <w:sz w:val="23"/>
                <w:szCs w:val="23"/>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400" w:top="1030" w:right="132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67</w:t>
      </w:r>
    </w:p>
    <w:p>
      <w:pPr>
        <w:sectPr>
          <w:pgSz w:w="11880" w:h="15480" w:orient="portrait"/>
          <w:cols w:equalWidth="0" w:num="1">
            <w:col w:w="9160"/>
          </w:cols>
          <w:pgMar w:left="1400" w:top="1030" w:right="1320" w:bottom="87" w:gutter="0" w:footer="0" w:header="0"/>
          <w:type w:val="continuous"/>
        </w:sectPr>
      </w:pPr>
    </w:p>
    <w:bookmarkStart w:id="73" w:name="page74"/>
    <w:bookmarkEnd w:id="73"/>
    <w:p>
      <w:pPr>
        <w:spacing w:after="0"/>
        <w:rPr>
          <w:sz w:val="20"/>
          <w:szCs w:val="20"/>
          <w:color w:val="auto"/>
        </w:rPr>
      </w:pPr>
      <w:r>
        <w:rPr>
          <w:rFonts w:ascii="Arial" w:cs="Arial" w:eastAsia="Arial" w:hAnsi="Arial"/>
          <w:sz w:val="20"/>
          <w:szCs w:val="20"/>
          <w:b w:val="1"/>
          <w:bCs w:val="1"/>
          <w:color w:val="000039"/>
        </w:rPr>
        <w:t>Accounts Payable and Accrued Liabilities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2220" w:type="dxa"/>
            <w:vAlign w:val="bottom"/>
          </w:tcPr>
          <w:p>
            <w:pPr>
              <w:jc w:val="right"/>
              <w:ind w:right="203"/>
              <w:spacing w:after="0"/>
              <w:rPr>
                <w:sz w:val="20"/>
                <w:szCs w:val="20"/>
                <w:color w:val="auto"/>
              </w:rPr>
            </w:pPr>
            <w:r>
              <w:rPr>
                <w:rFonts w:ascii="Arial" w:cs="Arial" w:eastAsia="Arial" w:hAnsi="Arial"/>
                <w:sz w:val="16"/>
                <w:szCs w:val="16"/>
                <w:b w:val="1"/>
                <w:bCs w:val="1"/>
                <w:color w:val="auto"/>
              </w:rPr>
              <w:t>2025</w:t>
            </w:r>
          </w:p>
        </w:tc>
        <w:tc>
          <w:tcPr>
            <w:tcW w:w="860" w:type="dxa"/>
            <w:vAlign w:val="bottom"/>
          </w:tcPr>
          <w:p>
            <w:pPr>
              <w:jc w:val="right"/>
              <w:ind w:right="103"/>
              <w:spacing w:after="0"/>
              <w:rPr>
                <w:sz w:val="20"/>
                <w:szCs w:val="20"/>
                <w:color w:val="auto"/>
              </w:rPr>
            </w:pPr>
            <w:r>
              <w:rPr>
                <w:rFonts w:ascii="Arial" w:cs="Arial" w:eastAsia="Arial" w:hAnsi="Arial"/>
                <w:sz w:val="16"/>
                <w:szCs w:val="16"/>
                <w:b w:val="1"/>
                <w:bCs w:val="1"/>
                <w:color w:val="auto"/>
              </w:rPr>
              <w:t>2024</w:t>
            </w: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6020" w:type="dxa"/>
            <w:vAlign w:val="bottom"/>
          </w:tcPr>
          <w:p>
            <w:pPr>
              <w:spacing w:after="0"/>
              <w:rPr>
                <w:sz w:val="20"/>
                <w:szCs w:val="20"/>
                <w:color w:val="auto"/>
              </w:rPr>
            </w:pPr>
            <w:r>
              <w:rPr>
                <w:rFonts w:ascii="Arial" w:cs="Arial" w:eastAsia="Arial" w:hAnsi="Arial"/>
                <w:sz w:val="20"/>
                <w:szCs w:val="20"/>
                <w:color w:val="auto"/>
              </w:rPr>
              <w:t>Sales rebates</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$14,572</w:t>
            </w:r>
          </w:p>
        </w:tc>
        <w:tc>
          <w:tcPr>
            <w:tcW w:w="860" w:type="dxa"/>
            <w:vAlign w:val="bottom"/>
          </w:tcPr>
          <w:p>
            <w:pPr>
              <w:jc w:val="right"/>
              <w:spacing w:after="0"/>
              <w:rPr>
                <w:sz w:val="20"/>
                <w:szCs w:val="20"/>
                <w:color w:val="auto"/>
              </w:rPr>
            </w:pPr>
            <w:r>
              <w:rPr>
                <w:rFonts w:ascii="Arial" w:cs="Arial" w:eastAsia="Arial" w:hAnsi="Arial"/>
                <w:sz w:val="20"/>
                <w:szCs w:val="20"/>
                <w:color w:val="auto"/>
              </w:rPr>
              <w:t>$14,304</w:t>
            </w: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Accounts payable</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3,592</w:t>
            </w:r>
          </w:p>
        </w:tc>
        <w:tc>
          <w:tcPr>
            <w:tcW w:w="860" w:type="dxa"/>
            <w:vAlign w:val="bottom"/>
          </w:tcPr>
          <w:p>
            <w:pPr>
              <w:jc w:val="right"/>
              <w:spacing w:after="0"/>
              <w:rPr>
                <w:sz w:val="20"/>
                <w:szCs w:val="20"/>
                <w:color w:val="auto"/>
              </w:rPr>
            </w:pPr>
            <w:r>
              <w:rPr>
                <w:rFonts w:ascii="Arial" w:cs="Arial" w:eastAsia="Arial" w:hAnsi="Arial"/>
                <w:sz w:val="20"/>
                <w:szCs w:val="20"/>
                <w:color w:val="auto"/>
              </w:rPr>
              <w:t>2,945</w:t>
            </w: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Current portion of contingent consideration liabilities</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3,455</w:t>
            </w:r>
          </w:p>
        </w:tc>
        <w:tc>
          <w:tcPr>
            <w:tcW w:w="860" w:type="dxa"/>
            <w:vAlign w:val="bottom"/>
          </w:tcPr>
          <w:p>
            <w:pPr>
              <w:jc w:val="right"/>
              <w:spacing w:after="0"/>
              <w:rPr>
                <w:sz w:val="20"/>
                <w:szCs w:val="20"/>
                <w:color w:val="auto"/>
              </w:rPr>
            </w:pPr>
            <w:r>
              <w:rPr>
                <w:rFonts w:ascii="Arial" w:cs="Arial" w:eastAsia="Arial" w:hAnsi="Arial"/>
                <w:sz w:val="20"/>
                <w:szCs w:val="20"/>
                <w:color w:val="auto"/>
              </w:rPr>
              <w:t>2,589</w:t>
            </w: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Dividends payable</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3,099</w:t>
            </w:r>
          </w:p>
        </w:tc>
        <w:tc>
          <w:tcPr>
            <w:tcW w:w="860" w:type="dxa"/>
            <w:vAlign w:val="bottom"/>
          </w:tcPr>
          <w:p>
            <w:pPr>
              <w:jc w:val="right"/>
              <w:spacing w:after="0"/>
              <w:rPr>
                <w:sz w:val="20"/>
                <w:szCs w:val="20"/>
                <w:color w:val="auto"/>
              </w:rPr>
            </w:pPr>
            <w:r>
              <w:rPr>
                <w:rFonts w:ascii="Arial" w:cs="Arial" w:eastAsia="Arial" w:hAnsi="Arial"/>
                <w:sz w:val="20"/>
                <w:szCs w:val="20"/>
                <w:color w:val="auto"/>
              </w:rPr>
              <w:t>2,936</w:t>
            </w: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Salaries, wages and commissions</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2,219</w:t>
            </w:r>
          </w:p>
        </w:tc>
        <w:tc>
          <w:tcPr>
            <w:tcW w:w="860" w:type="dxa"/>
            <w:vAlign w:val="bottom"/>
          </w:tcPr>
          <w:p>
            <w:pPr>
              <w:jc w:val="right"/>
              <w:spacing w:after="0"/>
              <w:rPr>
                <w:sz w:val="20"/>
                <w:szCs w:val="20"/>
                <w:color w:val="auto"/>
              </w:rPr>
            </w:pPr>
            <w:r>
              <w:rPr>
                <w:rFonts w:ascii="Arial" w:cs="Arial" w:eastAsia="Arial" w:hAnsi="Arial"/>
                <w:sz w:val="20"/>
                <w:szCs w:val="20"/>
                <w:color w:val="auto"/>
              </w:rPr>
              <w:t>1,986</w:t>
            </w: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Royalty and license arrangements</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453</w:t>
            </w:r>
          </w:p>
        </w:tc>
        <w:tc>
          <w:tcPr>
            <w:tcW w:w="860" w:type="dxa"/>
            <w:vAlign w:val="bottom"/>
          </w:tcPr>
          <w:p>
            <w:pPr>
              <w:jc w:val="right"/>
              <w:spacing w:after="0"/>
              <w:rPr>
                <w:sz w:val="20"/>
                <w:szCs w:val="20"/>
                <w:color w:val="auto"/>
              </w:rPr>
            </w:pPr>
            <w:r>
              <w:rPr>
                <w:rFonts w:ascii="Arial" w:cs="Arial" w:eastAsia="Arial" w:hAnsi="Arial"/>
                <w:sz w:val="20"/>
                <w:szCs w:val="20"/>
                <w:color w:val="auto"/>
              </w:rPr>
              <w:t>527</w:t>
            </w:r>
          </w:p>
        </w:tc>
      </w:tr>
      <w:tr>
        <w:trPr>
          <w:trHeight w:val="282"/>
        </w:trPr>
        <w:tc>
          <w:tcPr>
            <w:tcW w:w="6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w:t>
            </w:r>
          </w:p>
        </w:tc>
        <w:tc>
          <w:tcPr>
            <w:tcW w:w="22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7,344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6,658</w:t>
            </w:r>
          </w:p>
        </w:tc>
      </w:tr>
      <w:tr>
        <w:trPr>
          <w:trHeight w:val="269"/>
        </w:trPr>
        <w:tc>
          <w:tcPr>
            <w:tcW w:w="6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Accounts payable and accrued liabilities</w:t>
            </w:r>
          </w:p>
        </w:tc>
        <w:tc>
          <w:tcPr>
            <w:tcW w:w="22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$34,734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$31,945</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16"/>
        </w:trPr>
        <w:tc>
          <w:tcPr>
            <w:tcW w:w="6020" w:type="dxa"/>
            <w:vAlign w:val="bottom"/>
          </w:tcPr>
          <w:p>
            <w:pPr>
              <w:spacing w:after="0"/>
              <w:rPr>
                <w:sz w:val="20"/>
                <w:szCs w:val="20"/>
                <w:color w:val="auto"/>
              </w:rPr>
            </w:pPr>
            <w:r>
              <w:rPr>
                <w:rFonts w:ascii="Arial" w:cs="Arial" w:eastAsia="Arial" w:hAnsi="Arial"/>
                <w:sz w:val="20"/>
                <w:szCs w:val="20"/>
                <w:b w:val="1"/>
                <w:bCs w:val="1"/>
                <w:color w:val="000039"/>
              </w:rPr>
              <w:t>Other Long-Term Liabilities</w:t>
            </w: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7"/>
        </w:trPr>
        <w:tc>
          <w:tcPr>
            <w:tcW w:w="602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2220" w:type="dxa"/>
            <w:vAlign w:val="bottom"/>
          </w:tcPr>
          <w:p>
            <w:pPr>
              <w:jc w:val="right"/>
              <w:ind w:right="203"/>
              <w:spacing w:after="0"/>
              <w:rPr>
                <w:sz w:val="20"/>
                <w:szCs w:val="20"/>
                <w:color w:val="auto"/>
              </w:rPr>
            </w:pPr>
            <w:r>
              <w:rPr>
                <w:rFonts w:ascii="Arial" w:cs="Arial" w:eastAsia="Arial" w:hAnsi="Arial"/>
                <w:sz w:val="16"/>
                <w:szCs w:val="16"/>
                <w:b w:val="1"/>
                <w:bCs w:val="1"/>
                <w:color w:val="auto"/>
              </w:rPr>
              <w:t>2025</w:t>
            </w:r>
          </w:p>
        </w:tc>
        <w:tc>
          <w:tcPr>
            <w:tcW w:w="860" w:type="dxa"/>
            <w:vAlign w:val="bottom"/>
          </w:tcPr>
          <w:p>
            <w:pPr>
              <w:jc w:val="right"/>
              <w:ind w:right="103"/>
              <w:spacing w:after="0"/>
              <w:rPr>
                <w:sz w:val="20"/>
                <w:szCs w:val="20"/>
                <w:color w:val="auto"/>
              </w:rPr>
            </w:pPr>
            <w:r>
              <w:rPr>
                <w:rFonts w:ascii="Arial" w:cs="Arial" w:eastAsia="Arial" w:hAnsi="Arial"/>
                <w:sz w:val="16"/>
                <w:szCs w:val="16"/>
                <w:b w:val="1"/>
                <w:bCs w:val="1"/>
                <w:color w:val="auto"/>
              </w:rPr>
              <w:t>2024</w:t>
            </w: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6020" w:type="dxa"/>
            <w:vAlign w:val="bottom"/>
          </w:tcPr>
          <w:p>
            <w:pPr>
              <w:spacing w:after="0"/>
              <w:rPr>
                <w:sz w:val="20"/>
                <w:szCs w:val="20"/>
                <w:color w:val="auto"/>
              </w:rPr>
            </w:pPr>
            <w:r>
              <w:rPr>
                <w:rFonts w:ascii="Arial" w:cs="Arial" w:eastAsia="Arial" w:hAnsi="Arial"/>
                <w:sz w:val="20"/>
                <w:szCs w:val="20"/>
                <w:color w:val="auto"/>
              </w:rPr>
              <w:t>Contingent consideration liabilities</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$21,919</w:t>
            </w:r>
          </w:p>
        </w:tc>
        <w:tc>
          <w:tcPr>
            <w:tcW w:w="860" w:type="dxa"/>
            <w:vAlign w:val="bottom"/>
          </w:tcPr>
          <w:p>
            <w:pPr>
              <w:jc w:val="right"/>
              <w:spacing w:after="0"/>
              <w:rPr>
                <w:sz w:val="20"/>
                <w:szCs w:val="20"/>
                <w:color w:val="auto"/>
              </w:rPr>
            </w:pPr>
            <w:r>
              <w:rPr>
                <w:rFonts w:ascii="Arial" w:cs="Arial" w:eastAsia="Arial" w:hAnsi="Arial"/>
                <w:sz w:val="20"/>
                <w:szCs w:val="20"/>
                <w:color w:val="auto"/>
              </w:rPr>
              <w:t>$19,077</w:t>
            </w: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Liabilities for unrecognized tax benefits</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5,573</w:t>
            </w:r>
          </w:p>
        </w:tc>
        <w:tc>
          <w:tcPr>
            <w:tcW w:w="860" w:type="dxa"/>
            <w:vAlign w:val="bottom"/>
          </w:tcPr>
          <w:p>
            <w:pPr>
              <w:jc w:val="right"/>
              <w:spacing w:after="0"/>
              <w:rPr>
                <w:sz w:val="20"/>
                <w:szCs w:val="20"/>
                <w:color w:val="auto"/>
              </w:rPr>
            </w:pPr>
            <w:r>
              <w:rPr>
                <w:rFonts w:ascii="Arial" w:cs="Arial" w:eastAsia="Arial" w:hAnsi="Arial"/>
                <w:sz w:val="20"/>
                <w:szCs w:val="20"/>
                <w:color w:val="auto"/>
              </w:rPr>
              <w:t>5,049</w:t>
            </w: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Pension and other post-employment benefits</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1,410</w:t>
            </w:r>
          </w:p>
        </w:tc>
        <w:tc>
          <w:tcPr>
            <w:tcW w:w="860" w:type="dxa"/>
            <w:vAlign w:val="bottom"/>
          </w:tcPr>
          <w:p>
            <w:pPr>
              <w:jc w:val="right"/>
              <w:spacing w:after="0"/>
              <w:rPr>
                <w:sz w:val="20"/>
                <w:szCs w:val="20"/>
                <w:color w:val="auto"/>
              </w:rPr>
            </w:pPr>
            <w:r>
              <w:rPr>
                <w:rFonts w:ascii="Arial" w:cs="Arial" w:eastAsia="Arial" w:hAnsi="Arial"/>
                <w:sz w:val="20"/>
                <w:szCs w:val="20"/>
                <w:color w:val="auto"/>
              </w:rPr>
              <w:t>1,234</w:t>
            </w: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Income taxes payable</w:t>
            </w:r>
          </w:p>
        </w:tc>
        <w:tc>
          <w:tcPr>
            <w:tcW w:w="2220" w:type="dxa"/>
            <w:vAlign w:val="bottom"/>
          </w:tcPr>
          <w:p>
            <w:pPr>
              <w:jc w:val="right"/>
              <w:ind w:right="3"/>
              <w:spacing w:after="0"/>
              <w:rPr>
                <w:sz w:val="20"/>
                <w:szCs w:val="20"/>
                <w:color w:val="auto"/>
              </w:rPr>
            </w:pPr>
            <w:r>
              <w:rPr>
                <w:rFonts w:ascii="Arial" w:cs="Arial" w:eastAsia="Arial" w:hAnsi="Arial"/>
                <w:sz w:val="20"/>
                <w:szCs w:val="20"/>
                <w:color w:val="auto"/>
              </w:rPr>
              <w:t>364</w:t>
            </w:r>
          </w:p>
        </w:tc>
        <w:tc>
          <w:tcPr>
            <w:tcW w:w="860" w:type="dxa"/>
            <w:vAlign w:val="bottom"/>
          </w:tcPr>
          <w:p>
            <w:pPr>
              <w:jc w:val="right"/>
              <w:spacing w:after="0"/>
              <w:rPr>
                <w:sz w:val="20"/>
                <w:szCs w:val="20"/>
                <w:color w:val="auto"/>
              </w:rPr>
            </w:pPr>
            <w:r>
              <w:rPr>
                <w:rFonts w:ascii="Arial" w:cs="Arial" w:eastAsia="Arial" w:hAnsi="Arial"/>
                <w:sz w:val="20"/>
                <w:szCs w:val="20"/>
                <w:color w:val="auto"/>
              </w:rPr>
              <w:t>1,261</w:t>
            </w:r>
          </w:p>
        </w:tc>
      </w:tr>
      <w:tr>
        <w:trPr>
          <w:trHeight w:val="282"/>
        </w:trPr>
        <w:tc>
          <w:tcPr>
            <w:tcW w:w="6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w:t>
            </w:r>
          </w:p>
        </w:tc>
        <w:tc>
          <w:tcPr>
            <w:tcW w:w="22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3,303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3,508</w:t>
            </w:r>
          </w:p>
        </w:tc>
      </w:tr>
      <w:tr>
        <w:trPr>
          <w:trHeight w:val="269"/>
        </w:trPr>
        <w:tc>
          <w:tcPr>
            <w:tcW w:w="6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 long-term liabilities</w:t>
            </w:r>
          </w:p>
        </w:tc>
        <w:tc>
          <w:tcPr>
            <w:tcW w:w="22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$32,569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$30,129</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4 Earnings Per Share</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63" w:lineRule="exact"/>
        <w:rPr>
          <w:sz w:val="20"/>
          <w:szCs w:val="20"/>
          <w:color w:val="auto"/>
        </w:rPr>
      </w:pPr>
    </w:p>
    <w:p>
      <w:pPr>
        <w:ind w:firstLine="359"/>
        <w:spacing w:after="0" w:line="259" w:lineRule="auto"/>
        <w:rPr>
          <w:sz w:val="20"/>
          <w:szCs w:val="20"/>
          <w:color w:val="auto"/>
        </w:rPr>
      </w:pPr>
      <w:r>
        <w:rPr>
          <w:rFonts w:ascii="Arial" w:cs="Arial" w:eastAsia="Arial" w:hAnsi="Arial"/>
          <w:sz w:val="20"/>
          <w:szCs w:val="20"/>
          <w:color w:val="auto"/>
        </w:rPr>
        <w:t>AbbVie grants certain restricted stock units (RSUs) that are considered to be participating securities. Due to the presence of participating securities, AbbVie calculates earnings per share (EPS) using the more dilutive of the treasury stock or the two-class method. For all periods presented, the two-class method was more dilutive.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the impact of the two-class method: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jc w:val="right"/>
              <w:ind w:right="62"/>
              <w:spacing w:after="0"/>
              <w:rPr>
                <w:sz w:val="20"/>
                <w:szCs w:val="20"/>
                <w:color w:val="auto"/>
              </w:rPr>
            </w:pPr>
            <w:r>
              <w:rPr>
                <w:rFonts w:ascii="Arial" w:cs="Arial" w:eastAsia="Arial" w:hAnsi="Arial"/>
                <w:sz w:val="16"/>
                <w:szCs w:val="16"/>
                <w:b w:val="1"/>
                <w:bCs w:val="1"/>
                <w:color w:val="auto"/>
                <w:w w:val="99"/>
              </w:rPr>
              <w:t>Years ended December 31,</w:t>
            </w:r>
          </w:p>
        </w:tc>
      </w:tr>
      <w:tr>
        <w:trPr>
          <w:trHeight w:val="22"/>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8"/>
        </w:trPr>
        <w:tc>
          <w:tcPr>
            <w:tcW w:w="6660" w:type="dxa"/>
            <w:vAlign w:val="bottom"/>
          </w:tcPr>
          <w:p>
            <w:pPr>
              <w:spacing w:after="0"/>
              <w:rPr>
                <w:sz w:val="20"/>
                <w:szCs w:val="20"/>
                <w:color w:val="auto"/>
              </w:rPr>
            </w:pPr>
            <w:r>
              <w:rPr>
                <w:rFonts w:ascii="Arial" w:cs="Arial" w:eastAsia="Arial" w:hAnsi="Arial"/>
                <w:sz w:val="16"/>
                <w:szCs w:val="16"/>
                <w:b w:val="1"/>
                <w:bCs w:val="1"/>
                <w:color w:val="auto"/>
              </w:rPr>
              <w:t>(in millions, except per share data)</w:t>
            </w:r>
          </w:p>
        </w:tc>
        <w:tc>
          <w:tcPr>
            <w:tcW w:w="240" w:type="dxa"/>
            <w:vAlign w:val="bottom"/>
          </w:tcPr>
          <w:p>
            <w:pPr>
              <w:spacing w:after="0"/>
              <w:rPr>
                <w:sz w:val="18"/>
                <w:szCs w:val="18"/>
                <w:color w:val="auto"/>
              </w:rPr>
            </w:pPr>
          </w:p>
        </w:tc>
        <w:tc>
          <w:tcPr>
            <w:tcW w:w="620" w:type="dxa"/>
            <w:vAlign w:val="bottom"/>
          </w:tcPr>
          <w:p>
            <w:pPr>
              <w:jc w:val="right"/>
              <w:ind w:right="163"/>
              <w:spacing w:after="0"/>
              <w:rPr>
                <w:sz w:val="20"/>
                <w:szCs w:val="20"/>
                <w:color w:val="auto"/>
              </w:rPr>
            </w:pPr>
            <w:r>
              <w:rPr>
                <w:rFonts w:ascii="Arial" w:cs="Arial" w:eastAsia="Arial" w:hAnsi="Arial"/>
                <w:sz w:val="16"/>
                <w:szCs w:val="16"/>
                <w:b w:val="1"/>
                <w:bCs w:val="1"/>
                <w:color w:val="auto"/>
                <w:w w:val="95"/>
              </w:rPr>
              <w:t>2025</w:t>
            </w:r>
          </w:p>
        </w:tc>
        <w:tc>
          <w:tcPr>
            <w:tcW w:w="220" w:type="dxa"/>
            <w:vAlign w:val="bottom"/>
          </w:tcPr>
          <w:p>
            <w:pPr>
              <w:spacing w:after="0"/>
              <w:rPr>
                <w:sz w:val="18"/>
                <w:szCs w:val="18"/>
                <w:color w:val="auto"/>
              </w:rPr>
            </w:pPr>
          </w:p>
        </w:tc>
        <w:tc>
          <w:tcPr>
            <w:tcW w:w="620" w:type="dxa"/>
            <w:vAlign w:val="bottom"/>
          </w:tcPr>
          <w:p>
            <w:pPr>
              <w:jc w:val="right"/>
              <w:ind w:right="142"/>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w w:val="95"/>
              </w:rPr>
              <w:t>2023</w:t>
            </w:r>
          </w:p>
        </w:tc>
      </w:tr>
      <w:tr>
        <w:trPr>
          <w:trHeight w:val="22"/>
        </w:trPr>
        <w:tc>
          <w:tcPr>
            <w:tcW w:w="6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60"/>
        </w:trPr>
        <w:tc>
          <w:tcPr>
            <w:tcW w:w="6660" w:type="dxa"/>
            <w:vAlign w:val="bottom"/>
          </w:tcPr>
          <w:p>
            <w:pPr>
              <w:spacing w:after="0"/>
              <w:rPr>
                <w:sz w:val="20"/>
                <w:szCs w:val="20"/>
                <w:color w:val="auto"/>
              </w:rPr>
            </w:pPr>
            <w:r>
              <w:rPr>
                <w:rFonts w:ascii="Arial" w:cs="Arial" w:eastAsia="Arial" w:hAnsi="Arial"/>
                <w:sz w:val="20"/>
                <w:szCs w:val="20"/>
                <w:b w:val="1"/>
                <w:bCs w:val="1"/>
                <w:color w:val="auto"/>
              </w:rPr>
              <w:t>Basic EPS</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83"/>
        </w:trPr>
        <w:tc>
          <w:tcPr>
            <w:tcW w:w="6660" w:type="dxa"/>
            <w:vAlign w:val="bottom"/>
          </w:tcPr>
          <w:p>
            <w:pPr>
              <w:spacing w:after="0"/>
              <w:rPr>
                <w:sz w:val="20"/>
                <w:szCs w:val="20"/>
                <w:color w:val="auto"/>
              </w:rPr>
            </w:pPr>
            <w:r>
              <w:rPr>
                <w:rFonts w:ascii="Arial" w:cs="Arial" w:eastAsia="Arial" w:hAnsi="Arial"/>
                <w:sz w:val="20"/>
                <w:szCs w:val="20"/>
                <w:color w:val="auto"/>
              </w:rPr>
              <w:t>Net earnings attributable to AbbVie Inc.</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23"/>
              <w:spacing w:after="0"/>
              <w:rPr>
                <w:sz w:val="20"/>
                <w:szCs w:val="20"/>
                <w:color w:val="auto"/>
              </w:rPr>
            </w:pPr>
            <w:r>
              <w:rPr>
                <w:rFonts w:ascii="Arial" w:cs="Arial" w:eastAsia="Arial" w:hAnsi="Arial"/>
                <w:sz w:val="20"/>
                <w:szCs w:val="20"/>
                <w:color w:val="auto"/>
                <w:w w:val="95"/>
              </w:rPr>
              <w:t>4,226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22"/>
              <w:spacing w:after="0"/>
              <w:rPr>
                <w:sz w:val="20"/>
                <w:szCs w:val="20"/>
                <w:color w:val="auto"/>
              </w:rPr>
            </w:pPr>
            <w:r>
              <w:rPr>
                <w:rFonts w:ascii="Arial" w:cs="Arial" w:eastAsia="Arial" w:hAnsi="Arial"/>
                <w:sz w:val="20"/>
                <w:szCs w:val="20"/>
                <w:color w:val="auto"/>
                <w:w w:val="95"/>
              </w:rPr>
              <w:t>4,278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w w:val="95"/>
              </w:rPr>
              <w:t>4,863</w:t>
            </w:r>
          </w:p>
        </w:tc>
      </w:tr>
      <w:tr>
        <w:trPr>
          <w:trHeight w:val="282"/>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Earnings allocated to participating securities</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40</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40</w:t>
            </w: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r>
      <w:tr>
        <w:trPr>
          <w:trHeight w:val="269"/>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Earnings available to common shareholders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w w:val="95"/>
              </w:rPr>
              <w:t>4,186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95"/>
              </w:rPr>
              <w:t>4,238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4,820</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59"/>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Weighted average basic shares of common stock outstanding</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w w:val="95"/>
              </w:rPr>
              <w:t>1,769</w:t>
            </w: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95"/>
              </w:rPr>
              <w:t>1,769</w:t>
            </w:r>
          </w:p>
        </w:tc>
        <w:tc>
          <w:tcPr>
            <w:tcW w:w="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1,768</w:t>
            </w:r>
          </w:p>
        </w:tc>
      </w:tr>
      <w:tr>
        <w:trPr>
          <w:trHeight w:val="269"/>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Basic earnings per share attributable to AbbVie Inc.</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2.37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52"/>
        </w:trPr>
        <w:tc>
          <w:tcPr>
            <w:tcW w:w="6660" w:type="dxa"/>
            <w:vAlign w:val="bottom"/>
          </w:tcPr>
          <w:p>
            <w:pPr>
              <w:spacing w:after="0"/>
              <w:rPr>
                <w:sz w:val="20"/>
                <w:szCs w:val="20"/>
                <w:color w:val="auto"/>
              </w:rPr>
            </w:pPr>
            <w:r>
              <w:rPr>
                <w:rFonts w:ascii="Arial" w:cs="Arial" w:eastAsia="Arial" w:hAnsi="Arial"/>
                <w:sz w:val="20"/>
                <w:szCs w:val="20"/>
                <w:b w:val="1"/>
                <w:bCs w:val="1"/>
                <w:color w:val="auto"/>
              </w:rPr>
              <w:t>Diluted EPS</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83"/>
        </w:trPr>
        <w:tc>
          <w:tcPr>
            <w:tcW w:w="6660" w:type="dxa"/>
            <w:vAlign w:val="bottom"/>
          </w:tcPr>
          <w:p>
            <w:pPr>
              <w:spacing w:after="0"/>
              <w:rPr>
                <w:sz w:val="20"/>
                <w:szCs w:val="20"/>
                <w:color w:val="auto"/>
              </w:rPr>
            </w:pPr>
            <w:r>
              <w:rPr>
                <w:rFonts w:ascii="Arial" w:cs="Arial" w:eastAsia="Arial" w:hAnsi="Arial"/>
                <w:sz w:val="20"/>
                <w:szCs w:val="20"/>
                <w:color w:val="auto"/>
              </w:rPr>
              <w:t>Net earnings attributable to AbbVie Inc.</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23"/>
              <w:spacing w:after="0"/>
              <w:rPr>
                <w:sz w:val="20"/>
                <w:szCs w:val="20"/>
                <w:color w:val="auto"/>
              </w:rPr>
            </w:pPr>
            <w:r>
              <w:rPr>
                <w:rFonts w:ascii="Arial" w:cs="Arial" w:eastAsia="Arial" w:hAnsi="Arial"/>
                <w:sz w:val="20"/>
                <w:szCs w:val="20"/>
                <w:color w:val="auto"/>
                <w:w w:val="95"/>
              </w:rPr>
              <w:t>4,226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22"/>
              <w:spacing w:after="0"/>
              <w:rPr>
                <w:sz w:val="20"/>
                <w:szCs w:val="20"/>
                <w:color w:val="auto"/>
              </w:rPr>
            </w:pPr>
            <w:r>
              <w:rPr>
                <w:rFonts w:ascii="Arial" w:cs="Arial" w:eastAsia="Arial" w:hAnsi="Arial"/>
                <w:sz w:val="20"/>
                <w:szCs w:val="20"/>
                <w:color w:val="auto"/>
                <w:w w:val="95"/>
              </w:rPr>
              <w:t>4,278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w w:val="95"/>
              </w:rPr>
              <w:t>4,863</w:t>
            </w:r>
          </w:p>
        </w:tc>
      </w:tr>
      <w:tr>
        <w:trPr>
          <w:trHeight w:val="282"/>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Earnings allocated to participating securities</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40</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40</w:t>
            </w: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r>
      <w:tr>
        <w:trPr>
          <w:trHeight w:val="269"/>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Earnings available to common shareholders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w w:val="95"/>
              </w:rPr>
              <w:t>4,186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95"/>
              </w:rPr>
              <w:t>4,238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4,820</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56"/>
        </w:trPr>
        <w:tc>
          <w:tcPr>
            <w:tcW w:w="6660" w:type="dxa"/>
            <w:vAlign w:val="bottom"/>
          </w:tcPr>
          <w:p>
            <w:pPr>
              <w:spacing w:after="0"/>
              <w:rPr>
                <w:sz w:val="20"/>
                <w:szCs w:val="20"/>
                <w:color w:val="auto"/>
              </w:rPr>
            </w:pPr>
            <w:r>
              <w:rPr>
                <w:rFonts w:ascii="Arial" w:cs="Arial" w:eastAsia="Arial" w:hAnsi="Arial"/>
                <w:sz w:val="20"/>
                <w:szCs w:val="20"/>
                <w:color w:val="auto"/>
              </w:rPr>
              <w:t>Weighted average shares of common stock outstanding</w:t>
            </w:r>
          </w:p>
        </w:tc>
        <w:tc>
          <w:tcPr>
            <w:tcW w:w="240" w:type="dxa"/>
            <w:vAlign w:val="bottom"/>
          </w:tcPr>
          <w:p>
            <w:pPr>
              <w:spacing w:after="0"/>
              <w:rPr>
                <w:sz w:val="22"/>
                <w:szCs w:val="22"/>
                <w:color w:val="auto"/>
              </w:rPr>
            </w:pPr>
          </w:p>
        </w:tc>
        <w:tc>
          <w:tcPr>
            <w:tcW w:w="620" w:type="dxa"/>
            <w:vAlign w:val="bottom"/>
          </w:tcPr>
          <w:p>
            <w:pPr>
              <w:jc w:val="right"/>
              <w:ind w:right="23"/>
              <w:spacing w:after="0"/>
              <w:rPr>
                <w:sz w:val="20"/>
                <w:szCs w:val="20"/>
                <w:color w:val="auto"/>
              </w:rPr>
            </w:pPr>
            <w:r>
              <w:rPr>
                <w:rFonts w:ascii="Arial" w:cs="Arial" w:eastAsia="Arial" w:hAnsi="Arial"/>
                <w:sz w:val="20"/>
                <w:szCs w:val="20"/>
                <w:color w:val="auto"/>
                <w:w w:val="95"/>
              </w:rPr>
              <w:t>1,769</w:t>
            </w:r>
          </w:p>
        </w:tc>
        <w:tc>
          <w:tcPr>
            <w:tcW w:w="220" w:type="dxa"/>
            <w:vAlign w:val="bottom"/>
          </w:tcPr>
          <w:p>
            <w:pPr>
              <w:spacing w:after="0"/>
              <w:rPr>
                <w:sz w:val="22"/>
                <w:szCs w:val="22"/>
                <w:color w:val="auto"/>
              </w:rPr>
            </w:pPr>
          </w:p>
        </w:tc>
        <w:tc>
          <w:tcPr>
            <w:tcW w:w="620" w:type="dxa"/>
            <w:vAlign w:val="bottom"/>
          </w:tcPr>
          <w:p>
            <w:pPr>
              <w:jc w:val="right"/>
              <w:ind w:right="22"/>
              <w:spacing w:after="0"/>
              <w:rPr>
                <w:sz w:val="20"/>
                <w:szCs w:val="20"/>
                <w:color w:val="auto"/>
              </w:rPr>
            </w:pPr>
            <w:r>
              <w:rPr>
                <w:rFonts w:ascii="Arial" w:cs="Arial" w:eastAsia="Arial" w:hAnsi="Arial"/>
                <w:sz w:val="20"/>
                <w:szCs w:val="20"/>
                <w:color w:val="auto"/>
                <w:w w:val="95"/>
              </w:rPr>
              <w:t>1,769</w:t>
            </w:r>
          </w:p>
        </w:tc>
        <w:tc>
          <w:tcPr>
            <w:tcW w:w="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w w:val="95"/>
              </w:rPr>
              <w:t>1,768</w:t>
            </w:r>
          </w:p>
        </w:tc>
      </w:tr>
      <w:tr>
        <w:trPr>
          <w:trHeight w:val="282"/>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Effect of dilutive securities</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4</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w:t>
            </w: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r>
      <w:tr>
        <w:trPr>
          <w:trHeight w:val="269"/>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Weighted average diluted shares of common stock outstanding</w:t>
            </w: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w w:val="95"/>
              </w:rPr>
              <w:t>1,773</w:t>
            </w: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95"/>
              </w:rPr>
              <w:t>1,773</w:t>
            </w:r>
          </w:p>
        </w:tc>
        <w:tc>
          <w:tcPr>
            <w:tcW w:w="2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1,773</w:t>
            </w:r>
          </w:p>
        </w:tc>
      </w:tr>
      <w:tr>
        <w:trPr>
          <w:trHeight w:val="269"/>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Diluted earnings per share attributable to AbbVie Inc.</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2.36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20"/>
          <w:szCs w:val="20"/>
          <w:color w:val="auto"/>
        </w:rPr>
        <w:t>Certain shares issuable under stock-based compensation plans were excluded from the computation of EPS because the effect would have been antidilutive. The number of common shares excluded was insignificant for all periods presented.</w:t>
      </w:r>
    </w:p>
    <w:p>
      <w:pPr>
        <w:sectPr>
          <w:pgSz w:w="11880" w:h="15480" w:orient="portrait"/>
          <w:cols w:equalWidth="0" w:num="1">
            <w:col w:w="9100"/>
          </w:cols>
          <w:pgMar w:left="1400" w:top="1028" w:right="1380" w:bottom="75"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68  </w:t>
      </w:r>
      <w:r>
        <w:rPr>
          <w:sz w:val="1"/>
          <w:szCs w:val="1"/>
          <w:color w:val="auto"/>
        </w:rPr>
        <w:drawing>
          <wp:inline distT="0" distB="0" distL="0" distR="0">
            <wp:extent cx="615950" cy="12827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8" w:right="1380" w:bottom="75" w:gutter="0" w:footer="0" w:header="0"/>
          <w:type w:val="continuous"/>
        </w:sectPr>
      </w:pPr>
    </w:p>
    <w:bookmarkStart w:id="74" w:name="page75"/>
    <w:bookmarkEnd w:id="74"/>
    <w:p>
      <w:pPr>
        <w:spacing w:after="0"/>
        <w:rPr>
          <w:sz w:val="20"/>
          <w:szCs w:val="20"/>
          <w:color w:val="auto"/>
        </w:rPr>
      </w:pPr>
      <w:r>
        <w:rPr>
          <w:rFonts w:ascii="Arial" w:cs="Arial" w:eastAsia="Arial" w:hAnsi="Arial"/>
          <w:sz w:val="22"/>
          <w:szCs w:val="22"/>
          <w:b w:val="1"/>
          <w:bCs w:val="1"/>
          <w:color w:val="000039"/>
        </w:rPr>
        <w:t>Note 5 Licensing, Acquisitions and Other Arrangements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Acquisition of Nimble Therapeutics, Inc.</w:t>
      </w:r>
    </w:p>
    <w:p>
      <w:pPr>
        <w:spacing w:after="0" w:line="131" w:lineRule="exact"/>
        <w:rPr>
          <w:sz w:val="20"/>
          <w:szCs w:val="20"/>
          <w:color w:val="auto"/>
        </w:rPr>
      </w:pPr>
    </w:p>
    <w:p>
      <w:pPr>
        <w:ind w:firstLine="359"/>
        <w:spacing w:after="0" w:line="261" w:lineRule="auto"/>
        <w:rPr>
          <w:sz w:val="20"/>
          <w:szCs w:val="20"/>
          <w:color w:val="auto"/>
        </w:rPr>
      </w:pPr>
      <w:r>
        <w:rPr>
          <w:rFonts w:ascii="Arial" w:cs="Arial" w:eastAsia="Arial" w:hAnsi="Arial"/>
          <w:sz w:val="20"/>
          <w:szCs w:val="20"/>
          <w:color w:val="auto"/>
        </w:rPr>
        <w:t>On January 23, 2025, AbbVie completed its acquisition of Nimble Therapeutics, Inc. (Nimble). Nimble is a biotechnology company dedicated to delivering on the promise of oral peptide therapeutics and its lead asset, an investigational oral peptide IL23R inhibitor in development for the treatment of psoriasis. The aggregate purchase price of $288 million was comprised of a $210 million upfront cash payment and $78 million for the acquisition date fair value of contingent consideration liabilities, for which AbbVie may owe up to $130 million in future payments upon achievement of certain development milestones. The transaction was accounted for as a business combination using the acquisition method of accounting. The acquisition method requires, among other things, that assets acquired and liabilities assumed in a business combination be recognized at their fair values as of the acquisition date. As of the acquisition date, AbbVie acquired $118 million of intangible assets and the acquisition resulted in the recognition of $170 million of goodwill. Goodwill was calculated as the excess of the consideration transferred over the fair value of net assets recognized and represents the future economic benefits arising from other assets acquired that could not be individually identified and separately recognized, including expected synergies related to enhancement of AbbVie’s existing immunology discovery capabilities and development efforts. The goodwill is not deductible for tax purposes. Other assets acquired and liabilities assumed were insignificant.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Acquisition of Cerevel Therapeutics Holdings, Inc.</w:t>
      </w:r>
    </w:p>
    <w:p>
      <w:pPr>
        <w:spacing w:after="0" w:line="131" w:lineRule="exact"/>
        <w:rPr>
          <w:sz w:val="20"/>
          <w:szCs w:val="20"/>
          <w:color w:val="auto"/>
        </w:rPr>
      </w:pPr>
    </w:p>
    <w:p>
      <w:pPr>
        <w:ind w:right="20" w:firstLine="359"/>
        <w:spacing w:after="0" w:line="263" w:lineRule="auto"/>
        <w:rPr>
          <w:sz w:val="20"/>
          <w:szCs w:val="20"/>
          <w:color w:val="auto"/>
        </w:rPr>
      </w:pPr>
      <w:r>
        <w:rPr>
          <w:rFonts w:ascii="Arial" w:cs="Arial" w:eastAsia="Arial" w:hAnsi="Arial"/>
          <w:sz w:val="20"/>
          <w:szCs w:val="20"/>
          <w:color w:val="auto"/>
        </w:rPr>
        <w:t>On August 1, 2024, AbbVie completed its acquisition of Cerevel Therapeutics Holdings, Inc. (Cerevel Therapeutics). Cerevel Therapeutics is a clinical-stage biotechnology company focused on the discovery and development of differentiated therapies for neuroscience diseases. Cerevel Therapeutics neuroscience pipeline included multiple clinical-stage and preclinical candidates with the potential to treat several diseases including schizophrenia, Parkinson’s disease and mood disorders. Under the terms of the agreement, AbbVie acquired all outstanding shares of Cerevel Therapeutics for $45.00 per share in cash. The total fair value of the consideration transferred to owners of Cerevel Therapeutics common stock was $8.7 billion ($8.3 billion, net of cash acquired).</w:t>
      </w:r>
    </w:p>
    <w:p>
      <w:pPr>
        <w:spacing w:after="0" w:line="133" w:lineRule="exact"/>
        <w:rPr>
          <w:sz w:val="20"/>
          <w:szCs w:val="20"/>
          <w:color w:val="auto"/>
        </w:rPr>
      </w:pPr>
    </w:p>
    <w:p>
      <w:pPr>
        <w:ind w:right="140" w:firstLine="359"/>
        <w:spacing w:after="0" w:line="265" w:lineRule="auto"/>
        <w:rPr>
          <w:sz w:val="20"/>
          <w:szCs w:val="20"/>
          <w:color w:val="auto"/>
        </w:rPr>
      </w:pPr>
      <w:r>
        <w:rPr>
          <w:rFonts w:ascii="Arial" w:cs="Arial" w:eastAsia="Arial" w:hAnsi="Arial"/>
          <w:sz w:val="20"/>
          <w:szCs w:val="20"/>
          <w:color w:val="auto"/>
        </w:rPr>
        <w:t>The acquisition of Cerevel Therapeutics was accounted for as a business combination using the acquisition method of accounting. The acquisition method requires, among other things, that assets acquired and liabilities assumed in a business combination be recognized at their fair values as of the acquisition date. The valuation of assets acquired and liabilities assumed was finalized during the three months ended March 31, 2025.</w:t>
      </w:r>
    </w:p>
    <w:p>
      <w:pPr>
        <w:sectPr>
          <w:pgSz w:w="11880" w:h="15480" w:orient="portrait"/>
          <w:cols w:equalWidth="0" w:num="1">
            <w:col w:w="9100"/>
          </w:cols>
          <w:pgMar w:left="1400" w:top="979"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69</w:t>
      </w:r>
    </w:p>
    <w:p>
      <w:pPr>
        <w:sectPr>
          <w:pgSz w:w="11880" w:h="15480" w:orient="portrait"/>
          <w:cols w:equalWidth="0" w:num="1">
            <w:col w:w="9100"/>
          </w:cols>
          <w:pgMar w:left="1400" w:top="979" w:right="1380" w:bottom="87" w:gutter="0" w:footer="0" w:header="0"/>
          <w:type w:val="continuous"/>
        </w:sectPr>
      </w:pPr>
    </w:p>
    <w:bookmarkStart w:id="75" w:name="page76"/>
    <w:bookmarkEnd w:id="75"/>
    <w:p>
      <w:pPr>
        <w:ind w:right="160" w:firstLine="359"/>
        <w:spacing w:after="0" w:line="262" w:lineRule="auto"/>
        <w:rPr>
          <w:sz w:val="20"/>
          <w:szCs w:val="20"/>
          <w:color w:val="auto"/>
        </w:rPr>
      </w:pPr>
      <w:r>
        <w:rPr>
          <w:rFonts w:ascii="Arial" w:cs="Arial" w:eastAsia="Arial" w:hAnsi="Arial"/>
          <w:sz w:val="20"/>
          <w:szCs w:val="20"/>
          <w:color w:val="auto"/>
        </w:rPr>
        <w:t>The following table summarizes the final fair value of assets acquired and liabilities assumed as of the acquisition date: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577786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454.5pt,1.95pt" o:allowincell="f" strokecolor="#000000" strokeweight="0.499pt"/>
            </w:pict>
          </mc:Fallback>
        </mc:AlternateConten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180" w:type="dxa"/>
            <w:vAlign w:val="bottom"/>
          </w:tcPr>
          <w:p>
            <w:pPr>
              <w:spacing w:after="0"/>
              <w:rPr>
                <w:sz w:val="20"/>
                <w:szCs w:val="20"/>
                <w:color w:val="auto"/>
              </w:rPr>
            </w:pPr>
            <w:r>
              <w:rPr>
                <w:rFonts w:ascii="Arial" w:cs="Arial" w:eastAsia="Arial" w:hAnsi="Arial"/>
                <w:sz w:val="20"/>
                <w:szCs w:val="20"/>
                <w:b w:val="1"/>
                <w:bCs w:val="1"/>
                <w:color w:val="auto"/>
              </w:rPr>
              <w:t>Assets acquired and liabilities assumed</w:t>
            </w:r>
          </w:p>
        </w:tc>
        <w:tc>
          <w:tcPr>
            <w:tcW w:w="2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6180" w:type="dxa"/>
            <w:vAlign w:val="bottom"/>
          </w:tcPr>
          <w:p>
            <w:pPr>
              <w:spacing w:after="0"/>
              <w:rPr>
                <w:sz w:val="20"/>
                <w:szCs w:val="20"/>
                <w:color w:val="auto"/>
              </w:rPr>
            </w:pPr>
            <w:r>
              <w:rPr>
                <w:rFonts w:ascii="Arial" w:cs="Arial" w:eastAsia="Arial" w:hAnsi="Arial"/>
                <w:sz w:val="20"/>
                <w:szCs w:val="20"/>
                <w:color w:val="auto"/>
              </w:rPr>
              <w:t>Cash and equivalents</w:t>
            </w:r>
          </w:p>
        </w:tc>
        <w:tc>
          <w:tcPr>
            <w:tcW w:w="234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361</w:t>
            </w:r>
          </w:p>
        </w:tc>
        <w:tc>
          <w:tcPr>
            <w:tcW w:w="60" w:type="dxa"/>
            <w:vAlign w:val="bottom"/>
          </w:tcPr>
          <w:p>
            <w:pPr>
              <w:spacing w:after="0"/>
              <w:rPr>
                <w:sz w:val="24"/>
                <w:szCs w:val="24"/>
                <w:color w:val="auto"/>
              </w:rPr>
            </w:pP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Short-term investments</w:t>
            </w:r>
          </w:p>
        </w:tc>
        <w:tc>
          <w:tcPr>
            <w:tcW w:w="2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382</w:t>
            </w:r>
          </w:p>
        </w:tc>
        <w:tc>
          <w:tcPr>
            <w:tcW w:w="60" w:type="dxa"/>
            <w:vAlign w:val="bottom"/>
          </w:tcPr>
          <w:p>
            <w:pPr>
              <w:spacing w:after="0"/>
              <w:rPr>
                <w:sz w:val="24"/>
                <w:szCs w:val="24"/>
                <w:color w:val="auto"/>
              </w:rPr>
            </w:pP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2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4"/>
                <w:szCs w:val="24"/>
                <w:color w:val="auto"/>
              </w:rPr>
            </w:pP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24"/>
                <w:szCs w:val="24"/>
                <w:color w:val="auto"/>
              </w:rPr>
            </w:pP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Investments</w:t>
            </w:r>
          </w:p>
        </w:tc>
        <w:tc>
          <w:tcPr>
            <w:tcW w:w="2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121</w:t>
            </w:r>
          </w:p>
        </w:tc>
        <w:tc>
          <w:tcPr>
            <w:tcW w:w="60" w:type="dxa"/>
            <w:vAlign w:val="bottom"/>
          </w:tcPr>
          <w:p>
            <w:pPr>
              <w:spacing w:after="0"/>
              <w:rPr>
                <w:sz w:val="24"/>
                <w:szCs w:val="24"/>
                <w:color w:val="auto"/>
              </w:rPr>
            </w:pP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Intangible assets, net</w:t>
            </w:r>
          </w:p>
        </w:tc>
        <w:tc>
          <w:tcPr>
            <w:tcW w:w="2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8,100</w:t>
            </w:r>
          </w:p>
        </w:tc>
        <w:tc>
          <w:tcPr>
            <w:tcW w:w="60" w:type="dxa"/>
            <w:vAlign w:val="bottom"/>
          </w:tcPr>
          <w:p>
            <w:pPr>
              <w:spacing w:after="0"/>
              <w:rPr>
                <w:sz w:val="24"/>
                <w:szCs w:val="24"/>
                <w:color w:val="auto"/>
              </w:rPr>
            </w:pP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Other noncurrent assets</w:t>
            </w:r>
          </w:p>
        </w:tc>
        <w:tc>
          <w:tcPr>
            <w:tcW w:w="2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31</w:t>
            </w:r>
          </w:p>
        </w:tc>
        <w:tc>
          <w:tcPr>
            <w:tcW w:w="60" w:type="dxa"/>
            <w:vAlign w:val="bottom"/>
          </w:tcPr>
          <w:p>
            <w:pPr>
              <w:spacing w:after="0"/>
              <w:rPr>
                <w:sz w:val="24"/>
                <w:szCs w:val="24"/>
                <w:color w:val="auto"/>
              </w:rPr>
            </w:pP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Current portion of long-term debt</w:t>
            </w:r>
          </w:p>
        </w:tc>
        <w:tc>
          <w:tcPr>
            <w:tcW w:w="2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(400)</w:t>
            </w: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Accounts payable and accrued liabilities</w:t>
            </w:r>
          </w:p>
        </w:tc>
        <w:tc>
          <w:tcPr>
            <w:tcW w:w="2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(100)</w:t>
            </w: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Long-term debt</w:t>
            </w:r>
          </w:p>
        </w:tc>
        <w:tc>
          <w:tcPr>
            <w:tcW w:w="2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(246)</w:t>
            </w:r>
          </w:p>
        </w:tc>
      </w:tr>
      <w:tr>
        <w:trPr>
          <w:trHeight w:val="279"/>
        </w:trPr>
        <w:tc>
          <w:tcPr>
            <w:tcW w:w="6180" w:type="dxa"/>
            <w:vAlign w:val="bottom"/>
          </w:tcPr>
          <w:p>
            <w:pPr>
              <w:spacing w:after="0"/>
              <w:rPr>
                <w:sz w:val="20"/>
                <w:szCs w:val="20"/>
                <w:color w:val="auto"/>
              </w:rPr>
            </w:pPr>
            <w:r>
              <w:rPr>
                <w:rFonts w:ascii="Arial" w:cs="Arial" w:eastAsia="Arial" w:hAnsi="Arial"/>
                <w:sz w:val="20"/>
                <w:szCs w:val="20"/>
                <w:color w:val="auto"/>
              </w:rPr>
              <w:t>Deferred income taxes</w:t>
            </w:r>
          </w:p>
        </w:tc>
        <w:tc>
          <w:tcPr>
            <w:tcW w:w="2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w w:val="97"/>
              </w:rPr>
              <w:t>(1,292)</w:t>
            </w:r>
          </w:p>
        </w:tc>
      </w:tr>
      <w:tr>
        <w:trPr>
          <w:trHeight w:val="282"/>
        </w:trPr>
        <w:tc>
          <w:tcPr>
            <w:tcW w:w="6180" w:type="dxa"/>
            <w:vAlign w:val="bottom"/>
          </w:tcPr>
          <w:p>
            <w:pPr>
              <w:spacing w:after="0"/>
              <w:rPr>
                <w:sz w:val="20"/>
                <w:szCs w:val="20"/>
                <w:color w:val="auto"/>
              </w:rPr>
            </w:pPr>
            <w:r>
              <w:rPr>
                <w:rFonts w:ascii="Arial" w:cs="Arial" w:eastAsia="Arial" w:hAnsi="Arial"/>
                <w:sz w:val="20"/>
                <w:szCs w:val="20"/>
                <w:color w:val="auto"/>
              </w:rPr>
              <w:t>Other long-term liabilities</w:t>
            </w:r>
          </w:p>
        </w:tc>
        <w:tc>
          <w:tcPr>
            <w:tcW w:w="2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(31)</w:t>
            </w:r>
          </w:p>
        </w:tc>
      </w:tr>
      <w:tr>
        <w:trPr>
          <w:trHeight w:val="266"/>
        </w:trPr>
        <w:tc>
          <w:tcPr>
            <w:tcW w:w="61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Total identifiable net assets</w:t>
            </w:r>
          </w:p>
        </w:tc>
        <w:tc>
          <w:tcPr>
            <w:tcW w:w="23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6,960</w:t>
            </w:r>
          </w:p>
        </w:tc>
        <w:tc>
          <w:tcPr>
            <w:tcW w:w="60" w:type="dxa"/>
            <w:vAlign w:val="bottom"/>
          </w:tcPr>
          <w:p>
            <w:pPr>
              <w:spacing w:after="0"/>
              <w:rPr>
                <w:sz w:val="23"/>
                <w:szCs w:val="23"/>
                <w:color w:val="auto"/>
              </w:rPr>
            </w:pPr>
          </w:p>
        </w:tc>
      </w:tr>
      <w:tr>
        <w:trPr>
          <w:trHeight w:val="282"/>
        </w:trPr>
        <w:tc>
          <w:tcPr>
            <w:tcW w:w="6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Goodwill</w:t>
            </w:r>
          </w:p>
        </w:tc>
        <w:tc>
          <w:tcPr>
            <w:tcW w:w="2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1,702</w:t>
            </w:r>
          </w:p>
        </w:tc>
        <w:tc>
          <w:tcPr>
            <w:tcW w:w="60" w:type="dxa"/>
            <w:vAlign w:val="bottom"/>
          </w:tcPr>
          <w:p>
            <w:pPr>
              <w:spacing w:after="0"/>
              <w:rPr>
                <w:sz w:val="24"/>
                <w:szCs w:val="24"/>
                <w:color w:val="auto"/>
              </w:rPr>
            </w:pPr>
          </w:p>
        </w:tc>
      </w:tr>
      <w:tr>
        <w:trPr>
          <w:trHeight w:val="269"/>
        </w:trPr>
        <w:tc>
          <w:tcPr>
            <w:tcW w:w="6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assets acquired and liabilities assumed</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8,662</w:t>
            </w:r>
          </w:p>
        </w:tc>
        <w:tc>
          <w:tcPr>
            <w:tcW w:w="60" w:type="dxa"/>
            <w:vAlign w:val="bottom"/>
          </w:tcPr>
          <w:p>
            <w:pPr>
              <w:spacing w:after="0"/>
              <w:rPr>
                <w:sz w:val="23"/>
                <w:szCs w:val="23"/>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right="60" w:firstLine="359"/>
        <w:spacing w:after="0" w:line="247" w:lineRule="auto"/>
        <w:rPr>
          <w:sz w:val="20"/>
          <w:szCs w:val="20"/>
          <w:color w:val="auto"/>
        </w:rPr>
      </w:pPr>
      <w:r>
        <w:rPr>
          <w:rFonts w:ascii="Arial" w:cs="Arial" w:eastAsia="Arial" w:hAnsi="Arial"/>
          <w:sz w:val="20"/>
          <w:szCs w:val="20"/>
          <w:color w:val="auto"/>
        </w:rPr>
        <w:t>Intangible assets relate to $8.1 billion of acquired in-process research and development (IPR&amp;D) associated with products that have not yet received regulatory approval. The estimated fair values of identifiable intangible assets were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these asset valuations include the estimated net cash flows for each year for each asset or product, the appropriate discount rate necessary to measure the risk inherent in each future cash flow stream, the life cycle of each asset, the potential regulatory and commercial success risk, competitive trends impacting the asset and each cash flow stream, as well as other factors.</w:t>
      </w:r>
    </w:p>
    <w:p>
      <w:pPr>
        <w:spacing w:after="0" w:line="128" w:lineRule="exact"/>
        <w:rPr>
          <w:sz w:val="20"/>
          <w:szCs w:val="20"/>
          <w:color w:val="auto"/>
        </w:rPr>
      </w:pPr>
    </w:p>
    <w:p>
      <w:pPr>
        <w:ind w:right="60" w:firstLine="359"/>
        <w:spacing w:after="0" w:line="248" w:lineRule="auto"/>
        <w:rPr>
          <w:sz w:val="20"/>
          <w:szCs w:val="20"/>
          <w:color w:val="auto"/>
        </w:rPr>
      </w:pPr>
      <w:r>
        <w:rPr>
          <w:rFonts w:ascii="Arial" w:cs="Arial" w:eastAsia="Arial" w:hAnsi="Arial"/>
          <w:sz w:val="20"/>
          <w:szCs w:val="20"/>
          <w:color w:val="auto"/>
        </w:rPr>
        <w:t>The current portion of long-term debt assumed by AbbVie consists of $345 million aggregate principal of 2.5% convertible senior notes due 2027. Upon acquisition, the convertible senior notes became callable and note holders could redeem the convertible senior notes for cash at a premium. As of the acquisition date, the convertible senior notes were recognized as current portion of long-term debt on the consolidated balance sheets at an aggregate fair value of $400 million. Following the acquisition date, the company repaid the convertible senior notes and there were no amounts outstanding as of December 31, 2024.</w:t>
      </w:r>
    </w:p>
    <w:p>
      <w:pPr>
        <w:spacing w:after="0" w:line="125" w:lineRule="exact"/>
        <w:rPr>
          <w:sz w:val="20"/>
          <w:szCs w:val="20"/>
          <w:color w:val="auto"/>
        </w:rPr>
      </w:pPr>
    </w:p>
    <w:p>
      <w:pPr>
        <w:ind w:right="80" w:firstLine="359"/>
        <w:spacing w:after="0" w:line="249" w:lineRule="auto"/>
        <w:rPr>
          <w:sz w:val="20"/>
          <w:szCs w:val="20"/>
          <w:color w:val="auto"/>
        </w:rPr>
      </w:pPr>
      <w:r>
        <w:rPr>
          <w:rFonts w:ascii="Arial" w:cs="Arial" w:eastAsia="Arial" w:hAnsi="Arial"/>
          <w:sz w:val="20"/>
          <w:szCs w:val="20"/>
          <w:color w:val="auto"/>
        </w:rPr>
        <w:t>Long-term debt assumed by AbbVie relates to funding agreements entered into by Cerevel Therapeutics prior to the acquisition. Under the agreements, Cerevel Therapeutics received funding to support development of tavapadon and agreed to repay regulatory milestones, sales milestones and royalties contingent upon approval of tavapadon by the U.S. Food and Drug Administration (FDA).</w:t>
      </w:r>
    </w:p>
    <w:p>
      <w:pPr>
        <w:ind w:right="60"/>
        <w:spacing w:after="0" w:line="246" w:lineRule="auto"/>
        <w:rPr>
          <w:sz w:val="20"/>
          <w:szCs w:val="20"/>
          <w:color w:val="auto"/>
        </w:rPr>
      </w:pPr>
      <w:r>
        <w:rPr>
          <w:rFonts w:ascii="Arial" w:cs="Arial" w:eastAsia="Arial" w:hAnsi="Arial"/>
          <w:sz w:val="20"/>
          <w:szCs w:val="20"/>
          <w:color w:val="auto"/>
        </w:rPr>
        <w:t>The funding agreements were accounted for as financing arrangements and the fair value of the related financing liability was $246 million as of the acquisition date. The estimated fair value of the financing liability was determined using a probability-weighted expected payment model for regulatory milestone payments and a Monte Carlo simulation model for sales milestones and royalty payments, which are then discounted to present value. Assumptions inherent in the development of fair value include discount rates, estimated probabilities and timing of achieving milestones and estimated amounts of future sales. See Note 10 and Note 11 for additional information.</w:t>
      </w:r>
    </w:p>
    <w:p>
      <w:pPr>
        <w:spacing w:after="0" w:line="125" w:lineRule="exact"/>
        <w:rPr>
          <w:sz w:val="20"/>
          <w:szCs w:val="20"/>
          <w:color w:val="auto"/>
        </w:rPr>
      </w:pPr>
    </w:p>
    <w:p>
      <w:pPr>
        <w:ind w:right="160" w:firstLine="359"/>
        <w:spacing w:after="0" w:line="275" w:lineRule="auto"/>
        <w:rPr>
          <w:sz w:val="20"/>
          <w:szCs w:val="20"/>
          <w:color w:val="auto"/>
        </w:rPr>
      </w:pPr>
      <w:r>
        <w:rPr>
          <w:rFonts w:ascii="Arial" w:cs="Arial" w:eastAsia="Arial" w:hAnsi="Arial"/>
          <w:sz w:val="19"/>
          <w:szCs w:val="19"/>
          <w:color w:val="auto"/>
        </w:rPr>
        <w:t>Goodwill was calculated as the excess of the consideration transferred over the fair value of net assets recognized and represents the future economic benefits arising from other assets acquired that could not be individually identified and separately recognized. Specifically, the goodwill recognized</w:t>
      </w:r>
    </w:p>
    <w:p>
      <w:pPr>
        <w:sectPr>
          <w:pgSz w:w="11880" w:h="15480" w:orient="portrait"/>
          <w:cols w:equalWidth="0" w:num="1">
            <w:col w:w="9160"/>
          </w:cols>
          <w:pgMar w:left="1400" w:top="1030" w:right="1320" w:bottom="75"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  </w:t>
      </w:r>
      <w:r>
        <w:rPr>
          <w:sz w:val="1"/>
          <w:szCs w:val="1"/>
          <w:color w:val="auto"/>
        </w:rPr>
        <w:drawing>
          <wp:inline distT="0" distB="0" distL="0" distR="0">
            <wp:extent cx="615950" cy="12827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60"/>
          </w:cols>
          <w:pgMar w:left="1400" w:top="1030" w:right="1320" w:bottom="75" w:gutter="0" w:footer="0" w:header="0"/>
          <w:type w:val="continuous"/>
        </w:sectPr>
      </w:pPr>
    </w:p>
    <w:bookmarkStart w:id="76" w:name="page77"/>
    <w:bookmarkEnd w:id="76"/>
    <w:p>
      <w:pPr>
        <w:ind w:left="10"/>
        <w:spacing w:after="0"/>
        <w:rPr>
          <w:sz w:val="20"/>
          <w:szCs w:val="20"/>
          <w:color w:val="auto"/>
        </w:rPr>
      </w:pPr>
      <w:r>
        <w:rPr>
          <w:rFonts w:ascii="Arial" w:cs="Arial" w:eastAsia="Arial" w:hAnsi="Arial"/>
          <w:sz w:val="20"/>
          <w:szCs w:val="20"/>
          <w:color w:val="auto"/>
        </w:rPr>
        <w:t>from the acquisition of Cerevel Therapeutics represents expected synergies, including the ability to:</w:t>
      </w:r>
    </w:p>
    <w:p>
      <w:pPr>
        <w:spacing w:after="0" w:line="19" w:lineRule="exact"/>
        <w:rPr>
          <w:sz w:val="20"/>
          <w:szCs w:val="20"/>
          <w:color w:val="auto"/>
        </w:rPr>
      </w:pPr>
    </w:p>
    <w:p>
      <w:pPr>
        <w:ind w:left="10" w:right="160" w:hanging="10"/>
        <w:spacing w:after="0" w:line="269" w:lineRule="auto"/>
        <w:tabs>
          <w:tab w:leader="none" w:pos="246"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expand AbbVie’s neuroscience pipeline, (ii) leverage AbbVie’s commercial, regulatory and clinical expertise to maximize Cerevel Therapeutic’s assets and (iii) enhance AbbVie’s existing neuroscience discovery capabilities. The goodwill is not deductible for tax purposes.</w:t>
      </w:r>
    </w:p>
    <w:p>
      <w:pPr>
        <w:spacing w:after="0" w:line="129" w:lineRule="exact"/>
        <w:rPr>
          <w:sz w:val="20"/>
          <w:szCs w:val="20"/>
          <w:color w:val="auto"/>
        </w:rPr>
      </w:pPr>
    </w:p>
    <w:p>
      <w:pPr>
        <w:ind w:left="10" w:firstLine="359"/>
        <w:spacing w:after="0" w:line="264" w:lineRule="auto"/>
        <w:rPr>
          <w:sz w:val="20"/>
          <w:szCs w:val="20"/>
          <w:color w:val="auto"/>
        </w:rPr>
      </w:pPr>
      <w:r>
        <w:rPr>
          <w:rFonts w:ascii="Arial" w:cs="Arial" w:eastAsia="Arial" w:hAnsi="Arial"/>
          <w:sz w:val="20"/>
          <w:szCs w:val="20"/>
          <w:color w:val="auto"/>
        </w:rPr>
        <w:t>AbbVie also assumed a licensing agreement entered into by Cerevel Therapeutics with Pfizer Inc. (Pfizer) prior to the acquisition. Under the agreement, Cerevel Therapeutics was granted an exclusive global license under certain Pfizer patent rights to develop, manufacture and commercialize compounds included in Cerevel Therapeutic’s pipeline. AbbVie could make additional payments of up to $1.6 billion upon achievement of certain regulatory and commercial milestones for all programs. Additionally, AbbVie will pay tiered royalties on net revenues.</w:t>
      </w:r>
    </w:p>
    <w:p>
      <w:pPr>
        <w:spacing w:after="0" w:line="132" w:lineRule="exact"/>
        <w:rPr>
          <w:sz w:val="20"/>
          <w:szCs w:val="20"/>
          <w:color w:val="auto"/>
        </w:rPr>
      </w:pPr>
    </w:p>
    <w:p>
      <w:pPr>
        <w:ind w:left="10" w:firstLine="359"/>
        <w:spacing w:after="0" w:line="262" w:lineRule="auto"/>
        <w:rPr>
          <w:sz w:val="20"/>
          <w:szCs w:val="20"/>
          <w:color w:val="auto"/>
        </w:rPr>
      </w:pPr>
      <w:r>
        <w:rPr>
          <w:rFonts w:ascii="Arial" w:cs="Arial" w:eastAsia="Arial" w:hAnsi="Arial"/>
          <w:sz w:val="20"/>
          <w:szCs w:val="20"/>
          <w:color w:val="auto"/>
        </w:rPr>
        <w:t>Following the acquisition date, the operating results of Cerevel Therapeutics have been included in the consolidated financial statements. For the period from the acquisition date through December 31, 2024, operating losses attributable to Cerevel Therapeutics were $4.9 billion, inclusive of an intangible asset impairment charge of $4.5 billion related to emraclidine. See Note 7 for additional information. Operating losses attributable to Cerevel Therapeutics also included $161 million of cash-settled, post-closing expense for Cerevel Therapeutics employee incentive awards. AbbVie issued 0.3 million RSUs to holders of Cerevel Therapeutics equity awards based on a conversion factor described in the transaction agreement. Stock compensation expense related to RSUs issued at the acquisition date was not significant.</w:t>
      </w:r>
    </w:p>
    <w:p>
      <w:pPr>
        <w:spacing w:after="0" w:line="139" w:lineRule="exact"/>
        <w:rPr>
          <w:sz w:val="20"/>
          <w:szCs w:val="20"/>
          <w:color w:val="auto"/>
        </w:rPr>
      </w:pPr>
    </w:p>
    <w:p>
      <w:pPr>
        <w:ind w:left="10" w:right="100" w:firstLine="359"/>
        <w:spacing w:after="0" w:line="269" w:lineRule="auto"/>
        <w:rPr>
          <w:sz w:val="20"/>
          <w:szCs w:val="20"/>
          <w:color w:val="auto"/>
        </w:rPr>
      </w:pPr>
      <w:r>
        <w:rPr>
          <w:rFonts w:ascii="Arial" w:cs="Arial" w:eastAsia="Arial" w:hAnsi="Arial"/>
          <w:sz w:val="20"/>
          <w:szCs w:val="20"/>
          <w:color w:val="auto"/>
        </w:rPr>
        <w:t>Acquisition-related expenses, which were comprised primarily of regulatory, financial advisory and legal fees, totaled $44 million for the year ended December 31, 2024 and were included in SG&amp;A expense in the consolidated statements of earnings.</w:t>
      </w:r>
    </w:p>
    <w:p>
      <w:pPr>
        <w:spacing w:after="0" w:line="22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Acquisition of ImmunoGen, Inc.</w:t>
      </w:r>
    </w:p>
    <w:p>
      <w:pPr>
        <w:spacing w:after="0" w:line="131" w:lineRule="exact"/>
        <w:rPr>
          <w:sz w:val="20"/>
          <w:szCs w:val="20"/>
          <w:color w:val="auto"/>
        </w:rPr>
      </w:pPr>
    </w:p>
    <w:p>
      <w:pPr>
        <w:ind w:left="10" w:firstLine="359"/>
        <w:spacing w:after="0" w:line="278" w:lineRule="auto"/>
        <w:rPr>
          <w:sz w:val="20"/>
          <w:szCs w:val="20"/>
          <w:color w:val="auto"/>
        </w:rPr>
      </w:pPr>
      <w:r>
        <w:rPr>
          <w:rFonts w:ascii="Arial" w:cs="Arial" w:eastAsia="Arial" w:hAnsi="Arial"/>
          <w:sz w:val="19"/>
          <w:szCs w:val="19"/>
          <w:color w:val="auto"/>
        </w:rPr>
        <w:t>On February 12, 2024, AbbVie completed its acquisition of ImmunoGen, Inc. (ImmunoGen). ImmunoGen is a commercial-stage biotechnology company focused on the discovery, development and commercialization of antibody-drug conjugates (ADC) for cancer patients. ImmunoGen’s oncology portfolio includes its flagship cancer therapy Elahere, a first-in-class ADC approved for platinum-resistant ovarian cancer, and a pipeline of promising next-generation ADC’s targeting hematologic malignancies and solid tumors. The combination accelerated AbbVie’s entry into the solid tumor space and strengthened its oncology pipeline. Under the terms of the agreement, AbbVie acquired all outstanding shares of ImmunoGen for $31.26 per share in cash. The total fair value of the consideration transferred to owners of ImmunoGen common stock was $9.8 billion ($9.2 billion, net of cash acquired).</w:t>
      </w:r>
    </w:p>
    <w:p>
      <w:pPr>
        <w:spacing w:after="0" w:line="121" w:lineRule="exact"/>
        <w:rPr>
          <w:sz w:val="20"/>
          <w:szCs w:val="20"/>
          <w:color w:val="auto"/>
        </w:rPr>
      </w:pPr>
    </w:p>
    <w:p>
      <w:pPr>
        <w:ind w:left="10" w:firstLine="359"/>
        <w:spacing w:after="0" w:line="265" w:lineRule="auto"/>
        <w:rPr>
          <w:sz w:val="20"/>
          <w:szCs w:val="20"/>
          <w:color w:val="auto"/>
        </w:rPr>
      </w:pPr>
      <w:r>
        <w:rPr>
          <w:rFonts w:ascii="Arial" w:cs="Arial" w:eastAsia="Arial" w:hAnsi="Arial"/>
          <w:sz w:val="20"/>
          <w:szCs w:val="20"/>
          <w:color w:val="auto"/>
        </w:rPr>
        <w:t>The acquisition of ImmunoGen was accounted for as a business combination using the acquisition method of accounting. The acquisition method requires, among other things, that assets acquired and liabilities assumed in a business combination be recognized at their fair values as of the acquisition date. The valuation of assets acquired and liabilities assumed was finalized during the three months ended December 31, 2024.</w:t>
      </w:r>
    </w:p>
    <w:p>
      <w:pPr>
        <w:sectPr>
          <w:pgSz w:w="11880" w:h="15480" w:orient="portrait"/>
          <w:cols w:equalWidth="0" w:num="1">
            <w:col w:w="9110"/>
          </w:cols>
          <w:pgMar w:left="1390" w:top="1030"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3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71</w:t>
      </w:r>
    </w:p>
    <w:p>
      <w:pPr>
        <w:sectPr>
          <w:pgSz w:w="11880" w:h="15480" w:orient="portrait"/>
          <w:cols w:equalWidth="0" w:num="1">
            <w:col w:w="9110"/>
          </w:cols>
          <w:pgMar w:left="1390" w:top="1030" w:right="1380" w:bottom="87" w:gutter="0" w:footer="0" w:header="0"/>
          <w:type w:val="continuous"/>
        </w:sectPr>
      </w:pPr>
    </w:p>
    <w:bookmarkStart w:id="77" w:name="page78"/>
    <w:bookmarkEnd w:id="77"/>
    <w:p>
      <w:pPr>
        <w:ind w:left="10" w:right="160" w:firstLine="359"/>
        <w:spacing w:after="0" w:line="266" w:lineRule="auto"/>
        <w:rPr>
          <w:sz w:val="20"/>
          <w:szCs w:val="20"/>
          <w:color w:val="auto"/>
        </w:rPr>
      </w:pPr>
      <w:r>
        <w:rPr>
          <w:rFonts w:ascii="Arial" w:cs="Arial" w:eastAsia="Arial" w:hAnsi="Arial"/>
          <w:sz w:val="20"/>
          <w:szCs w:val="20"/>
          <w:color w:val="auto"/>
        </w:rPr>
        <w:t>The following table summarizes the final fair value of assets acquired and liabilities assumed as of the acquisition date:</w:t>
      </w:r>
    </w:p>
    <w:p>
      <w:pPr>
        <w:spacing w:after="0" w:line="10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57785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455pt,1.95pt" o:allowincell="f" strokecolor="#000000" strokeweight="0.499pt"/>
            </w:pict>
          </mc:Fallback>
        </mc:AlternateConten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6420" w:type="dxa"/>
            <w:vAlign w:val="bottom"/>
          </w:tcPr>
          <w:p>
            <w:pPr>
              <w:spacing w:after="0"/>
              <w:rPr>
                <w:sz w:val="20"/>
                <w:szCs w:val="20"/>
                <w:color w:val="auto"/>
              </w:rPr>
            </w:pPr>
            <w:r>
              <w:rPr>
                <w:rFonts w:ascii="Arial" w:cs="Arial" w:eastAsia="Arial" w:hAnsi="Arial"/>
                <w:sz w:val="20"/>
                <w:szCs w:val="20"/>
                <w:b w:val="1"/>
                <w:bCs w:val="1"/>
                <w:color w:val="auto"/>
              </w:rPr>
              <w:t>Assets acquired and liabilities assumed</w:t>
            </w:r>
          </w:p>
        </w:tc>
        <w:tc>
          <w:tcPr>
            <w:tcW w:w="2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6420" w:type="dxa"/>
            <w:vAlign w:val="bottom"/>
          </w:tcPr>
          <w:p>
            <w:pPr>
              <w:spacing w:after="0"/>
              <w:rPr>
                <w:sz w:val="20"/>
                <w:szCs w:val="20"/>
                <w:color w:val="auto"/>
              </w:rPr>
            </w:pPr>
            <w:r>
              <w:rPr>
                <w:rFonts w:ascii="Arial" w:cs="Arial" w:eastAsia="Arial" w:hAnsi="Arial"/>
                <w:sz w:val="20"/>
                <w:szCs w:val="20"/>
                <w:color w:val="auto"/>
              </w:rPr>
              <w:t>Cash and equivalents</w:t>
            </w:r>
          </w:p>
        </w:tc>
        <w:tc>
          <w:tcPr>
            <w:tcW w:w="218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591</w:t>
            </w:r>
          </w:p>
        </w:tc>
      </w:tr>
      <w:tr>
        <w:trPr>
          <w:trHeight w:val="279"/>
        </w:trPr>
        <w:tc>
          <w:tcPr>
            <w:tcW w:w="6420" w:type="dxa"/>
            <w:vAlign w:val="bottom"/>
          </w:tcPr>
          <w:p>
            <w:pPr>
              <w:spacing w:after="0"/>
              <w:rPr>
                <w:sz w:val="20"/>
                <w:szCs w:val="20"/>
                <w:color w:val="auto"/>
              </w:rPr>
            </w:pPr>
            <w:r>
              <w:rPr>
                <w:rFonts w:ascii="Arial" w:cs="Arial" w:eastAsia="Arial" w:hAnsi="Arial"/>
                <w:sz w:val="20"/>
                <w:szCs w:val="20"/>
                <w:color w:val="auto"/>
              </w:rPr>
              <w:t>Accounts receivable</w:t>
            </w:r>
          </w:p>
        </w:tc>
        <w:tc>
          <w:tcPr>
            <w:tcW w:w="2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171</w:t>
            </w:r>
          </w:p>
        </w:tc>
        <w:tc>
          <w:tcPr>
            <w:tcW w:w="60" w:type="dxa"/>
            <w:vAlign w:val="bottom"/>
          </w:tcPr>
          <w:p>
            <w:pPr>
              <w:spacing w:after="0"/>
              <w:rPr>
                <w:sz w:val="24"/>
                <w:szCs w:val="24"/>
                <w:color w:val="auto"/>
              </w:rPr>
            </w:pPr>
          </w:p>
        </w:tc>
      </w:tr>
      <w:tr>
        <w:trPr>
          <w:trHeight w:val="279"/>
        </w:trPr>
        <w:tc>
          <w:tcPr>
            <w:tcW w:w="6420" w:type="dxa"/>
            <w:vAlign w:val="bottom"/>
          </w:tcPr>
          <w:p>
            <w:pPr>
              <w:spacing w:after="0"/>
              <w:rPr>
                <w:sz w:val="20"/>
                <w:szCs w:val="20"/>
                <w:color w:val="auto"/>
              </w:rPr>
            </w:pPr>
            <w:r>
              <w:rPr>
                <w:rFonts w:ascii="Arial" w:cs="Arial" w:eastAsia="Arial" w:hAnsi="Arial"/>
                <w:sz w:val="20"/>
                <w:szCs w:val="20"/>
                <w:color w:val="auto"/>
              </w:rPr>
              <w:t>Inventories</w:t>
            </w:r>
          </w:p>
        </w:tc>
        <w:tc>
          <w:tcPr>
            <w:tcW w:w="2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211</w:t>
            </w:r>
          </w:p>
        </w:tc>
        <w:tc>
          <w:tcPr>
            <w:tcW w:w="60" w:type="dxa"/>
            <w:vAlign w:val="bottom"/>
          </w:tcPr>
          <w:p>
            <w:pPr>
              <w:spacing w:after="0"/>
              <w:rPr>
                <w:sz w:val="24"/>
                <w:szCs w:val="24"/>
                <w:color w:val="auto"/>
              </w:rPr>
            </w:pPr>
          </w:p>
        </w:tc>
      </w:tr>
      <w:tr>
        <w:trPr>
          <w:trHeight w:val="279"/>
        </w:trPr>
        <w:tc>
          <w:tcPr>
            <w:tcW w:w="642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2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40</w:t>
            </w:r>
          </w:p>
        </w:tc>
        <w:tc>
          <w:tcPr>
            <w:tcW w:w="60" w:type="dxa"/>
            <w:vAlign w:val="bottom"/>
          </w:tcPr>
          <w:p>
            <w:pPr>
              <w:spacing w:after="0"/>
              <w:rPr>
                <w:sz w:val="24"/>
                <w:szCs w:val="24"/>
                <w:color w:val="auto"/>
              </w:rPr>
            </w:pPr>
          </w:p>
        </w:tc>
      </w:tr>
      <w:tr>
        <w:trPr>
          <w:trHeight w:val="279"/>
        </w:trPr>
        <w:tc>
          <w:tcPr>
            <w:tcW w:w="642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r>
      <w:tr>
        <w:trPr>
          <w:trHeight w:val="279"/>
        </w:trPr>
        <w:tc>
          <w:tcPr>
            <w:tcW w:w="6420" w:type="dxa"/>
            <w:vAlign w:val="bottom"/>
          </w:tcPr>
          <w:p>
            <w:pPr>
              <w:spacing w:after="0"/>
              <w:rPr>
                <w:sz w:val="20"/>
                <w:szCs w:val="20"/>
                <w:color w:val="auto"/>
              </w:rPr>
            </w:pPr>
            <w:r>
              <w:rPr>
                <w:rFonts w:ascii="Arial" w:cs="Arial" w:eastAsia="Arial" w:hAnsi="Arial"/>
                <w:sz w:val="20"/>
                <w:szCs w:val="20"/>
                <w:color w:val="auto"/>
              </w:rPr>
              <w:t>Intangible assets, net</w:t>
            </w:r>
          </w:p>
        </w:tc>
        <w:tc>
          <w:tcPr>
            <w:tcW w:w="2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9"/>
        </w:trPr>
        <w:tc>
          <w:tcPr>
            <w:tcW w:w="6420" w:type="dxa"/>
            <w:vAlign w:val="bottom"/>
          </w:tcPr>
          <w:p>
            <w:pPr>
              <w:ind w:left="180"/>
              <w:spacing w:after="0"/>
              <w:rPr>
                <w:sz w:val="20"/>
                <w:szCs w:val="20"/>
                <w:color w:val="auto"/>
              </w:rPr>
            </w:pPr>
            <w:r>
              <w:rPr>
                <w:rFonts w:ascii="Arial" w:cs="Arial" w:eastAsia="Arial" w:hAnsi="Arial"/>
                <w:sz w:val="20"/>
                <w:szCs w:val="20"/>
                <w:color w:val="auto"/>
              </w:rPr>
              <w:t>Developed product rights</w:t>
            </w:r>
          </w:p>
        </w:tc>
        <w:tc>
          <w:tcPr>
            <w:tcW w:w="2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w w:val="95"/>
              </w:rPr>
              <w:t>7,200</w:t>
            </w:r>
          </w:p>
        </w:tc>
        <w:tc>
          <w:tcPr>
            <w:tcW w:w="60" w:type="dxa"/>
            <w:vAlign w:val="bottom"/>
          </w:tcPr>
          <w:p>
            <w:pPr>
              <w:spacing w:after="0"/>
              <w:rPr>
                <w:sz w:val="24"/>
                <w:szCs w:val="24"/>
                <w:color w:val="auto"/>
              </w:rPr>
            </w:pPr>
          </w:p>
        </w:tc>
      </w:tr>
      <w:tr>
        <w:trPr>
          <w:trHeight w:val="279"/>
        </w:trPr>
        <w:tc>
          <w:tcPr>
            <w:tcW w:w="6420" w:type="dxa"/>
            <w:vAlign w:val="bottom"/>
          </w:tcPr>
          <w:p>
            <w:pPr>
              <w:ind w:left="180"/>
              <w:spacing w:after="0"/>
              <w:rPr>
                <w:sz w:val="20"/>
                <w:szCs w:val="20"/>
                <w:color w:val="auto"/>
              </w:rPr>
            </w:pPr>
            <w:r>
              <w:rPr>
                <w:rFonts w:ascii="Arial" w:cs="Arial" w:eastAsia="Arial" w:hAnsi="Arial"/>
                <w:sz w:val="20"/>
                <w:szCs w:val="20"/>
                <w:color w:val="auto"/>
              </w:rPr>
              <w:t>License agreements</w:t>
            </w:r>
          </w:p>
        </w:tc>
        <w:tc>
          <w:tcPr>
            <w:tcW w:w="2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125</w:t>
            </w:r>
          </w:p>
        </w:tc>
        <w:tc>
          <w:tcPr>
            <w:tcW w:w="60" w:type="dxa"/>
            <w:vAlign w:val="bottom"/>
          </w:tcPr>
          <w:p>
            <w:pPr>
              <w:spacing w:after="0"/>
              <w:rPr>
                <w:sz w:val="24"/>
                <w:szCs w:val="24"/>
                <w:color w:val="auto"/>
              </w:rPr>
            </w:pPr>
          </w:p>
        </w:tc>
      </w:tr>
      <w:tr>
        <w:trPr>
          <w:trHeight w:val="279"/>
        </w:trPr>
        <w:tc>
          <w:tcPr>
            <w:tcW w:w="6420" w:type="dxa"/>
            <w:vAlign w:val="bottom"/>
          </w:tcPr>
          <w:p>
            <w:pPr>
              <w:ind w:left="180"/>
              <w:spacing w:after="0"/>
              <w:rPr>
                <w:sz w:val="20"/>
                <w:szCs w:val="20"/>
                <w:color w:val="auto"/>
              </w:rPr>
            </w:pPr>
            <w:r>
              <w:rPr>
                <w:rFonts w:ascii="Arial" w:cs="Arial" w:eastAsia="Arial" w:hAnsi="Arial"/>
                <w:sz w:val="20"/>
                <w:szCs w:val="20"/>
                <w:color w:val="auto"/>
              </w:rPr>
              <w:t>Acquired in-process research and development</w:t>
            </w:r>
          </w:p>
        </w:tc>
        <w:tc>
          <w:tcPr>
            <w:tcW w:w="2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w w:val="95"/>
              </w:rPr>
              <w:t>1,280</w:t>
            </w:r>
          </w:p>
        </w:tc>
        <w:tc>
          <w:tcPr>
            <w:tcW w:w="60" w:type="dxa"/>
            <w:vAlign w:val="bottom"/>
          </w:tcPr>
          <w:p>
            <w:pPr>
              <w:spacing w:after="0"/>
              <w:rPr>
                <w:sz w:val="24"/>
                <w:szCs w:val="24"/>
                <w:color w:val="auto"/>
              </w:rPr>
            </w:pPr>
          </w:p>
        </w:tc>
      </w:tr>
      <w:tr>
        <w:trPr>
          <w:trHeight w:val="279"/>
        </w:trPr>
        <w:tc>
          <w:tcPr>
            <w:tcW w:w="6420" w:type="dxa"/>
            <w:vAlign w:val="bottom"/>
          </w:tcPr>
          <w:p>
            <w:pPr>
              <w:spacing w:after="0"/>
              <w:rPr>
                <w:sz w:val="20"/>
                <w:szCs w:val="20"/>
                <w:color w:val="auto"/>
              </w:rPr>
            </w:pPr>
            <w:r>
              <w:rPr>
                <w:rFonts w:ascii="Arial" w:cs="Arial" w:eastAsia="Arial" w:hAnsi="Arial"/>
                <w:sz w:val="20"/>
                <w:szCs w:val="20"/>
                <w:color w:val="auto"/>
              </w:rPr>
              <w:t>Other noncurrent assets</w:t>
            </w:r>
          </w:p>
        </w:tc>
        <w:tc>
          <w:tcPr>
            <w:tcW w:w="2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273</w:t>
            </w:r>
          </w:p>
        </w:tc>
        <w:tc>
          <w:tcPr>
            <w:tcW w:w="60" w:type="dxa"/>
            <w:vAlign w:val="bottom"/>
          </w:tcPr>
          <w:p>
            <w:pPr>
              <w:spacing w:after="0"/>
              <w:rPr>
                <w:sz w:val="24"/>
                <w:szCs w:val="24"/>
                <w:color w:val="auto"/>
              </w:rPr>
            </w:pPr>
          </w:p>
        </w:tc>
      </w:tr>
      <w:tr>
        <w:trPr>
          <w:trHeight w:val="279"/>
        </w:trPr>
        <w:tc>
          <w:tcPr>
            <w:tcW w:w="6420" w:type="dxa"/>
            <w:vAlign w:val="bottom"/>
          </w:tcPr>
          <w:p>
            <w:pPr>
              <w:spacing w:after="0"/>
              <w:rPr>
                <w:sz w:val="20"/>
                <w:szCs w:val="20"/>
                <w:color w:val="auto"/>
              </w:rPr>
            </w:pPr>
            <w:r>
              <w:rPr>
                <w:rFonts w:ascii="Arial" w:cs="Arial" w:eastAsia="Arial" w:hAnsi="Arial"/>
                <w:sz w:val="20"/>
                <w:szCs w:val="20"/>
                <w:color w:val="auto"/>
              </w:rPr>
              <w:t>Current portion of long-term debt</w:t>
            </w:r>
          </w:p>
        </w:tc>
        <w:tc>
          <w:tcPr>
            <w:tcW w:w="2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(99)</w:t>
            </w:r>
          </w:p>
        </w:tc>
      </w:tr>
      <w:tr>
        <w:trPr>
          <w:trHeight w:val="279"/>
        </w:trPr>
        <w:tc>
          <w:tcPr>
            <w:tcW w:w="6420" w:type="dxa"/>
            <w:vAlign w:val="bottom"/>
          </w:tcPr>
          <w:p>
            <w:pPr>
              <w:spacing w:after="0"/>
              <w:rPr>
                <w:sz w:val="20"/>
                <w:szCs w:val="20"/>
                <w:color w:val="auto"/>
              </w:rPr>
            </w:pPr>
            <w:r>
              <w:rPr>
                <w:rFonts w:ascii="Arial" w:cs="Arial" w:eastAsia="Arial" w:hAnsi="Arial"/>
                <w:sz w:val="20"/>
                <w:szCs w:val="20"/>
                <w:color w:val="auto"/>
              </w:rPr>
              <w:t>Accounts payable and accrued liabilities</w:t>
            </w:r>
          </w:p>
        </w:tc>
        <w:tc>
          <w:tcPr>
            <w:tcW w:w="2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(312)</w:t>
            </w:r>
          </w:p>
        </w:tc>
      </w:tr>
      <w:tr>
        <w:trPr>
          <w:trHeight w:val="279"/>
        </w:trPr>
        <w:tc>
          <w:tcPr>
            <w:tcW w:w="6420" w:type="dxa"/>
            <w:vAlign w:val="bottom"/>
          </w:tcPr>
          <w:p>
            <w:pPr>
              <w:spacing w:after="0"/>
              <w:rPr>
                <w:sz w:val="20"/>
                <w:szCs w:val="20"/>
                <w:color w:val="auto"/>
              </w:rPr>
            </w:pPr>
            <w:r>
              <w:rPr>
                <w:rFonts w:ascii="Arial" w:cs="Arial" w:eastAsia="Arial" w:hAnsi="Arial"/>
                <w:sz w:val="20"/>
                <w:szCs w:val="20"/>
                <w:color w:val="auto"/>
              </w:rPr>
              <w:t>Deferred income taxes</w:t>
            </w:r>
          </w:p>
        </w:tc>
        <w:tc>
          <w:tcPr>
            <w:tcW w:w="2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(899)</w:t>
            </w:r>
          </w:p>
        </w:tc>
      </w:tr>
      <w:tr>
        <w:trPr>
          <w:trHeight w:val="282"/>
        </w:trPr>
        <w:tc>
          <w:tcPr>
            <w:tcW w:w="6420" w:type="dxa"/>
            <w:vAlign w:val="bottom"/>
          </w:tcPr>
          <w:p>
            <w:pPr>
              <w:spacing w:after="0"/>
              <w:rPr>
                <w:sz w:val="20"/>
                <w:szCs w:val="20"/>
                <w:color w:val="auto"/>
              </w:rPr>
            </w:pPr>
            <w:r>
              <w:rPr>
                <w:rFonts w:ascii="Arial" w:cs="Arial" w:eastAsia="Arial" w:hAnsi="Arial"/>
                <w:sz w:val="20"/>
                <w:szCs w:val="20"/>
                <w:color w:val="auto"/>
              </w:rPr>
              <w:t>Other long-term liabilities</w:t>
            </w:r>
          </w:p>
        </w:tc>
        <w:tc>
          <w:tcPr>
            <w:tcW w:w="2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(47)</w:t>
            </w:r>
          </w:p>
        </w:tc>
      </w:tr>
      <w:tr>
        <w:trPr>
          <w:trHeight w:val="266"/>
        </w:trPr>
        <w:tc>
          <w:tcPr>
            <w:tcW w:w="64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Total identifiable net assets</w:t>
            </w:r>
          </w:p>
        </w:tc>
        <w:tc>
          <w:tcPr>
            <w:tcW w:w="21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5"/>
              </w:rPr>
              <w:t>8,541</w:t>
            </w:r>
          </w:p>
        </w:tc>
        <w:tc>
          <w:tcPr>
            <w:tcW w:w="60" w:type="dxa"/>
            <w:vAlign w:val="bottom"/>
          </w:tcPr>
          <w:p>
            <w:pPr>
              <w:spacing w:after="0"/>
              <w:rPr>
                <w:sz w:val="23"/>
                <w:szCs w:val="23"/>
                <w:color w:val="auto"/>
              </w:rPr>
            </w:pPr>
          </w:p>
        </w:tc>
      </w:tr>
      <w:tr>
        <w:trPr>
          <w:trHeight w:val="282"/>
        </w:trPr>
        <w:tc>
          <w:tcPr>
            <w:tcW w:w="6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Goodwill</w:t>
            </w:r>
          </w:p>
        </w:tc>
        <w:tc>
          <w:tcPr>
            <w:tcW w:w="2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1,249</w:t>
            </w:r>
          </w:p>
        </w:tc>
        <w:tc>
          <w:tcPr>
            <w:tcW w:w="60" w:type="dxa"/>
            <w:vAlign w:val="bottom"/>
          </w:tcPr>
          <w:p>
            <w:pPr>
              <w:spacing w:after="0"/>
              <w:rPr>
                <w:sz w:val="24"/>
                <w:szCs w:val="24"/>
                <w:color w:val="auto"/>
              </w:rPr>
            </w:pPr>
          </w:p>
        </w:tc>
      </w:tr>
      <w:tr>
        <w:trPr>
          <w:trHeight w:val="269"/>
        </w:trPr>
        <w:tc>
          <w:tcPr>
            <w:tcW w:w="64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Total assets acquired and liabilities assumed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9,790</w:t>
            </w:r>
          </w:p>
        </w:tc>
        <w:tc>
          <w:tcPr>
            <w:tcW w:w="60" w:type="dxa"/>
            <w:vAlign w:val="bottom"/>
          </w:tcPr>
          <w:p>
            <w:pPr>
              <w:spacing w:after="0"/>
              <w:rPr>
                <w:sz w:val="23"/>
                <w:szCs w:val="23"/>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ind w:left="10" w:right="200" w:firstLine="359"/>
        <w:spacing w:after="0" w:line="266" w:lineRule="auto"/>
        <w:rPr>
          <w:sz w:val="20"/>
          <w:szCs w:val="20"/>
          <w:color w:val="auto"/>
        </w:rPr>
      </w:pPr>
      <w:r>
        <w:rPr>
          <w:rFonts w:ascii="Arial" w:cs="Arial" w:eastAsia="Arial" w:hAnsi="Arial"/>
          <w:sz w:val="20"/>
          <w:szCs w:val="20"/>
          <w:color w:val="auto"/>
        </w:rPr>
        <w:t>The fair value step-up adjustment to inventories of $179 million was amortized to cost of products sold when the inventory was sold to customers during the year ended December 31, 2024.</w:t>
      </w:r>
    </w:p>
    <w:p>
      <w:pPr>
        <w:spacing w:after="0" w:line="105" w:lineRule="exact"/>
        <w:rPr>
          <w:sz w:val="20"/>
          <w:szCs w:val="20"/>
          <w:color w:val="auto"/>
        </w:rPr>
      </w:pPr>
    </w:p>
    <w:p>
      <w:pPr>
        <w:ind w:left="10" w:right="60" w:firstLine="359"/>
        <w:spacing w:after="0" w:line="251" w:lineRule="auto"/>
        <w:rPr>
          <w:sz w:val="20"/>
          <w:szCs w:val="20"/>
          <w:color w:val="auto"/>
        </w:rPr>
      </w:pPr>
      <w:r>
        <w:rPr>
          <w:rFonts w:ascii="Arial" w:cs="Arial" w:eastAsia="Arial" w:hAnsi="Arial"/>
          <w:sz w:val="20"/>
          <w:szCs w:val="20"/>
          <w:color w:val="auto"/>
        </w:rPr>
        <w:t>Intangible assets relate to $7.3 billion of definite-lived intangible assets and $1.3 billion of acquired IPR&amp;D associated with products that have not yet received regulatory approval. The acquired definite-lived intangible assets consist of developed product rights and license agreements and are being amortized over a weighted-average estimated useful life of approximately 12 years using the estimated pattern of economic benefit. The estimated fair values of identifiable intangible assets were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these asset valuations include the estimated net cash flows for each year for each asset or product, the appropriate discount rate necessary to measure the risk inherent in each future cash flow stream, the life cycle of each asset, the potential regulatory and commercial success risk, competitive trends impacting the asset and each cash flow stream, as well as other factors.</w:t>
      </w:r>
    </w:p>
    <w:p>
      <w:pPr>
        <w:spacing w:after="0" w:line="125" w:lineRule="exact"/>
        <w:rPr>
          <w:sz w:val="20"/>
          <w:szCs w:val="20"/>
          <w:color w:val="auto"/>
        </w:rPr>
      </w:pPr>
    </w:p>
    <w:p>
      <w:pPr>
        <w:ind w:left="350"/>
        <w:spacing w:after="0"/>
        <w:rPr>
          <w:sz w:val="20"/>
          <w:szCs w:val="20"/>
          <w:color w:val="auto"/>
        </w:rPr>
      </w:pPr>
      <w:r>
        <w:rPr>
          <w:rFonts w:ascii="Arial" w:cs="Arial" w:eastAsia="Arial" w:hAnsi="Arial"/>
          <w:sz w:val="20"/>
          <w:szCs w:val="20"/>
          <w:color w:val="auto"/>
        </w:rPr>
        <w:t>Other noncurrent assets primarily consist of $250 million of deferred tax assets.</w:t>
      </w:r>
    </w:p>
    <w:p>
      <w:pPr>
        <w:spacing w:after="0" w:line="149" w:lineRule="exact"/>
        <w:rPr>
          <w:sz w:val="20"/>
          <w:szCs w:val="20"/>
          <w:color w:val="auto"/>
        </w:rPr>
      </w:pPr>
    </w:p>
    <w:p>
      <w:pPr>
        <w:ind w:left="10" w:right="60" w:firstLine="359"/>
        <w:spacing w:after="0" w:line="269" w:lineRule="auto"/>
        <w:rPr>
          <w:sz w:val="20"/>
          <w:szCs w:val="20"/>
          <w:color w:val="auto"/>
        </w:rPr>
      </w:pPr>
      <w:r>
        <w:rPr>
          <w:rFonts w:ascii="Arial" w:cs="Arial" w:eastAsia="Arial" w:hAnsi="Arial"/>
          <w:sz w:val="20"/>
          <w:szCs w:val="20"/>
          <w:color w:val="auto"/>
        </w:rPr>
        <w:t>The current portion of long-term debt assumed by AbbVie was repaid concurrent with the acquisition at the fair value of $99 million. See Note 10 for additional information.</w:t>
      </w:r>
    </w:p>
    <w:p>
      <w:pPr>
        <w:spacing w:after="0" w:line="103" w:lineRule="exact"/>
        <w:rPr>
          <w:sz w:val="20"/>
          <w:szCs w:val="20"/>
          <w:color w:val="auto"/>
        </w:rPr>
      </w:pPr>
    </w:p>
    <w:p>
      <w:pPr>
        <w:ind w:left="10" w:right="160" w:firstLine="359"/>
        <w:spacing w:after="0" w:line="264" w:lineRule="auto"/>
        <w:rPr>
          <w:sz w:val="20"/>
          <w:szCs w:val="20"/>
          <w:color w:val="auto"/>
        </w:rPr>
      </w:pPr>
      <w:r>
        <w:rPr>
          <w:rFonts w:ascii="Arial" w:cs="Arial" w:eastAsia="Arial" w:hAnsi="Arial"/>
          <w:sz w:val="19"/>
          <w:szCs w:val="19"/>
          <w:color w:val="auto"/>
        </w:rPr>
        <w:t>Goodwill was calculated as the excess of the consideration transferred over the fair value of net assets recognized and represents the future economic benefits arising from other assets acquired that could not be individually identified and separately recognized. Specifically, the goodwill recognized from the acquisition of ImmunoGen represents expected synergies including, the ability to: (i) expand AbbVie’s product portfolio as well as the potential to increase revenue from future growth platforms,</w:t>
      </w:r>
    </w:p>
    <w:p>
      <w:pPr>
        <w:spacing w:after="0" w:line="5" w:lineRule="exact"/>
        <w:rPr>
          <w:sz w:val="20"/>
          <w:szCs w:val="20"/>
          <w:color w:val="auto"/>
        </w:rPr>
      </w:pPr>
    </w:p>
    <w:p>
      <w:pPr>
        <w:ind w:left="270" w:hanging="270"/>
        <w:spacing w:after="0"/>
        <w:tabs>
          <w:tab w:leader="none" w:pos="27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accelerate AbbVie’s clinical and commercial presence in the solid tumor space within oncology,</w:t>
      </w:r>
    </w:p>
    <w:p>
      <w:pPr>
        <w:spacing w:after="0" w:line="9" w:lineRule="exact"/>
        <w:rPr>
          <w:rFonts w:ascii="Arial" w:cs="Arial" w:eastAsia="Arial" w:hAnsi="Arial"/>
          <w:sz w:val="20"/>
          <w:szCs w:val="20"/>
          <w:color w:val="auto"/>
        </w:rPr>
      </w:pPr>
    </w:p>
    <w:p>
      <w:pPr>
        <w:ind w:left="10" w:right="420" w:hanging="10"/>
        <w:spacing w:after="0" w:line="259" w:lineRule="auto"/>
        <w:tabs>
          <w:tab w:leader="none" w:pos="355" w:val="left"/>
        </w:tabs>
        <w:numPr>
          <w:ilvl w:val="0"/>
          <w:numId w:val="31"/>
        </w:numPr>
        <w:rPr>
          <w:rFonts w:ascii="Arial" w:cs="Arial" w:eastAsia="Arial" w:hAnsi="Arial"/>
          <w:sz w:val="20"/>
          <w:szCs w:val="20"/>
          <w:color w:val="auto"/>
        </w:rPr>
      </w:pPr>
      <w:r>
        <w:rPr>
          <w:rFonts w:ascii="Arial" w:cs="Arial" w:eastAsia="Arial" w:hAnsi="Arial"/>
          <w:sz w:val="20"/>
          <w:szCs w:val="20"/>
          <w:color w:val="auto"/>
        </w:rPr>
        <w:t>leverage the respective strengths of each company, and (iv) enhance AbbVie’s existing ADC development efforts. The goodwill is not deductible for tax purposes.</w:t>
      </w:r>
    </w:p>
    <w:p>
      <w:pPr>
        <w:spacing w:after="0" w:line="113" w:lineRule="exact"/>
        <w:rPr>
          <w:sz w:val="20"/>
          <w:szCs w:val="20"/>
          <w:color w:val="auto"/>
        </w:rPr>
      </w:pPr>
    </w:p>
    <w:p>
      <w:pPr>
        <w:jc w:val="both"/>
        <w:ind w:left="10" w:right="560" w:firstLine="359"/>
        <w:spacing w:after="0" w:line="295" w:lineRule="auto"/>
        <w:rPr>
          <w:sz w:val="20"/>
          <w:szCs w:val="20"/>
          <w:color w:val="auto"/>
        </w:rPr>
      </w:pPr>
      <w:r>
        <w:rPr>
          <w:rFonts w:ascii="Arial" w:cs="Arial" w:eastAsia="Arial" w:hAnsi="Arial"/>
          <w:sz w:val="19"/>
          <w:szCs w:val="19"/>
          <w:color w:val="auto"/>
        </w:rPr>
        <w:t>Following the acquisition date, the operating results of ImmunoGen have been included in the consolidated financial statements. For the period from the acquisition date through December 31,</w:t>
      </w:r>
    </w:p>
    <w:p>
      <w:pPr>
        <w:sectPr>
          <w:pgSz w:w="11880" w:h="15480" w:orient="portrait"/>
          <w:cols w:equalWidth="0" w:num="1">
            <w:col w:w="9170"/>
          </w:cols>
          <w:pgMar w:left="1390" w:top="1030" w:right="1320" w:bottom="75" w:gutter="0" w:footer="0" w:header="0"/>
        </w:sectPr>
      </w:pPr>
    </w:p>
    <w:p>
      <w:pPr>
        <w:spacing w:after="0" w:line="205"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72  </w:t>
      </w:r>
      <w:r>
        <w:rPr>
          <w:sz w:val="1"/>
          <w:szCs w:val="1"/>
          <w:color w:val="auto"/>
        </w:rPr>
        <w:drawing>
          <wp:inline distT="0" distB="0" distL="0" distR="0">
            <wp:extent cx="615950" cy="12827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70"/>
          </w:cols>
          <w:pgMar w:left="1390" w:top="1030" w:right="1320" w:bottom="75" w:gutter="0" w:footer="0" w:header="0"/>
          <w:type w:val="continuous"/>
        </w:sectPr>
      </w:pPr>
    </w:p>
    <w:bookmarkStart w:id="78" w:name="page79"/>
    <w:bookmarkEnd w:id="78"/>
    <w:p>
      <w:pPr>
        <w:ind w:right="160"/>
        <w:spacing w:after="0" w:line="249" w:lineRule="auto"/>
        <w:rPr>
          <w:sz w:val="20"/>
          <w:szCs w:val="20"/>
          <w:color w:val="auto"/>
        </w:rPr>
      </w:pPr>
      <w:r>
        <w:rPr>
          <w:rFonts w:ascii="Arial" w:cs="Arial" w:eastAsia="Arial" w:hAnsi="Arial"/>
          <w:sz w:val="20"/>
          <w:szCs w:val="20"/>
          <w:color w:val="auto"/>
        </w:rPr>
        <w:t>2024, net revenues attributable to ImmunoGen were $578 million and operating losses attributable to ImmunoGen were $682 million, inclusive of $349 million of cash-settled, post-closing expense for ImmunoGen employee incentive awards, $179 million of inventory fair value step-up amortization and $157 million of intangible asset amortization. AbbVie also issued 0.3 million RSUs to holders of ImmunoGen equity awards based on a conversion factor described in the transaction agreement. Stock compensation expense related to RSUs issued at the acquisition date was not significant.</w:t>
      </w:r>
    </w:p>
    <w:p>
      <w:pPr>
        <w:spacing w:after="0" w:line="125" w:lineRule="exact"/>
        <w:rPr>
          <w:sz w:val="20"/>
          <w:szCs w:val="20"/>
          <w:color w:val="auto"/>
        </w:rPr>
      </w:pPr>
    </w:p>
    <w:p>
      <w:pPr>
        <w:ind w:right="100" w:firstLine="359"/>
        <w:spacing w:after="0" w:line="257" w:lineRule="auto"/>
        <w:rPr>
          <w:sz w:val="20"/>
          <w:szCs w:val="20"/>
          <w:color w:val="auto"/>
        </w:rPr>
      </w:pPr>
      <w:r>
        <w:rPr>
          <w:rFonts w:ascii="Arial" w:cs="Arial" w:eastAsia="Arial" w:hAnsi="Arial"/>
          <w:sz w:val="20"/>
          <w:szCs w:val="20"/>
          <w:color w:val="auto"/>
        </w:rPr>
        <w:t>Acquisition-related expenses, which were comprised primarily of regulatory, financial advisory and legal fees, totaled $59 million for the year ended December 31, 2024 and were included in SG&amp;A expense in the consolidated statements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 Forma Financial Information</w:t>
      </w:r>
    </w:p>
    <w:p>
      <w:pPr>
        <w:spacing w:after="0" w:line="131" w:lineRule="exact"/>
        <w:rPr>
          <w:sz w:val="20"/>
          <w:szCs w:val="20"/>
          <w:color w:val="auto"/>
        </w:rPr>
      </w:pPr>
    </w:p>
    <w:p>
      <w:pPr>
        <w:ind w:right="380" w:firstLine="359"/>
        <w:spacing w:after="0" w:line="257" w:lineRule="auto"/>
        <w:rPr>
          <w:sz w:val="20"/>
          <w:szCs w:val="20"/>
          <w:color w:val="auto"/>
        </w:rPr>
      </w:pPr>
      <w:r>
        <w:rPr>
          <w:rFonts w:ascii="Arial" w:cs="Arial" w:eastAsia="Arial" w:hAnsi="Arial"/>
          <w:sz w:val="20"/>
          <w:szCs w:val="20"/>
          <w:color w:val="auto"/>
        </w:rPr>
        <w:t>The following table presents the unaudited pro forma combined results of AbbVie, ImmunoGen and Cerevel Therapeutics for 2024 and 2023 as if the acquisitions of ImmunoGen and Cerevel Therapeutics had occurred on January 1,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3080" w:type="dxa"/>
            <w:vAlign w:val="bottom"/>
          </w:tcPr>
          <w:p>
            <w:pPr>
              <w:jc w:val="right"/>
              <w:ind w:right="207"/>
              <w:spacing w:after="0"/>
              <w:rPr>
                <w:sz w:val="20"/>
                <w:szCs w:val="20"/>
                <w:color w:val="auto"/>
              </w:rPr>
            </w:pPr>
            <w:r>
              <w:rPr>
                <w:rFonts w:ascii="Arial" w:cs="Arial" w:eastAsia="Arial" w:hAnsi="Arial"/>
                <w:sz w:val="16"/>
                <w:szCs w:val="16"/>
                <w:b w:val="1"/>
                <w:bCs w:val="1"/>
                <w:color w:val="auto"/>
              </w:rPr>
              <w:t>2024</w:t>
            </w:r>
          </w:p>
        </w:tc>
        <w:tc>
          <w:tcPr>
            <w:tcW w:w="860" w:type="dxa"/>
            <w:vAlign w:val="bottom"/>
          </w:tcPr>
          <w:p>
            <w:pPr>
              <w:jc w:val="right"/>
              <w:ind w:right="107"/>
              <w:spacing w:after="0"/>
              <w:rPr>
                <w:sz w:val="20"/>
                <w:szCs w:val="20"/>
                <w:color w:val="auto"/>
              </w:rPr>
            </w:pPr>
            <w:r>
              <w:rPr>
                <w:rFonts w:ascii="Arial" w:cs="Arial" w:eastAsia="Arial" w:hAnsi="Arial"/>
                <w:sz w:val="16"/>
                <w:szCs w:val="16"/>
                <w:b w:val="1"/>
                <w:bCs w:val="1"/>
                <w:color w:val="auto"/>
              </w:rPr>
              <w:t>2023</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20"/>
                <w:szCs w:val="20"/>
                <w:color w:val="auto"/>
              </w:rPr>
              <w:t>Net revenues</w:t>
            </w:r>
          </w:p>
        </w:tc>
        <w:tc>
          <w:tcPr>
            <w:tcW w:w="3080" w:type="dxa"/>
            <w:vAlign w:val="bottom"/>
          </w:tcPr>
          <w:p>
            <w:pPr>
              <w:jc w:val="right"/>
              <w:ind w:right="7"/>
              <w:spacing w:after="0"/>
              <w:rPr>
                <w:sz w:val="20"/>
                <w:szCs w:val="20"/>
                <w:color w:val="auto"/>
              </w:rPr>
            </w:pPr>
            <w:r>
              <w:rPr>
                <w:rFonts w:ascii="Arial" w:cs="Arial" w:eastAsia="Arial" w:hAnsi="Arial"/>
                <w:sz w:val="20"/>
                <w:szCs w:val="20"/>
                <w:color w:val="auto"/>
              </w:rPr>
              <w:t>$56,389</w:t>
            </w:r>
          </w:p>
        </w:tc>
        <w:tc>
          <w:tcPr>
            <w:tcW w:w="860" w:type="dxa"/>
            <w:vAlign w:val="bottom"/>
          </w:tcPr>
          <w:p>
            <w:pPr>
              <w:jc w:val="right"/>
              <w:spacing w:after="0"/>
              <w:rPr>
                <w:sz w:val="20"/>
                <w:szCs w:val="20"/>
                <w:color w:val="auto"/>
              </w:rPr>
            </w:pPr>
            <w:r>
              <w:rPr>
                <w:rFonts w:ascii="Arial" w:cs="Arial" w:eastAsia="Arial" w:hAnsi="Arial"/>
                <w:sz w:val="20"/>
                <w:szCs w:val="20"/>
                <w:color w:val="auto"/>
              </w:rPr>
              <w:t>$54,691</w:t>
            </w:r>
          </w:p>
        </w:tc>
      </w:tr>
      <w:tr>
        <w:trPr>
          <w:trHeight w:val="282"/>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Net earnings</w:t>
            </w:r>
          </w:p>
        </w:tc>
        <w:tc>
          <w:tcPr>
            <w:tcW w:w="308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4,564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2,862</w:t>
            </w:r>
          </w:p>
        </w:tc>
      </w:tr>
    </w:tbl>
    <w:p>
      <w:pPr>
        <w:spacing w:after="0" w:line="183" w:lineRule="exact"/>
        <w:rPr>
          <w:sz w:val="20"/>
          <w:szCs w:val="20"/>
          <w:color w:val="auto"/>
        </w:rPr>
      </w:pPr>
    </w:p>
    <w:p>
      <w:pPr>
        <w:ind w:firstLine="359"/>
        <w:spacing w:after="0" w:line="263" w:lineRule="auto"/>
        <w:rPr>
          <w:sz w:val="20"/>
          <w:szCs w:val="20"/>
          <w:color w:val="auto"/>
        </w:rPr>
      </w:pPr>
      <w:r>
        <w:rPr>
          <w:rFonts w:ascii="Arial" w:cs="Arial" w:eastAsia="Arial" w:hAnsi="Arial"/>
          <w:sz w:val="19"/>
          <w:szCs w:val="19"/>
          <w:color w:val="auto"/>
        </w:rPr>
        <w:t>The unaudited pro forma combined financial information was prepared using the acquisition method of accounting and was based on the historical financial information of AbbVie, ImmunoGen and Cerevel Therapeutics. In order to reflect the occurrence of the acquisitions on January 1, 2023 as required, the unaudited pro forma financial information includes adjustments to reflect incremental amortization expense to be incurred based on the fair values of the identifiable intangible assets acquired; the incremental cost of products sold related to the fair value adjustments associated with acquisition date inventory; the additional interest expense associated with the issuance of debt to finance the acquisition; and the reclassification of acquisition-related costs incurred during the year ended December 31, 2024 to the year ended December 31, 2023. The unaudited pro forma financial information is not necessarily indicative of what the consolidated results of operations would have been had the acquisitions been completed on January 1, 2023. In addition, the unaudited pro forma financial information is not a projection of future results of operations of the combined company nor does it reflect the expected realization of any synergies or cost savings associated with the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Other Licensing &amp; Acquisitions Activity</w:t>
      </w:r>
    </w:p>
    <w:p>
      <w:pPr>
        <w:spacing w:after="0" w:line="131" w:lineRule="exact"/>
        <w:rPr>
          <w:sz w:val="20"/>
          <w:szCs w:val="20"/>
          <w:color w:val="auto"/>
        </w:rPr>
      </w:pPr>
    </w:p>
    <w:p>
      <w:pPr>
        <w:ind w:firstLine="359"/>
        <w:spacing w:after="0" w:line="266" w:lineRule="auto"/>
        <w:rPr>
          <w:sz w:val="20"/>
          <w:szCs w:val="20"/>
          <w:color w:val="auto"/>
        </w:rPr>
      </w:pPr>
      <w:r>
        <w:rPr>
          <w:rFonts w:ascii="Arial" w:cs="Arial" w:eastAsia="Arial" w:hAnsi="Arial"/>
          <w:sz w:val="20"/>
          <w:szCs w:val="20"/>
          <w:color w:val="auto"/>
        </w:rPr>
        <w:t>Cash outflows related to other acquisitions and investments, net of cash acquired totaled $5.2 billion in 2025, $3.0 billion in 2024 and $1.2 billion in 2023.</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acquired IPR&amp;D and milestone expense: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760" w:type="dxa"/>
            <w:vAlign w:val="bottom"/>
          </w:tcPr>
          <w:p>
            <w:pPr>
              <w:jc w:val="right"/>
              <w:ind w:right="145"/>
              <w:spacing w:after="0"/>
              <w:rPr>
                <w:sz w:val="20"/>
                <w:szCs w:val="20"/>
                <w:color w:val="auto"/>
              </w:rPr>
            </w:pPr>
            <w:r>
              <w:rPr>
                <w:rFonts w:ascii="Arial" w:cs="Arial" w:eastAsia="Arial" w:hAnsi="Arial"/>
                <w:sz w:val="16"/>
                <w:szCs w:val="16"/>
                <w:b w:val="1"/>
                <w:bCs w:val="1"/>
                <w:color w:val="auto"/>
              </w:rPr>
              <w:t>2025</w:t>
            </w:r>
          </w:p>
        </w:tc>
        <w:tc>
          <w:tcPr>
            <w:tcW w:w="840" w:type="dxa"/>
            <w:vAlign w:val="bottom"/>
          </w:tcPr>
          <w:p>
            <w:pPr>
              <w:jc w:val="right"/>
              <w:ind w:right="145"/>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20"/>
                <w:szCs w:val="20"/>
                <w:color w:val="auto"/>
              </w:rPr>
              <w:t>Upfront charges</w:t>
            </w:r>
          </w:p>
        </w:tc>
        <w:tc>
          <w:tcPr>
            <w:tcW w:w="2760" w:type="dxa"/>
            <w:vAlign w:val="bottom"/>
          </w:tcPr>
          <w:p>
            <w:pPr>
              <w:jc w:val="right"/>
              <w:ind w:right="25"/>
              <w:spacing w:after="0"/>
              <w:rPr>
                <w:sz w:val="20"/>
                <w:szCs w:val="20"/>
                <w:color w:val="auto"/>
              </w:rPr>
            </w:pPr>
            <w:r>
              <w:rPr>
                <w:rFonts w:ascii="Arial" w:cs="Arial" w:eastAsia="Arial" w:hAnsi="Arial"/>
                <w:sz w:val="20"/>
                <w:szCs w:val="20"/>
                <w:color w:val="auto"/>
              </w:rPr>
              <w:t>$4,808</w:t>
            </w:r>
          </w:p>
        </w:tc>
        <w:tc>
          <w:tcPr>
            <w:tcW w:w="840" w:type="dxa"/>
            <w:vAlign w:val="bottom"/>
          </w:tcPr>
          <w:p>
            <w:pPr>
              <w:jc w:val="right"/>
              <w:ind w:right="25"/>
              <w:spacing w:after="0"/>
              <w:rPr>
                <w:sz w:val="20"/>
                <w:szCs w:val="20"/>
                <w:color w:val="auto"/>
              </w:rPr>
            </w:pPr>
            <w:r>
              <w:rPr>
                <w:rFonts w:ascii="Arial" w:cs="Arial" w:eastAsia="Arial" w:hAnsi="Arial"/>
                <w:sz w:val="20"/>
                <w:szCs w:val="20"/>
                <w:color w:val="auto"/>
              </w:rPr>
              <w:t>$2,627</w:t>
            </w:r>
          </w:p>
        </w:tc>
        <w:tc>
          <w:tcPr>
            <w:tcW w:w="580" w:type="dxa"/>
            <w:vAlign w:val="bottom"/>
          </w:tcPr>
          <w:p>
            <w:pPr>
              <w:jc w:val="right"/>
              <w:spacing w:after="0"/>
              <w:rPr>
                <w:sz w:val="20"/>
                <w:szCs w:val="20"/>
                <w:color w:val="auto"/>
              </w:rPr>
            </w:pPr>
            <w:r>
              <w:rPr>
                <w:rFonts w:ascii="Arial" w:cs="Arial" w:eastAsia="Arial" w:hAnsi="Arial"/>
                <w:sz w:val="20"/>
                <w:szCs w:val="20"/>
                <w:color w:val="auto"/>
              </w:rPr>
              <w:t>$582</w:t>
            </w:r>
          </w:p>
        </w:tc>
      </w:tr>
      <w:tr>
        <w:trPr>
          <w:trHeight w:val="282"/>
        </w:trPr>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Development milestones</w:t>
            </w:r>
          </w:p>
        </w:tc>
        <w:tc>
          <w:tcPr>
            <w:tcW w:w="276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208</w:t>
            </w: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130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w:t>
            </w:r>
          </w:p>
        </w:tc>
      </w:tr>
      <w:tr>
        <w:trPr>
          <w:trHeight w:val="269"/>
        </w:trPr>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Acquired IPR&amp;D and milestones</w:t>
            </w:r>
          </w:p>
        </w:tc>
        <w:tc>
          <w:tcPr>
            <w:tcW w:w="276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$5,016</w:t>
            </w: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$2,757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$778</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RemeGen Co., Ltd.</w:t>
      </w:r>
    </w:p>
    <w:p>
      <w:pPr>
        <w:spacing w:after="0" w:line="131"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Subsequent to December 31, 2025, AbbVie announced that it entered into a license agreement with RemeGen Co., Ltd. (RemeGen). Under the terms of the agreement, AbbVie will make an upfront payment of $650 million and receive an exclusive global license excluding China to develop, manufacture and commercialize RC148, a novel investigational Programmed Cell Death-1 (PD-1)/Vascular Endothelial Growth Factor (VEGF)-targeted bispecific antibody in development for the treatment of multiple advanced solid tumors. AbbVie could make additional payments of up to $5.0 billion upon achievement of certain development, regulatory and commercial milestones and pay tiered royalties. The transaction is expected to close in 2026, subject to regulatory approvals and other customary closing conditions.</w:t>
      </w:r>
    </w:p>
    <w:p>
      <w:pPr>
        <w:sectPr>
          <w:pgSz w:w="11880" w:h="15480" w:orient="portrait"/>
          <w:cols w:equalWidth="0" w:num="1">
            <w:col w:w="9100"/>
          </w:cols>
          <w:pgMar w:left="1400" w:top="1030" w:right="1380" w:bottom="87" w:gutter="0" w:footer="0" w:header="0"/>
        </w:sectPr>
      </w:pPr>
    </w:p>
    <w:p>
      <w:pPr>
        <w:spacing w:after="0" w:line="247"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73</w:t>
      </w:r>
    </w:p>
    <w:p>
      <w:pPr>
        <w:sectPr>
          <w:pgSz w:w="11880" w:h="15480" w:orient="portrait"/>
          <w:cols w:equalWidth="0" w:num="1">
            <w:col w:w="9100"/>
          </w:cols>
          <w:pgMar w:left="1400" w:top="1030" w:right="1380" w:bottom="87"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i w:val="1"/>
          <w:iCs w:val="1"/>
          <w:color w:val="auto"/>
        </w:rPr>
        <w:t>Gilgamesh Pharmaceuticals, Inc.</w:t>
      </w:r>
    </w:p>
    <w:p>
      <w:pPr>
        <w:spacing w:after="0" w:line="131"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In October 2025, AbbVie completed its previously announced acquisition of Gilgamesh Pharmaceuticals, Inc. (Gilgamesh), including its lead program bretisilocin (GM-2505). GM-2505, renamed ABBV-2505, is a short-acting serotonin (5-HT)2A receptor agonist and 5-HT releaser in development for the treatment of major depressive disorder. As part of the transaction, Gilgamesh spun off a new independent entity that will operate under the name Gilgamesh Pharma Inc. to retain its employees and other programs, including an existing option-to-license agreement with AbbVie which remains in effect. Under the terms of the agreement, AbbVie made an upfront cash payment of</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$906 million to acquire all outstanding equity of Gilgamesh and the transaction was accounted for as an asset acquisition as the lead program represented substantially all of the fair value of the gross assets acquired. The upfront cash payment was recorded in acquired IPR&amp;D and milestones expense in the consolidated statement of earnings in the fourth quarter of 2025. AbbVie could make additional payments of up to $300 million upon achievement of development milestones.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Ichnos Glenmark Innovation, Inc.</w:t>
      </w:r>
    </w:p>
    <w:p>
      <w:pPr>
        <w:spacing w:after="0" w:line="131" w:lineRule="exact"/>
        <w:rPr>
          <w:sz w:val="20"/>
          <w:szCs w:val="20"/>
          <w:color w:val="auto"/>
        </w:rPr>
      </w:pPr>
    </w:p>
    <w:p>
      <w:pPr>
        <w:ind w:firstLine="359"/>
        <w:spacing w:after="0" w:line="252" w:lineRule="auto"/>
        <w:rPr>
          <w:sz w:val="20"/>
          <w:szCs w:val="20"/>
          <w:color w:val="auto"/>
        </w:rPr>
      </w:pPr>
      <w:r>
        <w:rPr>
          <w:rFonts w:ascii="Arial" w:cs="Arial" w:eastAsia="Arial" w:hAnsi="Arial"/>
          <w:sz w:val="20"/>
          <w:szCs w:val="20"/>
          <w:color w:val="auto"/>
        </w:rPr>
        <w:t>In September 2025, AbbVie entered into a license agreement with Ichnos Glenmark Innovation, Inc. (IGI). Under the terms of the agreement, AbbVie received an exclusive license to develop, manufacture and commercialize ISB-2001 (ABBV-2001), a tri-specific T-cell engager in development for the treatment of multiple myeloma across North America, Europe, Japan and Greater China. The upfront payment of $700 million was recorded in acquired IPR&amp;D and milestones expense in the consolidated statement of earnings in the third quarter of 2025. AbbVie could make additional payments of up to $1.2 billion upon achievement of certain development, regulatory and commercial milestones and pay tiered royalties.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Capstan Therapeutics, Inc.</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August 2025, AbbVie acquired Capstan Therapeutics, Inc. (Capstan), including its lead program</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CPTX2309 (ABBV-619), a potential first-in-class in vivo targeted lipid nanoparticle (tLNP) anti-CD19</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CAR-T therapy candidate in development for the treatment of B cell-mediated autoimmune diseases.</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Under the terms of the agreement, AbbVie paid cash consideration of $2.1 billion ($1.9 billion, net of</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cash acquired) to acquire all outstanding equity of Capstan and the transaction was accounted for as an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asset acquisition as the lead program represented substantially all of the fair value of the gross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assets acquired. The cash consideration of $1.9 billion, net of cash acquired, was recognized in acquired</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IPR&amp;D and milestones expense in the consolidated statement of earnings in the third quarter of</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2025. In connection with the transaction, AbbVie also recorded $187 million of cash-settled, post-closing expense for Capstan employee incentive and compensation awards in the consolidated statement of earnings in the third quarter of 2025.</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ADARx Pharmaceuticals, Inc.</w:t>
      </w:r>
    </w:p>
    <w:p>
      <w:pPr>
        <w:spacing w:after="0" w:line="131" w:lineRule="exact"/>
        <w:rPr>
          <w:sz w:val="20"/>
          <w:szCs w:val="20"/>
          <w:color w:val="auto"/>
        </w:rPr>
      </w:pPr>
    </w:p>
    <w:p>
      <w:pPr>
        <w:ind w:right="60" w:firstLine="359"/>
        <w:spacing w:after="0" w:line="252" w:lineRule="auto"/>
        <w:rPr>
          <w:sz w:val="20"/>
          <w:szCs w:val="20"/>
          <w:color w:val="auto"/>
        </w:rPr>
      </w:pPr>
      <w:r>
        <w:rPr>
          <w:rFonts w:ascii="Arial" w:cs="Arial" w:eastAsia="Arial" w:hAnsi="Arial"/>
          <w:sz w:val="20"/>
          <w:szCs w:val="20"/>
          <w:color w:val="auto"/>
        </w:rPr>
        <w:t>In May 2025, AbbVie entered into a license option agreement with ADARx Pharmaceuticals, Inc. (ADARx). Under the terms of the agreement, AbbVie received exclusive options to global license rights to develop and commercialize ADARx’s small interfering RNA (siRNA) therapeutics across multiple disease areas, including neuroscience, immunology and oncology. Under the terms of the agreement, AbbVie made an upfront payment of $335 million which was recognized in acquired IPR&amp;D and milestones expense in the consolidated statement of earnings in the second quarter of 2025. AbbVie could make additional payments of up to $385 million for option fees and option exercise payments, up to $7.5 billion upon achievement of certain development, regulatory and commercial milestones and pay tiered royalties.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Gubra A/S</w:t>
      </w:r>
    </w:p>
    <w:p>
      <w:pPr>
        <w:spacing w:after="0" w:line="131" w:lineRule="exact"/>
        <w:rPr>
          <w:sz w:val="20"/>
          <w:szCs w:val="20"/>
          <w:color w:val="auto"/>
        </w:rPr>
      </w:pPr>
    </w:p>
    <w:p>
      <w:pPr>
        <w:ind w:right="40" w:firstLine="359"/>
        <w:spacing w:after="0" w:line="256" w:lineRule="auto"/>
        <w:rPr>
          <w:sz w:val="20"/>
          <w:szCs w:val="20"/>
          <w:color w:val="auto"/>
        </w:rPr>
      </w:pPr>
      <w:r>
        <w:rPr>
          <w:rFonts w:ascii="Arial" w:cs="Arial" w:eastAsia="Arial" w:hAnsi="Arial"/>
          <w:sz w:val="20"/>
          <w:szCs w:val="20"/>
          <w:color w:val="auto"/>
        </w:rPr>
        <w:t>In April 2025, AbbVie entered into a licensing agreement with Gubra A/S. Under the terms of the agreement, AbbVie received an exclusive global license to develop and commercialize GUB014295 (ABBV-295), a long-acting amylin analog in development for the treatment of obesity. Under the terms of the agreement, AbbVie made an upfront payment of $350 million which was recognized in acquired</w:t>
      </w:r>
    </w:p>
    <w:p>
      <w:pPr>
        <w:sectPr>
          <w:pgSz w:w="11880" w:h="15480" w:orient="portrait"/>
          <w:cols w:equalWidth="0" w:num="1">
            <w:col w:w="9100"/>
          </w:cols>
          <w:pgMar w:left="1400" w:top="1028" w:right="1380" w:bottom="75"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sz w:val="1"/>
          <w:szCs w:val="1"/>
          <w:color w:val="auto"/>
        </w:rPr>
        <w:drawing>
          <wp:inline distT="0" distB="0" distL="0" distR="0">
            <wp:extent cx="615950" cy="12827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8" w:right="1380" w:bottom="75" w:gutter="0" w:footer="0" w:header="0"/>
          <w:type w:val="continuous"/>
        </w:sectPr>
      </w:pPr>
    </w:p>
    <w:bookmarkStart w:id="80" w:name="page81"/>
    <w:bookmarkEnd w:id="80"/>
    <w:p>
      <w:pPr>
        <w:jc w:val="both"/>
        <w:ind w:right="300"/>
        <w:spacing w:after="0" w:line="253" w:lineRule="auto"/>
        <w:rPr>
          <w:sz w:val="20"/>
          <w:szCs w:val="20"/>
          <w:color w:val="auto"/>
        </w:rPr>
      </w:pPr>
      <w:r>
        <w:rPr>
          <w:rFonts w:ascii="Arial" w:cs="Arial" w:eastAsia="Arial" w:hAnsi="Arial"/>
          <w:sz w:val="20"/>
          <w:szCs w:val="20"/>
          <w:color w:val="auto"/>
        </w:rPr>
        <w:t>IPR&amp;D and milestones expense in the consolidated statement of earnings in the second quarter of 2025. AbbVie could make additional payments of up to $1.9 billion upon achievement of certain development, regulatory and commercial milestones and pay tiered royalties.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Aliada Therapeutics Holdings, Inc.</w:t>
      </w:r>
    </w:p>
    <w:p>
      <w:pPr>
        <w:spacing w:after="0" w:line="131" w:lineRule="exact"/>
        <w:rPr>
          <w:sz w:val="20"/>
          <w:szCs w:val="20"/>
          <w:color w:val="auto"/>
        </w:rPr>
      </w:pPr>
    </w:p>
    <w:p>
      <w:pPr>
        <w:ind w:right="20" w:firstLine="359"/>
        <w:spacing w:after="0" w:line="246" w:lineRule="auto"/>
        <w:rPr>
          <w:sz w:val="20"/>
          <w:szCs w:val="20"/>
          <w:color w:val="auto"/>
        </w:rPr>
      </w:pPr>
      <w:r>
        <w:rPr>
          <w:rFonts w:ascii="Arial" w:cs="Arial" w:eastAsia="Arial" w:hAnsi="Arial"/>
          <w:sz w:val="20"/>
          <w:szCs w:val="20"/>
          <w:color w:val="auto"/>
        </w:rPr>
        <w:t>In December 2024, AbbVie acquired Aliada Therapeutics Holdings, Inc. (Aliada) including its lead program ALIA-1758 (ABBV-1758) and accounted for the transaction as an asset acquisition as the lead program represented substantially all of the fair value of the gross assets acquired. ABBV-1758 is an anti-pyroglutamate amyloid beta (3pE-A</w:t>
      </w:r>
      <w:r>
        <w:rPr>
          <w:rFonts w:ascii="Arial" w:cs="Arial" w:eastAsia="Arial" w:hAnsi="Arial"/>
          <w:sz w:val="20"/>
          <w:szCs w:val="20"/>
          <w:color w:val="auto"/>
        </w:rPr>
        <w:t>β</w:t>
      </w:r>
      <w:r>
        <w:rPr>
          <w:rFonts w:ascii="Arial" w:cs="Arial" w:eastAsia="Arial" w:hAnsi="Arial"/>
          <w:sz w:val="20"/>
          <w:szCs w:val="20"/>
          <w:color w:val="auto"/>
        </w:rPr>
        <w:t>) antibody in development for the treatment of Alzheimer’s Disease. Under the terms of the agreement, AbbVie made an upfront cash payment of approximately $1.4 billion to acquire all outstanding equity of Aliada which was recorded in acquired IPR&amp;D and milestones expense in the consolidated statement of earnings in the fourth quarter of 2024.</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Celsius Therapeutics, Inc.</w:t>
      </w:r>
    </w:p>
    <w:p>
      <w:pPr>
        <w:spacing w:after="0" w:line="131" w:lineRule="exact"/>
        <w:rPr>
          <w:sz w:val="20"/>
          <w:szCs w:val="20"/>
          <w:color w:val="auto"/>
        </w:rPr>
      </w:pPr>
    </w:p>
    <w:p>
      <w:pPr>
        <w:ind w:right="20" w:firstLine="359"/>
        <w:spacing w:after="0" w:line="246" w:lineRule="auto"/>
        <w:rPr>
          <w:sz w:val="20"/>
          <w:szCs w:val="20"/>
          <w:color w:val="auto"/>
        </w:rPr>
      </w:pPr>
      <w:r>
        <w:rPr>
          <w:rFonts w:ascii="Arial" w:cs="Arial" w:eastAsia="Arial" w:hAnsi="Arial"/>
          <w:sz w:val="20"/>
          <w:szCs w:val="20"/>
          <w:color w:val="auto"/>
        </w:rPr>
        <w:t>In June 2024, AbbVie acquired Celsius Therapeutics, Inc. (Celsius Therapeutics) including its lead pipeline asset CEL383 (ABBV-8736). Celsius Therapeutics is a clinical-stage biotechnology company focused on the discovery and development of precision medicine in inflammatory bowel disease. The transaction was accounted for as an asset acquisition as the lead pipeline asset represented substantially all of the fair value of the gross assets acquired. The upfront payment of $250 million was recorded in acquired IPR&amp;D and milestones expense in the consolidated statement of earnings in the second quarter of 2024.</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Arrangements</w:t>
      </w:r>
    </w:p>
    <w:p>
      <w:pPr>
        <w:spacing w:after="0" w:line="131" w:lineRule="exact"/>
        <w:rPr>
          <w:sz w:val="20"/>
          <w:szCs w:val="20"/>
          <w:color w:val="auto"/>
        </w:rPr>
      </w:pPr>
    </w:p>
    <w:p>
      <w:pPr>
        <w:ind w:right="140" w:firstLine="359"/>
        <w:spacing w:after="0" w:line="248" w:lineRule="auto"/>
        <w:rPr>
          <w:sz w:val="20"/>
          <w:szCs w:val="20"/>
          <w:color w:val="auto"/>
        </w:rPr>
      </w:pPr>
      <w:r>
        <w:rPr>
          <w:rFonts w:ascii="Arial" w:cs="Arial" w:eastAsia="Arial" w:hAnsi="Arial"/>
          <w:sz w:val="20"/>
          <w:szCs w:val="20"/>
          <w:color w:val="auto"/>
        </w:rPr>
        <w:t>In addition to the significant arrangements described above, AbbVie entered into several other arrangements resulting in charges related to upfront payments of $602 million in 2025, $975 million in 2024 and $582 million in 2023. In connection with the other individually insignificant early-stage arrangements entered into in 2025, AbbVie could make additional payments of up to $6.9 billion upon the achievement of certain development, regulatory and commercial milestones.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6 Collaborations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50" w:lineRule="exact"/>
        <w:rPr>
          <w:sz w:val="20"/>
          <w:szCs w:val="20"/>
          <w:color w:val="auto"/>
        </w:rPr>
      </w:pPr>
    </w:p>
    <w:p>
      <w:pPr>
        <w:ind w:right="180" w:firstLine="359"/>
        <w:spacing w:after="0" w:line="262" w:lineRule="auto"/>
        <w:rPr>
          <w:sz w:val="20"/>
          <w:szCs w:val="20"/>
          <w:color w:val="auto"/>
        </w:rPr>
      </w:pPr>
      <w:r>
        <w:rPr>
          <w:rFonts w:ascii="Arial" w:cs="Arial" w:eastAsia="Arial" w:hAnsi="Arial"/>
          <w:sz w:val="20"/>
          <w:szCs w:val="20"/>
          <w:color w:val="auto"/>
        </w:rPr>
        <w:t>The company has ongoing transactions with other entities through collaboration agreements. The following represent the significant collaboration agreements impacting 2025, 2024 and 2023.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Collaboration with Janssen Biotech, Inc.</w:t>
      </w:r>
    </w:p>
    <w:p>
      <w:pPr>
        <w:spacing w:after="0" w:line="131"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In December 2011, Pharmacyclics, a wholly-owned subsidiary of AbbVie, entered into a worldwide collaboration and license agreement with Janssen, one of the Janssen Pharmaceutical companies of Johnson &amp; Johnson, for the joint development and commercialization of Imbruvica, a novel, orally active, selective covalent inhibitor of Bruton’s tyrosine kinase and certain compounds structurally related to Imbruvica, for oncology and other indications, excluding all immune and inflammatory mediated diseases or conditions and all psychiatric or psychological diseases or conditions, in the United States and outside the United States.</w:t>
      </w:r>
    </w:p>
    <w:p>
      <w:pPr>
        <w:spacing w:after="0" w:line="121" w:lineRule="exact"/>
        <w:rPr>
          <w:sz w:val="20"/>
          <w:szCs w:val="20"/>
          <w:color w:val="auto"/>
        </w:rPr>
      </w:pPr>
    </w:p>
    <w:p>
      <w:pPr>
        <w:ind w:firstLine="359"/>
        <w:spacing w:after="0" w:line="263" w:lineRule="auto"/>
        <w:rPr>
          <w:sz w:val="20"/>
          <w:szCs w:val="20"/>
          <w:color w:val="auto"/>
        </w:rPr>
      </w:pPr>
      <w:r>
        <w:rPr>
          <w:rFonts w:ascii="Arial" w:cs="Arial" w:eastAsia="Arial" w:hAnsi="Arial"/>
          <w:sz w:val="19"/>
          <w:szCs w:val="19"/>
          <w:color w:val="auto"/>
        </w:rPr>
        <w:t>The collaboration provides Janssen with an exclusive license to commercialize Imbruvica outside of the United States and co-exclusively with AbbVie in the United States. Both parties are responsible for the development, manufacturing and marketing of any products generated as a result of the collaboration. The collaboration has no set duration or specific expiration date and provides for potential future development, regulatory and approval milestone payments of up to $200 million to AbbVie. The collaboration also includes a cost sharing arrangement for associated collaboration activities. Except in certain cases, Janssen is responsible for approximately 60% of collaboration development costs and AbbVie is responsible for the remaining 40% of collaboration development costs.</w:t>
      </w:r>
    </w:p>
    <w:p>
      <w:pPr>
        <w:spacing w:after="0" w:line="108" w:lineRule="exact"/>
        <w:rPr>
          <w:sz w:val="20"/>
          <w:szCs w:val="20"/>
          <w:color w:val="auto"/>
        </w:rPr>
      </w:pPr>
    </w:p>
    <w:p>
      <w:pPr>
        <w:ind w:firstLine="359"/>
        <w:spacing w:after="0" w:line="255" w:lineRule="auto"/>
        <w:rPr>
          <w:sz w:val="20"/>
          <w:szCs w:val="20"/>
          <w:color w:val="auto"/>
        </w:rPr>
      </w:pPr>
      <w:r>
        <w:rPr>
          <w:rFonts w:ascii="Arial" w:cs="Arial" w:eastAsia="Arial" w:hAnsi="Arial"/>
          <w:sz w:val="20"/>
          <w:szCs w:val="20"/>
          <w:color w:val="auto"/>
        </w:rPr>
        <w:t>In the United States, both parties have co-exclusive rights to commercialize the products; however, AbbVie is the principal in the end-customer product sales. AbbVie and Janssen share pre-tax profits and losses equally from the commercialization of products. Sales of Imbruvica are included in AbbVie’s</w:t>
      </w:r>
    </w:p>
    <w:p>
      <w:pPr>
        <w:sectPr>
          <w:pgSz w:w="11880" w:h="15480" w:orient="portrait"/>
          <w:cols w:equalWidth="0" w:num="1">
            <w:col w:w="9100"/>
          </w:cols>
          <w:pgMar w:left="1400" w:top="1030" w:right="1380" w:bottom="87" w:gutter="0" w:footer="0" w:header="0"/>
        </w:sectPr>
      </w:pPr>
    </w:p>
    <w:p>
      <w:pPr>
        <w:spacing w:after="0" w:line="240"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75</w:t>
      </w:r>
    </w:p>
    <w:p>
      <w:pPr>
        <w:sectPr>
          <w:pgSz w:w="11880" w:h="15480" w:orient="portrait"/>
          <w:cols w:equalWidth="0" w:num="1">
            <w:col w:w="9100"/>
          </w:cols>
          <w:pgMar w:left="1400" w:top="1030" w:right="1380" w:bottom="87" w:gutter="0" w:footer="0" w:header="0"/>
          <w:type w:val="continuous"/>
        </w:sectPr>
      </w:pPr>
    </w:p>
    <w:bookmarkStart w:id="81" w:name="page82"/>
    <w:bookmarkEnd w:id="81"/>
    <w:p>
      <w:pPr>
        <w:ind w:right="260"/>
        <w:spacing w:after="0" w:line="259" w:lineRule="auto"/>
        <w:rPr>
          <w:sz w:val="20"/>
          <w:szCs w:val="20"/>
          <w:color w:val="auto"/>
        </w:rPr>
      </w:pPr>
      <w:r>
        <w:rPr>
          <w:rFonts w:ascii="Arial" w:cs="Arial" w:eastAsia="Arial" w:hAnsi="Arial"/>
          <w:sz w:val="20"/>
          <w:szCs w:val="20"/>
          <w:color w:val="auto"/>
        </w:rPr>
        <w:t>net revenues. Janssen’s share of profits is included in AbbVie’s cost of products sold. Other costs incurred under the collaboration are reported in their respective expense line items, net of Janssen’s share.</w:t>
      </w:r>
    </w:p>
    <w:p>
      <w:pPr>
        <w:spacing w:after="0" w:line="114" w:lineRule="exact"/>
        <w:rPr>
          <w:sz w:val="20"/>
          <w:szCs w:val="20"/>
          <w:color w:val="auto"/>
        </w:rPr>
      </w:pPr>
    </w:p>
    <w:p>
      <w:pPr>
        <w:ind w:firstLine="359"/>
        <w:spacing w:after="0" w:line="256" w:lineRule="auto"/>
        <w:rPr>
          <w:sz w:val="20"/>
          <w:szCs w:val="20"/>
          <w:color w:val="auto"/>
        </w:rPr>
      </w:pPr>
      <w:r>
        <w:rPr>
          <w:rFonts w:ascii="Arial" w:cs="Arial" w:eastAsia="Arial" w:hAnsi="Arial"/>
          <w:sz w:val="20"/>
          <w:szCs w:val="20"/>
          <w:color w:val="auto"/>
        </w:rPr>
        <w:t>Outside the United States, Janssen is responsible for and has exclusive rights to commercialize Imbruvica. AbbVie and Janssen share pre-tax profits and losses equally from the commercialization of products. AbbVie’s share of profits is included in AbbVie’s net revenues. Other costs incurred under the collaboration are reported in their respective expense line items, net of Janssen’s share.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shows the profit and cost sharing relationship between Janssen and AbbVie: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740" w:type="dxa"/>
            <w:vAlign w:val="bottom"/>
          </w:tcPr>
          <w:p>
            <w:pPr>
              <w:jc w:val="right"/>
              <w:ind w:right="25"/>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jc w:val="right"/>
              <w:ind w:right="105"/>
              <w:spacing w:after="0"/>
              <w:rPr>
                <w:sz w:val="20"/>
                <w:szCs w:val="20"/>
                <w:color w:val="auto"/>
              </w:rPr>
            </w:pPr>
            <w:r>
              <w:rPr>
                <w:rFonts w:ascii="Arial" w:cs="Arial" w:eastAsia="Arial" w:hAnsi="Arial"/>
                <w:sz w:val="16"/>
                <w:szCs w:val="16"/>
                <w:b w:val="1"/>
                <w:bCs w:val="1"/>
                <w:color w:val="auto"/>
              </w:rPr>
              <w:t>2024</w:t>
            </w:r>
          </w:p>
        </w:tc>
        <w:tc>
          <w:tcPr>
            <w:tcW w:w="680" w:type="dxa"/>
            <w:vAlign w:val="bottom"/>
          </w:tcPr>
          <w:p>
            <w:pPr>
              <w:jc w:val="right"/>
              <w:ind w:right="45"/>
              <w:spacing w:after="0"/>
              <w:rPr>
                <w:sz w:val="20"/>
                <w:szCs w:val="20"/>
                <w:color w:val="auto"/>
              </w:rPr>
            </w:pPr>
            <w:r>
              <w:rPr>
                <w:rFonts w:ascii="Arial" w:cs="Arial" w:eastAsia="Arial" w:hAnsi="Arial"/>
                <w:sz w:val="16"/>
                <w:szCs w:val="16"/>
                <w:b w:val="1"/>
                <w:bCs w:val="1"/>
                <w:color w:val="auto"/>
              </w:rPr>
              <w:t>2023</w:t>
            </w:r>
          </w:p>
        </w:tc>
      </w:tr>
      <w:tr>
        <w:trPr>
          <w:trHeight w:val="22"/>
        </w:trPr>
        <w:tc>
          <w:tcPr>
            <w:tcW w:w="6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4"/>
        </w:trPr>
        <w:tc>
          <w:tcPr>
            <w:tcW w:w="6920" w:type="dxa"/>
            <w:vAlign w:val="bottom"/>
          </w:tcPr>
          <w:p>
            <w:pPr>
              <w:spacing w:after="0"/>
              <w:rPr>
                <w:sz w:val="20"/>
                <w:szCs w:val="20"/>
                <w:color w:val="auto"/>
              </w:rPr>
            </w:pPr>
            <w:r>
              <w:rPr>
                <w:rFonts w:ascii="Arial" w:cs="Arial" w:eastAsia="Arial" w:hAnsi="Arial"/>
                <w:sz w:val="20"/>
                <w:szCs w:val="20"/>
                <w:color w:val="auto"/>
              </w:rPr>
              <w:t>United States—Janssen’s share of profits (included in cost of products sold)</w:t>
            </w:r>
          </w:p>
        </w:tc>
        <w:tc>
          <w:tcPr>
            <w:tcW w:w="740" w:type="dxa"/>
            <w:vAlign w:val="bottom"/>
          </w:tcPr>
          <w:p>
            <w:pPr>
              <w:jc w:val="right"/>
              <w:spacing w:after="0"/>
              <w:rPr>
                <w:sz w:val="20"/>
                <w:szCs w:val="20"/>
                <w:color w:val="auto"/>
              </w:rPr>
            </w:pPr>
            <w:r>
              <w:rPr>
                <w:rFonts w:ascii="Arial" w:cs="Arial" w:eastAsia="Arial" w:hAnsi="Arial"/>
                <w:sz w:val="20"/>
                <w:szCs w:val="20"/>
                <w:color w:val="auto"/>
              </w:rPr>
              <w:t>$954</w:t>
            </w:r>
          </w:p>
        </w:tc>
        <w:tc>
          <w:tcPr>
            <w:tcW w:w="760" w:type="dxa"/>
            <w:vAlign w:val="bottom"/>
          </w:tcPr>
          <w:p>
            <w:pPr>
              <w:jc w:val="right"/>
              <w:spacing w:after="0"/>
              <w:rPr>
                <w:sz w:val="20"/>
                <w:szCs w:val="20"/>
                <w:color w:val="auto"/>
              </w:rPr>
            </w:pPr>
            <w:r>
              <w:rPr>
                <w:rFonts w:ascii="Arial" w:cs="Arial" w:eastAsia="Arial" w:hAnsi="Arial"/>
                <w:sz w:val="20"/>
                <w:szCs w:val="20"/>
                <w:color w:val="auto"/>
              </w:rPr>
              <w:t>$1,140</w:t>
            </w:r>
          </w:p>
        </w:tc>
        <w:tc>
          <w:tcPr>
            <w:tcW w:w="680" w:type="dxa"/>
            <w:vAlign w:val="bottom"/>
          </w:tcPr>
          <w:p>
            <w:pPr>
              <w:jc w:val="right"/>
              <w:spacing w:after="0"/>
              <w:rPr>
                <w:sz w:val="20"/>
                <w:szCs w:val="20"/>
                <w:color w:val="auto"/>
              </w:rPr>
            </w:pPr>
            <w:r>
              <w:rPr>
                <w:rFonts w:ascii="Arial" w:cs="Arial" w:eastAsia="Arial" w:hAnsi="Arial"/>
                <w:sz w:val="20"/>
                <w:szCs w:val="20"/>
                <w:color w:val="auto"/>
              </w:rPr>
              <w:t>$1,245</w:t>
            </w:r>
          </w:p>
        </w:tc>
      </w:tr>
      <w:tr>
        <w:trPr>
          <w:trHeight w:val="279"/>
        </w:trPr>
        <w:tc>
          <w:tcPr>
            <w:tcW w:w="6920" w:type="dxa"/>
            <w:vAlign w:val="bottom"/>
          </w:tcPr>
          <w:p>
            <w:pPr>
              <w:spacing w:after="0"/>
              <w:rPr>
                <w:sz w:val="20"/>
                <w:szCs w:val="20"/>
                <w:color w:val="auto"/>
              </w:rPr>
            </w:pPr>
            <w:r>
              <w:rPr>
                <w:rFonts w:ascii="Arial" w:cs="Arial" w:eastAsia="Arial" w:hAnsi="Arial"/>
                <w:sz w:val="20"/>
                <w:szCs w:val="20"/>
                <w:color w:val="auto"/>
              </w:rPr>
              <w:t>International—AbbVie’s share of profits (included in net revenues)</w:t>
            </w:r>
          </w:p>
        </w:tc>
        <w:tc>
          <w:tcPr>
            <w:tcW w:w="740" w:type="dxa"/>
            <w:vAlign w:val="bottom"/>
          </w:tcPr>
          <w:p>
            <w:pPr>
              <w:jc w:val="right"/>
              <w:spacing w:after="0"/>
              <w:rPr>
                <w:sz w:val="20"/>
                <w:szCs w:val="20"/>
                <w:color w:val="auto"/>
              </w:rPr>
            </w:pPr>
            <w:r>
              <w:rPr>
                <w:rFonts w:ascii="Arial" w:cs="Arial" w:eastAsia="Arial" w:hAnsi="Arial"/>
                <w:sz w:val="20"/>
                <w:szCs w:val="20"/>
                <w:color w:val="auto"/>
              </w:rPr>
              <w:t>821</w:t>
            </w:r>
          </w:p>
        </w:tc>
        <w:tc>
          <w:tcPr>
            <w:tcW w:w="760" w:type="dxa"/>
            <w:vAlign w:val="bottom"/>
          </w:tcPr>
          <w:p>
            <w:pPr>
              <w:jc w:val="right"/>
              <w:spacing w:after="0"/>
              <w:rPr>
                <w:sz w:val="20"/>
                <w:szCs w:val="20"/>
                <w:color w:val="auto"/>
              </w:rPr>
            </w:pPr>
            <w:r>
              <w:rPr>
                <w:rFonts w:ascii="Arial" w:cs="Arial" w:eastAsia="Arial" w:hAnsi="Arial"/>
                <w:sz w:val="20"/>
                <w:szCs w:val="20"/>
                <w:color w:val="auto"/>
              </w:rPr>
              <w:t>899</w:t>
            </w:r>
          </w:p>
        </w:tc>
        <w:tc>
          <w:tcPr>
            <w:tcW w:w="680" w:type="dxa"/>
            <w:vAlign w:val="bottom"/>
          </w:tcPr>
          <w:p>
            <w:pPr>
              <w:jc w:val="right"/>
              <w:spacing w:after="0"/>
              <w:rPr>
                <w:sz w:val="20"/>
                <w:szCs w:val="20"/>
                <w:color w:val="auto"/>
              </w:rPr>
            </w:pPr>
            <w:r>
              <w:rPr>
                <w:rFonts w:ascii="Arial" w:cs="Arial" w:eastAsia="Arial" w:hAnsi="Arial"/>
                <w:sz w:val="20"/>
                <w:szCs w:val="20"/>
                <w:color w:val="auto"/>
              </w:rPr>
              <w:t>931</w:t>
            </w:r>
          </w:p>
        </w:tc>
      </w:tr>
      <w:tr>
        <w:trPr>
          <w:trHeight w:val="282"/>
        </w:trPr>
        <w:tc>
          <w:tcPr>
            <w:tcW w:w="6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Global—AbbVie’s share of other costs (included in respective line items)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w:t>
            </w:r>
          </w:p>
        </w:tc>
      </w:tr>
    </w:tbl>
    <w:p>
      <w:pPr>
        <w:spacing w:after="0" w:line="185" w:lineRule="exact"/>
        <w:rPr>
          <w:sz w:val="20"/>
          <w:szCs w:val="20"/>
          <w:color w:val="auto"/>
        </w:rPr>
      </w:pPr>
    </w:p>
    <w:p>
      <w:pPr>
        <w:ind w:right="80" w:firstLine="359"/>
        <w:spacing w:after="0" w:line="256" w:lineRule="auto"/>
        <w:rPr>
          <w:sz w:val="20"/>
          <w:szCs w:val="20"/>
          <w:color w:val="auto"/>
        </w:rPr>
      </w:pPr>
      <w:r>
        <w:rPr>
          <w:rFonts w:ascii="Arial" w:cs="Arial" w:eastAsia="Arial" w:hAnsi="Arial"/>
          <w:sz w:val="20"/>
          <w:szCs w:val="20"/>
          <w:color w:val="auto"/>
        </w:rPr>
        <w:t>AbbVie’s receivable from Janssen, included in accounts receivable, net, was $218 million at December 31, 2025 and $237 million at December 31, 2024. AbbVie’s payable to Janssen, included in accounts payable and accrued liabilities, was $189 million at December 31, 2025 and $282 million at December 31, 2024.</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Collaboration with Genentech, Inc.</w:t>
      </w:r>
    </w:p>
    <w:p>
      <w:pPr>
        <w:spacing w:after="0" w:line="131"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AbbVie and Genentech, a member of the Roche Group, are parties to a collaboration and license agreement executed in 2007 to jointly research, develop and commercialize human therapeutic products containing BCL-2 inhibitors and certain other compound inhibitors which included Venclexta, a BCL-2 inhibitor used to treat certain hematological malignancies. AbbVie shares equally with Genentech all pre-tax profits and losses from the development and commercialization of Venclexta in the United States. AbbVie pays royalties on Venclexta net revenues outside the United States.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AbbVie manufactures and distributes Venclexta globally and is the principal in the end-customer</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product sales. Sales of Venclexta are included in AbbVie’s net revenues. Genentech’s share of United</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States profits is included in AbbVie’s cost of products sold. AbbVie records 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costs associated with the United States collaboration as part of SG&amp;A expenses and global development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costs as part of R&amp;D expenses, net of Genentech’s share. Royalties paid for Venclexta revenues</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outside the United States are also included in AbbVie’s cost of products sold.</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shows the profit and cost sharing relationship between Genentech and AbbVie: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860" w:type="dxa"/>
            <w:vAlign w:val="bottom"/>
          </w:tcPr>
          <w:p>
            <w:pPr>
              <w:jc w:val="right"/>
              <w:ind w:right="145"/>
              <w:spacing w:after="0"/>
              <w:rPr>
                <w:sz w:val="20"/>
                <w:szCs w:val="20"/>
                <w:color w:val="auto"/>
              </w:rPr>
            </w:pPr>
            <w:r>
              <w:rPr>
                <w:rFonts w:ascii="Arial" w:cs="Arial" w:eastAsia="Arial" w:hAnsi="Arial"/>
                <w:sz w:val="16"/>
                <w:szCs w:val="16"/>
                <w:b w:val="1"/>
                <w:bCs w:val="1"/>
                <w:color w:val="auto"/>
              </w:rPr>
              <w:t>2025</w:t>
            </w:r>
          </w:p>
        </w:tc>
        <w:tc>
          <w:tcPr>
            <w:tcW w:w="680" w:type="dxa"/>
            <w:vAlign w:val="bottom"/>
          </w:tcPr>
          <w:p>
            <w:pPr>
              <w:jc w:val="right"/>
              <w:ind w:right="65"/>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r>
      <w:tr>
        <w:trPr>
          <w:trHeight w:val="22"/>
        </w:trPr>
        <w:tc>
          <w:tcPr>
            <w:tcW w:w="6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5"/>
        </w:trPr>
        <w:tc>
          <w:tcPr>
            <w:tcW w:w="6980" w:type="dxa"/>
            <w:vAlign w:val="bottom"/>
          </w:tcPr>
          <w:p>
            <w:pPr>
              <w:spacing w:after="0"/>
              <w:rPr>
                <w:sz w:val="20"/>
                <w:szCs w:val="20"/>
                <w:color w:val="auto"/>
              </w:rPr>
            </w:pPr>
            <w:r>
              <w:rPr>
                <w:rFonts w:ascii="Arial" w:cs="Arial" w:eastAsia="Arial" w:hAnsi="Arial"/>
                <w:sz w:val="20"/>
                <w:szCs w:val="20"/>
                <w:color w:val="auto"/>
              </w:rPr>
              <w:t>Genentech’s share of profits, including royalties (included in cost of products</w:t>
            </w: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48"/>
        </w:trPr>
        <w:tc>
          <w:tcPr>
            <w:tcW w:w="6980" w:type="dxa"/>
            <w:vAlign w:val="bottom"/>
          </w:tcPr>
          <w:p>
            <w:pPr>
              <w:ind w:left="180"/>
              <w:spacing w:after="0"/>
              <w:rPr>
                <w:sz w:val="20"/>
                <w:szCs w:val="20"/>
                <w:color w:val="auto"/>
              </w:rPr>
            </w:pPr>
            <w:r>
              <w:rPr>
                <w:rFonts w:ascii="Arial" w:cs="Arial" w:eastAsia="Arial" w:hAnsi="Arial"/>
                <w:sz w:val="20"/>
                <w:szCs w:val="20"/>
                <w:color w:val="auto"/>
              </w:rPr>
              <w:t>sold)</w:t>
            </w:r>
          </w:p>
        </w:tc>
        <w:tc>
          <w:tcPr>
            <w:tcW w:w="860" w:type="dxa"/>
            <w:vAlign w:val="bottom"/>
          </w:tcPr>
          <w:p>
            <w:pPr>
              <w:jc w:val="right"/>
              <w:ind w:right="25"/>
              <w:spacing w:after="0"/>
              <w:rPr>
                <w:sz w:val="20"/>
                <w:szCs w:val="20"/>
                <w:color w:val="auto"/>
              </w:rPr>
            </w:pPr>
            <w:r>
              <w:rPr>
                <w:rFonts w:ascii="Arial" w:cs="Arial" w:eastAsia="Arial" w:hAnsi="Arial"/>
                <w:sz w:val="20"/>
                <w:szCs w:val="20"/>
                <w:color w:val="auto"/>
              </w:rPr>
              <w:t>$1,064</w:t>
            </w:r>
          </w:p>
        </w:tc>
        <w:tc>
          <w:tcPr>
            <w:tcW w:w="680" w:type="dxa"/>
            <w:vAlign w:val="bottom"/>
          </w:tcPr>
          <w:p>
            <w:pPr>
              <w:jc w:val="right"/>
              <w:ind w:right="25"/>
              <w:spacing w:after="0"/>
              <w:rPr>
                <w:sz w:val="20"/>
                <w:szCs w:val="20"/>
                <w:color w:val="auto"/>
              </w:rPr>
            </w:pPr>
            <w:r>
              <w:rPr>
                <w:rFonts w:ascii="Arial" w:cs="Arial" w:eastAsia="Arial" w:hAnsi="Arial"/>
                <w:sz w:val="20"/>
                <w:szCs w:val="20"/>
                <w:color w:val="auto"/>
              </w:rPr>
              <w:t>$990</w:t>
            </w:r>
          </w:p>
        </w:tc>
        <w:tc>
          <w:tcPr>
            <w:tcW w:w="580" w:type="dxa"/>
            <w:vAlign w:val="bottom"/>
          </w:tcPr>
          <w:p>
            <w:pPr>
              <w:jc w:val="right"/>
              <w:spacing w:after="0"/>
              <w:rPr>
                <w:sz w:val="20"/>
                <w:szCs w:val="20"/>
                <w:color w:val="auto"/>
              </w:rPr>
            </w:pPr>
            <w:r>
              <w:rPr>
                <w:rFonts w:ascii="Arial" w:cs="Arial" w:eastAsia="Arial" w:hAnsi="Arial"/>
                <w:sz w:val="20"/>
                <w:szCs w:val="20"/>
                <w:color w:val="auto"/>
              </w:rPr>
              <w:t>$869</w:t>
            </w:r>
          </w:p>
        </w:tc>
      </w:tr>
      <w:tr>
        <w:trPr>
          <w:trHeight w:val="271"/>
        </w:trPr>
        <w:tc>
          <w:tcPr>
            <w:tcW w:w="6980" w:type="dxa"/>
            <w:vAlign w:val="bottom"/>
          </w:tcPr>
          <w:p>
            <w:pPr>
              <w:spacing w:after="0"/>
              <w:rPr>
                <w:sz w:val="20"/>
                <w:szCs w:val="20"/>
                <w:color w:val="auto"/>
              </w:rPr>
            </w:pPr>
            <w:r>
              <w:rPr>
                <w:rFonts w:ascii="Arial" w:cs="Arial" w:eastAsia="Arial" w:hAnsi="Arial"/>
                <w:sz w:val="20"/>
                <w:szCs w:val="20"/>
                <w:color w:val="auto"/>
              </w:rPr>
              <w:t>AbbVie’s share of sales and marketing costs from U.S. collaboration (included</w:t>
            </w: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48"/>
        </w:trPr>
        <w:tc>
          <w:tcPr>
            <w:tcW w:w="6980" w:type="dxa"/>
            <w:vAlign w:val="bottom"/>
          </w:tcPr>
          <w:p>
            <w:pPr>
              <w:ind w:left="180"/>
              <w:spacing w:after="0"/>
              <w:rPr>
                <w:sz w:val="20"/>
                <w:szCs w:val="20"/>
                <w:color w:val="auto"/>
              </w:rPr>
            </w:pPr>
            <w:r>
              <w:rPr>
                <w:rFonts w:ascii="Arial" w:cs="Arial" w:eastAsia="Arial" w:hAnsi="Arial"/>
                <w:sz w:val="20"/>
                <w:szCs w:val="20"/>
                <w:color w:val="auto"/>
              </w:rPr>
              <w:t>in SG&amp;A)</w:t>
            </w:r>
          </w:p>
        </w:tc>
        <w:tc>
          <w:tcPr>
            <w:tcW w:w="860" w:type="dxa"/>
            <w:vAlign w:val="bottom"/>
          </w:tcPr>
          <w:p>
            <w:pPr>
              <w:jc w:val="right"/>
              <w:ind w:right="25"/>
              <w:spacing w:after="0"/>
              <w:rPr>
                <w:sz w:val="20"/>
                <w:szCs w:val="20"/>
                <w:color w:val="auto"/>
              </w:rPr>
            </w:pPr>
            <w:r>
              <w:rPr>
                <w:rFonts w:ascii="Arial" w:cs="Arial" w:eastAsia="Arial" w:hAnsi="Arial"/>
                <w:sz w:val="20"/>
                <w:szCs w:val="20"/>
                <w:color w:val="auto"/>
              </w:rPr>
              <w:t>28</w:t>
            </w:r>
          </w:p>
        </w:tc>
        <w:tc>
          <w:tcPr>
            <w:tcW w:w="680" w:type="dxa"/>
            <w:vAlign w:val="bottom"/>
          </w:tcPr>
          <w:p>
            <w:pPr>
              <w:jc w:val="right"/>
              <w:ind w:right="25"/>
              <w:spacing w:after="0"/>
              <w:rPr>
                <w:sz w:val="20"/>
                <w:szCs w:val="20"/>
                <w:color w:val="auto"/>
              </w:rPr>
            </w:pPr>
            <w:r>
              <w:rPr>
                <w:rFonts w:ascii="Arial" w:cs="Arial" w:eastAsia="Arial" w:hAnsi="Arial"/>
                <w:sz w:val="20"/>
                <w:szCs w:val="20"/>
                <w:color w:val="auto"/>
              </w:rPr>
              <w:t>29</w:t>
            </w:r>
          </w:p>
        </w:tc>
        <w:tc>
          <w:tcPr>
            <w:tcW w:w="58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2"/>
        </w:trPr>
        <w:tc>
          <w:tcPr>
            <w:tcW w:w="6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AbbVie’s share of development costs (included in R&amp;D)</w:t>
            </w: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63</w:t>
            </w:r>
          </w:p>
        </w:tc>
        <w:tc>
          <w:tcPr>
            <w:tcW w:w="6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84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w:t>
            </w:r>
          </w:p>
        </w:tc>
      </w:tr>
    </w:tbl>
    <w:p>
      <w:pPr>
        <w:spacing w:after="0" w:line="200" w:lineRule="exact"/>
        <w:rPr>
          <w:sz w:val="20"/>
          <w:szCs w:val="20"/>
          <w:color w:val="auto"/>
        </w:rPr>
      </w:pPr>
    </w:p>
    <w:p>
      <w:pPr>
        <w:sectPr>
          <w:pgSz w:w="11880" w:h="15480" w:orient="portrait"/>
          <w:cols w:equalWidth="0" w:num="1">
            <w:col w:w="9100"/>
          </w:cols>
          <w:pgMar w:left="1400" w:top="1030"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76  </w:t>
      </w:r>
      <w:r>
        <w:rPr>
          <w:sz w:val="1"/>
          <w:szCs w:val="1"/>
          <w:color w:val="auto"/>
        </w:rPr>
        <w:drawing>
          <wp:inline distT="0" distB="0" distL="0" distR="0">
            <wp:extent cx="615950" cy="12827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82" w:name="page83"/>
    <w:bookmarkEnd w:id="82"/>
    <w:p>
      <w:pPr>
        <w:ind w:left="10"/>
        <w:spacing w:after="0"/>
        <w:rPr>
          <w:sz w:val="20"/>
          <w:szCs w:val="20"/>
          <w:color w:val="auto"/>
        </w:rPr>
      </w:pPr>
      <w:r>
        <w:rPr>
          <w:rFonts w:ascii="Arial" w:cs="Arial" w:eastAsia="Arial" w:hAnsi="Arial"/>
          <w:sz w:val="22"/>
          <w:szCs w:val="22"/>
          <w:b w:val="1"/>
          <w:bCs w:val="1"/>
          <w:color w:val="000039"/>
        </w:rPr>
        <w:t>Note 7 Goodwill and Intangible Assets</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4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Goodwill</w:t>
      </w:r>
    </w:p>
    <w:p>
      <w:pPr>
        <w:spacing w:after="0" w:line="131" w:lineRule="exact"/>
        <w:rPr>
          <w:sz w:val="20"/>
          <w:szCs w:val="20"/>
          <w:color w:val="auto"/>
        </w:rPr>
      </w:pPr>
    </w:p>
    <w:p>
      <w:pPr>
        <w:ind w:left="350"/>
        <w:spacing w:after="0"/>
        <w:rPr>
          <w:sz w:val="20"/>
          <w:szCs w:val="20"/>
          <w:color w:val="auto"/>
        </w:rPr>
      </w:pPr>
      <w:r>
        <w:rPr>
          <w:rFonts w:ascii="Arial" w:cs="Arial" w:eastAsia="Arial" w:hAnsi="Arial"/>
          <w:sz w:val="20"/>
          <w:szCs w:val="20"/>
          <w:color w:val="auto"/>
        </w:rPr>
        <w:t>The following table summarizes the changes in the carrying amount of goodwill:</w:t>
      </w:r>
    </w:p>
    <w:p>
      <w:pPr>
        <w:spacing w:after="0" w:line="145"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57785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455pt,1.95pt" o:allowincell="f" strokecolor="#000000" strokeweight="0.499pt"/>
            </w:pict>
          </mc:Fallback>
        </mc:AlternateConten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6420" w:type="dxa"/>
            <w:vAlign w:val="bottom"/>
          </w:tcPr>
          <w:p>
            <w:pPr>
              <w:spacing w:after="0"/>
              <w:rPr>
                <w:sz w:val="20"/>
                <w:szCs w:val="20"/>
                <w:color w:val="auto"/>
              </w:rPr>
            </w:pPr>
            <w:r>
              <w:rPr>
                <w:rFonts w:ascii="Arial" w:cs="Arial" w:eastAsia="Arial" w:hAnsi="Arial"/>
                <w:sz w:val="20"/>
                <w:szCs w:val="20"/>
                <w:color w:val="auto"/>
              </w:rPr>
              <w:t>Balance as of December 31, 2023</w:t>
            </w:r>
          </w:p>
        </w:tc>
        <w:tc>
          <w:tcPr>
            <w:tcW w:w="2680" w:type="dxa"/>
            <w:vAlign w:val="bottom"/>
          </w:tcPr>
          <w:p>
            <w:pPr>
              <w:jc w:val="right"/>
              <w:spacing w:after="0"/>
              <w:rPr>
                <w:sz w:val="20"/>
                <w:szCs w:val="20"/>
                <w:color w:val="auto"/>
              </w:rPr>
            </w:pPr>
            <w:r>
              <w:rPr>
                <w:rFonts w:ascii="Arial" w:cs="Arial" w:eastAsia="Arial" w:hAnsi="Arial"/>
                <w:sz w:val="20"/>
                <w:szCs w:val="20"/>
                <w:color w:val="auto"/>
              </w:rPr>
              <w:t>$32,293</w:t>
            </w:r>
          </w:p>
        </w:tc>
        <w:tc>
          <w:tcPr>
            <w:tcW w:w="60" w:type="dxa"/>
            <w:vAlign w:val="bottom"/>
          </w:tcPr>
          <w:p>
            <w:pPr>
              <w:spacing w:after="0"/>
              <w:rPr>
                <w:sz w:val="21"/>
                <w:szCs w:val="21"/>
                <w:color w:val="auto"/>
              </w:rPr>
            </w:pPr>
          </w:p>
        </w:tc>
      </w:tr>
      <w:tr>
        <w:trPr>
          <w:trHeight w:val="305"/>
        </w:trPr>
        <w:tc>
          <w:tcPr>
            <w:tcW w:w="6420" w:type="dxa"/>
            <w:vAlign w:val="bottom"/>
          </w:tcPr>
          <w:p>
            <w:pPr>
              <w:spacing w:after="0"/>
              <w:rPr>
                <w:sz w:val="20"/>
                <w:szCs w:val="20"/>
                <w:color w:val="auto"/>
              </w:rPr>
            </w:pPr>
            <w:r>
              <w:rPr>
                <w:rFonts w:ascii="Arial" w:cs="Arial" w:eastAsia="Arial" w:hAnsi="Arial"/>
                <w:sz w:val="20"/>
                <w:szCs w:val="20"/>
                <w:color w:val="auto"/>
              </w:rPr>
              <w:t>Additions</w:t>
            </w:r>
            <w:r>
              <w:rPr>
                <w:rFonts w:ascii="Arial" w:cs="Arial" w:eastAsia="Arial" w:hAnsi="Arial"/>
                <w:sz w:val="25"/>
                <w:szCs w:val="25"/>
                <w:color w:val="auto"/>
                <w:vertAlign w:val="superscript"/>
              </w:rPr>
              <w:t>(a)</w:t>
            </w:r>
          </w:p>
        </w:tc>
        <w:tc>
          <w:tcPr>
            <w:tcW w:w="2680" w:type="dxa"/>
            <w:vAlign w:val="bottom"/>
          </w:tcPr>
          <w:p>
            <w:pPr>
              <w:jc w:val="right"/>
              <w:spacing w:after="0"/>
              <w:rPr>
                <w:sz w:val="20"/>
                <w:szCs w:val="20"/>
                <w:color w:val="auto"/>
              </w:rPr>
            </w:pPr>
            <w:r>
              <w:rPr>
                <w:rFonts w:ascii="Arial" w:cs="Arial" w:eastAsia="Arial" w:hAnsi="Arial"/>
                <w:sz w:val="20"/>
                <w:szCs w:val="20"/>
                <w:color w:val="auto"/>
              </w:rPr>
              <w:t>2,951</w:t>
            </w:r>
          </w:p>
        </w:tc>
        <w:tc>
          <w:tcPr>
            <w:tcW w:w="60" w:type="dxa"/>
            <w:vAlign w:val="bottom"/>
          </w:tcPr>
          <w:p>
            <w:pPr>
              <w:spacing w:after="0"/>
              <w:rPr>
                <w:sz w:val="24"/>
                <w:szCs w:val="24"/>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20"/>
                <w:szCs w:val="20"/>
                <w:color w:val="auto"/>
              </w:rPr>
              <w:t>Foreign currency translation adjustments and other</w:t>
            </w:r>
          </w:p>
        </w:tc>
        <w:tc>
          <w:tcPr>
            <w:tcW w:w="2740" w:type="dxa"/>
            <w:vAlign w:val="bottom"/>
            <w:gridSpan w:val="2"/>
          </w:tcPr>
          <w:p>
            <w:pPr>
              <w:jc w:val="right"/>
              <w:spacing w:after="0"/>
              <w:rPr>
                <w:sz w:val="20"/>
                <w:szCs w:val="20"/>
                <w:color w:val="auto"/>
              </w:rPr>
            </w:pPr>
            <w:r>
              <w:rPr>
                <w:rFonts w:ascii="Arial" w:cs="Arial" w:eastAsia="Arial" w:hAnsi="Arial"/>
                <w:sz w:val="20"/>
                <w:szCs w:val="20"/>
                <w:color w:val="auto"/>
              </w:rPr>
              <w:t>(288)</w:t>
            </w:r>
          </w:p>
        </w:tc>
      </w:tr>
      <w:tr>
        <w:trPr>
          <w:trHeight w:val="266"/>
        </w:trPr>
        <w:tc>
          <w:tcPr>
            <w:tcW w:w="64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Balance as of December 31, 2024</w:t>
            </w: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34,956</w:t>
            </w:r>
          </w:p>
        </w:tc>
        <w:tc>
          <w:tcPr>
            <w:tcW w:w="60" w:type="dxa"/>
            <w:vAlign w:val="bottom"/>
          </w:tcPr>
          <w:p>
            <w:pPr>
              <w:spacing w:after="0"/>
              <w:rPr>
                <w:sz w:val="23"/>
                <w:szCs w:val="23"/>
                <w:color w:val="auto"/>
              </w:rPr>
            </w:pPr>
          </w:p>
        </w:tc>
      </w:tr>
      <w:tr>
        <w:trPr>
          <w:trHeight w:val="305"/>
        </w:trPr>
        <w:tc>
          <w:tcPr>
            <w:tcW w:w="6420" w:type="dxa"/>
            <w:vAlign w:val="bottom"/>
          </w:tcPr>
          <w:p>
            <w:pPr>
              <w:spacing w:after="0"/>
              <w:rPr>
                <w:sz w:val="20"/>
                <w:szCs w:val="20"/>
                <w:color w:val="auto"/>
              </w:rPr>
            </w:pPr>
            <w:r>
              <w:rPr>
                <w:rFonts w:ascii="Arial" w:cs="Arial" w:eastAsia="Arial" w:hAnsi="Arial"/>
                <w:sz w:val="20"/>
                <w:szCs w:val="20"/>
                <w:color w:val="auto"/>
              </w:rPr>
              <w:t>Additions</w:t>
            </w:r>
            <w:r>
              <w:rPr>
                <w:rFonts w:ascii="Arial" w:cs="Arial" w:eastAsia="Arial" w:hAnsi="Arial"/>
                <w:sz w:val="25"/>
                <w:szCs w:val="25"/>
                <w:color w:val="auto"/>
                <w:vertAlign w:val="superscript"/>
              </w:rPr>
              <w:t>(b)</w:t>
            </w:r>
          </w:p>
        </w:tc>
        <w:tc>
          <w:tcPr>
            <w:tcW w:w="2680" w:type="dxa"/>
            <w:vAlign w:val="bottom"/>
          </w:tcPr>
          <w:p>
            <w:pPr>
              <w:jc w:val="right"/>
              <w:spacing w:after="0"/>
              <w:rPr>
                <w:sz w:val="20"/>
                <w:szCs w:val="20"/>
                <w:color w:val="auto"/>
              </w:rPr>
            </w:pPr>
            <w:r>
              <w:rPr>
                <w:rFonts w:ascii="Arial" w:cs="Arial" w:eastAsia="Arial" w:hAnsi="Arial"/>
                <w:sz w:val="20"/>
                <w:szCs w:val="20"/>
                <w:color w:val="auto"/>
              </w:rPr>
              <w:t>170</w:t>
            </w:r>
          </w:p>
        </w:tc>
        <w:tc>
          <w:tcPr>
            <w:tcW w:w="60" w:type="dxa"/>
            <w:vAlign w:val="bottom"/>
          </w:tcPr>
          <w:p>
            <w:pPr>
              <w:spacing w:after="0"/>
              <w:rPr>
                <w:sz w:val="24"/>
                <w:szCs w:val="24"/>
                <w:color w:val="auto"/>
              </w:rPr>
            </w:pPr>
          </w:p>
        </w:tc>
      </w:tr>
      <w:tr>
        <w:trPr>
          <w:trHeight w:val="256"/>
        </w:trPr>
        <w:tc>
          <w:tcPr>
            <w:tcW w:w="6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Foreign currency translation adjustments and other</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514</w:t>
            </w:r>
          </w:p>
        </w:tc>
        <w:tc>
          <w:tcPr>
            <w:tcW w:w="60" w:type="dxa"/>
            <w:vAlign w:val="bottom"/>
          </w:tcPr>
          <w:p>
            <w:pPr>
              <w:spacing w:after="0"/>
              <w:rPr>
                <w:sz w:val="22"/>
                <w:szCs w:val="22"/>
                <w:color w:val="auto"/>
              </w:rPr>
            </w:pPr>
          </w:p>
        </w:tc>
      </w:tr>
      <w:tr>
        <w:trPr>
          <w:trHeight w:val="269"/>
        </w:trPr>
        <w:tc>
          <w:tcPr>
            <w:tcW w:w="6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Balance as of December 31, 2025</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$35,640</w:t>
            </w:r>
          </w:p>
        </w:tc>
        <w:tc>
          <w:tcPr>
            <w:tcW w:w="60" w:type="dxa"/>
            <w:vAlign w:val="bottom"/>
          </w:tcPr>
          <w:p>
            <w:pPr>
              <w:spacing w:after="0"/>
              <w:rPr>
                <w:sz w:val="23"/>
                <w:szCs w:val="23"/>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9" w:lineRule="exact"/>
        <w:rPr>
          <w:sz w:val="20"/>
          <w:szCs w:val="20"/>
          <w:color w:val="auto"/>
        </w:rPr>
      </w:pPr>
    </w:p>
    <w:p>
      <w:pPr>
        <w:ind w:left="350" w:right="700" w:hanging="350"/>
        <w:spacing w:after="0" w:line="251" w:lineRule="auto"/>
        <w:tabs>
          <w:tab w:leader="none" w:pos="350" w:val="left"/>
        </w:tabs>
        <w:numPr>
          <w:ilvl w:val="0"/>
          <w:numId w:val="32"/>
        </w:numPr>
        <w:rPr>
          <w:rFonts w:ascii="Arial" w:cs="Arial" w:eastAsia="Arial" w:hAnsi="Arial"/>
          <w:sz w:val="20"/>
          <w:szCs w:val="20"/>
          <w:color w:val="auto"/>
        </w:rPr>
      </w:pPr>
      <w:r>
        <w:rPr>
          <w:rFonts w:ascii="Arial" w:cs="Arial" w:eastAsia="Arial" w:hAnsi="Arial"/>
          <w:sz w:val="20"/>
          <w:szCs w:val="20"/>
          <w:color w:val="auto"/>
        </w:rPr>
        <w:t>Goodwill additions related to the acquisitions of ImmunoGen and Cerevel Therapeutics (see Note 5).</w:t>
      </w:r>
    </w:p>
    <w:p>
      <w:pPr>
        <w:ind w:left="350" w:hanging="350"/>
        <w:spacing w:after="0"/>
        <w:tabs>
          <w:tab w:leader="none" w:pos="350" w:val="left"/>
        </w:tabs>
        <w:numPr>
          <w:ilvl w:val="0"/>
          <w:numId w:val="32"/>
        </w:numPr>
        <w:rPr>
          <w:rFonts w:ascii="Arial" w:cs="Arial" w:eastAsia="Arial" w:hAnsi="Arial"/>
          <w:sz w:val="20"/>
          <w:szCs w:val="20"/>
          <w:color w:val="auto"/>
        </w:rPr>
      </w:pPr>
      <w:r>
        <w:rPr>
          <w:rFonts w:ascii="Arial" w:cs="Arial" w:eastAsia="Arial" w:hAnsi="Arial"/>
          <w:sz w:val="20"/>
          <w:szCs w:val="20"/>
          <w:color w:val="auto"/>
        </w:rPr>
        <w:t>Goodwill additions related to the acquisition of Nimble (see Note 5).</w:t>
      </w:r>
    </w:p>
    <w:p>
      <w:pPr>
        <w:spacing w:after="0" w:line="128" w:lineRule="exact"/>
        <w:rPr>
          <w:sz w:val="20"/>
          <w:szCs w:val="20"/>
          <w:color w:val="auto"/>
        </w:rPr>
      </w:pPr>
    </w:p>
    <w:p>
      <w:pPr>
        <w:jc w:val="both"/>
        <w:ind w:left="10" w:right="180" w:firstLine="359"/>
        <w:spacing w:after="0" w:line="254" w:lineRule="auto"/>
        <w:rPr>
          <w:sz w:val="20"/>
          <w:szCs w:val="20"/>
          <w:color w:val="auto"/>
        </w:rPr>
      </w:pPr>
      <w:r>
        <w:rPr>
          <w:rFonts w:ascii="Arial" w:cs="Arial" w:eastAsia="Arial" w:hAnsi="Arial"/>
          <w:sz w:val="20"/>
          <w:szCs w:val="20"/>
          <w:color w:val="auto"/>
        </w:rPr>
        <w:t>The company performs its annual goodwill impairment assessment in the third quarter, or earlier if impairment indicators exist. As of December 31, 2025 and 2024, there were no accumulated goodwill impairment losses.</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Intangible Assets, Net</w:t>
      </w:r>
    </w:p>
    <w:p>
      <w:pPr>
        <w:spacing w:after="0" w:line="131" w:lineRule="exact"/>
        <w:rPr>
          <w:sz w:val="20"/>
          <w:szCs w:val="20"/>
          <w:color w:val="auto"/>
        </w:rPr>
      </w:pPr>
    </w:p>
    <w:p>
      <w:pPr>
        <w:ind w:left="350"/>
        <w:spacing w:after="0"/>
        <w:rPr>
          <w:sz w:val="20"/>
          <w:szCs w:val="20"/>
          <w:color w:val="auto"/>
        </w:rPr>
      </w:pPr>
      <w:r>
        <w:rPr>
          <w:rFonts w:ascii="Arial" w:cs="Arial" w:eastAsia="Arial" w:hAnsi="Arial"/>
          <w:sz w:val="20"/>
          <w:szCs w:val="20"/>
          <w:color w:val="auto"/>
        </w:rPr>
        <w:t>The following table summarizes intangible assets: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
        </w:trPr>
        <w:tc>
          <w:tcPr>
            <w:tcW w:w="3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38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9"/>
              </w:rPr>
              <w:t>Gross</w:t>
            </w:r>
          </w:p>
        </w:tc>
        <w:tc>
          <w:tcPr>
            <w:tcW w:w="1080" w:type="dxa"/>
            <w:vAlign w:val="bottom"/>
          </w:tcPr>
          <w:p>
            <w:pPr>
              <w:spacing w:after="0"/>
              <w:rPr>
                <w:sz w:val="16"/>
                <w:szCs w:val="16"/>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Net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9"/>
              </w:rPr>
              <w:t>Gross</w:t>
            </w:r>
          </w:p>
        </w:tc>
        <w:tc>
          <w:tcPr>
            <w:tcW w:w="108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6"/>
                <w:szCs w:val="16"/>
                <w:b w:val="1"/>
                <w:bCs w:val="1"/>
                <w:color w:val="auto"/>
              </w:rPr>
              <w:t>Net</w:t>
            </w:r>
          </w:p>
        </w:tc>
      </w:tr>
      <w:tr>
        <w:trPr>
          <w:trHeight w:val="180"/>
        </w:trPr>
        <w:tc>
          <w:tcPr>
            <w:tcW w:w="3800" w:type="dxa"/>
            <w:vAlign w:val="bottom"/>
          </w:tcPr>
          <w:p>
            <w:pPr>
              <w:spacing w:after="0"/>
              <w:rPr>
                <w:sz w:val="15"/>
                <w:szCs w:val="15"/>
                <w:color w:val="auto"/>
              </w:rPr>
            </w:pPr>
          </w:p>
        </w:tc>
        <w:tc>
          <w:tcPr>
            <w:tcW w:w="7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carrying</w:t>
            </w:r>
          </w:p>
        </w:tc>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Accumulated</w:t>
            </w:r>
          </w:p>
        </w:tc>
        <w:tc>
          <w:tcPr>
            <w:tcW w:w="840" w:type="dxa"/>
            <w:vAlign w:val="bottom"/>
            <w:gridSpan w:val="2"/>
          </w:tcPr>
          <w:p>
            <w:pPr>
              <w:jc w:val="center"/>
              <w:ind w:right="40"/>
              <w:spacing w:after="0" w:line="180" w:lineRule="exact"/>
              <w:rPr>
                <w:sz w:val="20"/>
                <w:szCs w:val="20"/>
                <w:color w:val="auto"/>
              </w:rPr>
            </w:pPr>
            <w:r>
              <w:rPr>
                <w:rFonts w:ascii="Arial" w:cs="Arial" w:eastAsia="Arial" w:hAnsi="Arial"/>
                <w:sz w:val="16"/>
                <w:szCs w:val="16"/>
                <w:b w:val="1"/>
                <w:bCs w:val="1"/>
                <w:color w:val="auto"/>
              </w:rPr>
              <w:t>carrying</w:t>
            </w:r>
          </w:p>
        </w:tc>
        <w:tc>
          <w:tcPr>
            <w:tcW w:w="7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carrying</w:t>
            </w:r>
          </w:p>
        </w:tc>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Accumulated</w:t>
            </w:r>
          </w:p>
        </w:tc>
        <w:tc>
          <w:tcPr>
            <w:tcW w:w="7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rPr>
              <w:t>carrying</w:t>
            </w:r>
          </w:p>
        </w:tc>
      </w:tr>
      <w:tr>
        <w:trPr>
          <w:trHeight w:val="197"/>
        </w:trPr>
        <w:tc>
          <w:tcPr>
            <w:tcW w:w="380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amount</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amortization</w:t>
            </w:r>
          </w:p>
        </w:tc>
        <w:tc>
          <w:tcPr>
            <w:tcW w:w="8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amount</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amortization</w:t>
            </w:r>
          </w:p>
        </w:tc>
        <w:tc>
          <w:tcPr>
            <w:tcW w:w="7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amount</w:t>
            </w: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4"/>
        </w:trPr>
        <w:tc>
          <w:tcPr>
            <w:tcW w:w="3800" w:type="dxa"/>
            <w:vAlign w:val="bottom"/>
          </w:tcPr>
          <w:p>
            <w:pPr>
              <w:spacing w:after="0"/>
              <w:rPr>
                <w:sz w:val="20"/>
                <w:szCs w:val="20"/>
                <w:color w:val="auto"/>
              </w:rPr>
            </w:pPr>
            <w:r>
              <w:rPr>
                <w:rFonts w:ascii="Arial" w:cs="Arial" w:eastAsia="Arial" w:hAnsi="Arial"/>
                <w:sz w:val="20"/>
                <w:szCs w:val="20"/>
                <w:color w:val="auto"/>
              </w:rPr>
              <w:t>Definite-lived intangible assets</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3800" w:type="dxa"/>
            <w:vAlign w:val="bottom"/>
          </w:tcPr>
          <w:p>
            <w:pPr>
              <w:ind w:left="180"/>
              <w:spacing w:after="0"/>
              <w:rPr>
                <w:sz w:val="20"/>
                <w:szCs w:val="20"/>
                <w:color w:val="auto"/>
              </w:rPr>
            </w:pPr>
            <w:r>
              <w:rPr>
                <w:rFonts w:ascii="Arial" w:cs="Arial" w:eastAsia="Arial" w:hAnsi="Arial"/>
                <w:sz w:val="20"/>
                <w:szCs w:val="20"/>
                <w:color w:val="auto"/>
              </w:rPr>
              <w:t>Developed product rights</w:t>
            </w:r>
          </w:p>
        </w:tc>
        <w:tc>
          <w:tcPr>
            <w:tcW w:w="760" w:type="dxa"/>
            <w:vAlign w:val="bottom"/>
          </w:tcPr>
          <w:p>
            <w:pPr>
              <w:jc w:val="right"/>
              <w:spacing w:after="0"/>
              <w:rPr>
                <w:sz w:val="20"/>
                <w:szCs w:val="20"/>
                <w:color w:val="auto"/>
              </w:rPr>
            </w:pPr>
            <w:r>
              <w:rPr>
                <w:rFonts w:ascii="Arial" w:cs="Arial" w:eastAsia="Arial" w:hAnsi="Arial"/>
                <w:sz w:val="20"/>
                <w:szCs w:val="20"/>
                <w:color w:val="auto"/>
                <w:w w:val="96"/>
              </w:rPr>
              <w:t>$81,239</w:t>
            </w:r>
          </w:p>
        </w:tc>
        <w:tc>
          <w:tcPr>
            <w:tcW w:w="1080" w:type="dxa"/>
            <w:vAlign w:val="bottom"/>
          </w:tcPr>
          <w:p>
            <w:pPr>
              <w:jc w:val="right"/>
              <w:spacing w:after="0"/>
              <w:rPr>
                <w:sz w:val="20"/>
                <w:szCs w:val="20"/>
                <w:color w:val="auto"/>
              </w:rPr>
            </w:pPr>
            <w:r>
              <w:rPr>
                <w:rFonts w:ascii="Arial" w:cs="Arial" w:eastAsia="Arial" w:hAnsi="Arial"/>
                <w:sz w:val="20"/>
                <w:szCs w:val="20"/>
                <w:color w:val="auto"/>
              </w:rPr>
              <w:t>$(34,849)</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$46,390</w:t>
            </w:r>
          </w:p>
        </w:tc>
        <w:tc>
          <w:tcPr>
            <w:tcW w:w="760" w:type="dxa"/>
            <w:vAlign w:val="bottom"/>
          </w:tcPr>
          <w:p>
            <w:pPr>
              <w:jc w:val="right"/>
              <w:spacing w:after="0"/>
              <w:rPr>
                <w:sz w:val="20"/>
                <w:szCs w:val="20"/>
                <w:color w:val="auto"/>
              </w:rPr>
            </w:pPr>
            <w:r>
              <w:rPr>
                <w:rFonts w:ascii="Arial" w:cs="Arial" w:eastAsia="Arial" w:hAnsi="Arial"/>
                <w:sz w:val="20"/>
                <w:szCs w:val="20"/>
                <w:color w:val="auto"/>
                <w:w w:val="96"/>
              </w:rPr>
              <w:t>$81,428</w:t>
            </w:r>
          </w:p>
        </w:tc>
        <w:tc>
          <w:tcPr>
            <w:tcW w:w="1080" w:type="dxa"/>
            <w:vAlign w:val="bottom"/>
          </w:tcPr>
          <w:p>
            <w:pPr>
              <w:jc w:val="right"/>
              <w:spacing w:after="0"/>
              <w:rPr>
                <w:sz w:val="20"/>
                <w:szCs w:val="20"/>
                <w:color w:val="auto"/>
              </w:rPr>
            </w:pPr>
            <w:r>
              <w:rPr>
                <w:rFonts w:ascii="Arial" w:cs="Arial" w:eastAsia="Arial" w:hAnsi="Arial"/>
                <w:sz w:val="20"/>
                <w:szCs w:val="20"/>
                <w:color w:val="auto"/>
              </w:rPr>
              <w:t>$(28,253)</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$53,175</w:t>
            </w:r>
          </w:p>
        </w:tc>
      </w:tr>
      <w:tr>
        <w:trPr>
          <w:trHeight w:val="282"/>
        </w:trPr>
        <w:tc>
          <w:tcPr>
            <w:tcW w:w="380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License agreements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8,353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(7,383)</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970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(6,624)</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1,691</w:t>
            </w:r>
          </w:p>
        </w:tc>
      </w:tr>
      <w:tr>
        <w:trPr>
          <w:trHeight w:val="266"/>
        </w:trPr>
        <w:tc>
          <w:tcPr>
            <w:tcW w:w="3800" w:type="dxa"/>
            <w:vAlign w:val="bottom"/>
          </w:tcPr>
          <w:p>
            <w:pPr>
              <w:spacing w:after="0"/>
              <w:rPr>
                <w:sz w:val="20"/>
                <w:szCs w:val="20"/>
                <w:color w:val="auto"/>
              </w:rPr>
            </w:pPr>
            <w:r>
              <w:rPr>
                <w:rFonts w:ascii="Arial" w:cs="Arial" w:eastAsia="Arial" w:hAnsi="Arial"/>
                <w:sz w:val="20"/>
                <w:szCs w:val="20"/>
                <w:color w:val="auto"/>
              </w:rPr>
              <w:t>Total definite-lived intangible assets</w:t>
            </w:r>
          </w:p>
        </w:tc>
        <w:tc>
          <w:tcPr>
            <w:tcW w:w="760" w:type="dxa"/>
            <w:vAlign w:val="bottom"/>
          </w:tcPr>
          <w:p>
            <w:pPr>
              <w:jc w:val="right"/>
              <w:spacing w:after="0"/>
              <w:rPr>
                <w:sz w:val="20"/>
                <w:szCs w:val="20"/>
                <w:color w:val="auto"/>
              </w:rPr>
            </w:pPr>
            <w:r>
              <w:rPr>
                <w:rFonts w:ascii="Arial" w:cs="Arial" w:eastAsia="Arial" w:hAnsi="Arial"/>
                <w:sz w:val="20"/>
                <w:szCs w:val="20"/>
                <w:color w:val="auto"/>
              </w:rPr>
              <w:t>89,592</w:t>
            </w:r>
          </w:p>
        </w:tc>
        <w:tc>
          <w:tcPr>
            <w:tcW w:w="1080" w:type="dxa"/>
            <w:vAlign w:val="bottom"/>
          </w:tcPr>
          <w:p>
            <w:pPr>
              <w:jc w:val="right"/>
              <w:spacing w:after="0"/>
              <w:rPr>
                <w:sz w:val="20"/>
                <w:szCs w:val="20"/>
                <w:color w:val="auto"/>
              </w:rPr>
            </w:pPr>
            <w:r>
              <w:rPr>
                <w:rFonts w:ascii="Arial" w:cs="Arial" w:eastAsia="Arial" w:hAnsi="Arial"/>
                <w:sz w:val="20"/>
                <w:szCs w:val="20"/>
                <w:color w:val="auto"/>
              </w:rPr>
              <w:t>(42,232)</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47,360</w:t>
            </w:r>
          </w:p>
        </w:tc>
        <w:tc>
          <w:tcPr>
            <w:tcW w:w="760" w:type="dxa"/>
            <w:vAlign w:val="bottom"/>
          </w:tcPr>
          <w:p>
            <w:pPr>
              <w:jc w:val="right"/>
              <w:spacing w:after="0"/>
              <w:rPr>
                <w:sz w:val="20"/>
                <w:szCs w:val="20"/>
                <w:color w:val="auto"/>
              </w:rPr>
            </w:pPr>
            <w:r>
              <w:rPr>
                <w:rFonts w:ascii="Arial" w:cs="Arial" w:eastAsia="Arial" w:hAnsi="Arial"/>
                <w:sz w:val="20"/>
                <w:szCs w:val="20"/>
                <w:color w:val="auto"/>
              </w:rPr>
              <w:t>89,743</w:t>
            </w:r>
          </w:p>
        </w:tc>
        <w:tc>
          <w:tcPr>
            <w:tcW w:w="1080" w:type="dxa"/>
            <w:vAlign w:val="bottom"/>
          </w:tcPr>
          <w:p>
            <w:pPr>
              <w:jc w:val="right"/>
              <w:spacing w:after="0"/>
              <w:rPr>
                <w:sz w:val="20"/>
                <w:szCs w:val="20"/>
                <w:color w:val="auto"/>
              </w:rPr>
            </w:pPr>
            <w:r>
              <w:rPr>
                <w:rFonts w:ascii="Arial" w:cs="Arial" w:eastAsia="Arial" w:hAnsi="Arial"/>
                <w:sz w:val="20"/>
                <w:szCs w:val="20"/>
                <w:color w:val="auto"/>
              </w:rPr>
              <w:t>(34,877)</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54,866</w:t>
            </w:r>
          </w:p>
        </w:tc>
      </w:tr>
      <w:tr>
        <w:trPr>
          <w:trHeight w:val="282"/>
        </w:trPr>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Indefinite-lived intangible assets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5,281</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5,281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5,202</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5,202</w:t>
            </w:r>
          </w:p>
        </w:tc>
      </w:tr>
      <w:tr>
        <w:trPr>
          <w:trHeight w:val="269"/>
        </w:trPr>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intangible assets, net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$94,873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$(42,232)</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$52,641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$94,945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$(34,877)</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$60,068</w:t>
            </w:r>
          </w:p>
        </w:tc>
      </w:tr>
    </w:tbl>
    <w:p>
      <w:pPr>
        <w:spacing w:after="0" w:line="279" w:lineRule="exact"/>
        <w:rPr>
          <w:sz w:val="20"/>
          <w:szCs w:val="20"/>
          <w:color w:val="auto"/>
        </w:rPr>
      </w:pPr>
    </w:p>
    <w:p>
      <w:pPr>
        <w:ind w:left="10"/>
        <w:spacing w:after="0"/>
        <w:rPr>
          <w:sz w:val="20"/>
          <w:szCs w:val="20"/>
          <w:color w:val="auto"/>
        </w:rPr>
      </w:pPr>
      <w:r>
        <w:rPr>
          <w:rFonts w:ascii="Arial" w:cs="Arial" w:eastAsia="Arial" w:hAnsi="Arial"/>
          <w:sz w:val="20"/>
          <w:szCs w:val="20"/>
          <w:i w:val="1"/>
          <w:iCs w:val="1"/>
          <w:color w:val="auto"/>
        </w:rPr>
        <w:t>Definite-Lived Intangible Assets</w:t>
      </w:r>
    </w:p>
    <w:p>
      <w:pPr>
        <w:spacing w:after="0" w:line="131" w:lineRule="exact"/>
        <w:rPr>
          <w:sz w:val="20"/>
          <w:szCs w:val="20"/>
          <w:color w:val="auto"/>
        </w:rPr>
      </w:pPr>
    </w:p>
    <w:p>
      <w:pPr>
        <w:ind w:left="10" w:right="80" w:firstLine="359"/>
        <w:spacing w:after="0" w:line="247" w:lineRule="auto"/>
        <w:rPr>
          <w:sz w:val="20"/>
          <w:szCs w:val="20"/>
          <w:color w:val="auto"/>
        </w:rPr>
      </w:pPr>
      <w:r>
        <w:rPr>
          <w:rFonts w:ascii="Arial" w:cs="Arial" w:eastAsia="Arial" w:hAnsi="Arial"/>
          <w:sz w:val="20"/>
          <w:szCs w:val="20"/>
          <w:color w:val="auto"/>
        </w:rPr>
        <w:t>In the third quarter of 2025, the company made a decision to discontinue development and commercialization of Resonic, a rapid acoustic pulse device for long-term improvement in the appearance of cellulite. The company also made a decision to reduce current sales and marketing investment related to Durysta, an on-market eye care product to treat elevated intraocular pressure in open-angle glaucoma and ocular hypertension. Each of these strategic decisions contributed to decreases in the estimated future cash flows for the respective products and represented triggering events that required an evaluation of the underlying definite-lived intangible assets for impairment. For Resonic, the evaluation resulted in a full impairment of both the gross and net carrying amount of $407 million. For Durysta, the company utilized a discounted cash flow analysis to estimate the fair value of $271 million, which was lower than the carrying value of $711 million and resulted in a partial impairment of both the gross and net carrying amount. Based on the revised cash flows, the company recorded pre-tax impairment charges of $847 million in cost of products sold in the consolidated statement of earnings for the third quarter of 2025.</w:t>
      </w:r>
    </w:p>
    <w:p>
      <w:pPr>
        <w:spacing w:after="0" w:line="124" w:lineRule="exact"/>
        <w:rPr>
          <w:sz w:val="20"/>
          <w:szCs w:val="20"/>
          <w:color w:val="auto"/>
        </w:rPr>
      </w:pPr>
    </w:p>
    <w:p>
      <w:pPr>
        <w:ind w:left="10" w:right="60" w:firstLine="359"/>
        <w:spacing w:after="0" w:line="275" w:lineRule="auto"/>
        <w:rPr>
          <w:sz w:val="20"/>
          <w:szCs w:val="20"/>
          <w:color w:val="auto"/>
        </w:rPr>
      </w:pPr>
      <w:r>
        <w:rPr>
          <w:rFonts w:ascii="Arial" w:cs="Arial" w:eastAsia="Arial" w:hAnsi="Arial"/>
          <w:sz w:val="19"/>
          <w:szCs w:val="19"/>
          <w:color w:val="auto"/>
        </w:rPr>
        <w:t>In the fourth quarter of 2023, the company made a decision to reduce current sales and marketing investment related to both CoolSculpting, a body contouring technology for aesthetic nonsurgical fat reduction, and Liletta, an on-market women’s health product. Each of these strategic decisions contributed</w:t>
      </w:r>
    </w:p>
    <w:p>
      <w:pPr>
        <w:sectPr>
          <w:pgSz w:w="11880" w:h="15480" w:orient="portrait"/>
          <w:cols w:equalWidth="0" w:num="1">
            <w:col w:w="9170"/>
          </w:cols>
          <w:pgMar w:left="1390" w:top="963" w:right="1320" w:bottom="87" w:gutter="0" w:footer="0" w:header="0"/>
        </w:sectPr>
      </w:pPr>
    </w:p>
    <w:p>
      <w:pPr>
        <w:spacing w:after="0" w:line="223" w:lineRule="exact"/>
        <w:rPr>
          <w:sz w:val="20"/>
          <w:szCs w:val="20"/>
          <w:color w:val="auto"/>
        </w:rPr>
      </w:pPr>
    </w:p>
    <w:p>
      <w:pPr>
        <w:ind w:left="623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77</w:t>
      </w:r>
    </w:p>
    <w:p>
      <w:pPr>
        <w:sectPr>
          <w:pgSz w:w="11880" w:h="15480" w:orient="portrait"/>
          <w:cols w:equalWidth="0" w:num="1">
            <w:col w:w="9170"/>
          </w:cols>
          <w:pgMar w:left="1390" w:top="963" w:right="1320" w:bottom="87" w:gutter="0" w:footer="0" w:header="0"/>
          <w:type w:val="continuous"/>
        </w:sectPr>
      </w:pPr>
    </w:p>
    <w:bookmarkStart w:id="83" w:name="page84"/>
    <w:bookmarkEnd w:id="83"/>
    <w:p>
      <w:pPr>
        <w:ind w:right="40"/>
        <w:spacing w:after="0" w:line="248" w:lineRule="auto"/>
        <w:rPr>
          <w:sz w:val="20"/>
          <w:szCs w:val="20"/>
          <w:color w:val="auto"/>
        </w:rPr>
      </w:pPr>
      <w:r>
        <w:rPr>
          <w:rFonts w:ascii="Arial" w:cs="Arial" w:eastAsia="Arial" w:hAnsi="Arial"/>
          <w:sz w:val="20"/>
          <w:szCs w:val="20"/>
          <w:color w:val="auto"/>
        </w:rPr>
        <w:t>to significant decreases in the estimated future cash flows for the respective products and represented triggering events that required an evaluation of the underlying definite-lived intangible assets for impairment. The company used a discounted cash flow analysis for both products. For CoolSculpting, the fair value of $290 million was lower than the carrying value of $1.3 billion resulting in a partial impairment of both the gross and net carrying amount. For Liletta, the fair value of $241 million was lower than the carrying value of $561 million resulting in a partial impairment of both the gross and net carrying amount. Based on the revised cash flows, the company recorded a pre-tax impairment charge of $1.4 billion to costs of products sold in the consolidated statement of earnings for the fourth quarter of 2023.</w:t>
      </w:r>
    </w:p>
    <w:p>
      <w:pPr>
        <w:spacing w:after="0" w:line="120" w:lineRule="exact"/>
        <w:rPr>
          <w:sz w:val="20"/>
          <w:szCs w:val="20"/>
          <w:color w:val="auto"/>
        </w:rPr>
      </w:pPr>
    </w:p>
    <w:p>
      <w:pPr>
        <w:ind w:right="20" w:firstLine="359"/>
        <w:spacing w:after="0" w:line="248" w:lineRule="auto"/>
        <w:rPr>
          <w:sz w:val="20"/>
          <w:szCs w:val="20"/>
          <w:color w:val="auto"/>
        </w:rPr>
      </w:pPr>
      <w:r>
        <w:rPr>
          <w:rFonts w:ascii="Arial" w:cs="Arial" w:eastAsia="Arial" w:hAnsi="Arial"/>
          <w:sz w:val="20"/>
          <w:szCs w:val="20"/>
          <w:color w:val="auto"/>
        </w:rPr>
        <w:t>In the third quarter of 2023, as part of the Inflation Reduction Act of 2022, the company’s oncology product Imbruvica sold in the U.S. was included on the list of products subject to government-set prices by CMS. The selection resulted in a significant decrease in the estimated future cash flows for the product and represented a triggering event which required the company to evaluate the underlying definite-lived intangible asset for impairment. The company utilized a discounted cash flow analysis to determine the fair value of $1.9 billion, which was lower than the carrying value of $4.0 billion and resulted in a partial impairment of both the gross and net carrying amount as of August 29, 2023. Based on the revised cash flows, the company recorded a pre-tax impairment charge of $2.1 billion to cost of products sold in the consolidated statement of earnings for the third quarter of 2023.</w:t>
      </w:r>
    </w:p>
    <w:p>
      <w:pPr>
        <w:spacing w:after="0" w:line="128" w:lineRule="exact"/>
        <w:rPr>
          <w:sz w:val="20"/>
          <w:szCs w:val="20"/>
          <w:color w:val="auto"/>
        </w:rPr>
      </w:pPr>
    </w:p>
    <w:p>
      <w:pPr>
        <w:ind w:firstLine="359"/>
        <w:spacing w:after="0" w:line="293" w:lineRule="auto"/>
        <w:rPr>
          <w:sz w:val="20"/>
          <w:szCs w:val="20"/>
          <w:color w:val="auto"/>
        </w:rPr>
      </w:pPr>
      <w:r>
        <w:rPr>
          <w:rFonts w:ascii="Arial" w:cs="Arial" w:eastAsia="Arial" w:hAnsi="Arial"/>
          <w:sz w:val="19"/>
          <w:szCs w:val="19"/>
          <w:color w:val="auto"/>
        </w:rPr>
        <w:t>Fair value measurements for the above evaluations were based on Level 3 inputs including estimated net revenues, cost of products sold, R&amp;D costs, selling and marketing costs and discount rate.</w:t>
      </w:r>
    </w:p>
    <w:p>
      <w:pPr>
        <w:spacing w:after="0" w:line="81"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color w:val="auto"/>
        </w:rPr>
        <w:t>Definite-lived intangible assets are amortized over their estimated useful lives, which range between 1 to 19 years with an average of 12 years for developed product rights and 11 years for license agreements. Amortization expense was $7.4 billion in 2025, $7.6 billion in 2024 and $7.9 billion in 2023 and was included in cost of products sold in the consolidated statements of earnings. The anticipated annual amortization expense for definite-lived intangible assets recorded as of December 31, 2025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00" w:type="dxa"/>
            <w:vAlign w:val="bottom"/>
          </w:tcPr>
          <w:p>
            <w:pPr>
              <w:spacing w:after="0"/>
              <w:rPr>
                <w:sz w:val="20"/>
                <w:szCs w:val="20"/>
                <w:color w:val="auto"/>
              </w:rPr>
            </w:pPr>
            <w:r>
              <w:rPr>
                <w:rFonts w:ascii="Arial" w:cs="Arial" w:eastAsia="Arial" w:hAnsi="Arial"/>
                <w:sz w:val="16"/>
                <w:szCs w:val="16"/>
                <w:b w:val="1"/>
                <w:bCs w:val="1"/>
                <w:color w:val="auto"/>
              </w:rPr>
              <w:t>(in billions)</w:t>
            </w:r>
          </w:p>
        </w:tc>
        <w:tc>
          <w:tcPr>
            <w:tcW w:w="1800" w:type="dxa"/>
            <w:vAlign w:val="bottom"/>
          </w:tcPr>
          <w:p>
            <w:pPr>
              <w:jc w:val="right"/>
              <w:ind w:right="50"/>
              <w:spacing w:after="0"/>
              <w:rPr>
                <w:sz w:val="20"/>
                <w:szCs w:val="20"/>
                <w:color w:val="auto"/>
              </w:rPr>
            </w:pPr>
            <w:r>
              <w:rPr>
                <w:rFonts w:ascii="Arial" w:cs="Arial" w:eastAsia="Arial" w:hAnsi="Arial"/>
                <w:sz w:val="16"/>
                <w:szCs w:val="16"/>
                <w:b w:val="1"/>
                <w:bCs w:val="1"/>
                <w:color w:val="auto"/>
              </w:rPr>
              <w:t>2026</w:t>
            </w:r>
          </w:p>
        </w:tc>
        <w:tc>
          <w:tcPr>
            <w:tcW w:w="620" w:type="dxa"/>
            <w:vAlign w:val="bottom"/>
          </w:tcPr>
          <w:p>
            <w:pPr>
              <w:jc w:val="right"/>
              <w:ind w:right="30"/>
              <w:spacing w:after="0"/>
              <w:rPr>
                <w:sz w:val="20"/>
                <w:szCs w:val="20"/>
                <w:color w:val="auto"/>
              </w:rPr>
            </w:pPr>
            <w:r>
              <w:rPr>
                <w:rFonts w:ascii="Arial" w:cs="Arial" w:eastAsia="Arial" w:hAnsi="Arial"/>
                <w:sz w:val="16"/>
                <w:szCs w:val="16"/>
                <w:b w:val="1"/>
                <w:bCs w:val="1"/>
                <w:color w:val="auto"/>
              </w:rPr>
              <w:t>2027</w:t>
            </w:r>
          </w:p>
        </w:tc>
        <w:tc>
          <w:tcPr>
            <w:tcW w:w="640" w:type="dxa"/>
            <w:vAlign w:val="bottom"/>
          </w:tcPr>
          <w:p>
            <w:pPr>
              <w:jc w:val="right"/>
              <w:ind w:right="50"/>
              <w:spacing w:after="0"/>
              <w:rPr>
                <w:sz w:val="20"/>
                <w:szCs w:val="20"/>
                <w:color w:val="auto"/>
              </w:rPr>
            </w:pPr>
            <w:r>
              <w:rPr>
                <w:rFonts w:ascii="Arial" w:cs="Arial" w:eastAsia="Arial" w:hAnsi="Arial"/>
                <w:sz w:val="16"/>
                <w:szCs w:val="16"/>
                <w:b w:val="1"/>
                <w:bCs w:val="1"/>
                <w:color w:val="auto"/>
              </w:rPr>
              <w:t>2028</w:t>
            </w:r>
          </w:p>
        </w:tc>
        <w:tc>
          <w:tcPr>
            <w:tcW w:w="620" w:type="dxa"/>
            <w:vAlign w:val="bottom"/>
          </w:tcPr>
          <w:p>
            <w:pPr>
              <w:jc w:val="right"/>
              <w:ind w:right="50"/>
              <w:spacing w:after="0"/>
              <w:rPr>
                <w:sz w:val="20"/>
                <w:szCs w:val="20"/>
                <w:color w:val="auto"/>
              </w:rPr>
            </w:pPr>
            <w:r>
              <w:rPr>
                <w:rFonts w:ascii="Arial" w:cs="Arial" w:eastAsia="Arial" w:hAnsi="Arial"/>
                <w:sz w:val="16"/>
                <w:szCs w:val="16"/>
                <w:b w:val="1"/>
                <w:bCs w:val="1"/>
                <w:color w:val="auto"/>
              </w:rPr>
              <w:t>2029</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r>
      <w:tr>
        <w:trPr>
          <w:trHeight w:val="22"/>
        </w:trPr>
        <w:tc>
          <w:tcPr>
            <w:tcW w:w="49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66"/>
        </w:trPr>
        <w:tc>
          <w:tcPr>
            <w:tcW w:w="4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Anticipated annual amortization expense</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20"/>
                <w:szCs w:val="20"/>
                <w:color w:val="auto"/>
              </w:rPr>
              <w:t>$6.7</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20"/>
                <w:szCs w:val="20"/>
                <w:color w:val="auto"/>
              </w:rPr>
              <w:t>$6.1</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20"/>
                <w:szCs w:val="20"/>
                <w:color w:val="auto"/>
              </w:rPr>
              <w:t>$6.2</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20"/>
                <w:szCs w:val="20"/>
                <w:color w:val="auto"/>
              </w:rPr>
              <w:t>$5.7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w:t>
            </w:r>
          </w:p>
        </w:tc>
      </w:tr>
    </w:tbl>
    <w:p>
      <w:pPr>
        <w:spacing w:after="0" w:line="2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Indefinite-Lived Intangible Assets</w:t>
      </w:r>
    </w:p>
    <w:p>
      <w:pPr>
        <w:spacing w:after="0" w:line="131" w:lineRule="exact"/>
        <w:rPr>
          <w:sz w:val="20"/>
          <w:szCs w:val="20"/>
          <w:color w:val="auto"/>
        </w:rPr>
      </w:pPr>
    </w:p>
    <w:p>
      <w:pPr>
        <w:ind w:right="100" w:firstLine="359"/>
        <w:spacing w:after="0" w:line="266" w:lineRule="auto"/>
        <w:rPr>
          <w:sz w:val="20"/>
          <w:szCs w:val="20"/>
          <w:color w:val="auto"/>
        </w:rPr>
      </w:pPr>
      <w:r>
        <w:rPr>
          <w:rFonts w:ascii="Arial" w:cs="Arial" w:eastAsia="Arial" w:hAnsi="Arial"/>
          <w:sz w:val="20"/>
          <w:szCs w:val="20"/>
          <w:color w:val="auto"/>
        </w:rPr>
        <w:t>Indefinite-lived intangible assets represent acquired IPR&amp;D associated with products that have not yet received regulatory approval.</w:t>
      </w:r>
    </w:p>
    <w:p>
      <w:pPr>
        <w:spacing w:after="0" w:line="105" w:lineRule="exact"/>
        <w:rPr>
          <w:sz w:val="20"/>
          <w:szCs w:val="20"/>
          <w:color w:val="auto"/>
        </w:rPr>
      </w:pPr>
    </w:p>
    <w:p>
      <w:pPr>
        <w:ind w:right="300" w:firstLine="359"/>
        <w:spacing w:after="0" w:line="266" w:lineRule="auto"/>
        <w:rPr>
          <w:sz w:val="20"/>
          <w:szCs w:val="20"/>
          <w:color w:val="auto"/>
        </w:rPr>
      </w:pPr>
      <w:r>
        <w:rPr>
          <w:rFonts w:ascii="Arial" w:cs="Arial" w:eastAsia="Arial" w:hAnsi="Arial"/>
          <w:sz w:val="20"/>
          <w:szCs w:val="20"/>
          <w:color w:val="auto"/>
        </w:rPr>
        <w:t>The company performs its annual impairment assessment of indefinite-lived intangible assets in the third quarter, or earlier if impairment indicators exist.</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During the fourth quarter of 2024, the company announced that its two Phase 2 EMPOWER trials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investigating emraclidine as a once-daily, oral monotherapy treatment for adults with schizophrenia who</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are experiencing an acute exacerbation of psychotic symptoms, did not meet their primary endpoint</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of showing a statistically significant reduction (improvement) in the change from baseline in the Positive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and Negative Syndrome Scale total score compared to the placebo group at week 6. The results of</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these trials represented a triggering event which required the company to evaluate the underlying</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indefinite-lived intangible asset for impairment which resulted in a significant decrease in the estimated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future cash flows for the product. The company utilized a discounted cash flow analysis to determine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$2.4 billion, which was lower than the carrying value of $6.9 billion and resulted in a</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partial impairment of the intangible asset carrying amount as of November 11, 2024. The fair value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measurement was based on Level 3 inputs including estimated net revenues, cost of products sold,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R&amp;D costs, selling and marketing costs and discount rates. Based on the revised cash flows, the</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company recorded a pre-tax impairment charge of $4.5 billion to research and development expense in</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the consolidated statement of earnings for the fourth quarter of 2024.</w:t>
      </w:r>
    </w:p>
    <w:p>
      <w:pPr>
        <w:spacing w:after="0" w:line="136" w:lineRule="exact"/>
        <w:rPr>
          <w:sz w:val="20"/>
          <w:szCs w:val="20"/>
          <w:color w:val="auto"/>
        </w:rPr>
      </w:pPr>
    </w:p>
    <w:p>
      <w:pPr>
        <w:ind w:firstLine="359"/>
        <w:spacing w:after="0" w:line="277" w:lineRule="auto"/>
        <w:rPr>
          <w:sz w:val="20"/>
          <w:szCs w:val="20"/>
          <w:color w:val="auto"/>
        </w:rPr>
      </w:pPr>
      <w:r>
        <w:rPr>
          <w:rFonts w:ascii="Arial" w:cs="Arial" w:eastAsia="Arial" w:hAnsi="Arial"/>
          <w:sz w:val="19"/>
          <w:szCs w:val="19"/>
          <w:color w:val="auto"/>
        </w:rPr>
        <w:t>During the first quarter of 2023, the company made a decision to revise the research and development plan for AGN-151607, a novel investigational neurotoxin for the prevention of postoperative atrial fibrillation in cardiac surgery patients. This decision contributed to a delay in the estimated</w:t>
      </w:r>
    </w:p>
    <w:p>
      <w:pPr>
        <w:sectPr>
          <w:pgSz w:w="11880" w:h="15480" w:orient="portrait"/>
          <w:cols w:equalWidth="0" w:num="1">
            <w:col w:w="9100"/>
          </w:cols>
          <w:pgMar w:left="1400" w:top="1030" w:right="1380" w:bottom="75"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78  </w:t>
      </w:r>
      <w:r>
        <w:rPr>
          <w:sz w:val="1"/>
          <w:szCs w:val="1"/>
          <w:color w:val="auto"/>
        </w:rPr>
        <w:drawing>
          <wp:inline distT="0" distB="0" distL="0" distR="0">
            <wp:extent cx="615950" cy="12827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84" w:name="page85"/>
    <w:bookmarkEnd w:id="84"/>
    <w:p>
      <w:pPr>
        <w:ind w:right="60"/>
        <w:spacing w:after="0" w:line="264" w:lineRule="auto"/>
        <w:rPr>
          <w:sz w:val="20"/>
          <w:szCs w:val="20"/>
          <w:color w:val="auto"/>
        </w:rPr>
      </w:pPr>
      <w:r>
        <w:rPr>
          <w:rFonts w:ascii="Arial" w:cs="Arial" w:eastAsia="Arial" w:hAnsi="Arial"/>
          <w:sz w:val="20"/>
          <w:szCs w:val="20"/>
          <w:color w:val="auto"/>
        </w:rPr>
        <w:t>timing of regulatory approval as well as a significant decrease in estimated future cash flows of the product and represented a triggering event which required the company to evaluate the underlying indefinite-lived intangible asset for impairment. The company utilized a discounted cash flow analysis to estimate the fair value which was below the carrying value of the intangible asset. Based on the revised cash flows, the company recorded a pre-tax impairment charge of $630 million to research and development expense in the consolidated statement of earnings for the first quarter of 2023.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8 Restructuring Plans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50" w:lineRule="exact"/>
        <w:rPr>
          <w:sz w:val="20"/>
          <w:szCs w:val="20"/>
          <w:color w:val="auto"/>
        </w:rPr>
      </w:pPr>
    </w:p>
    <w:p>
      <w:pPr>
        <w:ind w:right="60" w:firstLine="359"/>
        <w:spacing w:after="0" w:line="278" w:lineRule="auto"/>
        <w:rPr>
          <w:sz w:val="20"/>
          <w:szCs w:val="20"/>
          <w:color w:val="auto"/>
        </w:rPr>
      </w:pPr>
      <w:r>
        <w:rPr>
          <w:rFonts w:ascii="Arial" w:cs="Arial" w:eastAsia="Arial" w:hAnsi="Arial"/>
          <w:sz w:val="19"/>
          <w:szCs w:val="19"/>
          <w:color w:val="auto"/>
        </w:rPr>
        <w:t>AbbVie continuously evaluates its operations to identify opportunities to optimize its manufacturing and R&amp;D operations, commercial infrastructure and administrative costs and to respond to changes in its business environment. As a result, AbbVie management periodically approves individual restructuring plans to achieve these objectives. In 2025, 2024 and 2023, no such plans were individually significant. Restructuring charges recorded were $282 million in 2025, $189 million in 2024 and $132 million in 2023 and were primarily related to employee severance and contractual obligations. These charges were recorded in cost of products sold, R&amp;D expense and SG&amp;A expense in the consolidated statements of earnings based on the classification of the affected employees or the related operations.</w:t>
      </w:r>
    </w:p>
    <w:p>
      <w:pPr>
        <w:spacing w:after="0" w:line="124" w:lineRule="exact"/>
        <w:rPr>
          <w:sz w:val="20"/>
          <w:szCs w:val="20"/>
          <w:color w:val="auto"/>
        </w:rPr>
      </w:pPr>
    </w:p>
    <w:p>
      <w:pPr>
        <w:ind w:right="380" w:firstLine="359"/>
        <w:spacing w:after="0" w:line="279" w:lineRule="auto"/>
        <w:rPr>
          <w:sz w:val="20"/>
          <w:szCs w:val="20"/>
          <w:color w:val="auto"/>
        </w:rPr>
      </w:pPr>
      <w:r>
        <w:rPr>
          <w:rFonts w:ascii="Arial" w:cs="Arial" w:eastAsia="Arial" w:hAnsi="Arial"/>
          <w:sz w:val="20"/>
          <w:szCs w:val="20"/>
          <w:color w:val="auto"/>
        </w:rPr>
        <w:t>The following table summarizes the cash activity in the restructuring reserve for 2025, 2024 and 2023:</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577786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454.5pt,1.95pt" o:allowincell="f" strokecolor="#000000" strokeweight="0.499pt"/>
            </w:pict>
          </mc:Fallback>
        </mc:AlternateConten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200" w:type="dxa"/>
            <w:vAlign w:val="bottom"/>
          </w:tcPr>
          <w:p>
            <w:pPr>
              <w:spacing w:after="0"/>
              <w:rPr>
                <w:sz w:val="20"/>
                <w:szCs w:val="20"/>
                <w:color w:val="auto"/>
              </w:rPr>
            </w:pPr>
            <w:r>
              <w:rPr>
                <w:rFonts w:ascii="Arial" w:cs="Arial" w:eastAsia="Arial" w:hAnsi="Arial"/>
                <w:sz w:val="20"/>
                <w:szCs w:val="20"/>
                <w:color w:val="auto"/>
              </w:rPr>
              <w:t>Accrued balance as of December 31, 2022</w:t>
            </w:r>
          </w:p>
        </w:tc>
        <w:tc>
          <w:tcPr>
            <w:tcW w:w="2900" w:type="dxa"/>
            <w:vAlign w:val="bottom"/>
          </w:tcPr>
          <w:p>
            <w:pPr>
              <w:jc w:val="right"/>
              <w:spacing w:after="0"/>
              <w:rPr>
                <w:sz w:val="20"/>
                <w:szCs w:val="20"/>
                <w:color w:val="auto"/>
              </w:rPr>
            </w:pPr>
            <w:r>
              <w:rPr>
                <w:rFonts w:ascii="Arial" w:cs="Arial" w:eastAsia="Arial" w:hAnsi="Arial"/>
                <w:sz w:val="20"/>
                <w:szCs w:val="20"/>
                <w:color w:val="auto"/>
              </w:rPr>
              <w:t>$ 176</w:t>
            </w:r>
          </w:p>
        </w:tc>
        <w:tc>
          <w:tcPr>
            <w:tcW w:w="60" w:type="dxa"/>
            <w:vAlign w:val="bottom"/>
          </w:tcPr>
          <w:p>
            <w:pPr>
              <w:spacing w:after="0"/>
              <w:rPr>
                <w:sz w:val="21"/>
                <w:szCs w:val="21"/>
                <w:color w:val="auto"/>
              </w:rPr>
            </w:pPr>
          </w:p>
        </w:tc>
      </w:tr>
      <w:tr>
        <w:trPr>
          <w:trHeight w:val="279"/>
        </w:trPr>
        <w:tc>
          <w:tcPr>
            <w:tcW w:w="6200" w:type="dxa"/>
            <w:vAlign w:val="bottom"/>
          </w:tcPr>
          <w:p>
            <w:pPr>
              <w:spacing w:after="0"/>
              <w:rPr>
                <w:sz w:val="20"/>
                <w:szCs w:val="20"/>
                <w:color w:val="auto"/>
              </w:rPr>
            </w:pPr>
            <w:r>
              <w:rPr>
                <w:rFonts w:ascii="Arial" w:cs="Arial" w:eastAsia="Arial" w:hAnsi="Arial"/>
                <w:sz w:val="20"/>
                <w:szCs w:val="20"/>
                <w:color w:val="auto"/>
              </w:rPr>
              <w:t>Charges</w:t>
            </w:r>
          </w:p>
        </w:tc>
        <w:tc>
          <w:tcPr>
            <w:tcW w:w="2900" w:type="dxa"/>
            <w:vAlign w:val="bottom"/>
          </w:tcPr>
          <w:p>
            <w:pPr>
              <w:jc w:val="right"/>
              <w:spacing w:after="0"/>
              <w:rPr>
                <w:sz w:val="20"/>
                <w:szCs w:val="20"/>
                <w:color w:val="auto"/>
              </w:rPr>
            </w:pPr>
            <w:r>
              <w:rPr>
                <w:rFonts w:ascii="Arial" w:cs="Arial" w:eastAsia="Arial" w:hAnsi="Arial"/>
                <w:sz w:val="20"/>
                <w:szCs w:val="20"/>
                <w:color w:val="auto"/>
              </w:rPr>
              <w:t>107</w:t>
            </w:r>
          </w:p>
        </w:tc>
        <w:tc>
          <w:tcPr>
            <w:tcW w:w="60" w:type="dxa"/>
            <w:vAlign w:val="bottom"/>
          </w:tcPr>
          <w:p>
            <w:pPr>
              <w:spacing w:after="0"/>
              <w:rPr>
                <w:sz w:val="24"/>
                <w:szCs w:val="24"/>
                <w:color w:val="auto"/>
              </w:rPr>
            </w:pPr>
          </w:p>
        </w:tc>
      </w:tr>
      <w:tr>
        <w:trPr>
          <w:trHeight w:val="282"/>
        </w:trPr>
        <w:tc>
          <w:tcPr>
            <w:tcW w:w="6200" w:type="dxa"/>
            <w:vAlign w:val="bottom"/>
          </w:tcPr>
          <w:p>
            <w:pPr>
              <w:spacing w:after="0"/>
              <w:rPr>
                <w:sz w:val="20"/>
                <w:szCs w:val="20"/>
                <w:color w:val="auto"/>
              </w:rPr>
            </w:pPr>
            <w:r>
              <w:rPr>
                <w:rFonts w:ascii="Arial" w:cs="Arial" w:eastAsia="Arial" w:hAnsi="Arial"/>
                <w:sz w:val="20"/>
                <w:szCs w:val="20"/>
                <w:color w:val="auto"/>
              </w:rPr>
              <w:t>Payments and other adjustments</w:t>
            </w:r>
          </w:p>
        </w:tc>
        <w:tc>
          <w:tcPr>
            <w:tcW w:w="2960" w:type="dxa"/>
            <w:vAlign w:val="bottom"/>
            <w:gridSpan w:val="2"/>
          </w:tcPr>
          <w:p>
            <w:pPr>
              <w:jc w:val="right"/>
              <w:spacing w:after="0"/>
              <w:rPr>
                <w:sz w:val="20"/>
                <w:szCs w:val="20"/>
                <w:color w:val="auto"/>
              </w:rPr>
            </w:pPr>
            <w:r>
              <w:rPr>
                <w:rFonts w:ascii="Arial" w:cs="Arial" w:eastAsia="Arial" w:hAnsi="Arial"/>
                <w:sz w:val="20"/>
                <w:szCs w:val="20"/>
                <w:color w:val="auto"/>
              </w:rPr>
              <w:t>(87)</w:t>
            </w:r>
          </w:p>
        </w:tc>
      </w:tr>
      <w:tr>
        <w:trPr>
          <w:trHeight w:val="266"/>
        </w:trPr>
        <w:tc>
          <w:tcPr>
            <w:tcW w:w="62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Accrued balance as of December 31, 2023</w:t>
            </w:r>
          </w:p>
        </w:tc>
        <w:tc>
          <w:tcPr>
            <w:tcW w:w="2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196</w:t>
            </w:r>
          </w:p>
        </w:tc>
        <w:tc>
          <w:tcPr>
            <w:tcW w:w="60" w:type="dxa"/>
            <w:vAlign w:val="bottom"/>
          </w:tcPr>
          <w:p>
            <w:pPr>
              <w:spacing w:after="0"/>
              <w:rPr>
                <w:sz w:val="23"/>
                <w:szCs w:val="23"/>
                <w:color w:val="auto"/>
              </w:rPr>
            </w:pPr>
          </w:p>
        </w:tc>
      </w:tr>
      <w:tr>
        <w:trPr>
          <w:trHeight w:val="279"/>
        </w:trPr>
        <w:tc>
          <w:tcPr>
            <w:tcW w:w="6200" w:type="dxa"/>
            <w:vAlign w:val="bottom"/>
          </w:tcPr>
          <w:p>
            <w:pPr>
              <w:spacing w:after="0"/>
              <w:rPr>
                <w:sz w:val="20"/>
                <w:szCs w:val="20"/>
                <w:color w:val="auto"/>
              </w:rPr>
            </w:pPr>
            <w:r>
              <w:rPr>
                <w:rFonts w:ascii="Arial" w:cs="Arial" w:eastAsia="Arial" w:hAnsi="Arial"/>
                <w:sz w:val="20"/>
                <w:szCs w:val="20"/>
                <w:color w:val="auto"/>
              </w:rPr>
              <w:t>Charges</w:t>
            </w:r>
          </w:p>
        </w:tc>
        <w:tc>
          <w:tcPr>
            <w:tcW w:w="2900" w:type="dxa"/>
            <w:vAlign w:val="bottom"/>
          </w:tcPr>
          <w:p>
            <w:pPr>
              <w:jc w:val="right"/>
              <w:spacing w:after="0"/>
              <w:rPr>
                <w:sz w:val="20"/>
                <w:szCs w:val="20"/>
                <w:color w:val="auto"/>
              </w:rPr>
            </w:pPr>
            <w:r>
              <w:rPr>
                <w:rFonts w:ascii="Arial" w:cs="Arial" w:eastAsia="Arial" w:hAnsi="Arial"/>
                <w:sz w:val="20"/>
                <w:szCs w:val="20"/>
                <w:color w:val="auto"/>
              </w:rPr>
              <w:t>168</w:t>
            </w:r>
          </w:p>
        </w:tc>
        <w:tc>
          <w:tcPr>
            <w:tcW w:w="60" w:type="dxa"/>
            <w:vAlign w:val="bottom"/>
          </w:tcPr>
          <w:p>
            <w:pPr>
              <w:spacing w:after="0"/>
              <w:rPr>
                <w:sz w:val="24"/>
                <w:szCs w:val="24"/>
                <w:color w:val="auto"/>
              </w:rPr>
            </w:pPr>
          </w:p>
        </w:tc>
      </w:tr>
      <w:tr>
        <w:trPr>
          <w:trHeight w:val="282"/>
        </w:trPr>
        <w:tc>
          <w:tcPr>
            <w:tcW w:w="6200" w:type="dxa"/>
            <w:vAlign w:val="bottom"/>
          </w:tcPr>
          <w:p>
            <w:pPr>
              <w:spacing w:after="0"/>
              <w:rPr>
                <w:sz w:val="20"/>
                <w:szCs w:val="20"/>
                <w:color w:val="auto"/>
              </w:rPr>
            </w:pPr>
            <w:r>
              <w:rPr>
                <w:rFonts w:ascii="Arial" w:cs="Arial" w:eastAsia="Arial" w:hAnsi="Arial"/>
                <w:sz w:val="20"/>
                <w:szCs w:val="20"/>
                <w:color w:val="auto"/>
              </w:rPr>
              <w:t>Payments and other adjustments</w:t>
            </w:r>
          </w:p>
        </w:tc>
        <w:tc>
          <w:tcPr>
            <w:tcW w:w="2960" w:type="dxa"/>
            <w:vAlign w:val="bottom"/>
            <w:gridSpan w:val="2"/>
          </w:tcPr>
          <w:p>
            <w:pPr>
              <w:jc w:val="right"/>
              <w:spacing w:after="0"/>
              <w:rPr>
                <w:sz w:val="20"/>
                <w:szCs w:val="20"/>
                <w:color w:val="auto"/>
              </w:rPr>
            </w:pPr>
            <w:r>
              <w:rPr>
                <w:rFonts w:ascii="Arial" w:cs="Arial" w:eastAsia="Arial" w:hAnsi="Arial"/>
                <w:sz w:val="20"/>
                <w:szCs w:val="20"/>
                <w:color w:val="auto"/>
              </w:rPr>
              <w:t>(128)</w:t>
            </w:r>
          </w:p>
        </w:tc>
      </w:tr>
      <w:tr>
        <w:trPr>
          <w:trHeight w:val="266"/>
        </w:trPr>
        <w:tc>
          <w:tcPr>
            <w:tcW w:w="62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Accrued balance as of December 31, 2024</w:t>
            </w:r>
          </w:p>
        </w:tc>
        <w:tc>
          <w:tcPr>
            <w:tcW w:w="2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236</w:t>
            </w:r>
          </w:p>
        </w:tc>
        <w:tc>
          <w:tcPr>
            <w:tcW w:w="60" w:type="dxa"/>
            <w:vAlign w:val="bottom"/>
          </w:tcPr>
          <w:p>
            <w:pPr>
              <w:spacing w:after="0"/>
              <w:rPr>
                <w:sz w:val="23"/>
                <w:szCs w:val="23"/>
                <w:color w:val="auto"/>
              </w:rPr>
            </w:pPr>
          </w:p>
        </w:tc>
      </w:tr>
      <w:tr>
        <w:trPr>
          <w:trHeight w:val="279"/>
        </w:trPr>
        <w:tc>
          <w:tcPr>
            <w:tcW w:w="6200" w:type="dxa"/>
            <w:vAlign w:val="bottom"/>
          </w:tcPr>
          <w:p>
            <w:pPr>
              <w:spacing w:after="0"/>
              <w:rPr>
                <w:sz w:val="20"/>
                <w:szCs w:val="20"/>
                <w:color w:val="auto"/>
              </w:rPr>
            </w:pPr>
            <w:r>
              <w:rPr>
                <w:rFonts w:ascii="Arial" w:cs="Arial" w:eastAsia="Arial" w:hAnsi="Arial"/>
                <w:sz w:val="20"/>
                <w:szCs w:val="20"/>
                <w:color w:val="auto"/>
              </w:rPr>
              <w:t>Charges</w:t>
            </w:r>
          </w:p>
        </w:tc>
        <w:tc>
          <w:tcPr>
            <w:tcW w:w="2900" w:type="dxa"/>
            <w:vAlign w:val="bottom"/>
          </w:tcPr>
          <w:p>
            <w:pPr>
              <w:jc w:val="right"/>
              <w:spacing w:after="0"/>
              <w:rPr>
                <w:sz w:val="20"/>
                <w:szCs w:val="20"/>
                <w:color w:val="auto"/>
              </w:rPr>
            </w:pPr>
            <w:r>
              <w:rPr>
                <w:rFonts w:ascii="Arial" w:cs="Arial" w:eastAsia="Arial" w:hAnsi="Arial"/>
                <w:sz w:val="20"/>
                <w:szCs w:val="20"/>
                <w:color w:val="auto"/>
              </w:rPr>
              <w:t>166</w:t>
            </w:r>
          </w:p>
        </w:tc>
        <w:tc>
          <w:tcPr>
            <w:tcW w:w="60" w:type="dxa"/>
            <w:vAlign w:val="bottom"/>
          </w:tcPr>
          <w:p>
            <w:pPr>
              <w:spacing w:after="0"/>
              <w:rPr>
                <w:sz w:val="24"/>
                <w:szCs w:val="24"/>
                <w:color w:val="auto"/>
              </w:rPr>
            </w:pPr>
          </w:p>
        </w:tc>
      </w:tr>
      <w:tr>
        <w:trPr>
          <w:trHeight w:val="282"/>
        </w:trPr>
        <w:tc>
          <w:tcPr>
            <w:tcW w:w="6200" w:type="dxa"/>
            <w:vAlign w:val="bottom"/>
          </w:tcPr>
          <w:p>
            <w:pPr>
              <w:spacing w:after="0"/>
              <w:rPr>
                <w:sz w:val="20"/>
                <w:szCs w:val="20"/>
                <w:color w:val="auto"/>
              </w:rPr>
            </w:pPr>
            <w:r>
              <w:rPr>
                <w:rFonts w:ascii="Arial" w:cs="Arial" w:eastAsia="Arial" w:hAnsi="Arial"/>
                <w:sz w:val="20"/>
                <w:szCs w:val="20"/>
                <w:color w:val="auto"/>
              </w:rPr>
              <w:t>Payments and other adjustments</w:t>
            </w:r>
          </w:p>
        </w:tc>
        <w:tc>
          <w:tcPr>
            <w:tcW w:w="2960" w:type="dxa"/>
            <w:vAlign w:val="bottom"/>
            <w:gridSpan w:val="2"/>
          </w:tcPr>
          <w:p>
            <w:pPr>
              <w:jc w:val="right"/>
              <w:spacing w:after="0"/>
              <w:rPr>
                <w:sz w:val="20"/>
                <w:szCs w:val="20"/>
                <w:color w:val="auto"/>
              </w:rPr>
            </w:pPr>
            <w:r>
              <w:rPr>
                <w:rFonts w:ascii="Arial" w:cs="Arial" w:eastAsia="Arial" w:hAnsi="Arial"/>
                <w:sz w:val="20"/>
                <w:szCs w:val="20"/>
                <w:color w:val="auto"/>
              </w:rPr>
              <w:t>(88)</w:t>
            </w:r>
          </w:p>
        </w:tc>
      </w:tr>
      <w:tr>
        <w:trPr>
          <w:trHeight w:val="269"/>
        </w:trPr>
        <w:tc>
          <w:tcPr>
            <w:tcW w:w="62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Accrued balance as of December 31, 2025</w:t>
            </w:r>
          </w:p>
        </w:tc>
        <w:tc>
          <w:tcPr>
            <w:tcW w:w="2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$ 314</w:t>
            </w:r>
          </w:p>
        </w:tc>
        <w:tc>
          <w:tcPr>
            <w:tcW w:w="60" w:type="dxa"/>
            <w:vAlign w:val="bottom"/>
          </w:tcPr>
          <w:p>
            <w:pPr>
              <w:spacing w:after="0"/>
              <w:rPr>
                <w:sz w:val="23"/>
                <w:szCs w:val="23"/>
                <w:color w:val="auto"/>
              </w:rPr>
            </w:pP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Allergan Integration Plan</w:t>
      </w:r>
    </w:p>
    <w:p>
      <w:pPr>
        <w:spacing w:after="0" w:line="131" w:lineRule="exact"/>
        <w:rPr>
          <w:sz w:val="20"/>
          <w:szCs w:val="20"/>
          <w:color w:val="auto"/>
        </w:rPr>
      </w:pPr>
    </w:p>
    <w:p>
      <w:pPr>
        <w:ind w:right="60" w:firstLine="359"/>
        <w:spacing w:after="0" w:line="263" w:lineRule="auto"/>
        <w:rPr>
          <w:sz w:val="20"/>
          <w:szCs w:val="20"/>
          <w:color w:val="auto"/>
        </w:rPr>
      </w:pPr>
      <w:r>
        <w:rPr>
          <w:rFonts w:ascii="Arial" w:cs="Arial" w:eastAsia="Arial" w:hAnsi="Arial"/>
          <w:sz w:val="20"/>
          <w:szCs w:val="20"/>
          <w:color w:val="auto"/>
        </w:rPr>
        <w:t>Following the closing of the Allergan acquisition, AbbVie implemented an integration plan designed to reduce costs, integrate and optimize the combined organization and incurred total cumulative charges of $2.5 billion through 2023. These costs consisted of severance and employee benefit costs (cash severance, non-cash severance, including accelerated equity award compensation expense, retention and other termination benefits) and other integration expenses. The Allergan integration plan was substantially complete as of December 31, 2023 and the remaining accrual as of December 31, 2025 is insignificant.</w:t>
      </w:r>
    </w:p>
    <w:p>
      <w:pPr>
        <w:spacing w:after="0" w:line="135" w:lineRule="exact"/>
        <w:rPr>
          <w:sz w:val="20"/>
          <w:szCs w:val="20"/>
          <w:color w:val="auto"/>
        </w:rPr>
      </w:pPr>
    </w:p>
    <w:p>
      <w:pPr>
        <w:ind w:right="400" w:firstLine="359"/>
        <w:spacing w:after="0" w:line="279" w:lineRule="auto"/>
        <w:rPr>
          <w:sz w:val="20"/>
          <w:szCs w:val="20"/>
          <w:color w:val="auto"/>
        </w:rPr>
      </w:pPr>
      <w:r>
        <w:rPr>
          <w:rFonts w:ascii="Arial" w:cs="Arial" w:eastAsia="Arial" w:hAnsi="Arial"/>
          <w:sz w:val="20"/>
          <w:szCs w:val="20"/>
          <w:color w:val="auto"/>
        </w:rPr>
        <w:t>The following table summarizes the charges associated with the Allergan acquisition integration plan: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40" w:type="dxa"/>
            <w:vAlign w:val="bottom"/>
          </w:tcPr>
          <w:p>
            <w:pPr>
              <w:spacing w:after="0"/>
              <w:rPr>
                <w:sz w:val="20"/>
                <w:szCs w:val="20"/>
                <w:color w:val="auto"/>
              </w:rPr>
            </w:pPr>
            <w:r>
              <w:rPr>
                <w:rFonts w:ascii="Arial" w:cs="Arial" w:eastAsia="Arial" w:hAnsi="Arial"/>
                <w:sz w:val="16"/>
                <w:szCs w:val="16"/>
                <w:b w:val="1"/>
                <w:bCs w:val="1"/>
                <w:color w:val="auto"/>
              </w:rPr>
              <w:t>year ended December 31 (in millions)</w:t>
            </w:r>
          </w:p>
        </w:tc>
        <w:tc>
          <w:tcPr>
            <w:tcW w:w="32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r>
      <w:tr>
        <w:trPr>
          <w:trHeight w:val="22"/>
        </w:trPr>
        <w:tc>
          <w:tcPr>
            <w:tcW w:w="58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5840" w:type="dxa"/>
            <w:vAlign w:val="bottom"/>
          </w:tcPr>
          <w:p>
            <w:pPr>
              <w:spacing w:after="0"/>
              <w:rPr>
                <w:sz w:val="20"/>
                <w:szCs w:val="20"/>
                <w:color w:val="auto"/>
              </w:rPr>
            </w:pPr>
            <w:r>
              <w:rPr>
                <w:rFonts w:ascii="Arial" w:cs="Arial" w:eastAsia="Arial" w:hAnsi="Arial"/>
                <w:sz w:val="20"/>
                <w:szCs w:val="20"/>
                <w:color w:val="auto"/>
              </w:rPr>
              <w:t>Cost of products sold</w:t>
            </w:r>
          </w:p>
        </w:tc>
        <w:tc>
          <w:tcPr>
            <w:tcW w:w="292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79"/>
        </w:trPr>
        <w:tc>
          <w:tcPr>
            <w:tcW w:w="584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2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2"/>
        </w:trPr>
        <w:tc>
          <w:tcPr>
            <w:tcW w:w="5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Selling, general and administrative</w:t>
            </w:r>
          </w:p>
        </w:tc>
        <w:tc>
          <w:tcPr>
            <w:tcW w:w="2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192</w:t>
            </w:r>
          </w:p>
        </w:tc>
      </w:tr>
      <w:tr>
        <w:trPr>
          <w:trHeight w:val="269"/>
        </w:trPr>
        <w:tc>
          <w:tcPr>
            <w:tcW w:w="5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charges</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288</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79</w:t>
      </w:r>
    </w:p>
    <w:p>
      <w:pPr>
        <w:sectPr>
          <w:pgSz w:w="11880" w:h="15480" w:orient="portrait"/>
          <w:cols w:equalWidth="0" w:num="1">
            <w:col w:w="9160"/>
          </w:cols>
          <w:pgMar w:left="1400" w:top="1030" w:right="1320" w:bottom="87"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000039"/>
        </w:rPr>
        <w:t>Note 9 Leases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50" w:lineRule="exact"/>
        <w:rPr>
          <w:sz w:val="20"/>
          <w:szCs w:val="20"/>
          <w:color w:val="auto"/>
        </w:rPr>
      </w:pPr>
    </w:p>
    <w:p>
      <w:pPr>
        <w:ind w:firstLine="359"/>
        <w:spacing w:after="0" w:line="269" w:lineRule="auto"/>
        <w:rPr>
          <w:sz w:val="20"/>
          <w:szCs w:val="20"/>
          <w:color w:val="auto"/>
        </w:rPr>
      </w:pPr>
      <w:r>
        <w:rPr>
          <w:rFonts w:ascii="Arial" w:cs="Arial" w:eastAsia="Arial" w:hAnsi="Arial"/>
          <w:sz w:val="20"/>
          <w:szCs w:val="20"/>
          <w:color w:val="auto"/>
        </w:rPr>
        <w:t>AbbVie’s lease portfolio primarily consists of real estate properties, vehicles and equipment. The following table summarizes the amounts and location of operating and finance leases on the 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of December 31 (in millions)</w:t>
            </w:r>
          </w:p>
        </w:tc>
        <w:tc>
          <w:tcPr>
            <w:tcW w:w="43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Balance sheet caption</w:t>
            </w: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55"/>
        </w:trPr>
        <w:tc>
          <w:tcPr>
            <w:tcW w:w="274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4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3"/>
        </w:trPr>
        <w:tc>
          <w:tcPr>
            <w:tcW w:w="2740" w:type="dxa"/>
            <w:vAlign w:val="bottom"/>
          </w:tcPr>
          <w:p>
            <w:pPr>
              <w:spacing w:after="0"/>
              <w:rPr>
                <w:sz w:val="20"/>
                <w:szCs w:val="20"/>
                <w:color w:val="auto"/>
              </w:rPr>
            </w:pPr>
            <w:r>
              <w:rPr>
                <w:rFonts w:ascii="Arial" w:cs="Arial" w:eastAsia="Arial" w:hAnsi="Arial"/>
                <w:sz w:val="20"/>
                <w:szCs w:val="20"/>
                <w:color w:val="auto"/>
              </w:rPr>
              <w:t>Operating</w:t>
            </w:r>
          </w:p>
        </w:tc>
        <w:tc>
          <w:tcPr>
            <w:tcW w:w="4320" w:type="dxa"/>
            <w:vAlign w:val="bottom"/>
          </w:tcPr>
          <w:p>
            <w:pPr>
              <w:ind w:left="400"/>
              <w:spacing w:after="0"/>
              <w:rPr>
                <w:sz w:val="20"/>
                <w:szCs w:val="20"/>
                <w:color w:val="auto"/>
              </w:rPr>
            </w:pPr>
            <w:r>
              <w:rPr>
                <w:rFonts w:ascii="Arial" w:cs="Arial" w:eastAsia="Arial" w:hAnsi="Arial"/>
                <w:sz w:val="20"/>
                <w:szCs w:val="20"/>
                <w:color w:val="auto"/>
              </w:rPr>
              <w:t>Other assets</w:t>
            </w:r>
          </w:p>
        </w:tc>
        <w:tc>
          <w:tcPr>
            <w:tcW w:w="1200" w:type="dxa"/>
            <w:vAlign w:val="bottom"/>
          </w:tcPr>
          <w:p>
            <w:pPr>
              <w:jc w:val="right"/>
              <w:ind w:right="282"/>
              <w:spacing w:after="0"/>
              <w:rPr>
                <w:sz w:val="20"/>
                <w:szCs w:val="20"/>
                <w:color w:val="auto"/>
              </w:rPr>
            </w:pPr>
            <w:r>
              <w:rPr>
                <w:rFonts w:ascii="Arial" w:cs="Arial" w:eastAsia="Arial" w:hAnsi="Arial"/>
                <w:sz w:val="20"/>
                <w:szCs w:val="20"/>
                <w:color w:val="auto"/>
              </w:rPr>
              <w:t>$737</w:t>
            </w:r>
          </w:p>
        </w:tc>
        <w:tc>
          <w:tcPr>
            <w:tcW w:w="840" w:type="dxa"/>
            <w:vAlign w:val="bottom"/>
          </w:tcPr>
          <w:p>
            <w:pPr>
              <w:jc w:val="right"/>
              <w:spacing w:after="0"/>
              <w:rPr>
                <w:sz w:val="20"/>
                <w:szCs w:val="20"/>
                <w:color w:val="auto"/>
              </w:rPr>
            </w:pPr>
            <w:r>
              <w:rPr>
                <w:rFonts w:ascii="Arial" w:cs="Arial" w:eastAsia="Arial" w:hAnsi="Arial"/>
                <w:sz w:val="20"/>
                <w:szCs w:val="20"/>
                <w:color w:val="auto"/>
              </w:rPr>
              <w:t>$723</w:t>
            </w:r>
          </w:p>
        </w:tc>
      </w:tr>
      <w:tr>
        <w:trPr>
          <w:trHeight w:val="255"/>
        </w:trPr>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Finance</w:t>
            </w:r>
          </w:p>
        </w:tc>
        <w:tc>
          <w:tcPr>
            <w:tcW w:w="432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Property and equipment, net</w:t>
            </w: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44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r>
      <w:tr>
        <w:trPr>
          <w:trHeight w:val="249"/>
        </w:trPr>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lease assets</w:t>
            </w:r>
          </w:p>
        </w:tc>
        <w:tc>
          <w:tcPr>
            <w:tcW w:w="4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$781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$756</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9"/>
        </w:trPr>
        <w:tc>
          <w:tcPr>
            <w:tcW w:w="274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4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3"/>
        </w:trPr>
        <w:tc>
          <w:tcPr>
            <w:tcW w:w="2740" w:type="dxa"/>
            <w:vAlign w:val="bottom"/>
          </w:tcPr>
          <w:p>
            <w:pPr>
              <w:spacing w:after="0"/>
              <w:rPr>
                <w:sz w:val="20"/>
                <w:szCs w:val="20"/>
                <w:color w:val="auto"/>
              </w:rPr>
            </w:pPr>
            <w:r>
              <w:rPr>
                <w:rFonts w:ascii="Arial" w:cs="Arial" w:eastAsia="Arial" w:hAnsi="Arial"/>
                <w:sz w:val="20"/>
                <w:szCs w:val="20"/>
                <w:color w:val="auto"/>
              </w:rPr>
              <w:t>Operating</w:t>
            </w:r>
          </w:p>
        </w:tc>
        <w:tc>
          <w:tcPr>
            <w:tcW w:w="4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9"/>
        </w:trPr>
        <w:tc>
          <w:tcPr>
            <w:tcW w:w="2740" w:type="dxa"/>
            <w:vAlign w:val="bottom"/>
          </w:tcPr>
          <w:p>
            <w:pPr>
              <w:ind w:left="180"/>
              <w:spacing w:after="0"/>
              <w:rPr>
                <w:sz w:val="20"/>
                <w:szCs w:val="20"/>
                <w:color w:val="auto"/>
              </w:rPr>
            </w:pPr>
            <w:r>
              <w:rPr>
                <w:rFonts w:ascii="Arial" w:cs="Arial" w:eastAsia="Arial" w:hAnsi="Arial"/>
                <w:sz w:val="20"/>
                <w:szCs w:val="20"/>
                <w:color w:val="auto"/>
              </w:rPr>
              <w:t>Current</w:t>
            </w:r>
          </w:p>
        </w:tc>
        <w:tc>
          <w:tcPr>
            <w:tcW w:w="4320" w:type="dxa"/>
            <w:vAlign w:val="bottom"/>
          </w:tcPr>
          <w:p>
            <w:pPr>
              <w:ind w:left="400"/>
              <w:spacing w:after="0"/>
              <w:rPr>
                <w:sz w:val="20"/>
                <w:szCs w:val="20"/>
                <w:color w:val="auto"/>
              </w:rPr>
            </w:pPr>
            <w:r>
              <w:rPr>
                <w:rFonts w:ascii="Arial" w:cs="Arial" w:eastAsia="Arial" w:hAnsi="Arial"/>
                <w:sz w:val="20"/>
                <w:szCs w:val="20"/>
                <w:color w:val="auto"/>
              </w:rPr>
              <w:t>Accounts payable and accrued liabilities</w:t>
            </w:r>
          </w:p>
        </w:tc>
        <w:tc>
          <w:tcPr>
            <w:tcW w:w="1200" w:type="dxa"/>
            <w:vAlign w:val="bottom"/>
          </w:tcPr>
          <w:p>
            <w:pPr>
              <w:jc w:val="right"/>
              <w:ind w:right="282"/>
              <w:spacing w:after="0"/>
              <w:rPr>
                <w:sz w:val="20"/>
                <w:szCs w:val="20"/>
                <w:color w:val="auto"/>
              </w:rPr>
            </w:pPr>
            <w:r>
              <w:rPr>
                <w:rFonts w:ascii="Arial" w:cs="Arial" w:eastAsia="Arial" w:hAnsi="Arial"/>
                <w:sz w:val="20"/>
                <w:szCs w:val="20"/>
                <w:color w:val="auto"/>
              </w:rPr>
              <w:t>$194</w:t>
            </w:r>
          </w:p>
        </w:tc>
        <w:tc>
          <w:tcPr>
            <w:tcW w:w="840" w:type="dxa"/>
            <w:vAlign w:val="bottom"/>
          </w:tcPr>
          <w:p>
            <w:pPr>
              <w:jc w:val="right"/>
              <w:spacing w:after="0"/>
              <w:rPr>
                <w:sz w:val="20"/>
                <w:szCs w:val="20"/>
                <w:color w:val="auto"/>
              </w:rPr>
            </w:pPr>
            <w:r>
              <w:rPr>
                <w:rFonts w:ascii="Arial" w:cs="Arial" w:eastAsia="Arial" w:hAnsi="Arial"/>
                <w:sz w:val="20"/>
                <w:szCs w:val="20"/>
                <w:color w:val="auto"/>
              </w:rPr>
              <w:t>$178</w:t>
            </w:r>
          </w:p>
        </w:tc>
      </w:tr>
      <w:tr>
        <w:trPr>
          <w:trHeight w:val="259"/>
        </w:trPr>
        <w:tc>
          <w:tcPr>
            <w:tcW w:w="2740" w:type="dxa"/>
            <w:vAlign w:val="bottom"/>
          </w:tcPr>
          <w:p>
            <w:pPr>
              <w:ind w:left="180"/>
              <w:spacing w:after="0"/>
              <w:rPr>
                <w:sz w:val="20"/>
                <w:szCs w:val="20"/>
                <w:color w:val="auto"/>
              </w:rPr>
            </w:pPr>
            <w:r>
              <w:rPr>
                <w:rFonts w:ascii="Arial" w:cs="Arial" w:eastAsia="Arial" w:hAnsi="Arial"/>
                <w:sz w:val="20"/>
                <w:szCs w:val="20"/>
                <w:color w:val="auto"/>
              </w:rPr>
              <w:t>Noncurrent</w:t>
            </w:r>
          </w:p>
        </w:tc>
        <w:tc>
          <w:tcPr>
            <w:tcW w:w="4320" w:type="dxa"/>
            <w:vAlign w:val="bottom"/>
          </w:tcPr>
          <w:p>
            <w:pPr>
              <w:ind w:left="400"/>
              <w:spacing w:after="0"/>
              <w:rPr>
                <w:sz w:val="20"/>
                <w:szCs w:val="20"/>
                <w:color w:val="auto"/>
              </w:rPr>
            </w:pPr>
            <w:r>
              <w:rPr>
                <w:rFonts w:ascii="Arial" w:cs="Arial" w:eastAsia="Arial" w:hAnsi="Arial"/>
                <w:sz w:val="20"/>
                <w:szCs w:val="20"/>
                <w:color w:val="auto"/>
              </w:rPr>
              <w:t>Other long-term liabilities</w:t>
            </w:r>
          </w:p>
        </w:tc>
        <w:tc>
          <w:tcPr>
            <w:tcW w:w="1200" w:type="dxa"/>
            <w:vAlign w:val="bottom"/>
          </w:tcPr>
          <w:p>
            <w:pPr>
              <w:jc w:val="right"/>
              <w:ind w:right="282"/>
              <w:spacing w:after="0"/>
              <w:rPr>
                <w:sz w:val="20"/>
                <w:szCs w:val="20"/>
                <w:color w:val="auto"/>
              </w:rPr>
            </w:pPr>
            <w:r>
              <w:rPr>
                <w:rFonts w:ascii="Arial" w:cs="Arial" w:eastAsia="Arial" w:hAnsi="Arial"/>
                <w:sz w:val="20"/>
                <w:szCs w:val="20"/>
                <w:color w:val="auto"/>
              </w:rPr>
              <w:t>689</w:t>
            </w:r>
          </w:p>
        </w:tc>
        <w:tc>
          <w:tcPr>
            <w:tcW w:w="840" w:type="dxa"/>
            <w:vAlign w:val="bottom"/>
          </w:tcPr>
          <w:p>
            <w:pPr>
              <w:jc w:val="right"/>
              <w:spacing w:after="0"/>
              <w:rPr>
                <w:sz w:val="20"/>
                <w:szCs w:val="20"/>
                <w:color w:val="auto"/>
              </w:rPr>
            </w:pPr>
            <w:r>
              <w:rPr>
                <w:rFonts w:ascii="Arial" w:cs="Arial" w:eastAsia="Arial" w:hAnsi="Arial"/>
                <w:sz w:val="20"/>
                <w:szCs w:val="20"/>
                <w:color w:val="auto"/>
              </w:rPr>
              <w:t>697</w:t>
            </w:r>
          </w:p>
        </w:tc>
      </w:tr>
      <w:tr>
        <w:trPr>
          <w:trHeight w:val="259"/>
        </w:trPr>
        <w:tc>
          <w:tcPr>
            <w:tcW w:w="2740" w:type="dxa"/>
            <w:vAlign w:val="bottom"/>
          </w:tcPr>
          <w:p>
            <w:pPr>
              <w:spacing w:after="0"/>
              <w:rPr>
                <w:sz w:val="20"/>
                <w:szCs w:val="20"/>
                <w:color w:val="auto"/>
              </w:rPr>
            </w:pPr>
            <w:r>
              <w:rPr>
                <w:rFonts w:ascii="Arial" w:cs="Arial" w:eastAsia="Arial" w:hAnsi="Arial"/>
                <w:sz w:val="20"/>
                <w:szCs w:val="20"/>
                <w:color w:val="auto"/>
              </w:rPr>
              <w:t>Finance</w:t>
            </w:r>
          </w:p>
        </w:tc>
        <w:tc>
          <w:tcPr>
            <w:tcW w:w="4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1"/>
        </w:trPr>
        <w:tc>
          <w:tcPr>
            <w:tcW w:w="2740" w:type="dxa"/>
            <w:vAlign w:val="bottom"/>
          </w:tcPr>
          <w:p>
            <w:pPr>
              <w:ind w:left="180"/>
              <w:spacing w:after="0"/>
              <w:rPr>
                <w:sz w:val="20"/>
                <w:szCs w:val="20"/>
                <w:color w:val="auto"/>
              </w:rPr>
            </w:pPr>
            <w:r>
              <w:rPr>
                <w:rFonts w:ascii="Arial" w:cs="Arial" w:eastAsia="Arial" w:hAnsi="Arial"/>
                <w:sz w:val="20"/>
                <w:szCs w:val="20"/>
                <w:color w:val="auto"/>
              </w:rPr>
              <w:t>Current</w:t>
            </w:r>
          </w:p>
        </w:tc>
        <w:tc>
          <w:tcPr>
            <w:tcW w:w="4320" w:type="dxa"/>
            <w:vAlign w:val="bottom"/>
          </w:tcPr>
          <w:p>
            <w:pPr>
              <w:ind w:left="400"/>
              <w:spacing w:after="0"/>
              <w:rPr>
                <w:sz w:val="20"/>
                <w:szCs w:val="20"/>
                <w:color w:val="auto"/>
              </w:rPr>
            </w:pPr>
            <w:r>
              <w:rPr>
                <w:rFonts w:ascii="Arial" w:cs="Arial" w:eastAsia="Arial" w:hAnsi="Arial"/>
                <w:sz w:val="20"/>
                <w:szCs w:val="20"/>
                <w:color w:val="auto"/>
              </w:rPr>
              <w:t>Current portion of long-term debt and</w:t>
            </w:r>
          </w:p>
        </w:tc>
        <w:tc>
          <w:tcPr>
            <w:tcW w:w="1200" w:type="dxa"/>
            <w:vAlign w:val="bottom"/>
          </w:tcPr>
          <w:p>
            <w:pPr>
              <w:jc w:val="right"/>
              <w:ind w:right="282"/>
              <w:spacing w:after="0"/>
              <w:rPr>
                <w:sz w:val="20"/>
                <w:szCs w:val="20"/>
                <w:color w:val="auto"/>
              </w:rPr>
            </w:pPr>
            <w:r>
              <w:rPr>
                <w:rFonts w:ascii="Arial" w:cs="Arial" w:eastAsia="Arial" w:hAnsi="Arial"/>
                <w:sz w:val="20"/>
                <w:szCs w:val="20"/>
                <w:color w:val="auto"/>
              </w:rPr>
              <w:t>19</w:t>
            </w:r>
          </w:p>
        </w:tc>
        <w:tc>
          <w:tcPr>
            <w:tcW w:w="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48"/>
        </w:trPr>
        <w:tc>
          <w:tcPr>
            <w:tcW w:w="2740" w:type="dxa"/>
            <w:vAlign w:val="bottom"/>
          </w:tcPr>
          <w:p>
            <w:pPr>
              <w:spacing w:after="0"/>
              <w:rPr>
                <w:sz w:val="21"/>
                <w:szCs w:val="21"/>
                <w:color w:val="auto"/>
              </w:rPr>
            </w:pPr>
          </w:p>
        </w:tc>
        <w:tc>
          <w:tcPr>
            <w:tcW w:w="4320" w:type="dxa"/>
            <w:vAlign w:val="bottom"/>
          </w:tcPr>
          <w:p>
            <w:pPr>
              <w:ind w:left="400"/>
              <w:spacing w:after="0"/>
              <w:rPr>
                <w:sz w:val="20"/>
                <w:szCs w:val="20"/>
                <w:color w:val="auto"/>
              </w:rPr>
            </w:pPr>
            <w:r>
              <w:rPr>
                <w:rFonts w:ascii="Arial" w:cs="Arial" w:eastAsia="Arial" w:hAnsi="Arial"/>
                <w:sz w:val="20"/>
                <w:szCs w:val="20"/>
                <w:color w:val="auto"/>
              </w:rPr>
              <w:t>finance lease obligations</w:t>
            </w: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1"/>
        </w:trPr>
        <w:tc>
          <w:tcPr>
            <w:tcW w:w="2740" w:type="dxa"/>
            <w:vAlign w:val="bottom"/>
          </w:tcPr>
          <w:p>
            <w:pPr>
              <w:ind w:left="180"/>
              <w:spacing w:after="0"/>
              <w:rPr>
                <w:sz w:val="20"/>
                <w:szCs w:val="20"/>
                <w:color w:val="auto"/>
              </w:rPr>
            </w:pPr>
            <w:r>
              <w:rPr>
                <w:rFonts w:ascii="Arial" w:cs="Arial" w:eastAsia="Arial" w:hAnsi="Arial"/>
                <w:sz w:val="20"/>
                <w:szCs w:val="20"/>
                <w:color w:val="auto"/>
              </w:rPr>
              <w:t>Noncurrent</w:t>
            </w:r>
          </w:p>
        </w:tc>
        <w:tc>
          <w:tcPr>
            <w:tcW w:w="4320" w:type="dxa"/>
            <w:vAlign w:val="bottom"/>
          </w:tcPr>
          <w:p>
            <w:pPr>
              <w:ind w:left="400"/>
              <w:spacing w:after="0"/>
              <w:rPr>
                <w:sz w:val="20"/>
                <w:szCs w:val="20"/>
                <w:color w:val="auto"/>
              </w:rPr>
            </w:pPr>
            <w:r>
              <w:rPr>
                <w:rFonts w:ascii="Arial" w:cs="Arial" w:eastAsia="Arial" w:hAnsi="Arial"/>
                <w:sz w:val="20"/>
                <w:szCs w:val="20"/>
                <w:color w:val="auto"/>
              </w:rPr>
              <w:t>Long-term debt and finance lease</w:t>
            </w:r>
          </w:p>
        </w:tc>
        <w:tc>
          <w:tcPr>
            <w:tcW w:w="1200" w:type="dxa"/>
            <w:vAlign w:val="bottom"/>
          </w:tcPr>
          <w:p>
            <w:pPr>
              <w:jc w:val="right"/>
              <w:ind w:right="282"/>
              <w:spacing w:after="0"/>
              <w:rPr>
                <w:sz w:val="20"/>
                <w:szCs w:val="20"/>
                <w:color w:val="auto"/>
              </w:rPr>
            </w:pPr>
            <w:r>
              <w:rPr>
                <w:rFonts w:ascii="Arial" w:cs="Arial" w:eastAsia="Arial" w:hAnsi="Arial"/>
                <w:sz w:val="20"/>
                <w:szCs w:val="20"/>
                <w:color w:val="auto"/>
              </w:rPr>
              <w:t>22</w:t>
            </w:r>
          </w:p>
        </w:tc>
        <w:tc>
          <w:tcPr>
            <w:tcW w:w="8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44"/>
        </w:trPr>
        <w:tc>
          <w:tcPr>
            <w:tcW w:w="27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obligations</w:t>
            </w:r>
          </w:p>
        </w:tc>
        <w:tc>
          <w:tcPr>
            <w:tcW w:w="1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49"/>
        </w:trPr>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lease liabilities</w:t>
            </w:r>
          </w:p>
        </w:tc>
        <w:tc>
          <w:tcPr>
            <w:tcW w:w="4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$924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$915</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560" w:firstLine="359"/>
        <w:spacing w:after="0" w:line="279" w:lineRule="auto"/>
        <w:rPr>
          <w:sz w:val="20"/>
          <w:szCs w:val="20"/>
          <w:color w:val="auto"/>
        </w:rPr>
      </w:pPr>
      <w:r>
        <w:rPr>
          <w:rFonts w:ascii="Arial" w:cs="Arial" w:eastAsia="Arial" w:hAnsi="Arial"/>
          <w:sz w:val="20"/>
          <w:szCs w:val="20"/>
          <w:color w:val="auto"/>
        </w:rPr>
        <w:t>The following table summarizes the lease costs recognized in the consolidated statements of earnings: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760" w:type="dxa"/>
            <w:vAlign w:val="bottom"/>
          </w:tcPr>
          <w:p>
            <w:pPr>
              <w:jc w:val="right"/>
              <w:ind w:right="64"/>
              <w:spacing w:after="0"/>
              <w:rPr>
                <w:sz w:val="20"/>
                <w:szCs w:val="20"/>
                <w:color w:val="auto"/>
              </w:rPr>
            </w:pPr>
            <w:r>
              <w:rPr>
                <w:rFonts w:ascii="Arial" w:cs="Arial" w:eastAsia="Arial" w:hAnsi="Arial"/>
                <w:sz w:val="16"/>
                <w:szCs w:val="16"/>
                <w:b w:val="1"/>
                <w:bCs w:val="1"/>
                <w:color w:val="auto"/>
              </w:rPr>
              <w:t>2025</w:t>
            </w:r>
          </w:p>
        </w:tc>
        <w:tc>
          <w:tcPr>
            <w:tcW w:w="680" w:type="dxa"/>
            <w:vAlign w:val="bottom"/>
          </w:tcPr>
          <w:p>
            <w:pPr>
              <w:jc w:val="right"/>
              <w:ind w:right="64"/>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r>
      <w:tr>
        <w:trPr>
          <w:trHeight w:val="22"/>
        </w:trPr>
        <w:tc>
          <w:tcPr>
            <w:tcW w:w="50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64"/>
        </w:trPr>
        <w:tc>
          <w:tcPr>
            <w:tcW w:w="5080" w:type="dxa"/>
            <w:vAlign w:val="bottom"/>
          </w:tcPr>
          <w:p>
            <w:pPr>
              <w:spacing w:after="0"/>
              <w:rPr>
                <w:sz w:val="20"/>
                <w:szCs w:val="20"/>
                <w:color w:val="auto"/>
              </w:rPr>
            </w:pPr>
            <w:r>
              <w:rPr>
                <w:rFonts w:ascii="Arial" w:cs="Arial" w:eastAsia="Arial" w:hAnsi="Arial"/>
                <w:sz w:val="20"/>
                <w:szCs w:val="20"/>
                <w:color w:val="auto"/>
              </w:rPr>
              <w:t>Operating lease cost</w:t>
            </w:r>
          </w:p>
        </w:tc>
        <w:tc>
          <w:tcPr>
            <w:tcW w:w="2760" w:type="dxa"/>
            <w:vAlign w:val="bottom"/>
          </w:tcPr>
          <w:p>
            <w:pPr>
              <w:jc w:val="right"/>
              <w:ind w:right="24"/>
              <w:spacing w:after="0"/>
              <w:rPr>
                <w:sz w:val="20"/>
                <w:szCs w:val="20"/>
                <w:color w:val="auto"/>
              </w:rPr>
            </w:pPr>
            <w:r>
              <w:rPr>
                <w:rFonts w:ascii="Arial" w:cs="Arial" w:eastAsia="Arial" w:hAnsi="Arial"/>
                <w:sz w:val="20"/>
                <w:szCs w:val="20"/>
                <w:color w:val="auto"/>
              </w:rPr>
              <w:t>$213</w:t>
            </w:r>
          </w:p>
        </w:tc>
        <w:tc>
          <w:tcPr>
            <w:tcW w:w="680" w:type="dxa"/>
            <w:vAlign w:val="bottom"/>
          </w:tcPr>
          <w:p>
            <w:pPr>
              <w:jc w:val="right"/>
              <w:ind w:right="24"/>
              <w:spacing w:after="0"/>
              <w:rPr>
                <w:sz w:val="20"/>
                <w:szCs w:val="20"/>
                <w:color w:val="auto"/>
              </w:rPr>
            </w:pPr>
            <w:r>
              <w:rPr>
                <w:rFonts w:ascii="Arial" w:cs="Arial" w:eastAsia="Arial" w:hAnsi="Arial"/>
                <w:sz w:val="20"/>
                <w:szCs w:val="20"/>
                <w:color w:val="auto"/>
              </w:rPr>
              <w:t>$196</w:t>
            </w:r>
          </w:p>
        </w:tc>
        <w:tc>
          <w:tcPr>
            <w:tcW w:w="580" w:type="dxa"/>
            <w:vAlign w:val="bottom"/>
          </w:tcPr>
          <w:p>
            <w:pPr>
              <w:jc w:val="right"/>
              <w:spacing w:after="0"/>
              <w:rPr>
                <w:sz w:val="20"/>
                <w:szCs w:val="20"/>
                <w:color w:val="auto"/>
              </w:rPr>
            </w:pPr>
            <w:r>
              <w:rPr>
                <w:rFonts w:ascii="Arial" w:cs="Arial" w:eastAsia="Arial" w:hAnsi="Arial"/>
                <w:sz w:val="20"/>
                <w:szCs w:val="20"/>
                <w:color w:val="auto"/>
              </w:rPr>
              <w:t>$189</w:t>
            </w:r>
          </w:p>
        </w:tc>
      </w:tr>
      <w:tr>
        <w:trPr>
          <w:trHeight w:val="279"/>
        </w:trPr>
        <w:tc>
          <w:tcPr>
            <w:tcW w:w="5080" w:type="dxa"/>
            <w:vAlign w:val="bottom"/>
          </w:tcPr>
          <w:p>
            <w:pPr>
              <w:spacing w:after="0"/>
              <w:rPr>
                <w:sz w:val="20"/>
                <w:szCs w:val="20"/>
                <w:color w:val="auto"/>
              </w:rPr>
            </w:pPr>
            <w:r>
              <w:rPr>
                <w:rFonts w:ascii="Arial" w:cs="Arial" w:eastAsia="Arial" w:hAnsi="Arial"/>
                <w:sz w:val="20"/>
                <w:szCs w:val="20"/>
                <w:color w:val="auto"/>
              </w:rPr>
              <w:t>Short-term lease cost</w:t>
            </w:r>
          </w:p>
        </w:tc>
        <w:tc>
          <w:tcPr>
            <w:tcW w:w="2760" w:type="dxa"/>
            <w:vAlign w:val="bottom"/>
          </w:tcPr>
          <w:p>
            <w:pPr>
              <w:jc w:val="right"/>
              <w:ind w:right="24"/>
              <w:spacing w:after="0"/>
              <w:rPr>
                <w:sz w:val="20"/>
                <w:szCs w:val="20"/>
                <w:color w:val="auto"/>
              </w:rPr>
            </w:pPr>
            <w:r>
              <w:rPr>
                <w:rFonts w:ascii="Arial" w:cs="Arial" w:eastAsia="Arial" w:hAnsi="Arial"/>
                <w:sz w:val="20"/>
                <w:szCs w:val="20"/>
                <w:color w:val="auto"/>
              </w:rPr>
              <w:t>75</w:t>
            </w:r>
          </w:p>
        </w:tc>
        <w:tc>
          <w:tcPr>
            <w:tcW w:w="680" w:type="dxa"/>
            <w:vAlign w:val="bottom"/>
          </w:tcPr>
          <w:p>
            <w:pPr>
              <w:jc w:val="right"/>
              <w:ind w:right="24"/>
              <w:spacing w:after="0"/>
              <w:rPr>
                <w:sz w:val="20"/>
                <w:szCs w:val="20"/>
                <w:color w:val="auto"/>
              </w:rPr>
            </w:pPr>
            <w:r>
              <w:rPr>
                <w:rFonts w:ascii="Arial" w:cs="Arial" w:eastAsia="Arial" w:hAnsi="Arial"/>
                <w:sz w:val="20"/>
                <w:szCs w:val="20"/>
                <w:color w:val="auto"/>
              </w:rPr>
              <w:t>65</w:t>
            </w:r>
          </w:p>
        </w:tc>
        <w:tc>
          <w:tcPr>
            <w:tcW w:w="5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2"/>
        </w:trPr>
        <w:tc>
          <w:tcPr>
            <w:tcW w:w="5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Variable lease cost</w:t>
            </w:r>
          </w:p>
        </w:tc>
        <w:tc>
          <w:tcPr>
            <w:tcW w:w="276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104</w:t>
            </w: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86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w:t>
            </w:r>
          </w:p>
        </w:tc>
      </w:tr>
      <w:tr>
        <w:trPr>
          <w:trHeight w:val="269"/>
        </w:trPr>
        <w:tc>
          <w:tcPr>
            <w:tcW w:w="5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lease cost</w:t>
            </w:r>
          </w:p>
        </w:tc>
        <w:tc>
          <w:tcPr>
            <w:tcW w:w="276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$392</w:t>
            </w: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$347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$305</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Sublease income and finance lease costs were insignificant in 2025, 2024 and 2023.</w:t>
      </w:r>
    </w:p>
    <w:p>
      <w:pPr>
        <w:spacing w:after="0" w:line="173" w:lineRule="exact"/>
        <w:rPr>
          <w:sz w:val="20"/>
          <w:szCs w:val="20"/>
          <w:color w:val="auto"/>
        </w:rPr>
      </w:pPr>
    </w:p>
    <w:p>
      <w:pPr>
        <w:ind w:right="360" w:firstLine="359"/>
        <w:spacing w:after="0" w:line="279" w:lineRule="auto"/>
        <w:rPr>
          <w:sz w:val="20"/>
          <w:szCs w:val="20"/>
          <w:color w:val="auto"/>
        </w:rPr>
      </w:pPr>
      <w:r>
        <w:rPr>
          <w:rFonts w:ascii="Arial" w:cs="Arial" w:eastAsia="Arial" w:hAnsi="Arial"/>
          <w:sz w:val="20"/>
          <w:szCs w:val="20"/>
          <w:color w:val="auto"/>
        </w:rPr>
        <w:t>The following table presents the weighted-average remaining lease term and weighted-average discount rate for operating and finance leases: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ended December 31</w:t>
            </w:r>
          </w:p>
        </w:tc>
        <w:tc>
          <w:tcPr>
            <w:tcW w:w="2100" w:type="dxa"/>
            <w:vAlign w:val="bottom"/>
            <w:tcBorders>
              <w:bottom w:val="single" w:sz="8" w:color="auto"/>
            </w:tcBorders>
          </w:tcPr>
          <w:p>
            <w:pPr>
              <w:jc w:val="center"/>
              <w:ind w:left="1324"/>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2024</w:t>
            </w:r>
          </w:p>
        </w:tc>
        <w:tc>
          <w:tcPr>
            <w:tcW w:w="580" w:type="dxa"/>
            <w:vAlign w:val="bottom"/>
            <w:tcBorders>
              <w:bottom w:val="single" w:sz="8" w:color="auto"/>
            </w:tcBorders>
          </w:tcPr>
          <w:p>
            <w:pPr>
              <w:jc w:val="center"/>
              <w:ind w:left="4"/>
              <w:spacing w:after="0"/>
              <w:rPr>
                <w:sz w:val="20"/>
                <w:szCs w:val="20"/>
                <w:color w:val="auto"/>
              </w:rPr>
            </w:pPr>
            <w:r>
              <w:rPr>
                <w:rFonts w:ascii="Arial" w:cs="Arial" w:eastAsia="Arial" w:hAnsi="Arial"/>
                <w:sz w:val="16"/>
                <w:szCs w:val="16"/>
                <w:b w:val="1"/>
                <w:bCs w:val="1"/>
                <w:color w:val="auto"/>
              </w:rPr>
              <w:t>2023</w:t>
            </w:r>
          </w:p>
        </w:tc>
      </w:tr>
      <w:tr>
        <w:trPr>
          <w:trHeight w:val="259"/>
        </w:trPr>
        <w:tc>
          <w:tcPr>
            <w:tcW w:w="5720" w:type="dxa"/>
            <w:vAlign w:val="bottom"/>
          </w:tcPr>
          <w:p>
            <w:pPr>
              <w:spacing w:after="0"/>
              <w:rPr>
                <w:sz w:val="20"/>
                <w:szCs w:val="20"/>
                <w:color w:val="auto"/>
              </w:rPr>
            </w:pPr>
            <w:r>
              <w:rPr>
                <w:rFonts w:ascii="Arial" w:cs="Arial" w:eastAsia="Arial" w:hAnsi="Arial"/>
                <w:sz w:val="20"/>
                <w:szCs w:val="20"/>
                <w:color w:val="auto"/>
              </w:rPr>
              <w:t>Weighted-average remaining lease term (years)</w:t>
            </w:r>
          </w:p>
        </w:tc>
        <w:tc>
          <w:tcPr>
            <w:tcW w:w="2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9"/>
        </w:trPr>
        <w:tc>
          <w:tcPr>
            <w:tcW w:w="5720" w:type="dxa"/>
            <w:vAlign w:val="bottom"/>
          </w:tcPr>
          <w:p>
            <w:pPr>
              <w:ind w:left="180"/>
              <w:spacing w:after="0"/>
              <w:rPr>
                <w:sz w:val="20"/>
                <w:szCs w:val="20"/>
                <w:color w:val="auto"/>
              </w:rPr>
            </w:pPr>
            <w:r>
              <w:rPr>
                <w:rFonts w:ascii="Arial" w:cs="Arial" w:eastAsia="Arial" w:hAnsi="Arial"/>
                <w:sz w:val="20"/>
                <w:szCs w:val="20"/>
                <w:color w:val="auto"/>
              </w:rPr>
              <w:t>Operating</w:t>
            </w:r>
          </w:p>
        </w:tc>
        <w:tc>
          <w:tcPr>
            <w:tcW w:w="2100" w:type="dxa"/>
            <w:vAlign w:val="bottom"/>
          </w:tcPr>
          <w:p>
            <w:pPr>
              <w:jc w:val="center"/>
              <w:ind w:left="1324"/>
              <w:spacing w:after="0"/>
              <w:rPr>
                <w:sz w:val="20"/>
                <w:szCs w:val="20"/>
                <w:color w:val="auto"/>
              </w:rPr>
            </w:pPr>
            <w:r>
              <w:rPr>
                <w:rFonts w:ascii="Arial" w:cs="Arial" w:eastAsia="Arial" w:hAnsi="Arial"/>
                <w:sz w:val="20"/>
                <w:szCs w:val="20"/>
                <w:color w:val="auto"/>
              </w:rPr>
              <w:t>6</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7</w:t>
            </w:r>
          </w:p>
        </w:tc>
        <w:tc>
          <w:tcPr>
            <w:tcW w:w="580" w:type="dxa"/>
            <w:vAlign w:val="bottom"/>
          </w:tcPr>
          <w:p>
            <w:pPr>
              <w:jc w:val="center"/>
              <w:ind w:left="4"/>
              <w:spacing w:after="0"/>
              <w:rPr>
                <w:sz w:val="20"/>
                <w:szCs w:val="20"/>
                <w:color w:val="auto"/>
              </w:rPr>
            </w:pPr>
            <w:r>
              <w:rPr>
                <w:rFonts w:ascii="Arial" w:cs="Arial" w:eastAsia="Arial" w:hAnsi="Arial"/>
                <w:sz w:val="20"/>
                <w:szCs w:val="20"/>
                <w:color w:val="auto"/>
              </w:rPr>
              <w:t>7</w:t>
            </w:r>
          </w:p>
        </w:tc>
      </w:tr>
      <w:tr>
        <w:trPr>
          <w:trHeight w:val="259"/>
        </w:trPr>
        <w:tc>
          <w:tcPr>
            <w:tcW w:w="5720" w:type="dxa"/>
            <w:vAlign w:val="bottom"/>
          </w:tcPr>
          <w:p>
            <w:pPr>
              <w:ind w:left="180"/>
              <w:spacing w:after="0"/>
              <w:rPr>
                <w:sz w:val="20"/>
                <w:szCs w:val="20"/>
                <w:color w:val="auto"/>
              </w:rPr>
            </w:pPr>
            <w:r>
              <w:rPr>
                <w:rFonts w:ascii="Arial" w:cs="Arial" w:eastAsia="Arial" w:hAnsi="Arial"/>
                <w:sz w:val="20"/>
                <w:szCs w:val="20"/>
                <w:color w:val="auto"/>
              </w:rPr>
              <w:t>Finance</w:t>
            </w:r>
          </w:p>
        </w:tc>
        <w:tc>
          <w:tcPr>
            <w:tcW w:w="2100" w:type="dxa"/>
            <w:vAlign w:val="bottom"/>
          </w:tcPr>
          <w:p>
            <w:pPr>
              <w:jc w:val="center"/>
              <w:ind w:left="1324"/>
              <w:spacing w:after="0"/>
              <w:rPr>
                <w:sz w:val="20"/>
                <w:szCs w:val="20"/>
                <w:color w:val="auto"/>
              </w:rPr>
            </w:pPr>
            <w:r>
              <w:rPr>
                <w:rFonts w:ascii="Arial" w:cs="Arial" w:eastAsia="Arial" w:hAnsi="Arial"/>
                <w:sz w:val="20"/>
                <w:szCs w:val="20"/>
                <w:color w:val="auto"/>
              </w:rPr>
              <w:t>4</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5</w:t>
            </w:r>
          </w:p>
        </w:tc>
        <w:tc>
          <w:tcPr>
            <w:tcW w:w="580" w:type="dxa"/>
            <w:vAlign w:val="bottom"/>
          </w:tcPr>
          <w:p>
            <w:pPr>
              <w:jc w:val="center"/>
              <w:ind w:left="4"/>
              <w:spacing w:after="0"/>
              <w:rPr>
                <w:sz w:val="20"/>
                <w:szCs w:val="20"/>
                <w:color w:val="auto"/>
              </w:rPr>
            </w:pPr>
            <w:r>
              <w:rPr>
                <w:rFonts w:ascii="Arial" w:cs="Arial" w:eastAsia="Arial" w:hAnsi="Arial"/>
                <w:sz w:val="20"/>
                <w:szCs w:val="20"/>
                <w:color w:val="auto"/>
              </w:rPr>
              <w:t>3</w:t>
            </w:r>
          </w:p>
        </w:tc>
      </w:tr>
      <w:tr>
        <w:trPr>
          <w:trHeight w:val="259"/>
        </w:trPr>
        <w:tc>
          <w:tcPr>
            <w:tcW w:w="5720" w:type="dxa"/>
            <w:vAlign w:val="bottom"/>
          </w:tcPr>
          <w:p>
            <w:pPr>
              <w:spacing w:after="0"/>
              <w:rPr>
                <w:sz w:val="20"/>
                <w:szCs w:val="20"/>
                <w:color w:val="auto"/>
              </w:rPr>
            </w:pPr>
            <w:r>
              <w:rPr>
                <w:rFonts w:ascii="Arial" w:cs="Arial" w:eastAsia="Arial" w:hAnsi="Arial"/>
                <w:sz w:val="20"/>
                <w:szCs w:val="20"/>
                <w:color w:val="auto"/>
              </w:rPr>
              <w:t>Weighted-average discount rate</w:t>
            </w:r>
          </w:p>
        </w:tc>
        <w:tc>
          <w:tcPr>
            <w:tcW w:w="2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9"/>
        </w:trPr>
        <w:tc>
          <w:tcPr>
            <w:tcW w:w="5720" w:type="dxa"/>
            <w:vAlign w:val="bottom"/>
          </w:tcPr>
          <w:p>
            <w:pPr>
              <w:ind w:left="180"/>
              <w:spacing w:after="0"/>
              <w:rPr>
                <w:sz w:val="20"/>
                <w:szCs w:val="20"/>
                <w:color w:val="auto"/>
              </w:rPr>
            </w:pPr>
            <w:r>
              <w:rPr>
                <w:rFonts w:ascii="Arial" w:cs="Arial" w:eastAsia="Arial" w:hAnsi="Arial"/>
                <w:sz w:val="20"/>
                <w:szCs w:val="20"/>
                <w:color w:val="auto"/>
              </w:rPr>
              <w:t>Operating</w:t>
            </w:r>
          </w:p>
        </w:tc>
        <w:tc>
          <w:tcPr>
            <w:tcW w:w="2100" w:type="dxa"/>
            <w:vAlign w:val="bottom"/>
          </w:tcPr>
          <w:p>
            <w:pPr>
              <w:jc w:val="center"/>
              <w:ind w:left="1304"/>
              <w:spacing w:after="0"/>
              <w:rPr>
                <w:sz w:val="20"/>
                <w:szCs w:val="20"/>
                <w:color w:val="auto"/>
              </w:rPr>
            </w:pPr>
            <w:r>
              <w:rPr>
                <w:rFonts w:ascii="Arial" w:cs="Arial" w:eastAsia="Arial" w:hAnsi="Arial"/>
                <w:sz w:val="20"/>
                <w:szCs w:val="20"/>
                <w:color w:val="auto"/>
              </w:rPr>
              <w:t>3.5%</w:t>
            </w:r>
          </w:p>
        </w:tc>
        <w:tc>
          <w:tcPr>
            <w:tcW w:w="700" w:type="dxa"/>
            <w:vAlign w:val="bottom"/>
          </w:tcPr>
          <w:p>
            <w:pPr>
              <w:jc w:val="center"/>
              <w:spacing w:after="0"/>
              <w:rPr>
                <w:sz w:val="20"/>
                <w:szCs w:val="20"/>
                <w:color w:val="auto"/>
              </w:rPr>
            </w:pPr>
            <w:r>
              <w:rPr>
                <w:rFonts w:ascii="Arial" w:cs="Arial" w:eastAsia="Arial" w:hAnsi="Arial"/>
                <w:sz w:val="20"/>
                <w:szCs w:val="20"/>
                <w:color w:val="auto"/>
              </w:rPr>
              <w:t>3.3%</w:t>
            </w:r>
          </w:p>
        </w:tc>
        <w:tc>
          <w:tcPr>
            <w:tcW w:w="580" w:type="dxa"/>
            <w:vAlign w:val="bottom"/>
          </w:tcPr>
          <w:p>
            <w:pPr>
              <w:jc w:val="center"/>
              <w:ind w:left="24"/>
              <w:spacing w:after="0"/>
              <w:rPr>
                <w:sz w:val="20"/>
                <w:szCs w:val="20"/>
                <w:color w:val="auto"/>
              </w:rPr>
            </w:pPr>
            <w:r>
              <w:rPr>
                <w:rFonts w:ascii="Arial" w:cs="Arial" w:eastAsia="Arial" w:hAnsi="Arial"/>
                <w:sz w:val="20"/>
                <w:szCs w:val="20"/>
                <w:color w:val="auto"/>
              </w:rPr>
              <w:t>3.0%</w:t>
            </w:r>
          </w:p>
        </w:tc>
      </w:tr>
      <w:tr>
        <w:trPr>
          <w:trHeight w:val="255"/>
        </w:trPr>
        <w:tc>
          <w:tcPr>
            <w:tcW w:w="572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Finance</w:t>
            </w:r>
          </w:p>
        </w:tc>
        <w:tc>
          <w:tcPr>
            <w:tcW w:w="2100" w:type="dxa"/>
            <w:vAlign w:val="bottom"/>
            <w:tcBorders>
              <w:bottom w:val="single" w:sz="8" w:color="auto"/>
            </w:tcBorders>
          </w:tcPr>
          <w:p>
            <w:pPr>
              <w:jc w:val="center"/>
              <w:ind w:left="1304"/>
              <w:spacing w:after="0"/>
              <w:rPr>
                <w:sz w:val="20"/>
                <w:szCs w:val="20"/>
                <w:color w:val="auto"/>
              </w:rPr>
            </w:pPr>
            <w:r>
              <w:rPr>
                <w:rFonts w:ascii="Arial" w:cs="Arial" w:eastAsia="Arial" w:hAnsi="Arial"/>
                <w:sz w:val="20"/>
                <w:szCs w:val="20"/>
                <w:color w:val="auto"/>
              </w:rPr>
              <w:t>4.3%</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4.2%</w:t>
            </w:r>
          </w:p>
        </w:tc>
        <w:tc>
          <w:tcPr>
            <w:tcW w:w="580" w:type="dxa"/>
            <w:vAlign w:val="bottom"/>
            <w:tcBorders>
              <w:bottom w:val="single" w:sz="8" w:color="auto"/>
            </w:tcBorders>
          </w:tcPr>
          <w:p>
            <w:pPr>
              <w:jc w:val="center"/>
              <w:ind w:left="24"/>
              <w:spacing w:after="0"/>
              <w:rPr>
                <w:sz w:val="20"/>
                <w:szCs w:val="20"/>
                <w:color w:val="auto"/>
              </w:rPr>
            </w:pPr>
            <w:r>
              <w:rPr>
                <w:rFonts w:ascii="Arial" w:cs="Arial" w:eastAsia="Arial" w:hAnsi="Arial"/>
                <w:sz w:val="20"/>
                <w:szCs w:val="20"/>
                <w:color w:val="auto"/>
              </w:rPr>
              <w:t>3.6%</w:t>
            </w:r>
          </w:p>
        </w:tc>
      </w:tr>
    </w:tbl>
    <w:p>
      <w:pPr>
        <w:spacing w:after="0" w:line="21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presents supplementary cash flow information regarding the company’s leases: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59"/>
        </w:trPr>
        <w:tc>
          <w:tcPr>
            <w:tcW w:w="6940" w:type="dxa"/>
            <w:vAlign w:val="bottom"/>
          </w:tcPr>
          <w:p>
            <w:pPr>
              <w:spacing w:after="0"/>
              <w:rPr>
                <w:sz w:val="20"/>
                <w:szCs w:val="20"/>
                <w:color w:val="auto"/>
              </w:rPr>
            </w:pPr>
            <w:r>
              <w:rPr>
                <w:rFonts w:ascii="Arial" w:cs="Arial" w:eastAsia="Arial" w:hAnsi="Arial"/>
                <w:sz w:val="20"/>
                <w:szCs w:val="20"/>
                <w:color w:val="auto"/>
              </w:rPr>
              <w:t>Cash paid for amounts included in the measurement of lease liabilities</w:t>
            </w: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9"/>
        </w:trPr>
        <w:tc>
          <w:tcPr>
            <w:tcW w:w="6940" w:type="dxa"/>
            <w:vAlign w:val="bottom"/>
          </w:tcPr>
          <w:p>
            <w:pPr>
              <w:ind w:left="180"/>
              <w:spacing w:after="0"/>
              <w:rPr>
                <w:sz w:val="20"/>
                <w:szCs w:val="20"/>
                <w:color w:val="auto"/>
              </w:rPr>
            </w:pPr>
            <w:r>
              <w:rPr>
                <w:rFonts w:ascii="Arial" w:cs="Arial" w:eastAsia="Arial" w:hAnsi="Arial"/>
                <w:sz w:val="20"/>
                <w:szCs w:val="20"/>
                <w:color w:val="auto"/>
              </w:rPr>
              <w:t>Operating cash flows from operating leases</w:t>
            </w:r>
          </w:p>
        </w:tc>
        <w:tc>
          <w:tcPr>
            <w:tcW w:w="900" w:type="dxa"/>
            <w:vAlign w:val="bottom"/>
          </w:tcPr>
          <w:p>
            <w:pPr>
              <w:jc w:val="right"/>
              <w:ind w:right="27"/>
              <w:spacing w:after="0"/>
              <w:rPr>
                <w:sz w:val="20"/>
                <w:szCs w:val="20"/>
                <w:color w:val="auto"/>
              </w:rPr>
            </w:pPr>
            <w:r>
              <w:rPr>
                <w:rFonts w:ascii="Arial" w:cs="Arial" w:eastAsia="Arial" w:hAnsi="Arial"/>
                <w:sz w:val="20"/>
                <w:szCs w:val="20"/>
                <w:color w:val="auto"/>
              </w:rPr>
              <w:t>$230</w:t>
            </w:r>
          </w:p>
        </w:tc>
        <w:tc>
          <w:tcPr>
            <w:tcW w:w="680" w:type="dxa"/>
            <w:vAlign w:val="bottom"/>
          </w:tcPr>
          <w:p>
            <w:pPr>
              <w:jc w:val="right"/>
              <w:ind w:right="27"/>
              <w:spacing w:after="0"/>
              <w:rPr>
                <w:sz w:val="20"/>
                <w:szCs w:val="20"/>
                <w:color w:val="auto"/>
              </w:rPr>
            </w:pPr>
            <w:r>
              <w:rPr>
                <w:rFonts w:ascii="Arial" w:cs="Arial" w:eastAsia="Arial" w:hAnsi="Arial"/>
                <w:sz w:val="20"/>
                <w:szCs w:val="20"/>
                <w:color w:val="auto"/>
              </w:rPr>
              <w:t>$204</w:t>
            </w:r>
          </w:p>
        </w:tc>
        <w:tc>
          <w:tcPr>
            <w:tcW w:w="580" w:type="dxa"/>
            <w:vAlign w:val="bottom"/>
          </w:tcPr>
          <w:p>
            <w:pPr>
              <w:jc w:val="right"/>
              <w:spacing w:after="0"/>
              <w:rPr>
                <w:sz w:val="20"/>
                <w:szCs w:val="20"/>
                <w:color w:val="auto"/>
              </w:rPr>
            </w:pPr>
            <w:r>
              <w:rPr>
                <w:rFonts w:ascii="Arial" w:cs="Arial" w:eastAsia="Arial" w:hAnsi="Arial"/>
                <w:sz w:val="20"/>
                <w:szCs w:val="20"/>
                <w:color w:val="auto"/>
              </w:rPr>
              <w:t>$214</w:t>
            </w:r>
          </w:p>
        </w:tc>
      </w:tr>
      <w:tr>
        <w:trPr>
          <w:trHeight w:val="255"/>
        </w:trPr>
        <w:tc>
          <w:tcPr>
            <w:tcW w:w="6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Right-of-use assets obtained in exchange for new operating lease liabilities</w:t>
            </w: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20"/>
                <w:szCs w:val="20"/>
                <w:color w:val="auto"/>
              </w:rPr>
              <w:t>212</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20"/>
                <w:szCs w:val="20"/>
                <w:color w:val="auto"/>
              </w:rPr>
              <w:t>159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w:t>
            </w:r>
          </w:p>
        </w:tc>
      </w:tr>
    </w:tbl>
    <w:p>
      <w:pPr>
        <w:spacing w:after="0" w:line="21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Finance lease cash flows were insignificant in 2025, 2024 and 2023.</w:t>
      </w:r>
    </w:p>
    <w:p>
      <w:pPr>
        <w:sectPr>
          <w:pgSz w:w="11880" w:h="15480" w:orient="portrait"/>
          <w:cols w:equalWidth="0" w:num="1">
            <w:col w:w="9100"/>
          </w:cols>
          <w:pgMar w:left="1400" w:top="979"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  </w:t>
      </w:r>
      <w:r>
        <w:rPr>
          <w:sz w:val="1"/>
          <w:szCs w:val="1"/>
          <w:color w:val="auto"/>
        </w:rPr>
        <w:drawing>
          <wp:inline distT="0" distB="0" distL="0" distR="0">
            <wp:extent cx="615950" cy="1282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979" w:right="1380" w:bottom="75" w:gutter="0" w:footer="0" w:header="0"/>
          <w:type w:val="continuous"/>
        </w:sectPr>
      </w:pPr>
    </w:p>
    <w:bookmarkStart w:id="86" w:name="page87"/>
    <w:bookmarkEnd w:id="86"/>
    <w:p>
      <w:pPr>
        <w:ind w:right="540" w:firstLine="359"/>
        <w:spacing w:after="0" w:line="264" w:lineRule="auto"/>
        <w:rPr>
          <w:sz w:val="20"/>
          <w:szCs w:val="20"/>
          <w:color w:val="auto"/>
        </w:rPr>
      </w:pPr>
      <w:r>
        <w:rPr>
          <w:rFonts w:ascii="Arial" w:cs="Arial" w:eastAsia="Arial" w:hAnsi="Arial"/>
          <w:sz w:val="20"/>
          <w:szCs w:val="20"/>
          <w:color w:val="auto"/>
        </w:rPr>
        <w:t>The following table summarizes the future maturities of AbbVie’s operating and finance lease liabilities as of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2800" w:type="dxa"/>
            <w:vAlign w:val="bottom"/>
          </w:tcPr>
          <w:p>
            <w:pPr>
              <w:jc w:val="right"/>
              <w:ind w:right="24"/>
              <w:spacing w:after="0"/>
              <w:rPr>
                <w:sz w:val="20"/>
                <w:szCs w:val="20"/>
                <w:color w:val="auto"/>
              </w:rPr>
            </w:pPr>
            <w:r>
              <w:rPr>
                <w:rFonts w:ascii="Arial" w:cs="Arial" w:eastAsia="Arial" w:hAnsi="Arial"/>
                <w:sz w:val="16"/>
                <w:szCs w:val="16"/>
                <w:b w:val="1"/>
                <w:bCs w:val="1"/>
                <w:color w:val="auto"/>
              </w:rPr>
              <w:t>Operating</w:t>
            </w:r>
          </w:p>
        </w:tc>
        <w:tc>
          <w:tcPr>
            <w:tcW w:w="840" w:type="dxa"/>
            <w:vAlign w:val="bottom"/>
          </w:tcPr>
          <w:p>
            <w:pPr>
              <w:jc w:val="right"/>
              <w:ind w:right="24"/>
              <w:spacing w:after="0"/>
              <w:rPr>
                <w:sz w:val="20"/>
                <w:szCs w:val="20"/>
                <w:color w:val="auto"/>
              </w:rPr>
            </w:pPr>
            <w:r>
              <w:rPr>
                <w:rFonts w:ascii="Arial" w:cs="Arial" w:eastAsia="Arial" w:hAnsi="Arial"/>
                <w:sz w:val="16"/>
                <w:szCs w:val="16"/>
                <w:b w:val="1"/>
                <w:bCs w:val="1"/>
                <w:color w:val="auto"/>
              </w:rPr>
              <w:t>Finance</w:t>
            </w: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19"/>
                <w:szCs w:val="19"/>
                <w:b w:val="1"/>
                <w:bCs w:val="1"/>
                <w:color w:val="auto"/>
                <w:vertAlign w:val="superscript"/>
              </w:rPr>
              <w:t>(a)</w:t>
            </w:r>
          </w:p>
        </w:tc>
        <w:tc>
          <w:tcPr>
            <w:tcW w:w="0" w:type="dxa"/>
            <w:vAlign w:val="bottom"/>
          </w:tcPr>
          <w:p>
            <w:pPr>
              <w:spacing w:after="0"/>
              <w:rPr>
                <w:sz w:val="1"/>
                <w:szCs w:val="1"/>
                <w:color w:val="auto"/>
              </w:rPr>
            </w:pPr>
          </w:p>
        </w:tc>
      </w:tr>
      <w:tr>
        <w:trPr>
          <w:trHeight w:val="218"/>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millions)</w:t>
            </w:r>
          </w:p>
        </w:tc>
        <w:tc>
          <w:tcPr>
            <w:tcW w:w="280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leases</w:t>
            </w:r>
          </w:p>
        </w:tc>
        <w:tc>
          <w:tcPr>
            <w:tcW w:w="8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leases</w:t>
            </w:r>
          </w:p>
        </w:tc>
        <w:tc>
          <w:tcPr>
            <w:tcW w:w="7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0"/>
                <w:szCs w:val="20"/>
                <w:color w:val="auto"/>
              </w:rPr>
            </w:pPr>
            <w:r>
              <w:rPr>
                <w:rFonts w:ascii="Arial" w:cs="Arial" w:eastAsia="Arial" w:hAnsi="Arial"/>
                <w:sz w:val="20"/>
                <w:szCs w:val="20"/>
                <w:color w:val="auto"/>
              </w:rPr>
              <w:t>2026</w:t>
            </w:r>
          </w:p>
        </w:tc>
        <w:tc>
          <w:tcPr>
            <w:tcW w:w="2800" w:type="dxa"/>
            <w:vAlign w:val="bottom"/>
          </w:tcPr>
          <w:p>
            <w:pPr>
              <w:jc w:val="right"/>
              <w:ind w:right="184"/>
              <w:spacing w:after="0"/>
              <w:rPr>
                <w:sz w:val="20"/>
                <w:szCs w:val="20"/>
                <w:color w:val="auto"/>
              </w:rPr>
            </w:pPr>
            <w:r>
              <w:rPr>
                <w:rFonts w:ascii="Arial" w:cs="Arial" w:eastAsia="Arial" w:hAnsi="Arial"/>
                <w:sz w:val="20"/>
                <w:szCs w:val="20"/>
                <w:color w:val="auto"/>
              </w:rPr>
              <w:t>$224</w:t>
            </w:r>
          </w:p>
        </w:tc>
        <w:tc>
          <w:tcPr>
            <w:tcW w:w="840" w:type="dxa"/>
            <w:vAlign w:val="bottom"/>
          </w:tcPr>
          <w:p>
            <w:pPr>
              <w:jc w:val="right"/>
              <w:ind w:right="164"/>
              <w:spacing w:after="0"/>
              <w:rPr>
                <w:sz w:val="20"/>
                <w:szCs w:val="20"/>
                <w:color w:val="auto"/>
              </w:rPr>
            </w:pPr>
            <w:r>
              <w:rPr>
                <w:rFonts w:ascii="Arial" w:cs="Arial" w:eastAsia="Arial" w:hAnsi="Arial"/>
                <w:sz w:val="20"/>
                <w:szCs w:val="20"/>
                <w:color w:val="auto"/>
              </w:rPr>
              <w:t>$21</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245</w:t>
            </w:r>
          </w:p>
        </w:tc>
        <w:tc>
          <w:tcPr>
            <w:tcW w:w="0" w:type="dxa"/>
            <w:vAlign w:val="bottom"/>
          </w:tcPr>
          <w:p>
            <w:pPr>
              <w:spacing w:after="0"/>
              <w:rPr>
                <w:sz w:val="1"/>
                <w:szCs w:val="1"/>
                <w:color w:val="auto"/>
              </w:rPr>
            </w:pPr>
          </w:p>
        </w:tc>
      </w:tr>
      <w:tr>
        <w:trPr>
          <w:trHeight w:val="279"/>
        </w:trPr>
        <w:tc>
          <w:tcPr>
            <w:tcW w:w="4720" w:type="dxa"/>
            <w:vAlign w:val="bottom"/>
          </w:tcPr>
          <w:p>
            <w:pPr>
              <w:spacing w:after="0"/>
              <w:rPr>
                <w:sz w:val="20"/>
                <w:szCs w:val="20"/>
                <w:color w:val="auto"/>
              </w:rPr>
            </w:pPr>
            <w:r>
              <w:rPr>
                <w:rFonts w:ascii="Arial" w:cs="Arial" w:eastAsia="Arial" w:hAnsi="Arial"/>
                <w:sz w:val="20"/>
                <w:szCs w:val="20"/>
                <w:color w:val="auto"/>
              </w:rPr>
              <w:t>2027</w:t>
            </w:r>
          </w:p>
        </w:tc>
        <w:tc>
          <w:tcPr>
            <w:tcW w:w="2800" w:type="dxa"/>
            <w:vAlign w:val="bottom"/>
          </w:tcPr>
          <w:p>
            <w:pPr>
              <w:jc w:val="right"/>
              <w:ind w:right="184"/>
              <w:spacing w:after="0"/>
              <w:rPr>
                <w:sz w:val="20"/>
                <w:szCs w:val="20"/>
                <w:color w:val="auto"/>
              </w:rPr>
            </w:pPr>
            <w:r>
              <w:rPr>
                <w:rFonts w:ascii="Arial" w:cs="Arial" w:eastAsia="Arial" w:hAnsi="Arial"/>
                <w:sz w:val="20"/>
                <w:szCs w:val="20"/>
                <w:color w:val="auto"/>
              </w:rPr>
              <w:t>187</w:t>
            </w:r>
          </w:p>
        </w:tc>
        <w:tc>
          <w:tcPr>
            <w:tcW w:w="840" w:type="dxa"/>
            <w:vAlign w:val="bottom"/>
          </w:tcPr>
          <w:p>
            <w:pPr>
              <w:jc w:val="right"/>
              <w:ind w:right="164"/>
              <w:spacing w:after="0"/>
              <w:rPr>
                <w:sz w:val="20"/>
                <w:szCs w:val="20"/>
                <w:color w:val="auto"/>
              </w:rPr>
            </w:pPr>
            <w:r>
              <w:rPr>
                <w:rFonts w:ascii="Arial" w:cs="Arial" w:eastAsia="Arial" w:hAnsi="Arial"/>
                <w:sz w:val="20"/>
                <w:szCs w:val="20"/>
                <w:color w:val="auto"/>
              </w:rPr>
              <w:t>11</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198</w:t>
            </w:r>
          </w:p>
        </w:tc>
        <w:tc>
          <w:tcPr>
            <w:tcW w:w="0" w:type="dxa"/>
            <w:vAlign w:val="bottom"/>
          </w:tcPr>
          <w:p>
            <w:pPr>
              <w:spacing w:after="0"/>
              <w:rPr>
                <w:sz w:val="1"/>
                <w:szCs w:val="1"/>
                <w:color w:val="auto"/>
              </w:rPr>
            </w:pPr>
          </w:p>
        </w:tc>
      </w:tr>
      <w:tr>
        <w:trPr>
          <w:trHeight w:val="279"/>
        </w:trPr>
        <w:tc>
          <w:tcPr>
            <w:tcW w:w="4720" w:type="dxa"/>
            <w:vAlign w:val="bottom"/>
          </w:tcPr>
          <w:p>
            <w:pPr>
              <w:spacing w:after="0"/>
              <w:rPr>
                <w:sz w:val="20"/>
                <w:szCs w:val="20"/>
                <w:color w:val="auto"/>
              </w:rPr>
            </w:pPr>
            <w:r>
              <w:rPr>
                <w:rFonts w:ascii="Arial" w:cs="Arial" w:eastAsia="Arial" w:hAnsi="Arial"/>
                <w:sz w:val="20"/>
                <w:szCs w:val="20"/>
                <w:color w:val="auto"/>
              </w:rPr>
              <w:t>2028</w:t>
            </w:r>
          </w:p>
        </w:tc>
        <w:tc>
          <w:tcPr>
            <w:tcW w:w="2800" w:type="dxa"/>
            <w:vAlign w:val="bottom"/>
          </w:tcPr>
          <w:p>
            <w:pPr>
              <w:jc w:val="right"/>
              <w:ind w:right="184"/>
              <w:spacing w:after="0"/>
              <w:rPr>
                <w:sz w:val="20"/>
                <w:szCs w:val="20"/>
                <w:color w:val="auto"/>
              </w:rPr>
            </w:pPr>
            <w:r>
              <w:rPr>
                <w:rFonts w:ascii="Arial" w:cs="Arial" w:eastAsia="Arial" w:hAnsi="Arial"/>
                <w:sz w:val="20"/>
                <w:szCs w:val="20"/>
                <w:color w:val="auto"/>
              </w:rPr>
              <w:t>157</w:t>
            </w:r>
          </w:p>
        </w:tc>
        <w:tc>
          <w:tcPr>
            <w:tcW w:w="840" w:type="dxa"/>
            <w:vAlign w:val="bottom"/>
          </w:tcPr>
          <w:p>
            <w:pPr>
              <w:jc w:val="right"/>
              <w:ind w:right="164"/>
              <w:spacing w:after="0"/>
              <w:rPr>
                <w:sz w:val="20"/>
                <w:szCs w:val="20"/>
                <w:color w:val="auto"/>
              </w:rPr>
            </w:pPr>
            <w:r>
              <w:rPr>
                <w:rFonts w:ascii="Arial" w:cs="Arial" w:eastAsia="Arial" w:hAnsi="Arial"/>
                <w:sz w:val="20"/>
                <w:szCs w:val="20"/>
                <w:color w:val="auto"/>
              </w:rPr>
              <w:t>7</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79"/>
        </w:trPr>
        <w:tc>
          <w:tcPr>
            <w:tcW w:w="4720" w:type="dxa"/>
            <w:vAlign w:val="bottom"/>
          </w:tcPr>
          <w:p>
            <w:pPr>
              <w:spacing w:after="0"/>
              <w:rPr>
                <w:sz w:val="20"/>
                <w:szCs w:val="20"/>
                <w:color w:val="auto"/>
              </w:rPr>
            </w:pPr>
            <w:r>
              <w:rPr>
                <w:rFonts w:ascii="Arial" w:cs="Arial" w:eastAsia="Arial" w:hAnsi="Arial"/>
                <w:sz w:val="20"/>
                <w:szCs w:val="20"/>
                <w:color w:val="auto"/>
              </w:rPr>
              <w:t>2029</w:t>
            </w:r>
          </w:p>
        </w:tc>
        <w:tc>
          <w:tcPr>
            <w:tcW w:w="2800" w:type="dxa"/>
            <w:vAlign w:val="bottom"/>
          </w:tcPr>
          <w:p>
            <w:pPr>
              <w:jc w:val="right"/>
              <w:ind w:right="184"/>
              <w:spacing w:after="0"/>
              <w:rPr>
                <w:sz w:val="20"/>
                <w:szCs w:val="20"/>
                <w:color w:val="auto"/>
              </w:rPr>
            </w:pPr>
            <w:r>
              <w:rPr>
                <w:rFonts w:ascii="Arial" w:cs="Arial" w:eastAsia="Arial" w:hAnsi="Arial"/>
                <w:sz w:val="20"/>
                <w:szCs w:val="20"/>
                <w:color w:val="auto"/>
              </w:rPr>
              <w:t>133</w:t>
            </w:r>
          </w:p>
        </w:tc>
        <w:tc>
          <w:tcPr>
            <w:tcW w:w="840" w:type="dxa"/>
            <w:vAlign w:val="bottom"/>
          </w:tcPr>
          <w:p>
            <w:pPr>
              <w:jc w:val="right"/>
              <w:ind w:right="164"/>
              <w:spacing w:after="0"/>
              <w:rPr>
                <w:sz w:val="20"/>
                <w:szCs w:val="20"/>
                <w:color w:val="auto"/>
              </w:rPr>
            </w:pPr>
            <w:r>
              <w:rPr>
                <w:rFonts w:ascii="Arial" w:cs="Arial" w:eastAsia="Arial" w:hAnsi="Arial"/>
                <w:sz w:val="20"/>
                <w:szCs w:val="20"/>
                <w:color w:val="auto"/>
              </w:rPr>
              <w:t>3</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79"/>
        </w:trPr>
        <w:tc>
          <w:tcPr>
            <w:tcW w:w="4720" w:type="dxa"/>
            <w:vAlign w:val="bottom"/>
          </w:tcPr>
          <w:p>
            <w:pPr>
              <w:spacing w:after="0"/>
              <w:rPr>
                <w:sz w:val="20"/>
                <w:szCs w:val="20"/>
                <w:color w:val="auto"/>
              </w:rPr>
            </w:pPr>
            <w:r>
              <w:rPr>
                <w:rFonts w:ascii="Arial" w:cs="Arial" w:eastAsia="Arial" w:hAnsi="Arial"/>
                <w:sz w:val="20"/>
                <w:szCs w:val="20"/>
                <w:color w:val="auto"/>
              </w:rPr>
              <w:t>2030</w:t>
            </w:r>
          </w:p>
        </w:tc>
        <w:tc>
          <w:tcPr>
            <w:tcW w:w="2800" w:type="dxa"/>
            <w:vAlign w:val="bottom"/>
          </w:tcPr>
          <w:p>
            <w:pPr>
              <w:jc w:val="right"/>
              <w:ind w:right="184"/>
              <w:spacing w:after="0"/>
              <w:rPr>
                <w:sz w:val="20"/>
                <w:szCs w:val="20"/>
                <w:color w:val="auto"/>
              </w:rPr>
            </w:pPr>
            <w:r>
              <w:rPr>
                <w:rFonts w:ascii="Arial" w:cs="Arial" w:eastAsia="Arial" w:hAnsi="Arial"/>
                <w:sz w:val="20"/>
                <w:szCs w:val="20"/>
                <w:color w:val="auto"/>
              </w:rPr>
              <w:t>100</w:t>
            </w:r>
          </w:p>
        </w:tc>
        <w:tc>
          <w:tcPr>
            <w:tcW w:w="84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82"/>
        </w:trPr>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Thereafter</w:t>
            </w:r>
          </w:p>
        </w:tc>
        <w:tc>
          <w:tcPr>
            <w:tcW w:w="2800" w:type="dxa"/>
            <w:vAlign w:val="bottom"/>
            <w:tcBorders>
              <w:bottom w:val="single" w:sz="8" w:color="auto"/>
            </w:tcBorders>
          </w:tcPr>
          <w:p>
            <w:pPr>
              <w:jc w:val="right"/>
              <w:ind w:right="184"/>
              <w:spacing w:after="0"/>
              <w:rPr>
                <w:sz w:val="20"/>
                <w:szCs w:val="20"/>
                <w:color w:val="auto"/>
              </w:rPr>
            </w:pPr>
            <w:r>
              <w:rPr>
                <w:rFonts w:ascii="Arial" w:cs="Arial" w:eastAsia="Arial" w:hAnsi="Arial"/>
                <w:sz w:val="20"/>
                <w:szCs w:val="20"/>
                <w:color w:val="auto"/>
              </w:rPr>
              <w:t>184</w:t>
            </w:r>
          </w:p>
        </w:tc>
        <w:tc>
          <w:tcPr>
            <w:tcW w:w="840" w:type="dxa"/>
            <w:vAlign w:val="bottom"/>
            <w:tcBorders>
              <w:bottom w:val="single" w:sz="8" w:color="auto"/>
            </w:tcBorders>
          </w:tcPr>
          <w:p>
            <w:pPr>
              <w:jc w:val="right"/>
              <w:ind w:right="164"/>
              <w:spacing w:after="0"/>
              <w:rPr>
                <w:sz w:val="20"/>
                <w:szCs w:val="20"/>
                <w:color w:val="auto"/>
              </w:rPr>
            </w:pPr>
            <w:r>
              <w:rPr>
                <w:rFonts w:ascii="Arial" w:cs="Arial" w:eastAsia="Arial" w:hAnsi="Arial"/>
                <w:sz w:val="20"/>
                <w:szCs w:val="20"/>
                <w:color w:val="auto"/>
              </w:rPr>
              <w:t>2</w:t>
            </w: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w:t>
            </w:r>
          </w:p>
        </w:tc>
        <w:tc>
          <w:tcPr>
            <w:tcW w:w="0" w:type="dxa"/>
            <w:vAlign w:val="bottom"/>
          </w:tcPr>
          <w:p>
            <w:pPr>
              <w:spacing w:after="0"/>
              <w:rPr>
                <w:sz w:val="1"/>
                <w:szCs w:val="1"/>
                <w:color w:val="auto"/>
              </w:rPr>
            </w:pPr>
          </w:p>
        </w:tc>
      </w:tr>
      <w:tr>
        <w:trPr>
          <w:trHeight w:val="266"/>
        </w:trPr>
        <w:tc>
          <w:tcPr>
            <w:tcW w:w="4720" w:type="dxa"/>
            <w:vAlign w:val="bottom"/>
          </w:tcPr>
          <w:p>
            <w:pPr>
              <w:spacing w:after="0"/>
              <w:rPr>
                <w:sz w:val="20"/>
                <w:szCs w:val="20"/>
                <w:color w:val="auto"/>
              </w:rPr>
            </w:pPr>
            <w:r>
              <w:rPr>
                <w:rFonts w:ascii="Arial" w:cs="Arial" w:eastAsia="Arial" w:hAnsi="Arial"/>
                <w:sz w:val="20"/>
                <w:szCs w:val="20"/>
                <w:color w:val="auto"/>
              </w:rPr>
              <w:t>Total lease payments</w:t>
            </w:r>
          </w:p>
        </w:tc>
        <w:tc>
          <w:tcPr>
            <w:tcW w:w="2800" w:type="dxa"/>
            <w:vAlign w:val="bottom"/>
          </w:tcPr>
          <w:p>
            <w:pPr>
              <w:jc w:val="right"/>
              <w:ind w:right="184"/>
              <w:spacing w:after="0"/>
              <w:rPr>
                <w:sz w:val="20"/>
                <w:szCs w:val="20"/>
                <w:color w:val="auto"/>
              </w:rPr>
            </w:pPr>
            <w:r>
              <w:rPr>
                <w:rFonts w:ascii="Arial" w:cs="Arial" w:eastAsia="Arial" w:hAnsi="Arial"/>
                <w:sz w:val="20"/>
                <w:szCs w:val="20"/>
                <w:color w:val="auto"/>
              </w:rPr>
              <w:t>985</w:t>
            </w:r>
          </w:p>
        </w:tc>
        <w:tc>
          <w:tcPr>
            <w:tcW w:w="840" w:type="dxa"/>
            <w:vAlign w:val="bottom"/>
          </w:tcPr>
          <w:p>
            <w:pPr>
              <w:jc w:val="right"/>
              <w:ind w:right="164"/>
              <w:spacing w:after="0"/>
              <w:rPr>
                <w:sz w:val="20"/>
                <w:szCs w:val="20"/>
                <w:color w:val="auto"/>
              </w:rPr>
            </w:pPr>
            <w:r>
              <w:rPr>
                <w:rFonts w:ascii="Arial" w:cs="Arial" w:eastAsia="Arial" w:hAnsi="Arial"/>
                <w:sz w:val="20"/>
                <w:szCs w:val="20"/>
                <w:color w:val="auto"/>
              </w:rPr>
              <w:t>44</w:t>
            </w: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w w:val="95"/>
              </w:rPr>
              <w:t>1,029</w:t>
            </w:r>
          </w:p>
        </w:tc>
        <w:tc>
          <w:tcPr>
            <w:tcW w:w="0" w:type="dxa"/>
            <w:vAlign w:val="bottom"/>
          </w:tcPr>
          <w:p>
            <w:pPr>
              <w:spacing w:after="0"/>
              <w:rPr>
                <w:sz w:val="1"/>
                <w:szCs w:val="1"/>
                <w:color w:val="auto"/>
              </w:rPr>
            </w:pPr>
          </w:p>
        </w:tc>
      </w:tr>
      <w:tr>
        <w:trPr>
          <w:trHeight w:val="282"/>
        </w:trPr>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Less: Interest</w:t>
            </w:r>
          </w:p>
        </w:tc>
        <w:tc>
          <w:tcPr>
            <w:tcW w:w="2800" w:type="dxa"/>
            <w:vAlign w:val="bottom"/>
            <w:tcBorders>
              <w:bottom w:val="single" w:sz="8" w:color="auto"/>
            </w:tcBorders>
          </w:tcPr>
          <w:p>
            <w:pPr>
              <w:jc w:val="right"/>
              <w:ind w:right="184"/>
              <w:spacing w:after="0"/>
              <w:rPr>
                <w:sz w:val="20"/>
                <w:szCs w:val="20"/>
                <w:color w:val="auto"/>
              </w:rPr>
            </w:pPr>
            <w:r>
              <w:rPr>
                <w:rFonts w:ascii="Arial" w:cs="Arial" w:eastAsia="Arial" w:hAnsi="Arial"/>
                <w:sz w:val="20"/>
                <w:szCs w:val="20"/>
                <w:color w:val="auto"/>
              </w:rPr>
              <w:t>102</w:t>
            </w:r>
          </w:p>
        </w:tc>
        <w:tc>
          <w:tcPr>
            <w:tcW w:w="840" w:type="dxa"/>
            <w:vAlign w:val="bottom"/>
            <w:tcBorders>
              <w:bottom w:val="single" w:sz="8" w:color="auto"/>
            </w:tcBorders>
          </w:tcPr>
          <w:p>
            <w:pPr>
              <w:jc w:val="right"/>
              <w:ind w:right="164"/>
              <w:spacing w:after="0"/>
              <w:rPr>
                <w:sz w:val="20"/>
                <w:szCs w:val="20"/>
                <w:color w:val="auto"/>
              </w:rPr>
            </w:pPr>
            <w:r>
              <w:rPr>
                <w:rFonts w:ascii="Arial" w:cs="Arial" w:eastAsia="Arial" w:hAnsi="Arial"/>
                <w:sz w:val="20"/>
                <w:szCs w:val="20"/>
                <w:color w:val="auto"/>
              </w:rPr>
              <w:t>3</w:t>
            </w: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69"/>
        </w:trPr>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Present value of lease liabilities</w:t>
            </w:r>
          </w:p>
        </w:tc>
        <w:tc>
          <w:tcPr>
            <w:tcW w:w="2800" w:type="dxa"/>
            <w:vAlign w:val="bottom"/>
            <w:tcBorders>
              <w:bottom w:val="single" w:sz="8" w:color="auto"/>
            </w:tcBorders>
          </w:tcPr>
          <w:p>
            <w:pPr>
              <w:jc w:val="right"/>
              <w:ind w:right="184"/>
              <w:spacing w:after="0"/>
              <w:rPr>
                <w:sz w:val="20"/>
                <w:szCs w:val="20"/>
                <w:color w:val="auto"/>
              </w:rPr>
            </w:pPr>
            <w:r>
              <w:rPr>
                <w:rFonts w:ascii="Arial" w:cs="Arial" w:eastAsia="Arial" w:hAnsi="Arial"/>
                <w:sz w:val="20"/>
                <w:szCs w:val="20"/>
                <w:color w:val="auto"/>
              </w:rPr>
              <w:t>$883</w:t>
            </w:r>
          </w:p>
        </w:tc>
        <w:tc>
          <w:tcPr>
            <w:tcW w:w="840" w:type="dxa"/>
            <w:vAlign w:val="bottom"/>
            <w:tcBorders>
              <w:bottom w:val="single" w:sz="8" w:color="auto"/>
            </w:tcBorders>
          </w:tcPr>
          <w:p>
            <w:pPr>
              <w:jc w:val="right"/>
              <w:ind w:right="164"/>
              <w:spacing w:after="0"/>
              <w:rPr>
                <w:sz w:val="20"/>
                <w:szCs w:val="20"/>
                <w:color w:val="auto"/>
              </w:rPr>
            </w:pPr>
            <w:r>
              <w:rPr>
                <w:rFonts w:ascii="Arial" w:cs="Arial" w:eastAsia="Arial" w:hAnsi="Arial"/>
                <w:sz w:val="20"/>
                <w:szCs w:val="20"/>
                <w:color w:val="auto"/>
              </w:rPr>
              <w:t>$41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924</w:t>
            </w: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(a) Lease payments recognized as part of lease liabilities for optional renewal periods are insignificant.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10 Debt, Credit Facilities and Commitments and Contingencies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long-term debt: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spacing w:after="0"/>
              <w:rPr>
                <w:sz w:val="16"/>
                <w:szCs w:val="16"/>
                <w:color w:val="auto"/>
              </w:rPr>
            </w:pPr>
          </w:p>
        </w:tc>
        <w:tc>
          <w:tcPr>
            <w:tcW w:w="1160" w:type="dxa"/>
            <w:vAlign w:val="bottom"/>
          </w:tcPr>
          <w:p>
            <w:pPr>
              <w:jc w:val="center"/>
              <w:ind w:right="23"/>
              <w:spacing w:after="0"/>
              <w:rPr>
                <w:sz w:val="20"/>
                <w:szCs w:val="20"/>
                <w:color w:val="auto"/>
              </w:rPr>
            </w:pPr>
            <w:r>
              <w:rPr>
                <w:rFonts w:ascii="Arial" w:cs="Arial" w:eastAsia="Arial" w:hAnsi="Arial"/>
                <w:sz w:val="16"/>
                <w:szCs w:val="16"/>
                <w:b w:val="1"/>
                <w:bCs w:val="1"/>
                <w:color w:val="auto"/>
              </w:rPr>
              <w:t>2024</w:t>
            </w:r>
          </w:p>
        </w:tc>
        <w:tc>
          <w:tcPr>
            <w:tcW w:w="800" w:type="dxa"/>
            <w:vAlign w:val="bottom"/>
          </w:tcPr>
          <w:p>
            <w:pPr>
              <w:spacing w:after="0"/>
              <w:rPr>
                <w:sz w:val="16"/>
                <w:szCs w:val="16"/>
                <w:color w:val="auto"/>
              </w:rPr>
            </w:pPr>
          </w:p>
        </w:tc>
      </w:tr>
      <w:tr>
        <w:trPr>
          <w:trHeight w:val="180"/>
        </w:trPr>
        <w:tc>
          <w:tcPr>
            <w:tcW w:w="4780" w:type="dxa"/>
            <w:vAlign w:val="bottom"/>
          </w:tcPr>
          <w:p>
            <w:pPr>
              <w:spacing w:after="0"/>
              <w:rPr>
                <w:sz w:val="15"/>
                <w:szCs w:val="15"/>
                <w:color w:val="auto"/>
              </w:rPr>
            </w:pPr>
          </w:p>
        </w:tc>
        <w:tc>
          <w:tcPr>
            <w:tcW w:w="1600" w:type="dxa"/>
            <w:vAlign w:val="bottom"/>
          </w:tcPr>
          <w:p>
            <w:pPr>
              <w:jc w:val="center"/>
              <w:ind w:right="3"/>
              <w:spacing w:after="0" w:line="180" w:lineRule="exact"/>
              <w:rPr>
                <w:sz w:val="20"/>
                <w:szCs w:val="20"/>
                <w:color w:val="auto"/>
              </w:rPr>
            </w:pPr>
            <w:r>
              <w:rPr>
                <w:rFonts w:ascii="Arial" w:cs="Arial" w:eastAsia="Arial" w:hAnsi="Arial"/>
                <w:sz w:val="16"/>
                <w:szCs w:val="16"/>
                <w:b w:val="1"/>
                <w:bCs w:val="1"/>
                <w:color w:val="auto"/>
                <w:w w:val="98"/>
              </w:rPr>
              <w:t>Effective</w:t>
            </w:r>
          </w:p>
        </w:tc>
        <w:tc>
          <w:tcPr>
            <w:tcW w:w="760" w:type="dxa"/>
            <w:vAlign w:val="bottom"/>
          </w:tcPr>
          <w:p>
            <w:pPr>
              <w:spacing w:after="0"/>
              <w:rPr>
                <w:sz w:val="15"/>
                <w:szCs w:val="15"/>
                <w:color w:val="auto"/>
              </w:rPr>
            </w:pPr>
          </w:p>
        </w:tc>
        <w:tc>
          <w:tcPr>
            <w:tcW w:w="1160" w:type="dxa"/>
            <w:vAlign w:val="bottom"/>
          </w:tcPr>
          <w:p>
            <w:pPr>
              <w:jc w:val="center"/>
              <w:ind w:right="3"/>
              <w:spacing w:after="0" w:line="180" w:lineRule="exact"/>
              <w:rPr>
                <w:sz w:val="20"/>
                <w:szCs w:val="20"/>
                <w:color w:val="auto"/>
              </w:rPr>
            </w:pPr>
            <w:r>
              <w:rPr>
                <w:rFonts w:ascii="Arial" w:cs="Arial" w:eastAsia="Arial" w:hAnsi="Arial"/>
                <w:sz w:val="16"/>
                <w:szCs w:val="16"/>
                <w:b w:val="1"/>
                <w:bCs w:val="1"/>
                <w:color w:val="auto"/>
                <w:w w:val="98"/>
              </w:rPr>
              <w:t>Effective</w:t>
            </w:r>
          </w:p>
        </w:tc>
        <w:tc>
          <w:tcPr>
            <w:tcW w:w="800" w:type="dxa"/>
            <w:vAlign w:val="bottom"/>
          </w:tcPr>
          <w:p>
            <w:pPr>
              <w:spacing w:after="0"/>
              <w:rPr>
                <w:sz w:val="15"/>
                <w:szCs w:val="15"/>
                <w:color w:val="auto"/>
              </w:rPr>
            </w:pPr>
          </w:p>
        </w:tc>
      </w:tr>
      <w:tr>
        <w:trPr>
          <w:trHeight w:val="170"/>
        </w:trPr>
        <w:tc>
          <w:tcPr>
            <w:tcW w:w="4780" w:type="dxa"/>
            <w:vAlign w:val="bottom"/>
          </w:tcPr>
          <w:p>
            <w:pPr>
              <w:spacing w:after="0"/>
              <w:rPr>
                <w:sz w:val="14"/>
                <w:szCs w:val="14"/>
                <w:color w:val="auto"/>
              </w:rPr>
            </w:pPr>
          </w:p>
        </w:tc>
        <w:tc>
          <w:tcPr>
            <w:tcW w:w="1600" w:type="dxa"/>
            <w:vAlign w:val="bottom"/>
          </w:tcPr>
          <w:p>
            <w:pPr>
              <w:jc w:val="center"/>
              <w:ind w:right="3"/>
              <w:spacing w:after="0" w:line="171" w:lineRule="exact"/>
              <w:rPr>
                <w:sz w:val="20"/>
                <w:szCs w:val="20"/>
                <w:color w:val="auto"/>
              </w:rPr>
            </w:pPr>
            <w:r>
              <w:rPr>
                <w:rFonts w:ascii="Arial" w:cs="Arial" w:eastAsia="Arial" w:hAnsi="Arial"/>
                <w:sz w:val="16"/>
                <w:szCs w:val="16"/>
                <w:b w:val="1"/>
                <w:bCs w:val="1"/>
                <w:color w:val="auto"/>
              </w:rPr>
              <w:t>interest</w:t>
            </w:r>
          </w:p>
        </w:tc>
        <w:tc>
          <w:tcPr>
            <w:tcW w:w="760" w:type="dxa"/>
            <w:vAlign w:val="bottom"/>
          </w:tcPr>
          <w:p>
            <w:pPr>
              <w:spacing w:after="0"/>
              <w:rPr>
                <w:sz w:val="14"/>
                <w:szCs w:val="14"/>
                <w:color w:val="auto"/>
              </w:rPr>
            </w:pPr>
          </w:p>
        </w:tc>
        <w:tc>
          <w:tcPr>
            <w:tcW w:w="1160" w:type="dxa"/>
            <w:vAlign w:val="bottom"/>
          </w:tcPr>
          <w:p>
            <w:pPr>
              <w:jc w:val="center"/>
              <w:ind w:right="3"/>
              <w:spacing w:after="0" w:line="171" w:lineRule="exact"/>
              <w:rPr>
                <w:sz w:val="20"/>
                <w:szCs w:val="20"/>
                <w:color w:val="auto"/>
              </w:rPr>
            </w:pPr>
            <w:r>
              <w:rPr>
                <w:rFonts w:ascii="Arial" w:cs="Arial" w:eastAsia="Arial" w:hAnsi="Arial"/>
                <w:sz w:val="16"/>
                <w:szCs w:val="16"/>
                <w:b w:val="1"/>
                <w:bCs w:val="1"/>
                <w:color w:val="auto"/>
              </w:rPr>
              <w:t>interest</w:t>
            </w:r>
          </w:p>
        </w:tc>
        <w:tc>
          <w:tcPr>
            <w:tcW w:w="800" w:type="dxa"/>
            <w:vAlign w:val="bottom"/>
          </w:tcPr>
          <w:p>
            <w:pPr>
              <w:spacing w:after="0"/>
              <w:rPr>
                <w:sz w:val="14"/>
                <w:szCs w:val="14"/>
                <w:color w:val="auto"/>
              </w:rPr>
            </w:pPr>
          </w:p>
        </w:tc>
      </w:tr>
      <w:tr>
        <w:trPr>
          <w:trHeight w:val="218"/>
        </w:trPr>
        <w:tc>
          <w:tcPr>
            <w:tcW w:w="4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of December 31 (dollars in millions)</w:t>
            </w:r>
          </w:p>
        </w:tc>
        <w:tc>
          <w:tcPr>
            <w:tcW w:w="16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rate</w:t>
            </w:r>
            <w:r>
              <w:rPr>
                <w:rFonts w:ascii="Arial" w:cs="Arial" w:eastAsia="Arial" w:hAnsi="Arial"/>
                <w:sz w:val="19"/>
                <w:szCs w:val="19"/>
                <w:b w:val="1"/>
                <w:bCs w:val="1"/>
                <w:color w:val="auto"/>
                <w:vertAlign w:val="superscript"/>
              </w:rPr>
              <w:t>(a)</w:t>
            </w: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2025</w:t>
            </w:r>
          </w:p>
        </w:tc>
        <w:tc>
          <w:tcPr>
            <w:tcW w:w="1160" w:type="dxa"/>
            <w:vAlign w:val="bottom"/>
            <w:tcBorders>
              <w:bottom w:val="single" w:sz="8" w:color="auto"/>
            </w:tcBorders>
          </w:tcPr>
          <w:p>
            <w:pPr>
              <w:jc w:val="center"/>
              <w:ind w:right="23"/>
              <w:spacing w:after="0"/>
              <w:rPr>
                <w:sz w:val="20"/>
                <w:szCs w:val="20"/>
                <w:color w:val="auto"/>
              </w:rPr>
            </w:pPr>
            <w:r>
              <w:rPr>
                <w:rFonts w:ascii="Arial" w:cs="Arial" w:eastAsia="Arial" w:hAnsi="Arial"/>
                <w:sz w:val="16"/>
                <w:szCs w:val="16"/>
                <w:b w:val="1"/>
                <w:bCs w:val="1"/>
                <w:color w:val="auto"/>
                <w:w w:val="98"/>
              </w:rPr>
              <w:t>rate</w:t>
            </w:r>
            <w:r>
              <w:rPr>
                <w:rFonts w:ascii="Arial" w:cs="Arial" w:eastAsia="Arial" w:hAnsi="Arial"/>
                <w:sz w:val="19"/>
                <w:szCs w:val="19"/>
                <w:b w:val="1"/>
                <w:bCs w:val="1"/>
                <w:color w:val="auto"/>
                <w:w w:val="98"/>
                <w:vertAlign w:val="superscript"/>
              </w:rPr>
              <w:t>(a)</w:t>
            </w: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2024</w:t>
            </w:r>
          </w:p>
        </w:tc>
      </w:tr>
      <w:tr>
        <w:trPr>
          <w:trHeight w:val="254"/>
        </w:trPr>
        <w:tc>
          <w:tcPr>
            <w:tcW w:w="4780" w:type="dxa"/>
            <w:vAlign w:val="bottom"/>
          </w:tcPr>
          <w:p>
            <w:pPr>
              <w:spacing w:after="0"/>
              <w:rPr>
                <w:sz w:val="20"/>
                <w:szCs w:val="20"/>
                <w:color w:val="auto"/>
              </w:rPr>
            </w:pPr>
            <w:r>
              <w:rPr>
                <w:rFonts w:ascii="Arial" w:cs="Arial" w:eastAsia="Arial" w:hAnsi="Arial"/>
                <w:sz w:val="20"/>
                <w:szCs w:val="20"/>
                <w:color w:val="auto"/>
              </w:rPr>
              <w:t>3.60 - 3.80% aggregate notes due 2025</w:t>
            </w:r>
          </w:p>
        </w:tc>
        <w:tc>
          <w:tcPr>
            <w:tcW w:w="1600" w:type="dxa"/>
            <w:vAlign w:val="bottom"/>
          </w:tcPr>
          <w:p>
            <w:pPr>
              <w:ind w:left="180"/>
              <w:spacing w:after="0"/>
              <w:rPr>
                <w:sz w:val="20"/>
                <w:szCs w:val="20"/>
                <w:color w:val="auto"/>
              </w:rPr>
            </w:pPr>
            <w:r>
              <w:rPr>
                <w:rFonts w:ascii="Arial" w:cs="Arial" w:eastAsia="Arial" w:hAnsi="Arial"/>
                <w:sz w:val="20"/>
                <w:szCs w:val="20"/>
                <w:color w:val="auto"/>
              </w:rPr>
              <w:t>2.09 - 3.66%  $</w:t>
            </w:r>
          </w:p>
        </w:tc>
        <w:tc>
          <w:tcPr>
            <w:tcW w:w="2720" w:type="dxa"/>
            <w:vAlign w:val="bottom"/>
            <w:gridSpan w:val="3"/>
          </w:tcPr>
          <w:p>
            <w:pPr>
              <w:jc w:val="right"/>
              <w:spacing w:after="0"/>
              <w:rPr>
                <w:sz w:val="20"/>
                <w:szCs w:val="20"/>
                <w:color w:val="auto"/>
              </w:rPr>
            </w:pPr>
            <w:r>
              <w:rPr>
                <w:rFonts w:ascii="Arial" w:cs="Arial" w:eastAsia="Arial" w:hAnsi="Arial"/>
                <w:sz w:val="20"/>
                <w:szCs w:val="20"/>
                <w:color w:val="auto"/>
              </w:rPr>
              <w:t>—  2.09 - 3.66%  $ 6,771</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2.95% senior notes due 2026</w:t>
            </w:r>
          </w:p>
        </w:tc>
        <w:tc>
          <w:tcPr>
            <w:tcW w:w="1600" w:type="dxa"/>
            <w:vAlign w:val="bottom"/>
          </w:tcPr>
          <w:p>
            <w:pPr>
              <w:ind w:left="560"/>
              <w:spacing w:after="0"/>
              <w:rPr>
                <w:sz w:val="20"/>
                <w:szCs w:val="20"/>
                <w:color w:val="auto"/>
              </w:rPr>
            </w:pPr>
            <w:r>
              <w:rPr>
                <w:rFonts w:ascii="Arial" w:cs="Arial" w:eastAsia="Arial" w:hAnsi="Arial"/>
                <w:sz w:val="20"/>
                <w:szCs w:val="20"/>
                <w:color w:val="auto"/>
              </w:rPr>
              <w:t>3.02%</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4,000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3.02%</w:t>
            </w:r>
          </w:p>
        </w:tc>
        <w:tc>
          <w:tcPr>
            <w:tcW w:w="800" w:type="dxa"/>
            <w:vAlign w:val="bottom"/>
          </w:tcPr>
          <w:p>
            <w:pPr>
              <w:jc w:val="right"/>
              <w:spacing w:after="0"/>
              <w:rPr>
                <w:sz w:val="20"/>
                <w:szCs w:val="20"/>
                <w:color w:val="auto"/>
              </w:rPr>
            </w:pPr>
            <w:r>
              <w:rPr>
                <w:rFonts w:ascii="Arial" w:cs="Arial" w:eastAsia="Arial" w:hAnsi="Arial"/>
                <w:sz w:val="20"/>
                <w:szCs w:val="20"/>
                <w:color w:val="auto"/>
              </w:rPr>
              <w:t>4,000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3.20% senior notes due 2026</w:t>
            </w:r>
          </w:p>
        </w:tc>
        <w:tc>
          <w:tcPr>
            <w:tcW w:w="1600" w:type="dxa"/>
            <w:vAlign w:val="bottom"/>
          </w:tcPr>
          <w:p>
            <w:pPr>
              <w:ind w:left="560"/>
              <w:spacing w:after="0"/>
              <w:rPr>
                <w:sz w:val="20"/>
                <w:szCs w:val="20"/>
                <w:color w:val="auto"/>
              </w:rPr>
            </w:pPr>
            <w:r>
              <w:rPr>
                <w:rFonts w:ascii="Arial" w:cs="Arial" w:eastAsia="Arial" w:hAnsi="Arial"/>
                <w:sz w:val="20"/>
                <w:szCs w:val="20"/>
                <w:color w:val="auto"/>
              </w:rPr>
              <w:t>3.28%</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2,000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3.28%</w:t>
            </w:r>
          </w:p>
        </w:tc>
        <w:tc>
          <w:tcPr>
            <w:tcW w:w="800" w:type="dxa"/>
            <w:vAlign w:val="bottom"/>
          </w:tcPr>
          <w:p>
            <w:pPr>
              <w:jc w:val="right"/>
              <w:spacing w:after="0"/>
              <w:rPr>
                <w:sz w:val="20"/>
                <w:szCs w:val="20"/>
                <w:color w:val="auto"/>
              </w:rPr>
            </w:pPr>
            <w:r>
              <w:rPr>
                <w:rFonts w:ascii="Arial" w:cs="Arial" w:eastAsia="Arial" w:hAnsi="Arial"/>
                <w:sz w:val="20"/>
                <w:szCs w:val="20"/>
                <w:color w:val="auto"/>
              </w:rPr>
              <w:t>2,000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4.549% term loan due 2027</w:t>
            </w:r>
          </w:p>
        </w:tc>
        <w:tc>
          <w:tcPr>
            <w:tcW w:w="1600" w:type="dxa"/>
            <w:vAlign w:val="bottom"/>
          </w:tcPr>
          <w:p>
            <w:pPr>
              <w:ind w:left="560"/>
              <w:spacing w:after="0"/>
              <w:rPr>
                <w:sz w:val="20"/>
                <w:szCs w:val="20"/>
                <w:color w:val="auto"/>
              </w:rPr>
            </w:pPr>
            <w:r>
              <w:rPr>
                <w:rFonts w:ascii="Arial" w:cs="Arial" w:eastAsia="Arial" w:hAnsi="Arial"/>
                <w:sz w:val="20"/>
                <w:szCs w:val="20"/>
                <w:color w:val="auto"/>
              </w:rPr>
              <w:t>4.61%</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2,000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4.61%</w:t>
            </w:r>
          </w:p>
        </w:tc>
        <w:tc>
          <w:tcPr>
            <w:tcW w:w="800" w:type="dxa"/>
            <w:vAlign w:val="bottom"/>
          </w:tcPr>
          <w:p>
            <w:pPr>
              <w:jc w:val="right"/>
              <w:spacing w:after="0"/>
              <w:rPr>
                <w:sz w:val="20"/>
                <w:szCs w:val="20"/>
                <w:color w:val="auto"/>
              </w:rPr>
            </w:pPr>
            <w:r>
              <w:rPr>
                <w:rFonts w:ascii="Arial" w:cs="Arial" w:eastAsia="Arial" w:hAnsi="Arial"/>
                <w:sz w:val="20"/>
                <w:szCs w:val="20"/>
                <w:color w:val="auto"/>
              </w:rPr>
              <w:t>2,000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0.75% senior euro notes due 2027 (€750 principal)</w:t>
            </w:r>
          </w:p>
        </w:tc>
        <w:tc>
          <w:tcPr>
            <w:tcW w:w="1600" w:type="dxa"/>
            <w:vAlign w:val="bottom"/>
          </w:tcPr>
          <w:p>
            <w:pPr>
              <w:ind w:left="560"/>
              <w:spacing w:after="0"/>
              <w:rPr>
                <w:sz w:val="20"/>
                <w:szCs w:val="20"/>
                <w:color w:val="auto"/>
              </w:rPr>
            </w:pPr>
            <w:r>
              <w:rPr>
                <w:rFonts w:ascii="Arial" w:cs="Arial" w:eastAsia="Arial" w:hAnsi="Arial"/>
                <w:sz w:val="20"/>
                <w:szCs w:val="20"/>
                <w:color w:val="auto"/>
              </w:rPr>
              <w:t>0.86%</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880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0.86%</w:t>
            </w:r>
          </w:p>
        </w:tc>
        <w:tc>
          <w:tcPr>
            <w:tcW w:w="800" w:type="dxa"/>
            <w:vAlign w:val="bottom"/>
          </w:tcPr>
          <w:p>
            <w:pPr>
              <w:jc w:val="right"/>
              <w:spacing w:after="0"/>
              <w:rPr>
                <w:sz w:val="20"/>
                <w:szCs w:val="20"/>
                <w:color w:val="auto"/>
              </w:rPr>
            </w:pPr>
            <w:r>
              <w:rPr>
                <w:rFonts w:ascii="Arial" w:cs="Arial" w:eastAsia="Arial" w:hAnsi="Arial"/>
                <w:sz w:val="20"/>
                <w:szCs w:val="20"/>
                <w:color w:val="auto"/>
              </w:rPr>
              <w:t>778</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4.80% senior notes due 2027</w:t>
            </w:r>
          </w:p>
        </w:tc>
        <w:tc>
          <w:tcPr>
            <w:tcW w:w="1600" w:type="dxa"/>
            <w:vAlign w:val="bottom"/>
          </w:tcPr>
          <w:p>
            <w:pPr>
              <w:ind w:left="560"/>
              <w:spacing w:after="0"/>
              <w:rPr>
                <w:sz w:val="20"/>
                <w:szCs w:val="20"/>
                <w:color w:val="auto"/>
              </w:rPr>
            </w:pPr>
            <w:r>
              <w:rPr>
                <w:rFonts w:ascii="Arial" w:cs="Arial" w:eastAsia="Arial" w:hAnsi="Arial"/>
                <w:sz w:val="20"/>
                <w:szCs w:val="20"/>
                <w:color w:val="auto"/>
              </w:rPr>
              <w:t>4.93%</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2,250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4.93%</w:t>
            </w:r>
          </w:p>
        </w:tc>
        <w:tc>
          <w:tcPr>
            <w:tcW w:w="800" w:type="dxa"/>
            <w:vAlign w:val="bottom"/>
          </w:tcPr>
          <w:p>
            <w:pPr>
              <w:jc w:val="right"/>
              <w:spacing w:after="0"/>
              <w:rPr>
                <w:sz w:val="20"/>
                <w:szCs w:val="20"/>
                <w:color w:val="auto"/>
              </w:rPr>
            </w:pPr>
            <w:r>
              <w:rPr>
                <w:rFonts w:ascii="Arial" w:cs="Arial" w:eastAsia="Arial" w:hAnsi="Arial"/>
                <w:sz w:val="20"/>
                <w:szCs w:val="20"/>
                <w:color w:val="auto"/>
              </w:rPr>
              <w:t>2,250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4.25% senior notes due 2028</w:t>
            </w:r>
          </w:p>
        </w:tc>
        <w:tc>
          <w:tcPr>
            <w:tcW w:w="1600" w:type="dxa"/>
            <w:vAlign w:val="bottom"/>
          </w:tcPr>
          <w:p>
            <w:pPr>
              <w:ind w:left="560"/>
              <w:spacing w:after="0"/>
              <w:rPr>
                <w:sz w:val="20"/>
                <w:szCs w:val="20"/>
                <w:color w:val="auto"/>
              </w:rPr>
            </w:pPr>
            <w:r>
              <w:rPr>
                <w:rFonts w:ascii="Arial" w:cs="Arial" w:eastAsia="Arial" w:hAnsi="Arial"/>
                <w:sz w:val="20"/>
                <w:szCs w:val="20"/>
                <w:color w:val="auto"/>
              </w:rPr>
              <w:t>4.38%</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1,750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4.38%</w:t>
            </w:r>
          </w:p>
        </w:tc>
        <w:tc>
          <w:tcPr>
            <w:tcW w:w="80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4.65% senior notes due 2028</w:t>
            </w:r>
          </w:p>
        </w:tc>
        <w:tc>
          <w:tcPr>
            <w:tcW w:w="1600" w:type="dxa"/>
            <w:vAlign w:val="bottom"/>
          </w:tcPr>
          <w:p>
            <w:pPr>
              <w:ind w:left="560"/>
              <w:spacing w:after="0"/>
              <w:rPr>
                <w:sz w:val="20"/>
                <w:szCs w:val="20"/>
                <w:color w:val="auto"/>
              </w:rPr>
            </w:pPr>
            <w:r>
              <w:rPr>
                <w:rFonts w:ascii="Arial" w:cs="Arial" w:eastAsia="Arial" w:hAnsi="Arial"/>
                <w:sz w:val="20"/>
                <w:szCs w:val="20"/>
                <w:color w:val="auto"/>
              </w:rPr>
              <w:t>4.78%</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1,250</w:t>
            </w:r>
          </w:p>
        </w:tc>
        <w:tc>
          <w:tcPr>
            <w:tcW w:w="1160" w:type="dxa"/>
            <w:vAlign w:val="bottom"/>
          </w:tcPr>
          <w:p>
            <w:pPr>
              <w:jc w:val="right"/>
              <w:ind w:right="343"/>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2.125% senior euro notes due 2028 (€750 principal)</w:t>
            </w:r>
          </w:p>
        </w:tc>
        <w:tc>
          <w:tcPr>
            <w:tcW w:w="1600" w:type="dxa"/>
            <w:vAlign w:val="bottom"/>
          </w:tcPr>
          <w:p>
            <w:pPr>
              <w:ind w:left="560"/>
              <w:spacing w:after="0"/>
              <w:rPr>
                <w:sz w:val="20"/>
                <w:szCs w:val="20"/>
                <w:color w:val="auto"/>
              </w:rPr>
            </w:pPr>
            <w:r>
              <w:rPr>
                <w:rFonts w:ascii="Arial" w:cs="Arial" w:eastAsia="Arial" w:hAnsi="Arial"/>
                <w:sz w:val="20"/>
                <w:szCs w:val="20"/>
                <w:color w:val="auto"/>
              </w:rPr>
              <w:t>2.18%</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880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2.18%</w:t>
            </w:r>
          </w:p>
        </w:tc>
        <w:tc>
          <w:tcPr>
            <w:tcW w:w="800" w:type="dxa"/>
            <w:vAlign w:val="bottom"/>
          </w:tcPr>
          <w:p>
            <w:pPr>
              <w:jc w:val="right"/>
              <w:spacing w:after="0"/>
              <w:rPr>
                <w:sz w:val="20"/>
                <w:szCs w:val="20"/>
                <w:color w:val="auto"/>
              </w:rPr>
            </w:pPr>
            <w:r>
              <w:rPr>
                <w:rFonts w:ascii="Arial" w:cs="Arial" w:eastAsia="Arial" w:hAnsi="Arial"/>
                <w:sz w:val="20"/>
                <w:szCs w:val="20"/>
                <w:color w:val="auto"/>
              </w:rPr>
              <w:t>778</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2.625% senior euro notes due 2028 (€500 principal)</w:t>
            </w:r>
          </w:p>
        </w:tc>
        <w:tc>
          <w:tcPr>
            <w:tcW w:w="1600" w:type="dxa"/>
            <w:vAlign w:val="bottom"/>
          </w:tcPr>
          <w:p>
            <w:pPr>
              <w:ind w:left="560"/>
              <w:spacing w:after="0"/>
              <w:rPr>
                <w:sz w:val="20"/>
                <w:szCs w:val="20"/>
                <w:color w:val="auto"/>
              </w:rPr>
            </w:pPr>
            <w:r>
              <w:rPr>
                <w:rFonts w:ascii="Arial" w:cs="Arial" w:eastAsia="Arial" w:hAnsi="Arial"/>
                <w:sz w:val="20"/>
                <w:szCs w:val="20"/>
                <w:color w:val="auto"/>
              </w:rPr>
              <w:t>1.20%</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586</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1.20%</w:t>
            </w:r>
          </w:p>
        </w:tc>
        <w:tc>
          <w:tcPr>
            <w:tcW w:w="800" w:type="dxa"/>
            <w:vAlign w:val="bottom"/>
          </w:tcPr>
          <w:p>
            <w:pPr>
              <w:jc w:val="right"/>
              <w:spacing w:after="0"/>
              <w:rPr>
                <w:sz w:val="20"/>
                <w:szCs w:val="20"/>
                <w:color w:val="auto"/>
              </w:rPr>
            </w:pPr>
            <w:r>
              <w:rPr>
                <w:rFonts w:ascii="Arial" w:cs="Arial" w:eastAsia="Arial" w:hAnsi="Arial"/>
                <w:sz w:val="20"/>
                <w:szCs w:val="20"/>
                <w:color w:val="auto"/>
              </w:rPr>
              <w:t>519</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3.20% senior notes due 2029</w:t>
            </w:r>
          </w:p>
        </w:tc>
        <w:tc>
          <w:tcPr>
            <w:tcW w:w="1600" w:type="dxa"/>
            <w:vAlign w:val="bottom"/>
          </w:tcPr>
          <w:p>
            <w:pPr>
              <w:ind w:left="560"/>
              <w:spacing w:after="0"/>
              <w:rPr>
                <w:sz w:val="20"/>
                <w:szCs w:val="20"/>
                <w:color w:val="auto"/>
              </w:rPr>
            </w:pPr>
            <w:r>
              <w:rPr>
                <w:rFonts w:ascii="Arial" w:cs="Arial" w:eastAsia="Arial" w:hAnsi="Arial"/>
                <w:sz w:val="20"/>
                <w:szCs w:val="20"/>
                <w:color w:val="auto"/>
              </w:rPr>
              <w:t>3.25%</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5,500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3.25%</w:t>
            </w:r>
          </w:p>
        </w:tc>
        <w:tc>
          <w:tcPr>
            <w:tcW w:w="800" w:type="dxa"/>
            <w:vAlign w:val="bottom"/>
          </w:tcPr>
          <w:p>
            <w:pPr>
              <w:jc w:val="right"/>
              <w:spacing w:after="0"/>
              <w:rPr>
                <w:sz w:val="20"/>
                <w:szCs w:val="20"/>
                <w:color w:val="auto"/>
              </w:rPr>
            </w:pPr>
            <w:r>
              <w:rPr>
                <w:rFonts w:ascii="Arial" w:cs="Arial" w:eastAsia="Arial" w:hAnsi="Arial"/>
                <w:sz w:val="20"/>
                <w:szCs w:val="20"/>
                <w:color w:val="auto"/>
              </w:rPr>
              <w:t>5,500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2.125% senior euro notes due 2029 (€550 principal)</w:t>
            </w:r>
          </w:p>
        </w:tc>
        <w:tc>
          <w:tcPr>
            <w:tcW w:w="1600" w:type="dxa"/>
            <w:vAlign w:val="bottom"/>
          </w:tcPr>
          <w:p>
            <w:pPr>
              <w:ind w:left="560"/>
              <w:spacing w:after="0"/>
              <w:rPr>
                <w:sz w:val="20"/>
                <w:szCs w:val="20"/>
                <w:color w:val="auto"/>
              </w:rPr>
            </w:pPr>
            <w:r>
              <w:rPr>
                <w:rFonts w:ascii="Arial" w:cs="Arial" w:eastAsia="Arial" w:hAnsi="Arial"/>
                <w:sz w:val="20"/>
                <w:szCs w:val="20"/>
                <w:color w:val="auto"/>
              </w:rPr>
              <w:t>1.19%</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645</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1.19%</w:t>
            </w:r>
          </w:p>
        </w:tc>
        <w:tc>
          <w:tcPr>
            <w:tcW w:w="800" w:type="dxa"/>
            <w:vAlign w:val="bottom"/>
          </w:tcPr>
          <w:p>
            <w:pPr>
              <w:jc w:val="right"/>
              <w:spacing w:after="0"/>
              <w:rPr>
                <w:sz w:val="20"/>
                <w:szCs w:val="20"/>
                <w:color w:val="auto"/>
              </w:rPr>
            </w:pPr>
            <w:r>
              <w:rPr>
                <w:rFonts w:ascii="Arial" w:cs="Arial" w:eastAsia="Arial" w:hAnsi="Arial"/>
                <w:sz w:val="20"/>
                <w:szCs w:val="20"/>
                <w:color w:val="auto"/>
              </w:rPr>
              <w:t>570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4.80% senior notes due 2029</w:t>
            </w:r>
          </w:p>
        </w:tc>
        <w:tc>
          <w:tcPr>
            <w:tcW w:w="1600" w:type="dxa"/>
            <w:vAlign w:val="bottom"/>
          </w:tcPr>
          <w:p>
            <w:pPr>
              <w:ind w:left="560"/>
              <w:spacing w:after="0"/>
              <w:rPr>
                <w:sz w:val="20"/>
                <w:szCs w:val="20"/>
                <w:color w:val="auto"/>
              </w:rPr>
            </w:pPr>
            <w:r>
              <w:rPr>
                <w:rFonts w:ascii="Arial" w:cs="Arial" w:eastAsia="Arial" w:hAnsi="Arial"/>
                <w:sz w:val="20"/>
                <w:szCs w:val="20"/>
                <w:color w:val="auto"/>
              </w:rPr>
              <w:t>4.91%</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2,500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4.91%</w:t>
            </w:r>
          </w:p>
        </w:tc>
        <w:tc>
          <w:tcPr>
            <w:tcW w:w="800" w:type="dxa"/>
            <w:vAlign w:val="bottom"/>
          </w:tcPr>
          <w:p>
            <w:pPr>
              <w:jc w:val="right"/>
              <w:spacing w:after="0"/>
              <w:rPr>
                <w:sz w:val="20"/>
                <w:szCs w:val="20"/>
                <w:color w:val="auto"/>
              </w:rPr>
            </w:pPr>
            <w:r>
              <w:rPr>
                <w:rFonts w:ascii="Arial" w:cs="Arial" w:eastAsia="Arial" w:hAnsi="Arial"/>
                <w:sz w:val="20"/>
                <w:szCs w:val="20"/>
                <w:color w:val="auto"/>
              </w:rPr>
              <w:t>2,500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4.875% senior notes due 2030</w:t>
            </w:r>
          </w:p>
        </w:tc>
        <w:tc>
          <w:tcPr>
            <w:tcW w:w="1600" w:type="dxa"/>
            <w:vAlign w:val="bottom"/>
          </w:tcPr>
          <w:p>
            <w:pPr>
              <w:ind w:left="560"/>
              <w:spacing w:after="0"/>
              <w:rPr>
                <w:sz w:val="20"/>
                <w:szCs w:val="20"/>
                <w:color w:val="auto"/>
              </w:rPr>
            </w:pPr>
            <w:r>
              <w:rPr>
                <w:rFonts w:ascii="Arial" w:cs="Arial" w:eastAsia="Arial" w:hAnsi="Arial"/>
                <w:sz w:val="20"/>
                <w:szCs w:val="20"/>
                <w:color w:val="auto"/>
              </w:rPr>
              <w:t>4.96%</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1,000</w:t>
            </w:r>
          </w:p>
        </w:tc>
        <w:tc>
          <w:tcPr>
            <w:tcW w:w="1160" w:type="dxa"/>
            <w:vAlign w:val="bottom"/>
          </w:tcPr>
          <w:p>
            <w:pPr>
              <w:jc w:val="right"/>
              <w:ind w:right="343"/>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1.25% senior euro notes due 2031 (€650 principal)</w:t>
            </w:r>
          </w:p>
        </w:tc>
        <w:tc>
          <w:tcPr>
            <w:tcW w:w="1600" w:type="dxa"/>
            <w:vAlign w:val="bottom"/>
          </w:tcPr>
          <w:p>
            <w:pPr>
              <w:ind w:left="560"/>
              <w:spacing w:after="0"/>
              <w:rPr>
                <w:sz w:val="20"/>
                <w:szCs w:val="20"/>
                <w:color w:val="auto"/>
              </w:rPr>
            </w:pPr>
            <w:r>
              <w:rPr>
                <w:rFonts w:ascii="Arial" w:cs="Arial" w:eastAsia="Arial" w:hAnsi="Arial"/>
                <w:sz w:val="20"/>
                <w:szCs w:val="20"/>
                <w:color w:val="auto"/>
              </w:rPr>
              <w:t>1.30%</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761</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1.30%</w:t>
            </w:r>
          </w:p>
        </w:tc>
        <w:tc>
          <w:tcPr>
            <w:tcW w:w="800" w:type="dxa"/>
            <w:vAlign w:val="bottom"/>
          </w:tcPr>
          <w:p>
            <w:pPr>
              <w:jc w:val="right"/>
              <w:spacing w:after="0"/>
              <w:rPr>
                <w:sz w:val="20"/>
                <w:szCs w:val="20"/>
                <w:color w:val="auto"/>
              </w:rPr>
            </w:pPr>
            <w:r>
              <w:rPr>
                <w:rFonts w:ascii="Arial" w:cs="Arial" w:eastAsia="Arial" w:hAnsi="Arial"/>
                <w:sz w:val="20"/>
                <w:szCs w:val="20"/>
                <w:color w:val="auto"/>
              </w:rPr>
              <w:t>674</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4.95% senior notes due 2031</w:t>
            </w:r>
          </w:p>
        </w:tc>
        <w:tc>
          <w:tcPr>
            <w:tcW w:w="1600" w:type="dxa"/>
            <w:vAlign w:val="bottom"/>
          </w:tcPr>
          <w:p>
            <w:pPr>
              <w:ind w:left="560"/>
              <w:spacing w:after="0"/>
              <w:rPr>
                <w:sz w:val="20"/>
                <w:szCs w:val="20"/>
                <w:color w:val="auto"/>
              </w:rPr>
            </w:pPr>
            <w:r>
              <w:rPr>
                <w:rFonts w:ascii="Arial" w:cs="Arial" w:eastAsia="Arial" w:hAnsi="Arial"/>
                <w:sz w:val="20"/>
                <w:szCs w:val="20"/>
                <w:color w:val="auto"/>
              </w:rPr>
              <w:t>5.02%</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2,000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5.02%</w:t>
            </w:r>
          </w:p>
        </w:tc>
        <w:tc>
          <w:tcPr>
            <w:tcW w:w="800" w:type="dxa"/>
            <w:vAlign w:val="bottom"/>
          </w:tcPr>
          <w:p>
            <w:pPr>
              <w:jc w:val="right"/>
              <w:spacing w:after="0"/>
              <w:rPr>
                <w:sz w:val="20"/>
                <w:szCs w:val="20"/>
                <w:color w:val="auto"/>
              </w:rPr>
            </w:pPr>
            <w:r>
              <w:rPr>
                <w:rFonts w:ascii="Arial" w:cs="Arial" w:eastAsia="Arial" w:hAnsi="Arial"/>
                <w:sz w:val="20"/>
                <w:szCs w:val="20"/>
                <w:color w:val="auto"/>
              </w:rPr>
              <w:t>2,000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5.05% senior notes due 2034</w:t>
            </w:r>
          </w:p>
        </w:tc>
        <w:tc>
          <w:tcPr>
            <w:tcW w:w="1600" w:type="dxa"/>
            <w:vAlign w:val="bottom"/>
          </w:tcPr>
          <w:p>
            <w:pPr>
              <w:ind w:left="560"/>
              <w:spacing w:after="0"/>
              <w:rPr>
                <w:sz w:val="20"/>
                <w:szCs w:val="20"/>
                <w:color w:val="auto"/>
              </w:rPr>
            </w:pPr>
            <w:r>
              <w:rPr>
                <w:rFonts w:ascii="Arial" w:cs="Arial" w:eastAsia="Arial" w:hAnsi="Arial"/>
                <w:sz w:val="20"/>
                <w:szCs w:val="20"/>
                <w:color w:val="auto"/>
              </w:rPr>
              <w:t>5.13%</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3,000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5.13%</w:t>
            </w:r>
          </w:p>
        </w:tc>
        <w:tc>
          <w:tcPr>
            <w:tcW w:w="800" w:type="dxa"/>
            <w:vAlign w:val="bottom"/>
          </w:tcPr>
          <w:p>
            <w:pPr>
              <w:jc w:val="right"/>
              <w:spacing w:after="0"/>
              <w:rPr>
                <w:sz w:val="20"/>
                <w:szCs w:val="20"/>
                <w:color w:val="auto"/>
              </w:rPr>
            </w:pPr>
            <w:r>
              <w:rPr>
                <w:rFonts w:ascii="Arial" w:cs="Arial" w:eastAsia="Arial" w:hAnsi="Arial"/>
                <w:sz w:val="20"/>
                <w:szCs w:val="20"/>
                <w:color w:val="auto"/>
              </w:rPr>
              <w:t>3,000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4.55% senior notes due 2035</w:t>
            </w:r>
          </w:p>
        </w:tc>
        <w:tc>
          <w:tcPr>
            <w:tcW w:w="1600" w:type="dxa"/>
            <w:vAlign w:val="bottom"/>
          </w:tcPr>
          <w:p>
            <w:pPr>
              <w:ind w:left="560"/>
              <w:spacing w:after="0"/>
              <w:rPr>
                <w:sz w:val="20"/>
                <w:szCs w:val="20"/>
                <w:color w:val="auto"/>
              </w:rPr>
            </w:pPr>
            <w:r>
              <w:rPr>
                <w:rFonts w:ascii="Arial" w:cs="Arial" w:eastAsia="Arial" w:hAnsi="Arial"/>
                <w:sz w:val="20"/>
                <w:szCs w:val="20"/>
                <w:color w:val="auto"/>
              </w:rPr>
              <w:t>3.52%</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1,789</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3.52%</w:t>
            </w:r>
          </w:p>
        </w:tc>
        <w:tc>
          <w:tcPr>
            <w:tcW w:w="800" w:type="dxa"/>
            <w:vAlign w:val="bottom"/>
          </w:tcPr>
          <w:p>
            <w:pPr>
              <w:jc w:val="right"/>
              <w:spacing w:after="0"/>
              <w:rPr>
                <w:sz w:val="20"/>
                <w:szCs w:val="20"/>
                <w:color w:val="auto"/>
              </w:rPr>
            </w:pPr>
            <w:r>
              <w:rPr>
                <w:rFonts w:ascii="Arial" w:cs="Arial" w:eastAsia="Arial" w:hAnsi="Arial"/>
                <w:sz w:val="20"/>
                <w:szCs w:val="20"/>
                <w:color w:val="auto"/>
              </w:rPr>
              <w:t>1,789</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4.50% senior notes due 2035</w:t>
            </w:r>
          </w:p>
        </w:tc>
        <w:tc>
          <w:tcPr>
            <w:tcW w:w="1600" w:type="dxa"/>
            <w:vAlign w:val="bottom"/>
          </w:tcPr>
          <w:p>
            <w:pPr>
              <w:ind w:left="560"/>
              <w:spacing w:after="0"/>
              <w:rPr>
                <w:sz w:val="20"/>
                <w:szCs w:val="20"/>
                <w:color w:val="auto"/>
              </w:rPr>
            </w:pPr>
            <w:r>
              <w:rPr>
                <w:rFonts w:ascii="Arial" w:cs="Arial" w:eastAsia="Arial" w:hAnsi="Arial"/>
                <w:sz w:val="20"/>
                <w:szCs w:val="20"/>
                <w:color w:val="auto"/>
              </w:rPr>
              <w:t>4.58%</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2,500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4.58%</w:t>
            </w:r>
          </w:p>
        </w:tc>
        <w:tc>
          <w:tcPr>
            <w:tcW w:w="800" w:type="dxa"/>
            <w:vAlign w:val="bottom"/>
          </w:tcPr>
          <w:p>
            <w:pPr>
              <w:jc w:val="right"/>
              <w:spacing w:after="0"/>
              <w:rPr>
                <w:sz w:val="20"/>
                <w:szCs w:val="20"/>
                <w:color w:val="auto"/>
              </w:rPr>
            </w:pPr>
            <w:r>
              <w:rPr>
                <w:rFonts w:ascii="Arial" w:cs="Arial" w:eastAsia="Arial" w:hAnsi="Arial"/>
                <w:sz w:val="20"/>
                <w:szCs w:val="20"/>
                <w:color w:val="auto"/>
              </w:rPr>
              <w:t>2,500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5.20% senior notes due 2035</w:t>
            </w:r>
          </w:p>
        </w:tc>
        <w:tc>
          <w:tcPr>
            <w:tcW w:w="1600" w:type="dxa"/>
            <w:vAlign w:val="bottom"/>
          </w:tcPr>
          <w:p>
            <w:pPr>
              <w:ind w:left="560"/>
              <w:spacing w:after="0"/>
              <w:rPr>
                <w:sz w:val="20"/>
                <w:szCs w:val="20"/>
                <w:color w:val="auto"/>
              </w:rPr>
            </w:pPr>
            <w:r>
              <w:rPr>
                <w:rFonts w:ascii="Arial" w:cs="Arial" w:eastAsia="Arial" w:hAnsi="Arial"/>
                <w:sz w:val="20"/>
                <w:szCs w:val="20"/>
                <w:color w:val="auto"/>
              </w:rPr>
              <w:t>5.26%</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1,000</w:t>
            </w:r>
          </w:p>
        </w:tc>
        <w:tc>
          <w:tcPr>
            <w:tcW w:w="1160" w:type="dxa"/>
            <w:vAlign w:val="bottom"/>
          </w:tcPr>
          <w:p>
            <w:pPr>
              <w:jc w:val="right"/>
              <w:ind w:right="343"/>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4.30% senior notes due 2036</w:t>
            </w:r>
          </w:p>
        </w:tc>
        <w:tc>
          <w:tcPr>
            <w:tcW w:w="1600" w:type="dxa"/>
            <w:vAlign w:val="bottom"/>
          </w:tcPr>
          <w:p>
            <w:pPr>
              <w:ind w:left="560"/>
              <w:spacing w:after="0"/>
              <w:rPr>
                <w:sz w:val="20"/>
                <w:szCs w:val="20"/>
                <w:color w:val="auto"/>
              </w:rPr>
            </w:pPr>
            <w:r>
              <w:rPr>
                <w:rFonts w:ascii="Arial" w:cs="Arial" w:eastAsia="Arial" w:hAnsi="Arial"/>
                <w:sz w:val="20"/>
                <w:szCs w:val="20"/>
                <w:color w:val="auto"/>
              </w:rPr>
              <w:t>4.37%</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1,000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4.37%</w:t>
            </w:r>
          </w:p>
        </w:tc>
        <w:tc>
          <w:tcPr>
            <w:tcW w:w="800" w:type="dxa"/>
            <w:vAlign w:val="bottom"/>
          </w:tcPr>
          <w:p>
            <w:pPr>
              <w:jc w:val="right"/>
              <w:spacing w:after="0"/>
              <w:rPr>
                <w:sz w:val="20"/>
                <w:szCs w:val="20"/>
                <w:color w:val="auto"/>
              </w:rPr>
            </w:pPr>
            <w:r>
              <w:rPr>
                <w:rFonts w:ascii="Arial" w:cs="Arial" w:eastAsia="Arial" w:hAnsi="Arial"/>
                <w:sz w:val="20"/>
                <w:szCs w:val="20"/>
                <w:color w:val="auto"/>
              </w:rPr>
              <w:t>1,000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4.05% senior notes due 2039</w:t>
            </w:r>
          </w:p>
        </w:tc>
        <w:tc>
          <w:tcPr>
            <w:tcW w:w="1600" w:type="dxa"/>
            <w:vAlign w:val="bottom"/>
          </w:tcPr>
          <w:p>
            <w:pPr>
              <w:ind w:left="560"/>
              <w:spacing w:after="0"/>
              <w:rPr>
                <w:sz w:val="20"/>
                <w:szCs w:val="20"/>
                <w:color w:val="auto"/>
              </w:rPr>
            </w:pPr>
            <w:r>
              <w:rPr>
                <w:rFonts w:ascii="Arial" w:cs="Arial" w:eastAsia="Arial" w:hAnsi="Arial"/>
                <w:sz w:val="20"/>
                <w:szCs w:val="20"/>
                <w:color w:val="auto"/>
              </w:rPr>
              <w:t>4.11%</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4,000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4.11%</w:t>
            </w:r>
          </w:p>
        </w:tc>
        <w:tc>
          <w:tcPr>
            <w:tcW w:w="800" w:type="dxa"/>
            <w:vAlign w:val="bottom"/>
          </w:tcPr>
          <w:p>
            <w:pPr>
              <w:jc w:val="right"/>
              <w:spacing w:after="0"/>
              <w:rPr>
                <w:sz w:val="20"/>
                <w:szCs w:val="20"/>
                <w:color w:val="auto"/>
              </w:rPr>
            </w:pPr>
            <w:r>
              <w:rPr>
                <w:rFonts w:ascii="Arial" w:cs="Arial" w:eastAsia="Arial" w:hAnsi="Arial"/>
                <w:sz w:val="20"/>
                <w:szCs w:val="20"/>
                <w:color w:val="auto"/>
              </w:rPr>
              <w:t>4,000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4.40% senior notes due 2042</w:t>
            </w:r>
          </w:p>
        </w:tc>
        <w:tc>
          <w:tcPr>
            <w:tcW w:w="1600" w:type="dxa"/>
            <w:vAlign w:val="bottom"/>
          </w:tcPr>
          <w:p>
            <w:pPr>
              <w:ind w:left="560"/>
              <w:spacing w:after="0"/>
              <w:rPr>
                <w:sz w:val="20"/>
                <w:szCs w:val="20"/>
                <w:color w:val="auto"/>
              </w:rPr>
            </w:pPr>
            <w:r>
              <w:rPr>
                <w:rFonts w:ascii="Arial" w:cs="Arial" w:eastAsia="Arial" w:hAnsi="Arial"/>
                <w:sz w:val="20"/>
                <w:szCs w:val="20"/>
                <w:color w:val="auto"/>
              </w:rPr>
              <w:t>4.46%</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2,600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4.46%</w:t>
            </w:r>
          </w:p>
        </w:tc>
        <w:tc>
          <w:tcPr>
            <w:tcW w:w="800" w:type="dxa"/>
            <w:vAlign w:val="bottom"/>
          </w:tcPr>
          <w:p>
            <w:pPr>
              <w:jc w:val="right"/>
              <w:spacing w:after="0"/>
              <w:rPr>
                <w:sz w:val="20"/>
                <w:szCs w:val="20"/>
                <w:color w:val="auto"/>
              </w:rPr>
            </w:pPr>
            <w:r>
              <w:rPr>
                <w:rFonts w:ascii="Arial" w:cs="Arial" w:eastAsia="Arial" w:hAnsi="Arial"/>
                <w:sz w:val="20"/>
                <w:szCs w:val="20"/>
                <w:color w:val="auto"/>
              </w:rPr>
              <w:t>2,600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4.625% senior notes due 2042</w:t>
            </w:r>
          </w:p>
        </w:tc>
        <w:tc>
          <w:tcPr>
            <w:tcW w:w="1600" w:type="dxa"/>
            <w:vAlign w:val="bottom"/>
          </w:tcPr>
          <w:p>
            <w:pPr>
              <w:ind w:left="560"/>
              <w:spacing w:after="0"/>
              <w:rPr>
                <w:sz w:val="20"/>
                <w:szCs w:val="20"/>
                <w:color w:val="auto"/>
              </w:rPr>
            </w:pPr>
            <w:r>
              <w:rPr>
                <w:rFonts w:ascii="Arial" w:cs="Arial" w:eastAsia="Arial" w:hAnsi="Arial"/>
                <w:sz w:val="20"/>
                <w:szCs w:val="20"/>
                <w:color w:val="auto"/>
              </w:rPr>
              <w:t>4.00%</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457</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4.00%</w:t>
            </w:r>
          </w:p>
        </w:tc>
        <w:tc>
          <w:tcPr>
            <w:tcW w:w="800" w:type="dxa"/>
            <w:vAlign w:val="bottom"/>
          </w:tcPr>
          <w:p>
            <w:pPr>
              <w:jc w:val="right"/>
              <w:spacing w:after="0"/>
              <w:rPr>
                <w:sz w:val="20"/>
                <w:szCs w:val="20"/>
                <w:color w:val="auto"/>
              </w:rPr>
            </w:pPr>
            <w:r>
              <w:rPr>
                <w:rFonts w:ascii="Arial" w:cs="Arial" w:eastAsia="Arial" w:hAnsi="Arial"/>
                <w:sz w:val="20"/>
                <w:szCs w:val="20"/>
                <w:color w:val="auto"/>
              </w:rPr>
              <w:t>457</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4.85% senior notes due 2044</w:t>
            </w:r>
          </w:p>
        </w:tc>
        <w:tc>
          <w:tcPr>
            <w:tcW w:w="1600" w:type="dxa"/>
            <w:vAlign w:val="bottom"/>
          </w:tcPr>
          <w:p>
            <w:pPr>
              <w:ind w:left="560"/>
              <w:spacing w:after="0"/>
              <w:rPr>
                <w:sz w:val="20"/>
                <w:szCs w:val="20"/>
                <w:color w:val="auto"/>
              </w:rPr>
            </w:pPr>
            <w:r>
              <w:rPr>
                <w:rFonts w:ascii="Arial" w:cs="Arial" w:eastAsia="Arial" w:hAnsi="Arial"/>
                <w:sz w:val="20"/>
                <w:szCs w:val="20"/>
                <w:color w:val="auto"/>
              </w:rPr>
              <w:t>4.11%</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1,074</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4.11%</w:t>
            </w:r>
          </w:p>
        </w:tc>
        <w:tc>
          <w:tcPr>
            <w:tcW w:w="800" w:type="dxa"/>
            <w:vAlign w:val="bottom"/>
          </w:tcPr>
          <w:p>
            <w:pPr>
              <w:jc w:val="right"/>
              <w:spacing w:after="0"/>
              <w:rPr>
                <w:sz w:val="20"/>
                <w:szCs w:val="20"/>
                <w:color w:val="auto"/>
              </w:rPr>
            </w:pPr>
            <w:r>
              <w:rPr>
                <w:rFonts w:ascii="Arial" w:cs="Arial" w:eastAsia="Arial" w:hAnsi="Arial"/>
                <w:sz w:val="20"/>
                <w:szCs w:val="20"/>
                <w:color w:val="auto"/>
              </w:rPr>
              <w:t>1,074</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5.35% senior notes due 2044</w:t>
            </w:r>
          </w:p>
        </w:tc>
        <w:tc>
          <w:tcPr>
            <w:tcW w:w="1600" w:type="dxa"/>
            <w:vAlign w:val="bottom"/>
          </w:tcPr>
          <w:p>
            <w:pPr>
              <w:ind w:left="560"/>
              <w:spacing w:after="0"/>
              <w:rPr>
                <w:sz w:val="20"/>
                <w:szCs w:val="20"/>
                <w:color w:val="auto"/>
              </w:rPr>
            </w:pPr>
            <w:r>
              <w:rPr>
                <w:rFonts w:ascii="Arial" w:cs="Arial" w:eastAsia="Arial" w:hAnsi="Arial"/>
                <w:sz w:val="20"/>
                <w:szCs w:val="20"/>
                <w:color w:val="auto"/>
              </w:rPr>
              <w:t>5.39%</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750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5.39%</w:t>
            </w:r>
          </w:p>
        </w:tc>
        <w:tc>
          <w:tcPr>
            <w:tcW w:w="800" w:type="dxa"/>
            <w:vAlign w:val="bottom"/>
          </w:tcPr>
          <w:p>
            <w:pPr>
              <w:jc w:val="right"/>
              <w:spacing w:after="0"/>
              <w:rPr>
                <w:sz w:val="20"/>
                <w:szCs w:val="20"/>
                <w:color w:val="auto"/>
              </w:rPr>
            </w:pPr>
            <w:r>
              <w:rPr>
                <w:rFonts w:ascii="Arial" w:cs="Arial" w:eastAsia="Arial" w:hAnsi="Arial"/>
                <w:sz w:val="20"/>
                <w:szCs w:val="20"/>
                <w:color w:val="auto"/>
              </w:rPr>
              <w:t>750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4.70% senior notes due 2045</w:t>
            </w:r>
          </w:p>
        </w:tc>
        <w:tc>
          <w:tcPr>
            <w:tcW w:w="1600" w:type="dxa"/>
            <w:vAlign w:val="bottom"/>
          </w:tcPr>
          <w:p>
            <w:pPr>
              <w:ind w:left="560"/>
              <w:spacing w:after="0"/>
              <w:rPr>
                <w:sz w:val="20"/>
                <w:szCs w:val="20"/>
                <w:color w:val="auto"/>
              </w:rPr>
            </w:pPr>
            <w:r>
              <w:rPr>
                <w:rFonts w:ascii="Arial" w:cs="Arial" w:eastAsia="Arial" w:hAnsi="Arial"/>
                <w:sz w:val="20"/>
                <w:szCs w:val="20"/>
                <w:color w:val="auto"/>
              </w:rPr>
              <w:t>4.73%</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2,700</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4.73%</w:t>
            </w:r>
          </w:p>
        </w:tc>
        <w:tc>
          <w:tcPr>
            <w:tcW w:w="800" w:type="dxa"/>
            <w:vAlign w:val="bottom"/>
          </w:tcPr>
          <w:p>
            <w:pPr>
              <w:jc w:val="right"/>
              <w:spacing w:after="0"/>
              <w:rPr>
                <w:sz w:val="20"/>
                <w:szCs w:val="20"/>
                <w:color w:val="auto"/>
              </w:rPr>
            </w:pPr>
            <w:r>
              <w:rPr>
                <w:rFonts w:ascii="Arial" w:cs="Arial" w:eastAsia="Arial" w:hAnsi="Arial"/>
                <w:sz w:val="20"/>
                <w:szCs w:val="20"/>
                <w:color w:val="auto"/>
              </w:rPr>
              <w:t>2,700</w:t>
            </w:r>
          </w:p>
        </w:tc>
      </w:tr>
      <w:tr>
        <w:trPr>
          <w:trHeight w:val="259"/>
        </w:trPr>
        <w:tc>
          <w:tcPr>
            <w:tcW w:w="4780" w:type="dxa"/>
            <w:vAlign w:val="bottom"/>
          </w:tcPr>
          <w:p>
            <w:pPr>
              <w:spacing w:after="0"/>
              <w:rPr>
                <w:sz w:val="20"/>
                <w:szCs w:val="20"/>
                <w:color w:val="auto"/>
              </w:rPr>
            </w:pPr>
            <w:r>
              <w:rPr>
                <w:rFonts w:ascii="Arial" w:cs="Arial" w:eastAsia="Arial" w:hAnsi="Arial"/>
                <w:sz w:val="20"/>
                <w:szCs w:val="20"/>
                <w:color w:val="auto"/>
              </w:rPr>
              <w:t>4.75% senior notes due 2045</w:t>
            </w:r>
          </w:p>
        </w:tc>
        <w:tc>
          <w:tcPr>
            <w:tcW w:w="1600" w:type="dxa"/>
            <w:vAlign w:val="bottom"/>
          </w:tcPr>
          <w:p>
            <w:pPr>
              <w:ind w:left="560"/>
              <w:spacing w:after="0"/>
              <w:rPr>
                <w:sz w:val="20"/>
                <w:szCs w:val="20"/>
                <w:color w:val="auto"/>
              </w:rPr>
            </w:pPr>
            <w:r>
              <w:rPr>
                <w:rFonts w:ascii="Arial" w:cs="Arial" w:eastAsia="Arial" w:hAnsi="Arial"/>
                <w:sz w:val="20"/>
                <w:szCs w:val="20"/>
                <w:color w:val="auto"/>
              </w:rPr>
              <w:t>4.20%</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881</w:t>
            </w:r>
          </w:p>
        </w:tc>
        <w:tc>
          <w:tcPr>
            <w:tcW w:w="1160" w:type="dxa"/>
            <w:vAlign w:val="bottom"/>
          </w:tcPr>
          <w:p>
            <w:pPr>
              <w:jc w:val="right"/>
              <w:ind w:right="163"/>
              <w:spacing w:after="0"/>
              <w:rPr>
                <w:sz w:val="20"/>
                <w:szCs w:val="20"/>
                <w:color w:val="auto"/>
              </w:rPr>
            </w:pPr>
            <w:r>
              <w:rPr>
                <w:rFonts w:ascii="Arial" w:cs="Arial" w:eastAsia="Arial" w:hAnsi="Arial"/>
                <w:sz w:val="20"/>
                <w:szCs w:val="20"/>
                <w:color w:val="auto"/>
              </w:rPr>
              <w:t>4.20%</w:t>
            </w:r>
          </w:p>
        </w:tc>
        <w:tc>
          <w:tcPr>
            <w:tcW w:w="800" w:type="dxa"/>
            <w:vAlign w:val="bottom"/>
          </w:tcPr>
          <w:p>
            <w:pPr>
              <w:jc w:val="right"/>
              <w:spacing w:after="0"/>
              <w:rPr>
                <w:sz w:val="20"/>
                <w:szCs w:val="20"/>
                <w:color w:val="auto"/>
              </w:rPr>
            </w:pPr>
            <w:r>
              <w:rPr>
                <w:rFonts w:ascii="Arial" w:cs="Arial" w:eastAsia="Arial" w:hAnsi="Arial"/>
                <w:sz w:val="20"/>
                <w:szCs w:val="20"/>
                <w:color w:val="auto"/>
              </w:rPr>
              <w:t>881</w:t>
            </w:r>
          </w:p>
        </w:tc>
      </w:tr>
    </w:tbl>
    <w:p>
      <w:pPr>
        <w:spacing w:after="0" w:line="200" w:lineRule="exact"/>
        <w:rPr>
          <w:sz w:val="20"/>
          <w:szCs w:val="20"/>
          <w:color w:val="auto"/>
        </w:rPr>
      </w:pPr>
    </w:p>
    <w:p>
      <w:pPr>
        <w:sectPr>
          <w:pgSz w:w="11880" w:h="15480" w:orient="portrait"/>
          <w:cols w:equalWidth="0" w:num="1">
            <w:col w:w="9100"/>
          </w:cols>
          <w:pgMar w:left="1400" w:top="1030" w:right="1380" w:bottom="87" w:gutter="0" w:footer="0" w:header="0"/>
        </w:sectPr>
      </w:pPr>
    </w:p>
    <w:p>
      <w:pPr>
        <w:spacing w:after="0" w:line="214"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81</w:t>
      </w:r>
    </w:p>
    <w:p>
      <w:pPr>
        <w:sectPr>
          <w:pgSz w:w="11880" w:h="15480" w:orient="portrait"/>
          <w:cols w:equalWidth="0" w:num="1">
            <w:col w:w="9100"/>
          </w:cols>
          <w:pgMar w:left="1400" w:top="1030" w:right="1380" w:bottom="87"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280" w:type="dxa"/>
            <w:vAlign w:val="bottom"/>
          </w:tcPr>
          <w:p>
            <w:pPr>
              <w:jc w:val="center"/>
              <w:ind w:left="108"/>
              <w:spacing w:after="0"/>
              <w:rPr>
                <w:sz w:val="20"/>
                <w:szCs w:val="20"/>
                <w:color w:val="auto"/>
              </w:rPr>
            </w:pPr>
            <w:r>
              <w:rPr>
                <w:rFonts w:ascii="Arial" w:cs="Arial" w:eastAsia="Arial" w:hAnsi="Arial"/>
                <w:sz w:val="16"/>
                <w:szCs w:val="16"/>
                <w:b w:val="1"/>
                <w:bCs w:val="1"/>
                <w:color w:val="auto"/>
              </w:rPr>
              <w:t>2025</w:t>
            </w:r>
          </w:p>
        </w:tc>
        <w:tc>
          <w:tcPr>
            <w:tcW w:w="1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4800" w:type="dxa"/>
            <w:vAlign w:val="bottom"/>
          </w:tcPr>
          <w:p>
            <w:pPr>
              <w:spacing w:after="0"/>
              <w:rPr>
                <w:sz w:val="15"/>
                <w:szCs w:val="15"/>
                <w:color w:val="auto"/>
              </w:rPr>
            </w:pPr>
          </w:p>
        </w:tc>
        <w:tc>
          <w:tcPr>
            <w:tcW w:w="1280" w:type="dxa"/>
            <w:vAlign w:val="bottom"/>
          </w:tcPr>
          <w:p>
            <w:pPr>
              <w:jc w:val="center"/>
              <w:ind w:left="88"/>
              <w:spacing w:after="0" w:line="180" w:lineRule="exact"/>
              <w:rPr>
                <w:sz w:val="20"/>
                <w:szCs w:val="20"/>
                <w:color w:val="auto"/>
              </w:rPr>
            </w:pPr>
            <w:r>
              <w:rPr>
                <w:rFonts w:ascii="Arial" w:cs="Arial" w:eastAsia="Arial" w:hAnsi="Arial"/>
                <w:sz w:val="16"/>
                <w:szCs w:val="16"/>
                <w:b w:val="1"/>
                <w:bCs w:val="1"/>
                <w:color w:val="auto"/>
                <w:w w:val="98"/>
              </w:rPr>
              <w:t>Effective</w:t>
            </w:r>
          </w:p>
        </w:tc>
        <w:tc>
          <w:tcPr>
            <w:tcW w:w="110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Effective</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4800" w:type="dxa"/>
            <w:vAlign w:val="bottom"/>
          </w:tcPr>
          <w:p>
            <w:pPr>
              <w:spacing w:after="0"/>
              <w:rPr>
                <w:sz w:val="14"/>
                <w:szCs w:val="14"/>
                <w:color w:val="auto"/>
              </w:rPr>
            </w:pPr>
          </w:p>
        </w:tc>
        <w:tc>
          <w:tcPr>
            <w:tcW w:w="1280" w:type="dxa"/>
            <w:vAlign w:val="bottom"/>
          </w:tcPr>
          <w:p>
            <w:pPr>
              <w:jc w:val="center"/>
              <w:ind w:left="88"/>
              <w:spacing w:after="0" w:line="171" w:lineRule="exact"/>
              <w:rPr>
                <w:sz w:val="20"/>
                <w:szCs w:val="20"/>
                <w:color w:val="auto"/>
              </w:rPr>
            </w:pPr>
            <w:r>
              <w:rPr>
                <w:rFonts w:ascii="Arial" w:cs="Arial" w:eastAsia="Arial" w:hAnsi="Arial"/>
                <w:sz w:val="16"/>
                <w:szCs w:val="16"/>
                <w:b w:val="1"/>
                <w:bCs w:val="1"/>
                <w:color w:val="auto"/>
              </w:rPr>
              <w:t>interest</w:t>
            </w:r>
          </w:p>
        </w:tc>
        <w:tc>
          <w:tcPr>
            <w:tcW w:w="1100" w:type="dxa"/>
            <w:vAlign w:val="bottom"/>
          </w:tcPr>
          <w:p>
            <w:pPr>
              <w:spacing w:after="0"/>
              <w:rPr>
                <w:sz w:val="14"/>
                <w:szCs w:val="14"/>
                <w:color w:val="auto"/>
              </w:rPr>
            </w:pPr>
          </w:p>
        </w:tc>
        <w:tc>
          <w:tcPr>
            <w:tcW w:w="10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interest</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8"/>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of December 31 (dollars in millions)</w:t>
            </w: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rate</w:t>
            </w:r>
            <w:r>
              <w:rPr>
                <w:rFonts w:ascii="Arial" w:cs="Arial" w:eastAsia="Arial" w:hAnsi="Arial"/>
                <w:sz w:val="19"/>
                <w:szCs w:val="19"/>
                <w:b w:val="1"/>
                <w:bCs w:val="1"/>
                <w:color w:val="auto"/>
                <w:vertAlign w:val="superscript"/>
              </w:rPr>
              <w:t>(a)</w:t>
            </w: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rate</w:t>
            </w:r>
            <w:r>
              <w:rPr>
                <w:rFonts w:ascii="Arial" w:cs="Arial" w:eastAsia="Arial" w:hAnsi="Arial"/>
                <w:sz w:val="19"/>
                <w:szCs w:val="19"/>
                <w:b w:val="1"/>
                <w:bCs w:val="1"/>
                <w:color w:val="auto"/>
                <w:w w:val="98"/>
                <w:vertAlign w:val="superscript"/>
              </w:rPr>
              <w:t>(a)</w:t>
            </w: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r>
      <w:tr>
        <w:trPr>
          <w:trHeight w:val="254"/>
        </w:trPr>
        <w:tc>
          <w:tcPr>
            <w:tcW w:w="4800" w:type="dxa"/>
            <w:vAlign w:val="bottom"/>
          </w:tcPr>
          <w:p>
            <w:pPr>
              <w:spacing w:after="0"/>
              <w:rPr>
                <w:sz w:val="20"/>
                <w:szCs w:val="20"/>
                <w:color w:val="auto"/>
              </w:rPr>
            </w:pPr>
            <w:r>
              <w:rPr>
                <w:rFonts w:ascii="Arial" w:cs="Arial" w:eastAsia="Arial" w:hAnsi="Arial"/>
                <w:sz w:val="20"/>
                <w:szCs w:val="20"/>
                <w:color w:val="auto"/>
              </w:rPr>
              <w:t>4.45% senior notes due 2046</w:t>
            </w:r>
          </w:p>
        </w:tc>
        <w:tc>
          <w:tcPr>
            <w:tcW w:w="1280" w:type="dxa"/>
            <w:vAlign w:val="bottom"/>
          </w:tcPr>
          <w:p>
            <w:pPr>
              <w:ind w:left="540"/>
              <w:spacing w:after="0"/>
              <w:rPr>
                <w:sz w:val="20"/>
                <w:szCs w:val="20"/>
                <w:color w:val="auto"/>
              </w:rPr>
            </w:pPr>
            <w:r>
              <w:rPr>
                <w:rFonts w:ascii="Arial" w:cs="Arial" w:eastAsia="Arial" w:hAnsi="Arial"/>
                <w:sz w:val="20"/>
                <w:szCs w:val="20"/>
                <w:color w:val="auto"/>
              </w:rPr>
              <w:t>4.50%</w:t>
            </w:r>
          </w:p>
        </w:tc>
        <w:tc>
          <w:tcPr>
            <w:tcW w:w="1100" w:type="dxa"/>
            <w:vAlign w:val="bottom"/>
          </w:tcPr>
          <w:p>
            <w:pPr>
              <w:jc w:val="right"/>
              <w:ind w:right="121"/>
              <w:spacing w:after="0"/>
              <w:rPr>
                <w:sz w:val="20"/>
                <w:szCs w:val="20"/>
                <w:color w:val="auto"/>
              </w:rPr>
            </w:pPr>
            <w:r>
              <w:rPr>
                <w:rFonts w:ascii="Arial" w:cs="Arial" w:eastAsia="Arial" w:hAnsi="Arial"/>
                <w:sz w:val="20"/>
                <w:szCs w:val="20"/>
                <w:color w:val="auto"/>
              </w:rPr>
              <w:t>2,000</w:t>
            </w:r>
          </w:p>
        </w:tc>
        <w:tc>
          <w:tcPr>
            <w:tcW w:w="1020" w:type="dxa"/>
            <w:vAlign w:val="bottom"/>
          </w:tcPr>
          <w:p>
            <w:pPr>
              <w:jc w:val="right"/>
              <w:ind w:right="68"/>
              <w:spacing w:after="0"/>
              <w:rPr>
                <w:sz w:val="20"/>
                <w:szCs w:val="20"/>
                <w:color w:val="auto"/>
              </w:rPr>
            </w:pPr>
            <w:r>
              <w:rPr>
                <w:rFonts w:ascii="Arial" w:cs="Arial" w:eastAsia="Arial" w:hAnsi="Arial"/>
                <w:sz w:val="20"/>
                <w:szCs w:val="20"/>
                <w:color w:val="auto"/>
              </w:rPr>
              <w:t>4.50%</w:t>
            </w:r>
          </w:p>
        </w:tc>
        <w:tc>
          <w:tcPr>
            <w:tcW w:w="900" w:type="dxa"/>
            <w:vAlign w:val="bottom"/>
          </w:tcPr>
          <w:p>
            <w:pPr>
              <w:jc w:val="right"/>
              <w:spacing w:after="0"/>
              <w:rPr>
                <w:sz w:val="20"/>
                <w:szCs w:val="20"/>
                <w:color w:val="auto"/>
              </w:rPr>
            </w:pPr>
            <w:r>
              <w:rPr>
                <w:rFonts w:ascii="Arial" w:cs="Arial" w:eastAsia="Arial" w:hAnsi="Arial"/>
                <w:sz w:val="20"/>
                <w:szCs w:val="20"/>
                <w:color w:val="auto"/>
              </w:rPr>
              <w:t>2,000</w:t>
            </w:r>
          </w:p>
        </w:tc>
        <w:tc>
          <w:tcPr>
            <w:tcW w:w="60" w:type="dxa"/>
            <w:vAlign w:val="bottom"/>
          </w:tcPr>
          <w:p>
            <w:pPr>
              <w:spacing w:after="0"/>
              <w:rPr>
                <w:sz w:val="22"/>
                <w:szCs w:val="22"/>
                <w:color w:val="auto"/>
              </w:rPr>
            </w:pP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4.875% senior notes due 2048</w:t>
            </w:r>
          </w:p>
        </w:tc>
        <w:tc>
          <w:tcPr>
            <w:tcW w:w="1280" w:type="dxa"/>
            <w:vAlign w:val="bottom"/>
          </w:tcPr>
          <w:p>
            <w:pPr>
              <w:ind w:left="540"/>
              <w:spacing w:after="0"/>
              <w:rPr>
                <w:sz w:val="20"/>
                <w:szCs w:val="20"/>
                <w:color w:val="auto"/>
              </w:rPr>
            </w:pPr>
            <w:r>
              <w:rPr>
                <w:rFonts w:ascii="Arial" w:cs="Arial" w:eastAsia="Arial" w:hAnsi="Arial"/>
                <w:sz w:val="20"/>
                <w:szCs w:val="20"/>
                <w:color w:val="auto"/>
              </w:rPr>
              <w:t>4.94%</w:t>
            </w:r>
          </w:p>
        </w:tc>
        <w:tc>
          <w:tcPr>
            <w:tcW w:w="1100" w:type="dxa"/>
            <w:vAlign w:val="bottom"/>
          </w:tcPr>
          <w:p>
            <w:pPr>
              <w:jc w:val="right"/>
              <w:ind w:right="121"/>
              <w:spacing w:after="0"/>
              <w:rPr>
                <w:sz w:val="20"/>
                <w:szCs w:val="20"/>
                <w:color w:val="auto"/>
              </w:rPr>
            </w:pPr>
            <w:r>
              <w:rPr>
                <w:rFonts w:ascii="Arial" w:cs="Arial" w:eastAsia="Arial" w:hAnsi="Arial"/>
                <w:sz w:val="20"/>
                <w:szCs w:val="20"/>
                <w:color w:val="auto"/>
              </w:rPr>
              <w:t>1,750</w:t>
            </w:r>
          </w:p>
        </w:tc>
        <w:tc>
          <w:tcPr>
            <w:tcW w:w="1020" w:type="dxa"/>
            <w:vAlign w:val="bottom"/>
          </w:tcPr>
          <w:p>
            <w:pPr>
              <w:jc w:val="right"/>
              <w:ind w:right="68"/>
              <w:spacing w:after="0"/>
              <w:rPr>
                <w:sz w:val="20"/>
                <w:szCs w:val="20"/>
                <w:color w:val="auto"/>
              </w:rPr>
            </w:pPr>
            <w:r>
              <w:rPr>
                <w:rFonts w:ascii="Arial" w:cs="Arial" w:eastAsia="Arial" w:hAnsi="Arial"/>
                <w:sz w:val="20"/>
                <w:szCs w:val="20"/>
                <w:color w:val="auto"/>
              </w:rPr>
              <w:t>4.94%</w:t>
            </w:r>
          </w:p>
        </w:tc>
        <w:tc>
          <w:tcPr>
            <w:tcW w:w="900" w:type="dxa"/>
            <w:vAlign w:val="bottom"/>
          </w:tcPr>
          <w:p>
            <w:pPr>
              <w:jc w:val="right"/>
              <w:spacing w:after="0"/>
              <w:rPr>
                <w:sz w:val="20"/>
                <w:szCs w:val="20"/>
                <w:color w:val="auto"/>
              </w:rPr>
            </w:pPr>
            <w:r>
              <w:rPr>
                <w:rFonts w:ascii="Arial" w:cs="Arial" w:eastAsia="Arial" w:hAnsi="Arial"/>
                <w:sz w:val="20"/>
                <w:szCs w:val="20"/>
                <w:color w:val="auto"/>
              </w:rPr>
              <w:t>1,750</w:t>
            </w:r>
          </w:p>
        </w:tc>
        <w:tc>
          <w:tcPr>
            <w:tcW w:w="60" w:type="dxa"/>
            <w:vAlign w:val="bottom"/>
          </w:tcPr>
          <w:p>
            <w:pPr>
              <w:spacing w:after="0"/>
              <w:rPr>
                <w:sz w:val="22"/>
                <w:szCs w:val="22"/>
                <w:color w:val="auto"/>
              </w:rPr>
            </w:pP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4.25% senior notes due 2049</w:t>
            </w:r>
          </w:p>
        </w:tc>
        <w:tc>
          <w:tcPr>
            <w:tcW w:w="1280" w:type="dxa"/>
            <w:vAlign w:val="bottom"/>
          </w:tcPr>
          <w:p>
            <w:pPr>
              <w:ind w:left="540"/>
              <w:spacing w:after="0"/>
              <w:rPr>
                <w:sz w:val="20"/>
                <w:szCs w:val="20"/>
                <w:color w:val="auto"/>
              </w:rPr>
            </w:pPr>
            <w:r>
              <w:rPr>
                <w:rFonts w:ascii="Arial" w:cs="Arial" w:eastAsia="Arial" w:hAnsi="Arial"/>
                <w:sz w:val="20"/>
                <w:szCs w:val="20"/>
                <w:color w:val="auto"/>
              </w:rPr>
              <w:t>4.29%</w:t>
            </w:r>
          </w:p>
        </w:tc>
        <w:tc>
          <w:tcPr>
            <w:tcW w:w="1100" w:type="dxa"/>
            <w:vAlign w:val="bottom"/>
          </w:tcPr>
          <w:p>
            <w:pPr>
              <w:jc w:val="right"/>
              <w:ind w:right="121"/>
              <w:spacing w:after="0"/>
              <w:rPr>
                <w:sz w:val="20"/>
                <w:szCs w:val="20"/>
                <w:color w:val="auto"/>
              </w:rPr>
            </w:pPr>
            <w:r>
              <w:rPr>
                <w:rFonts w:ascii="Arial" w:cs="Arial" w:eastAsia="Arial" w:hAnsi="Arial"/>
                <w:sz w:val="20"/>
                <w:szCs w:val="20"/>
                <w:color w:val="auto"/>
              </w:rPr>
              <w:t>5,750</w:t>
            </w:r>
          </w:p>
        </w:tc>
        <w:tc>
          <w:tcPr>
            <w:tcW w:w="1020" w:type="dxa"/>
            <w:vAlign w:val="bottom"/>
          </w:tcPr>
          <w:p>
            <w:pPr>
              <w:jc w:val="right"/>
              <w:ind w:right="68"/>
              <w:spacing w:after="0"/>
              <w:rPr>
                <w:sz w:val="20"/>
                <w:szCs w:val="20"/>
                <w:color w:val="auto"/>
              </w:rPr>
            </w:pPr>
            <w:r>
              <w:rPr>
                <w:rFonts w:ascii="Arial" w:cs="Arial" w:eastAsia="Arial" w:hAnsi="Arial"/>
                <w:sz w:val="20"/>
                <w:szCs w:val="20"/>
                <w:color w:val="auto"/>
              </w:rPr>
              <w:t>4.29%</w:t>
            </w:r>
          </w:p>
        </w:tc>
        <w:tc>
          <w:tcPr>
            <w:tcW w:w="900" w:type="dxa"/>
            <w:vAlign w:val="bottom"/>
          </w:tcPr>
          <w:p>
            <w:pPr>
              <w:jc w:val="right"/>
              <w:spacing w:after="0"/>
              <w:rPr>
                <w:sz w:val="20"/>
                <w:szCs w:val="20"/>
                <w:color w:val="auto"/>
              </w:rPr>
            </w:pPr>
            <w:r>
              <w:rPr>
                <w:rFonts w:ascii="Arial" w:cs="Arial" w:eastAsia="Arial" w:hAnsi="Arial"/>
                <w:sz w:val="20"/>
                <w:szCs w:val="20"/>
                <w:color w:val="auto"/>
              </w:rPr>
              <w:t>5,750</w:t>
            </w:r>
          </w:p>
        </w:tc>
        <w:tc>
          <w:tcPr>
            <w:tcW w:w="60" w:type="dxa"/>
            <w:vAlign w:val="bottom"/>
          </w:tcPr>
          <w:p>
            <w:pPr>
              <w:spacing w:after="0"/>
              <w:rPr>
                <w:sz w:val="22"/>
                <w:szCs w:val="22"/>
                <w:color w:val="auto"/>
              </w:rPr>
            </w:pP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5.40% senior notes due 2054</w:t>
            </w:r>
          </w:p>
        </w:tc>
        <w:tc>
          <w:tcPr>
            <w:tcW w:w="1280" w:type="dxa"/>
            <w:vAlign w:val="bottom"/>
          </w:tcPr>
          <w:p>
            <w:pPr>
              <w:ind w:left="540"/>
              <w:spacing w:after="0"/>
              <w:rPr>
                <w:sz w:val="20"/>
                <w:szCs w:val="20"/>
                <w:color w:val="auto"/>
              </w:rPr>
            </w:pPr>
            <w:r>
              <w:rPr>
                <w:rFonts w:ascii="Arial" w:cs="Arial" w:eastAsia="Arial" w:hAnsi="Arial"/>
                <w:sz w:val="20"/>
                <w:szCs w:val="20"/>
                <w:color w:val="auto"/>
              </w:rPr>
              <w:t>5.44%</w:t>
            </w:r>
          </w:p>
        </w:tc>
        <w:tc>
          <w:tcPr>
            <w:tcW w:w="1100" w:type="dxa"/>
            <w:vAlign w:val="bottom"/>
          </w:tcPr>
          <w:p>
            <w:pPr>
              <w:jc w:val="right"/>
              <w:ind w:right="121"/>
              <w:spacing w:after="0"/>
              <w:rPr>
                <w:sz w:val="20"/>
                <w:szCs w:val="20"/>
                <w:color w:val="auto"/>
              </w:rPr>
            </w:pPr>
            <w:r>
              <w:rPr>
                <w:rFonts w:ascii="Arial" w:cs="Arial" w:eastAsia="Arial" w:hAnsi="Arial"/>
                <w:sz w:val="20"/>
                <w:szCs w:val="20"/>
                <w:color w:val="auto"/>
              </w:rPr>
              <w:t>3,000</w:t>
            </w:r>
          </w:p>
        </w:tc>
        <w:tc>
          <w:tcPr>
            <w:tcW w:w="1020" w:type="dxa"/>
            <w:vAlign w:val="bottom"/>
          </w:tcPr>
          <w:p>
            <w:pPr>
              <w:jc w:val="right"/>
              <w:ind w:right="68"/>
              <w:spacing w:after="0"/>
              <w:rPr>
                <w:sz w:val="20"/>
                <w:szCs w:val="20"/>
                <w:color w:val="auto"/>
              </w:rPr>
            </w:pPr>
            <w:r>
              <w:rPr>
                <w:rFonts w:ascii="Arial" w:cs="Arial" w:eastAsia="Arial" w:hAnsi="Arial"/>
                <w:sz w:val="20"/>
                <w:szCs w:val="20"/>
                <w:color w:val="auto"/>
              </w:rPr>
              <w:t>5.44%</w:t>
            </w:r>
          </w:p>
        </w:tc>
        <w:tc>
          <w:tcPr>
            <w:tcW w:w="900" w:type="dxa"/>
            <w:vAlign w:val="bottom"/>
          </w:tcPr>
          <w:p>
            <w:pPr>
              <w:jc w:val="right"/>
              <w:spacing w:after="0"/>
              <w:rPr>
                <w:sz w:val="20"/>
                <w:szCs w:val="20"/>
                <w:color w:val="auto"/>
              </w:rPr>
            </w:pPr>
            <w:r>
              <w:rPr>
                <w:rFonts w:ascii="Arial" w:cs="Arial" w:eastAsia="Arial" w:hAnsi="Arial"/>
                <w:sz w:val="20"/>
                <w:szCs w:val="20"/>
                <w:color w:val="auto"/>
              </w:rPr>
              <w:t>3,000</w:t>
            </w:r>
          </w:p>
        </w:tc>
        <w:tc>
          <w:tcPr>
            <w:tcW w:w="60" w:type="dxa"/>
            <w:vAlign w:val="bottom"/>
          </w:tcPr>
          <w:p>
            <w:pPr>
              <w:spacing w:after="0"/>
              <w:rPr>
                <w:sz w:val="22"/>
                <w:szCs w:val="22"/>
                <w:color w:val="auto"/>
              </w:rPr>
            </w:pP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5.60% senior notes due 2055</w:t>
            </w:r>
          </w:p>
        </w:tc>
        <w:tc>
          <w:tcPr>
            <w:tcW w:w="1280" w:type="dxa"/>
            <w:vAlign w:val="bottom"/>
          </w:tcPr>
          <w:p>
            <w:pPr>
              <w:ind w:left="540"/>
              <w:spacing w:after="0"/>
              <w:rPr>
                <w:sz w:val="20"/>
                <w:szCs w:val="20"/>
                <w:color w:val="auto"/>
              </w:rPr>
            </w:pPr>
            <w:r>
              <w:rPr>
                <w:rFonts w:ascii="Arial" w:cs="Arial" w:eastAsia="Arial" w:hAnsi="Arial"/>
                <w:sz w:val="20"/>
                <w:szCs w:val="20"/>
                <w:color w:val="auto"/>
              </w:rPr>
              <w:t>5.64%</w:t>
            </w:r>
          </w:p>
        </w:tc>
        <w:tc>
          <w:tcPr>
            <w:tcW w:w="1100" w:type="dxa"/>
            <w:vAlign w:val="bottom"/>
          </w:tcPr>
          <w:p>
            <w:pPr>
              <w:jc w:val="right"/>
              <w:ind w:right="121"/>
              <w:spacing w:after="0"/>
              <w:rPr>
                <w:sz w:val="20"/>
                <w:szCs w:val="20"/>
                <w:color w:val="auto"/>
              </w:rPr>
            </w:pPr>
            <w:r>
              <w:rPr>
                <w:rFonts w:ascii="Arial" w:cs="Arial" w:eastAsia="Arial" w:hAnsi="Arial"/>
                <w:sz w:val="20"/>
                <w:szCs w:val="20"/>
                <w:color w:val="auto"/>
              </w:rPr>
              <w:t>750</w:t>
            </w:r>
          </w:p>
        </w:tc>
        <w:tc>
          <w:tcPr>
            <w:tcW w:w="1020" w:type="dxa"/>
            <w:vAlign w:val="bottom"/>
          </w:tcPr>
          <w:p>
            <w:pPr>
              <w:jc w:val="right"/>
              <w:ind w:right="248"/>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5.50% senior notes due 2064</w:t>
            </w:r>
          </w:p>
        </w:tc>
        <w:tc>
          <w:tcPr>
            <w:tcW w:w="1280" w:type="dxa"/>
            <w:vAlign w:val="bottom"/>
          </w:tcPr>
          <w:p>
            <w:pPr>
              <w:ind w:left="540"/>
              <w:spacing w:after="0"/>
              <w:rPr>
                <w:sz w:val="20"/>
                <w:szCs w:val="20"/>
                <w:color w:val="auto"/>
              </w:rPr>
            </w:pPr>
            <w:r>
              <w:rPr>
                <w:rFonts w:ascii="Arial" w:cs="Arial" w:eastAsia="Arial" w:hAnsi="Arial"/>
                <w:sz w:val="20"/>
                <w:szCs w:val="20"/>
                <w:color w:val="auto"/>
              </w:rPr>
              <w:t>5.53%</w:t>
            </w:r>
          </w:p>
        </w:tc>
        <w:tc>
          <w:tcPr>
            <w:tcW w:w="1100" w:type="dxa"/>
            <w:vAlign w:val="bottom"/>
          </w:tcPr>
          <w:p>
            <w:pPr>
              <w:jc w:val="right"/>
              <w:ind w:right="121"/>
              <w:spacing w:after="0"/>
              <w:rPr>
                <w:sz w:val="20"/>
                <w:szCs w:val="20"/>
                <w:color w:val="auto"/>
              </w:rPr>
            </w:pPr>
            <w:r>
              <w:rPr>
                <w:rFonts w:ascii="Arial" w:cs="Arial" w:eastAsia="Arial" w:hAnsi="Arial"/>
                <w:sz w:val="20"/>
                <w:szCs w:val="20"/>
                <w:color w:val="auto"/>
              </w:rPr>
              <w:t>1,500</w:t>
            </w:r>
          </w:p>
        </w:tc>
        <w:tc>
          <w:tcPr>
            <w:tcW w:w="1020" w:type="dxa"/>
            <w:vAlign w:val="bottom"/>
          </w:tcPr>
          <w:p>
            <w:pPr>
              <w:jc w:val="right"/>
              <w:ind w:right="68"/>
              <w:spacing w:after="0"/>
              <w:rPr>
                <w:sz w:val="20"/>
                <w:szCs w:val="20"/>
                <w:color w:val="auto"/>
              </w:rPr>
            </w:pPr>
            <w:r>
              <w:rPr>
                <w:rFonts w:ascii="Arial" w:cs="Arial" w:eastAsia="Arial" w:hAnsi="Arial"/>
                <w:sz w:val="20"/>
                <w:szCs w:val="20"/>
                <w:color w:val="auto"/>
              </w:rPr>
              <w:t>5.53%</w:t>
            </w:r>
          </w:p>
        </w:tc>
        <w:tc>
          <w:tcPr>
            <w:tcW w:w="900" w:type="dxa"/>
            <w:vAlign w:val="bottom"/>
          </w:tcPr>
          <w:p>
            <w:pPr>
              <w:jc w:val="right"/>
              <w:spacing w:after="0"/>
              <w:rPr>
                <w:sz w:val="20"/>
                <w:szCs w:val="20"/>
                <w:color w:val="auto"/>
              </w:rPr>
            </w:pPr>
            <w:r>
              <w:rPr>
                <w:rFonts w:ascii="Arial" w:cs="Arial" w:eastAsia="Arial" w:hAnsi="Arial"/>
                <w:sz w:val="20"/>
                <w:szCs w:val="20"/>
                <w:color w:val="auto"/>
              </w:rPr>
              <w:t>1,500</w:t>
            </w:r>
          </w:p>
        </w:tc>
        <w:tc>
          <w:tcPr>
            <w:tcW w:w="60" w:type="dxa"/>
            <w:vAlign w:val="bottom"/>
          </w:tcPr>
          <w:p>
            <w:pPr>
              <w:spacing w:after="0"/>
              <w:rPr>
                <w:sz w:val="22"/>
                <w:szCs w:val="22"/>
                <w:color w:val="auto"/>
              </w:rPr>
            </w:pP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Fair value hedges</w:t>
            </w:r>
          </w:p>
        </w:tc>
        <w:tc>
          <w:tcPr>
            <w:tcW w:w="1280" w:type="dxa"/>
            <w:vAlign w:val="bottom"/>
          </w:tcPr>
          <w:p>
            <w:pPr>
              <w:spacing w:after="0"/>
              <w:rPr>
                <w:sz w:val="22"/>
                <w:szCs w:val="22"/>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(47)</w:t>
            </w:r>
          </w:p>
        </w:tc>
        <w:tc>
          <w:tcPr>
            <w:tcW w:w="10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(224)</w:t>
            </w: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Unamortized bond discounts</w:t>
            </w:r>
          </w:p>
        </w:tc>
        <w:tc>
          <w:tcPr>
            <w:tcW w:w="1280" w:type="dxa"/>
            <w:vAlign w:val="bottom"/>
          </w:tcPr>
          <w:p>
            <w:pPr>
              <w:spacing w:after="0"/>
              <w:rPr>
                <w:sz w:val="22"/>
                <w:szCs w:val="22"/>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(122)</w:t>
            </w:r>
          </w:p>
        </w:tc>
        <w:tc>
          <w:tcPr>
            <w:tcW w:w="10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(130)</w:t>
            </w: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Unamortized deferred financing costs</w:t>
            </w:r>
          </w:p>
        </w:tc>
        <w:tc>
          <w:tcPr>
            <w:tcW w:w="1280" w:type="dxa"/>
            <w:vAlign w:val="bottom"/>
          </w:tcPr>
          <w:p>
            <w:pPr>
              <w:spacing w:after="0"/>
              <w:rPr>
                <w:sz w:val="22"/>
                <w:szCs w:val="22"/>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(259)</w:t>
            </w:r>
          </w:p>
        </w:tc>
        <w:tc>
          <w:tcPr>
            <w:tcW w:w="10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(266)</w:t>
            </w: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Unamortized bond premiums</w:t>
            </w:r>
          </w:p>
        </w:tc>
        <w:tc>
          <w:tcPr>
            <w:tcW w:w="1280" w:type="dxa"/>
            <w:vAlign w:val="bottom"/>
          </w:tcPr>
          <w:p>
            <w:pPr>
              <w:spacing w:after="0"/>
              <w:rPr>
                <w:sz w:val="22"/>
                <w:szCs w:val="22"/>
                <w:color w:val="auto"/>
              </w:rPr>
            </w:pPr>
          </w:p>
        </w:tc>
        <w:tc>
          <w:tcPr>
            <w:tcW w:w="1100" w:type="dxa"/>
            <w:vAlign w:val="bottom"/>
          </w:tcPr>
          <w:p>
            <w:pPr>
              <w:jc w:val="right"/>
              <w:ind w:right="121"/>
              <w:spacing w:after="0"/>
              <w:rPr>
                <w:sz w:val="20"/>
                <w:szCs w:val="20"/>
                <w:color w:val="auto"/>
              </w:rPr>
            </w:pPr>
            <w:r>
              <w:rPr>
                <w:rFonts w:ascii="Arial" w:cs="Arial" w:eastAsia="Arial" w:hAnsi="Arial"/>
                <w:sz w:val="20"/>
                <w:szCs w:val="20"/>
                <w:color w:val="auto"/>
              </w:rPr>
              <w:t>503</w:t>
            </w:r>
          </w:p>
        </w:tc>
        <w:tc>
          <w:tcPr>
            <w:tcW w:w="10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555</w:t>
            </w:r>
          </w:p>
        </w:tc>
        <w:tc>
          <w:tcPr>
            <w:tcW w:w="60" w:type="dxa"/>
            <w:vAlign w:val="bottom"/>
          </w:tcPr>
          <w:p>
            <w:pPr>
              <w:spacing w:after="0"/>
              <w:rPr>
                <w:sz w:val="22"/>
                <w:szCs w:val="22"/>
                <w:color w:val="auto"/>
              </w:rPr>
            </w:pPr>
          </w:p>
        </w:tc>
      </w:tr>
      <w:tr>
        <w:trPr>
          <w:trHeight w:val="259"/>
        </w:trPr>
        <w:tc>
          <w:tcPr>
            <w:tcW w:w="4800" w:type="dxa"/>
            <w:vAlign w:val="bottom"/>
          </w:tcPr>
          <w:p>
            <w:pPr>
              <w:spacing w:after="0"/>
              <w:rPr>
                <w:sz w:val="20"/>
                <w:szCs w:val="20"/>
                <w:color w:val="auto"/>
              </w:rPr>
            </w:pPr>
            <w:r>
              <w:rPr>
                <w:rFonts w:ascii="Arial" w:cs="Arial" w:eastAsia="Arial" w:hAnsi="Arial"/>
                <w:sz w:val="20"/>
                <w:szCs w:val="20"/>
                <w:color w:val="auto"/>
              </w:rPr>
              <w:t>Financing liability</w:t>
            </w:r>
          </w:p>
        </w:tc>
        <w:tc>
          <w:tcPr>
            <w:tcW w:w="1280" w:type="dxa"/>
            <w:vAlign w:val="bottom"/>
          </w:tcPr>
          <w:p>
            <w:pPr>
              <w:spacing w:after="0"/>
              <w:rPr>
                <w:sz w:val="22"/>
                <w:szCs w:val="22"/>
                <w:color w:val="auto"/>
              </w:rPr>
            </w:pPr>
          </w:p>
        </w:tc>
        <w:tc>
          <w:tcPr>
            <w:tcW w:w="1100" w:type="dxa"/>
            <w:vAlign w:val="bottom"/>
          </w:tcPr>
          <w:p>
            <w:pPr>
              <w:jc w:val="right"/>
              <w:ind w:right="121"/>
              <w:spacing w:after="0"/>
              <w:rPr>
                <w:sz w:val="20"/>
                <w:szCs w:val="20"/>
                <w:color w:val="auto"/>
              </w:rPr>
            </w:pPr>
            <w:r>
              <w:rPr>
                <w:rFonts w:ascii="Arial" w:cs="Arial" w:eastAsia="Arial" w:hAnsi="Arial"/>
                <w:sz w:val="20"/>
                <w:szCs w:val="20"/>
                <w:color w:val="auto"/>
              </w:rPr>
              <w:t>378</w:t>
            </w:r>
          </w:p>
        </w:tc>
        <w:tc>
          <w:tcPr>
            <w:tcW w:w="10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328</w:t>
            </w:r>
          </w:p>
        </w:tc>
        <w:tc>
          <w:tcPr>
            <w:tcW w:w="60" w:type="dxa"/>
            <w:vAlign w:val="bottom"/>
          </w:tcPr>
          <w:p>
            <w:pPr>
              <w:spacing w:after="0"/>
              <w:rPr>
                <w:sz w:val="22"/>
                <w:szCs w:val="22"/>
                <w:color w:val="auto"/>
              </w:rPr>
            </w:pPr>
          </w:p>
        </w:tc>
      </w:tr>
      <w:tr>
        <w:trPr>
          <w:trHeight w:val="255"/>
        </w:trPr>
        <w:tc>
          <w:tcPr>
            <w:tcW w:w="4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w:t>
            </w:r>
          </w:p>
        </w:tc>
        <w:tc>
          <w:tcPr>
            <w:tcW w:w="1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41</w:t>
            </w:r>
          </w:p>
        </w:tc>
        <w:tc>
          <w:tcPr>
            <w:tcW w:w="10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60" w:type="dxa"/>
            <w:vAlign w:val="bottom"/>
          </w:tcPr>
          <w:p>
            <w:pPr>
              <w:spacing w:after="0"/>
              <w:rPr>
                <w:sz w:val="22"/>
                <w:szCs w:val="22"/>
                <w:color w:val="auto"/>
              </w:rPr>
            </w:pPr>
          </w:p>
        </w:tc>
      </w:tr>
      <w:tr>
        <w:trPr>
          <w:trHeight w:val="254"/>
        </w:trPr>
        <w:tc>
          <w:tcPr>
            <w:tcW w:w="4800" w:type="dxa"/>
            <w:vAlign w:val="bottom"/>
          </w:tcPr>
          <w:p>
            <w:pPr>
              <w:spacing w:after="0"/>
              <w:rPr>
                <w:sz w:val="20"/>
                <w:szCs w:val="20"/>
                <w:color w:val="auto"/>
              </w:rPr>
            </w:pPr>
            <w:r>
              <w:rPr>
                <w:rFonts w:ascii="Arial" w:cs="Arial" w:eastAsia="Arial" w:hAnsi="Arial"/>
                <w:sz w:val="20"/>
                <w:szCs w:val="20"/>
                <w:color w:val="auto"/>
              </w:rPr>
              <w:t>Total long-term debt and finance lease obligations</w:t>
            </w:r>
          </w:p>
        </w:tc>
        <w:tc>
          <w:tcPr>
            <w:tcW w:w="1280" w:type="dxa"/>
            <w:vAlign w:val="bottom"/>
          </w:tcPr>
          <w:p>
            <w:pPr>
              <w:spacing w:after="0"/>
              <w:rPr>
                <w:sz w:val="22"/>
                <w:szCs w:val="22"/>
                <w:color w:val="auto"/>
              </w:rPr>
            </w:pPr>
          </w:p>
        </w:tc>
        <w:tc>
          <w:tcPr>
            <w:tcW w:w="1100" w:type="dxa"/>
            <w:vAlign w:val="bottom"/>
          </w:tcPr>
          <w:p>
            <w:pPr>
              <w:jc w:val="right"/>
              <w:ind w:right="121"/>
              <w:spacing w:after="0"/>
              <w:rPr>
                <w:sz w:val="20"/>
                <w:szCs w:val="20"/>
                <w:color w:val="auto"/>
              </w:rPr>
            </w:pPr>
            <w:r>
              <w:rPr>
                <w:rFonts w:ascii="Arial" w:cs="Arial" w:eastAsia="Arial" w:hAnsi="Arial"/>
                <w:sz w:val="20"/>
                <w:szCs w:val="20"/>
                <w:color w:val="auto"/>
              </w:rPr>
              <w:t>64,997</w:t>
            </w:r>
          </w:p>
        </w:tc>
        <w:tc>
          <w:tcPr>
            <w:tcW w:w="10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67,144</w:t>
            </w:r>
          </w:p>
        </w:tc>
        <w:tc>
          <w:tcPr>
            <w:tcW w:w="60" w:type="dxa"/>
            <w:vAlign w:val="bottom"/>
          </w:tcPr>
          <w:p>
            <w:pPr>
              <w:spacing w:after="0"/>
              <w:rPr>
                <w:sz w:val="22"/>
                <w:szCs w:val="22"/>
                <w:color w:val="auto"/>
              </w:rPr>
            </w:pPr>
          </w:p>
        </w:tc>
      </w:tr>
      <w:tr>
        <w:trPr>
          <w:trHeight w:val="255"/>
        </w:trPr>
        <w:tc>
          <w:tcPr>
            <w:tcW w:w="4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Current portion</w:t>
            </w:r>
          </w:p>
        </w:tc>
        <w:tc>
          <w:tcPr>
            <w:tcW w:w="1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6,056</w:t>
            </w:r>
          </w:p>
        </w:tc>
        <w:tc>
          <w:tcPr>
            <w:tcW w:w="10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6,804</w:t>
            </w:r>
          </w:p>
        </w:tc>
        <w:tc>
          <w:tcPr>
            <w:tcW w:w="60" w:type="dxa"/>
            <w:vAlign w:val="bottom"/>
          </w:tcPr>
          <w:p>
            <w:pPr>
              <w:spacing w:after="0"/>
              <w:rPr>
                <w:sz w:val="22"/>
                <w:szCs w:val="22"/>
                <w:color w:val="auto"/>
              </w:rPr>
            </w:pPr>
          </w:p>
        </w:tc>
      </w:tr>
      <w:tr>
        <w:trPr>
          <w:trHeight w:val="249"/>
        </w:trPr>
        <w:tc>
          <w:tcPr>
            <w:tcW w:w="4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Noncurrent portion</w:t>
            </w:r>
          </w:p>
        </w:tc>
        <w:tc>
          <w:tcPr>
            <w:tcW w:w="1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$58,941</w:t>
            </w:r>
          </w:p>
        </w:tc>
        <w:tc>
          <w:tcPr>
            <w:tcW w:w="10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$60,340</w:t>
            </w:r>
          </w:p>
        </w:tc>
        <w:tc>
          <w:tcPr>
            <w:tcW w:w="60" w:type="dxa"/>
            <w:vAlign w:val="bottom"/>
          </w:tcPr>
          <w:p>
            <w:pPr>
              <w:spacing w:after="0"/>
              <w:rPr>
                <w:sz w:val="21"/>
                <w:szCs w:val="2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 Excludes the effect of any related interest rate swaps.</w:t>
      </w:r>
    </w:p>
    <w:p>
      <w:pPr>
        <w:spacing w:after="0" w:line="149" w:lineRule="exact"/>
        <w:rPr>
          <w:sz w:val="20"/>
          <w:szCs w:val="20"/>
          <w:color w:val="auto"/>
        </w:rPr>
      </w:pPr>
    </w:p>
    <w:p>
      <w:pPr>
        <w:jc w:val="both"/>
        <w:ind w:right="220" w:firstLine="359"/>
        <w:spacing w:after="0" w:line="256" w:lineRule="auto"/>
        <w:rPr>
          <w:sz w:val="20"/>
          <w:szCs w:val="20"/>
          <w:color w:val="auto"/>
        </w:rPr>
      </w:pPr>
      <w:r>
        <w:rPr>
          <w:rFonts w:ascii="Arial" w:cs="Arial" w:eastAsia="Arial" w:hAnsi="Arial"/>
          <w:sz w:val="20"/>
          <w:szCs w:val="20"/>
          <w:color w:val="auto"/>
        </w:rPr>
        <w:t>Senior notes are redeemable prior to maturity at a redemption price equal to the principal amount plus a make-whole premium and AbbVie may redeem these debt securities at par generally between one and six months prior to maturity. At December 31, 2025, the company was in compliance with its senior note covenants and term loan covenants.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Maturities of Long-Term Debt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and for the years ending December 31 (in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577786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454.5pt,1.95pt" o:allowincell="f" strokecolor="#000000" strokeweight="0.499pt"/>
            </w:pict>
          </mc:Fallback>
        </mc:AlternateConten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220" w:type="dxa"/>
            <w:vAlign w:val="bottom"/>
          </w:tcPr>
          <w:p>
            <w:pPr>
              <w:spacing w:after="0"/>
              <w:rPr>
                <w:sz w:val="20"/>
                <w:szCs w:val="20"/>
                <w:color w:val="auto"/>
              </w:rPr>
            </w:pPr>
            <w:r>
              <w:rPr>
                <w:rFonts w:ascii="Arial" w:cs="Arial" w:eastAsia="Arial" w:hAnsi="Arial"/>
                <w:sz w:val="20"/>
                <w:szCs w:val="20"/>
                <w:color w:val="auto"/>
              </w:rPr>
              <w:t>2026</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6,000</w:t>
            </w:r>
          </w:p>
        </w:tc>
      </w:tr>
      <w:tr>
        <w:trPr>
          <w:trHeight w:val="279"/>
        </w:trPr>
        <w:tc>
          <w:tcPr>
            <w:tcW w:w="8220" w:type="dxa"/>
            <w:vAlign w:val="bottom"/>
          </w:tcPr>
          <w:p>
            <w:pPr>
              <w:spacing w:after="0"/>
              <w:rPr>
                <w:sz w:val="20"/>
                <w:szCs w:val="20"/>
                <w:color w:val="auto"/>
              </w:rPr>
            </w:pPr>
            <w:r>
              <w:rPr>
                <w:rFonts w:ascii="Arial" w:cs="Arial" w:eastAsia="Arial" w:hAnsi="Arial"/>
                <w:sz w:val="20"/>
                <w:szCs w:val="20"/>
                <w:color w:val="auto"/>
              </w:rPr>
              <w:t>2027</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5,130</w:t>
            </w:r>
          </w:p>
        </w:tc>
      </w:tr>
      <w:tr>
        <w:trPr>
          <w:trHeight w:val="279"/>
        </w:trPr>
        <w:tc>
          <w:tcPr>
            <w:tcW w:w="8220" w:type="dxa"/>
            <w:vAlign w:val="bottom"/>
          </w:tcPr>
          <w:p>
            <w:pPr>
              <w:spacing w:after="0"/>
              <w:rPr>
                <w:sz w:val="20"/>
                <w:szCs w:val="20"/>
                <w:color w:val="auto"/>
              </w:rPr>
            </w:pPr>
            <w:r>
              <w:rPr>
                <w:rFonts w:ascii="Arial" w:cs="Arial" w:eastAsia="Arial" w:hAnsi="Arial"/>
                <w:sz w:val="20"/>
                <w:szCs w:val="20"/>
                <w:color w:val="auto"/>
              </w:rPr>
              <w:t>2028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4,466</w:t>
            </w:r>
          </w:p>
        </w:tc>
      </w:tr>
      <w:tr>
        <w:trPr>
          <w:trHeight w:val="279"/>
        </w:trPr>
        <w:tc>
          <w:tcPr>
            <w:tcW w:w="8220" w:type="dxa"/>
            <w:vAlign w:val="bottom"/>
          </w:tcPr>
          <w:p>
            <w:pPr>
              <w:spacing w:after="0"/>
              <w:rPr>
                <w:sz w:val="20"/>
                <w:szCs w:val="20"/>
                <w:color w:val="auto"/>
              </w:rPr>
            </w:pPr>
            <w:r>
              <w:rPr>
                <w:rFonts w:ascii="Arial" w:cs="Arial" w:eastAsia="Arial" w:hAnsi="Arial"/>
                <w:sz w:val="20"/>
                <w:szCs w:val="20"/>
                <w:color w:val="auto"/>
              </w:rPr>
              <w:t>2029</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8,645</w:t>
            </w:r>
          </w:p>
        </w:tc>
      </w:tr>
      <w:tr>
        <w:trPr>
          <w:trHeight w:val="279"/>
        </w:trPr>
        <w:tc>
          <w:tcPr>
            <w:tcW w:w="8220" w:type="dxa"/>
            <w:vAlign w:val="bottom"/>
          </w:tcPr>
          <w:p>
            <w:pPr>
              <w:spacing w:after="0"/>
              <w:rPr>
                <w:sz w:val="20"/>
                <w:szCs w:val="20"/>
                <w:color w:val="auto"/>
              </w:rPr>
            </w:pPr>
            <w:r>
              <w:rPr>
                <w:rFonts w:ascii="Arial" w:cs="Arial" w:eastAsia="Arial" w:hAnsi="Arial"/>
                <w:sz w:val="20"/>
                <w:szCs w:val="20"/>
                <w:color w:val="auto"/>
              </w:rPr>
              <w:t>2030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1,000</w:t>
            </w:r>
          </w:p>
        </w:tc>
      </w:tr>
      <w:tr>
        <w:trPr>
          <w:trHeight w:val="282"/>
        </w:trPr>
        <w:tc>
          <w:tcPr>
            <w:tcW w:w="8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Thereafter</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39,262</w:t>
            </w:r>
          </w:p>
        </w:tc>
      </w:tr>
      <w:tr>
        <w:trPr>
          <w:trHeight w:val="266"/>
        </w:trPr>
        <w:tc>
          <w:tcPr>
            <w:tcW w:w="8220" w:type="dxa"/>
            <w:vAlign w:val="bottom"/>
          </w:tcPr>
          <w:p>
            <w:pPr>
              <w:spacing w:after="0"/>
              <w:rPr>
                <w:sz w:val="20"/>
                <w:szCs w:val="20"/>
                <w:color w:val="auto"/>
              </w:rPr>
            </w:pPr>
            <w:r>
              <w:rPr>
                <w:rFonts w:ascii="Arial" w:cs="Arial" w:eastAsia="Arial" w:hAnsi="Arial"/>
                <w:sz w:val="20"/>
                <w:szCs w:val="20"/>
                <w:color w:val="auto"/>
              </w:rPr>
              <w:t>Total long-term debt</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64,503</w:t>
            </w:r>
          </w:p>
        </w:tc>
      </w:tr>
      <w:tr>
        <w:trPr>
          <w:trHeight w:val="271"/>
        </w:trPr>
        <w:tc>
          <w:tcPr>
            <w:tcW w:w="8220" w:type="dxa"/>
            <w:vAlign w:val="bottom"/>
          </w:tcPr>
          <w:p>
            <w:pPr>
              <w:spacing w:after="0"/>
              <w:rPr>
                <w:sz w:val="20"/>
                <w:szCs w:val="20"/>
                <w:color w:val="auto"/>
              </w:rPr>
            </w:pPr>
            <w:r>
              <w:rPr>
                <w:rFonts w:ascii="Arial" w:cs="Arial" w:eastAsia="Arial" w:hAnsi="Arial"/>
                <w:sz w:val="20"/>
                <w:szCs w:val="20"/>
                <w:color w:val="auto"/>
              </w:rPr>
              <w:t>Fair value hedges, unamortized bond premiums/discounts, deferred financing costs, finance</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51"/>
        </w:trPr>
        <w:tc>
          <w:tcPr>
            <w:tcW w:w="822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lease obligations and financing liability</w:t>
            </w: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w:t>
            </w:r>
          </w:p>
        </w:tc>
      </w:tr>
      <w:tr>
        <w:trPr>
          <w:trHeight w:val="269"/>
        </w:trPr>
        <w:tc>
          <w:tcPr>
            <w:tcW w:w="8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long-term debt and finance lease obligations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64,997</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Issuance and Repayment of Long-Term Debt</w:t>
      </w:r>
    </w:p>
    <w:p>
      <w:pPr>
        <w:spacing w:after="0" w:line="131" w:lineRule="exact"/>
        <w:rPr>
          <w:sz w:val="20"/>
          <w:szCs w:val="20"/>
          <w:color w:val="auto"/>
        </w:rPr>
      </w:pPr>
    </w:p>
    <w:p>
      <w:pPr>
        <w:ind w:right="60" w:firstLine="359"/>
        <w:spacing w:after="0" w:line="252" w:lineRule="auto"/>
        <w:rPr>
          <w:sz w:val="20"/>
          <w:szCs w:val="20"/>
          <w:color w:val="auto"/>
        </w:rPr>
      </w:pPr>
      <w:r>
        <w:rPr>
          <w:rFonts w:ascii="Arial" w:cs="Arial" w:eastAsia="Arial" w:hAnsi="Arial"/>
          <w:sz w:val="20"/>
          <w:szCs w:val="20"/>
          <w:color w:val="auto"/>
        </w:rPr>
        <w:t>In 2025, the company issued $4.0 billion aggregate principal amount of unsecured senior notes. The notes are unsecured, unsubordinated obligations of AbbVie and will rank equally in right of payment with all of AbbVie’s existing and future unsecured, unsubordinated indebtedness, liabilities and other obligations. AbbVie may redeem the fixed-rate senior notes prior to maturity at a redemption price equal to the greater of the principal amount or the sum of present values of the remaining scheduled payments of principal and interest plus a make-whole premium. AbbVie may also redeem the fixed-rate senior notes at par between one and six months prior to maturity. The company also repaid $3.0 billion aggregate principal amount of 3.80% senior notes and $3.8 billion aggregate principal amount of 3.60% senior notes at maturity.</w:t>
      </w:r>
    </w:p>
    <w:p>
      <w:pPr>
        <w:spacing w:after="0" w:line="122"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In 2024, the company repaid $3.8 billion aggregate principal amount of 2.60% senior notes,</w:t>
      </w:r>
    </w:p>
    <w:p>
      <w:pPr>
        <w:spacing w:after="0" w:line="18"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€1.5 billion aggregate principal amount of 1.38% senior euro notes, €700 million aggregate principal</w:t>
      </w:r>
    </w:p>
    <w:p>
      <w:pPr>
        <w:sectPr>
          <w:pgSz w:w="11880" w:h="15480" w:orient="portrait"/>
          <w:cols w:equalWidth="0" w:num="1">
            <w:col w:w="9160"/>
          </w:cols>
          <w:pgMar w:left="1400" w:top="1021" w:right="1320" w:bottom="75"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sz w:val="1"/>
          <w:szCs w:val="1"/>
          <w:color w:val="auto"/>
        </w:rPr>
        <w:drawing>
          <wp:inline distT="0" distB="0" distL="0" distR="0">
            <wp:extent cx="615950" cy="12827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60"/>
          </w:cols>
          <w:pgMar w:left="1400" w:top="1021" w:right="1320" w:bottom="75" w:gutter="0" w:footer="0" w:header="0"/>
          <w:type w:val="continuous"/>
        </w:sectPr>
      </w:pPr>
    </w:p>
    <w:bookmarkStart w:id="88" w:name="page89"/>
    <w:bookmarkEnd w:id="88"/>
    <w:p>
      <w:pPr>
        <w:jc w:val="both"/>
        <w:ind w:right="40"/>
        <w:spacing w:after="0" w:line="263" w:lineRule="auto"/>
        <w:rPr>
          <w:sz w:val="20"/>
          <w:szCs w:val="20"/>
          <w:color w:val="auto"/>
        </w:rPr>
      </w:pPr>
      <w:r>
        <w:rPr>
          <w:rFonts w:ascii="Arial" w:cs="Arial" w:eastAsia="Arial" w:hAnsi="Arial"/>
          <w:sz w:val="19"/>
          <w:szCs w:val="19"/>
          <w:color w:val="auto"/>
        </w:rPr>
        <w:t>amount of 1.25% senior euro notes and $1.0 billion aggregate principal amount of 3.85% senior notes. During the quarter ended December 31, 2024, the company refinanced its $2.0 billion floating rate three-year term loan. As part of the refinancing, the company repaid the existing $2.0 billion term loan due May 2025 and borrowed $2.0 billion under a new term loan due April 2027 at a fixed rate of 4.549%.</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These term notes rank equally with all other unsecured and unsubordinated indebtedness of the company. AbbVie may redeem the fixed-rate term notes between fifteen and twenty-one months at a redemption price equal to the notional amount plus one percent make whole amount and can be redeemed at par after twenty-one months. All other significant terms of the loan remained unchanged after the refinancing.</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Financing Related to ImmunoGen and Cerevel Therapeutics Acquisitions</w:t>
      </w:r>
    </w:p>
    <w:p>
      <w:pPr>
        <w:spacing w:after="0" w:line="131"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In connection with the acquisitions of ImmunoGen and Cerevel Therapeutics, in February 2024, the company issued $15.0 billion aggregate principal amount of unsecured senior notes. The notes are unsecured, unsubordinated obligations of AbbVie and will rank equally in right of payment with all of AbbVie’s existing and future unsecured, unsubordinated indebtedness, liabilities and other obligations. AbbVie may redeem the fixed-rate senior notes prior to maturity at a redemption price equal to the greater of the principal amount or the sum of present values of the remaining scheduled payments of principal and interest on the fixed-rate senior notes to be redeemed plus a make-whole premium. AbbVie may also redeem the fixed-rate senior notes at par between one and six months prior to maturity. In connection with the offering, debt issuance costs incurred totaled $99 million and debt discounts totaled $37 million, which are being amortized over the respective terms of the notes to interest expense, net in the consolidated statements of earnings.</w:t>
      </w:r>
    </w:p>
    <w:p>
      <w:pPr>
        <w:spacing w:after="0" w:line="127" w:lineRule="exact"/>
        <w:rPr>
          <w:sz w:val="20"/>
          <w:szCs w:val="20"/>
          <w:color w:val="auto"/>
        </w:rPr>
      </w:pPr>
    </w:p>
    <w:p>
      <w:pPr>
        <w:ind w:firstLine="359"/>
        <w:spacing w:after="0" w:line="254" w:lineRule="auto"/>
        <w:rPr>
          <w:sz w:val="20"/>
          <w:szCs w:val="20"/>
          <w:color w:val="auto"/>
        </w:rPr>
      </w:pPr>
      <w:r>
        <w:rPr>
          <w:rFonts w:ascii="Arial" w:cs="Arial" w:eastAsia="Arial" w:hAnsi="Arial"/>
          <w:sz w:val="20"/>
          <w:szCs w:val="20"/>
          <w:color w:val="auto"/>
        </w:rPr>
        <w:t>AbbVie used the net proceeds received from the issuance of the notes to finance the acquisition of ImmunoGen, repay its term-loan, repay commercial paper borrowings, pay fees and expenses in respect of the foregoing, finance general corporate purposes and, together with cash on hand, fund AbbVie’s acquisition of Cerevel Therapeutics. See Note 5 for additional information.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December 2023, AbbVie entered into a $9.0 billion 364-day bridge credit agreement and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$5.0 billion 364-day term loan credit agreement. In February 2024, AbbVie borrowed and repaid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$5.0 billion under the term loan credit agreement. Interest charged on this borrowing was based on</w:t>
      </w:r>
    </w:p>
    <w:p>
      <w:pPr>
        <w:spacing w:after="0" w:line="7"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Secured Overnight Financing Rate Reference Rate (SOFR) +0.975% with an effective interest rate of 6.29%. Subsequent to the $15.0 billion issuance of senior notes, AbbVie terminated both the bridge and term loan credit agreements in the first quarter of 2024. In February 2024, concurrent with the ImmunoGen acquisition, the company assumed and repaid an ImmunoGen senior secured term loan at a fair value of $99 million.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connection with the acquisition of Cerevel Therapeutics, the company assumed $345 million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aggregate principal of 2.5% convertible senior notes due 2027. Upon acquisition, the convertible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senior notes became callable and note holders could redeem the convertible senior notes for cash at a</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premium. As of the acquisition date, the convertible senior notes were recognized as current portion</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of long-term debt on the consolidated balance sheets at an aggregate fair value of $400 million. Following</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the acquisition date, the company repaid the convertible senior notes and there were no amounts</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outstanding as of December 31, 2024.</w:t>
      </w:r>
    </w:p>
    <w:p>
      <w:pPr>
        <w:spacing w:after="0" w:line="136" w:lineRule="exact"/>
        <w:rPr>
          <w:sz w:val="20"/>
          <w:szCs w:val="20"/>
          <w:color w:val="auto"/>
        </w:rPr>
      </w:pPr>
    </w:p>
    <w:p>
      <w:pPr>
        <w:ind w:firstLine="359"/>
        <w:spacing w:after="0" w:line="249" w:lineRule="auto"/>
        <w:rPr>
          <w:sz w:val="20"/>
          <w:szCs w:val="20"/>
          <w:color w:val="auto"/>
        </w:rPr>
      </w:pPr>
      <w:r>
        <w:rPr>
          <w:rFonts w:ascii="Arial" w:cs="Arial" w:eastAsia="Arial" w:hAnsi="Arial"/>
          <w:sz w:val="20"/>
          <w:szCs w:val="20"/>
          <w:color w:val="auto"/>
        </w:rPr>
        <w:t>The company also assumed funding agreements entered into by Cerevel Therapeutics prior to the acquisition. Under the agreements, Cerevel Therapeutics received funding to support development of tavapadon and agreed to repay regulatory milestones, sales milestones and royalties contingent upon approval of tavapadon by the U.S. FDA. In addition, upon acquisition the company has the option to satisfy payment obligations early by making a payment equal to the amount of funding provided to Cerevel Therapeutics plus a variable premium. In all circumstances, total repayments under the funding agreements will not exceed $531 million in aggregate. The funding agreements were accounted for as financing arrangements and the fair value of the related financing liability was $246 million as of the acquisition date. In conjunction with the funding agreements, AbbVie also assumed security agreements entered into by Cerevel Therapeutics prior to the acquisition pursuant to which Cerevel Therapeutics granted the funding investors a security interest in the assets material to the development and commercialization of tavapadon in the United States.</w:t>
      </w:r>
    </w:p>
    <w:p>
      <w:pPr>
        <w:sectPr>
          <w:pgSz w:w="11880" w:h="15480" w:orient="portrait"/>
          <w:cols w:equalWidth="0" w:num="1">
            <w:col w:w="9100"/>
          </w:cols>
          <w:pgMar w:left="1400" w:top="1030" w:right="1380" w:bottom="87" w:gutter="0" w:footer="0" w:header="0"/>
        </w:sectPr>
      </w:pPr>
    </w:p>
    <w:p>
      <w:pPr>
        <w:spacing w:after="0" w:line="252"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83</w:t>
      </w:r>
    </w:p>
    <w:p>
      <w:pPr>
        <w:sectPr>
          <w:pgSz w:w="11880" w:h="15480" w:orient="portrait"/>
          <w:cols w:equalWidth="0" w:num="1">
            <w:col w:w="9100"/>
          </w:cols>
          <w:pgMar w:left="1400" w:top="1030" w:right="1380" w:bottom="87" w:gutter="0" w:footer="0" w:header="0"/>
          <w:type w:val="continuous"/>
        </w:sectPr>
      </w:pPr>
    </w:p>
    <w:bookmarkStart w:id="89" w:name="page90"/>
    <w:bookmarkEnd w:id="89"/>
    <w:p>
      <w:pPr>
        <w:spacing w:after="0"/>
        <w:rPr>
          <w:sz w:val="20"/>
          <w:szCs w:val="20"/>
          <w:color w:val="auto"/>
        </w:rPr>
      </w:pPr>
      <w:r>
        <w:rPr>
          <w:rFonts w:ascii="Arial" w:cs="Arial" w:eastAsia="Arial" w:hAnsi="Arial"/>
          <w:sz w:val="20"/>
          <w:szCs w:val="20"/>
          <w:b w:val="1"/>
          <w:bCs w:val="1"/>
          <w:color w:val="000039"/>
        </w:rPr>
        <w:t>Short-Term Borrowings</w:t>
      </w:r>
    </w:p>
    <w:p>
      <w:pPr>
        <w:spacing w:after="0" w:line="131" w:lineRule="exact"/>
        <w:rPr>
          <w:sz w:val="20"/>
          <w:szCs w:val="20"/>
          <w:color w:val="auto"/>
        </w:rPr>
      </w:pPr>
    </w:p>
    <w:p>
      <w:pPr>
        <w:ind w:firstLine="359"/>
        <w:spacing w:after="0" w:line="250" w:lineRule="auto"/>
        <w:rPr>
          <w:sz w:val="20"/>
          <w:szCs w:val="20"/>
          <w:color w:val="auto"/>
        </w:rPr>
      </w:pPr>
      <w:r>
        <w:rPr>
          <w:rFonts w:ascii="Arial" w:cs="Arial" w:eastAsia="Arial" w:hAnsi="Arial"/>
          <w:sz w:val="20"/>
          <w:szCs w:val="20"/>
          <w:color w:val="auto"/>
        </w:rPr>
        <w:t>Short-term borrowings included commercial paper borrowings of $499 million as of December 31, 2025. There were no commercial paper borrowings outstanding as of December 31, 2024. The weighted average interest rate on commercial paper borrowings was 4.46% for the twelve months ended December 31, 2025 and 4.91% for the twelve months ended December 31, 2024.</w:t>
      </w:r>
    </w:p>
    <w:p>
      <w:pPr>
        <w:spacing w:after="0" w:line="115"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In April 2025, the company entered into a $4.0 billion 364-day term loan credit agreement. In May 2025, the company borrowed $2.0 billion under this term loan credit agreement which was outstanding and included in short-term borrowings on the consolidated balance sheet as of December 31, 2025. Borrowings under the term loan bear interest at adjusted SOFR +0.7%. The term loan may be prepaid without penalty upon prior notice and contains covenants, all of which the company was in compliance with as of December 31, 2025.</w:t>
      </w:r>
    </w:p>
    <w:p>
      <w:pPr>
        <w:spacing w:after="0" w:line="120" w:lineRule="exact"/>
        <w:rPr>
          <w:sz w:val="20"/>
          <w:szCs w:val="20"/>
          <w:color w:val="auto"/>
        </w:rPr>
      </w:pPr>
    </w:p>
    <w:p>
      <w:pPr>
        <w:ind w:firstLine="359"/>
        <w:spacing w:after="0" w:line="246" w:lineRule="auto"/>
        <w:rPr>
          <w:sz w:val="20"/>
          <w:szCs w:val="20"/>
          <w:color w:val="auto"/>
        </w:rPr>
      </w:pPr>
      <w:r>
        <w:rPr>
          <w:rFonts w:ascii="Arial" w:cs="Arial" w:eastAsia="Arial" w:hAnsi="Arial"/>
          <w:sz w:val="20"/>
          <w:szCs w:val="20"/>
          <w:color w:val="auto"/>
        </w:rPr>
        <w:t>In January 2025, AbbVie entered into a new $3.0 billion five-year revolving credit facility that matures in January 2030 which is in addition to the existing $5.0 billion five-year revolving credit facility that matures in March 2028. The revolving credit facilities are available to support AbbVie’s commercial paper program and enable the company to borrow funds to meet the liquidity requirements on an unsecured basis at variable interest rates and contain various covenants. At December 31, 2025, the company was in compliance with all covenants, and commitment fees under the revolving credit facilities were insignificant. No amounts were outstanding under the company’s revolving credit facilities as of December 31, 2025 and December 31, 2024.</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Contingencies and Guarantees</w:t>
      </w:r>
    </w:p>
    <w:p>
      <w:pPr>
        <w:spacing w:after="0" w:line="131" w:lineRule="exact"/>
        <w:rPr>
          <w:sz w:val="20"/>
          <w:szCs w:val="20"/>
          <w:color w:val="auto"/>
        </w:rPr>
      </w:pPr>
    </w:p>
    <w:p>
      <w:pPr>
        <w:ind w:firstLine="359"/>
        <w:spacing w:after="0" w:line="246" w:lineRule="auto"/>
        <w:rPr>
          <w:sz w:val="20"/>
          <w:szCs w:val="20"/>
          <w:color w:val="auto"/>
        </w:rPr>
      </w:pPr>
      <w:r>
        <w:rPr>
          <w:rFonts w:ascii="Arial" w:cs="Arial" w:eastAsia="Arial" w:hAnsi="Arial"/>
          <w:sz w:val="20"/>
          <w:szCs w:val="20"/>
          <w:color w:val="auto"/>
        </w:rPr>
        <w:t>In connection with the separation, AbbVie has indemnified Abbott for all liabilities resulting from the operation of AbbVie’s business other than income tax liabilities with respect to periods prior to the distribution date and other liabilities as agreed to by AbbVie and Abbott. AbbVie has no material exposures to off-balance sheet arrangements and no special-purpose entities. In the ordinary course of business, AbbVie has periodically entered into third-party agreements, such as the assignment of product rights, which have resulted in AbbVie becoming secondarily liable for obligations for which AbbVie had previously been primarily liable. Based upon past experience, the likelihood of payments under these agreements is remote.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11 Financial Instruments and Fair Value Measures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Risk Management Policy</w:t>
      </w:r>
    </w:p>
    <w:p>
      <w:pPr>
        <w:spacing w:after="0" w:line="131" w:lineRule="exact"/>
        <w:rPr>
          <w:sz w:val="20"/>
          <w:szCs w:val="20"/>
          <w:color w:val="auto"/>
        </w:rPr>
      </w:pPr>
    </w:p>
    <w:p>
      <w:pPr>
        <w:ind w:firstLine="359"/>
        <w:spacing w:after="0" w:line="247" w:lineRule="auto"/>
        <w:rPr>
          <w:sz w:val="20"/>
          <w:szCs w:val="20"/>
          <w:color w:val="auto"/>
        </w:rPr>
      </w:pPr>
      <w:r>
        <w:rPr>
          <w:rFonts w:ascii="Arial" w:cs="Arial" w:eastAsia="Arial" w:hAnsi="Arial"/>
          <w:sz w:val="20"/>
          <w:szCs w:val="20"/>
          <w:color w:val="auto"/>
        </w:rPr>
        <w:t>The company is exposed to foreign currency exchange rate and interest rate risks related to its business operations. AbbVie’s hedging policy attempts to manage these risks to an acceptable level based on the company’s judgment of the appropriate trade-off between risk, opportunity and costs. The company uses derivative and nonderivative instruments to reduce its exposure to foreign currency exchange rates. AbbVie also periodically enters into interest rate swaps in which the company agrees to exchange, at specified intervals, the difference between fixed and floating interest amounts calculated by reference to an agreed-upon notional amount. Derivative instruments are not used for trading purposes or to manage exposure to changes in interest rates for investment securities, and none of the company’s outstanding derivative instruments contain credit risk related contingent features; collateral is generally not required.</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Financial Instruments</w:t>
      </w:r>
    </w:p>
    <w:p>
      <w:pPr>
        <w:spacing w:after="0" w:line="131" w:lineRule="exact"/>
        <w:rPr>
          <w:sz w:val="20"/>
          <w:szCs w:val="20"/>
          <w:color w:val="auto"/>
        </w:rPr>
      </w:pPr>
    </w:p>
    <w:p>
      <w:pPr>
        <w:ind w:right="20" w:firstLine="359"/>
        <w:spacing w:after="0" w:line="248" w:lineRule="auto"/>
        <w:rPr>
          <w:sz w:val="20"/>
          <w:szCs w:val="20"/>
          <w:color w:val="auto"/>
        </w:rPr>
      </w:pPr>
      <w:r>
        <w:rPr>
          <w:rFonts w:ascii="Arial" w:cs="Arial" w:eastAsia="Arial" w:hAnsi="Arial"/>
          <w:sz w:val="20"/>
          <w:szCs w:val="20"/>
          <w:color w:val="auto"/>
        </w:rPr>
        <w:t>Various AbbVie foreign subsidiaries enter into foreign currency forward exchange contracts to manage exposures to changes in foreign exchange rates for anticipated intercompany transactions denominated in a currency other than the functional currency of the local entity. These contracts, with notional amounts totaling $2.5 billion at December 31, 2025 and $1.9 billion at December 31, 2024, are designated as cash flow hedges and are recorded at fair value. The durations of these forward exchange contracts were generally less than 24 months. Accumulated gains and losses as of December 31, 2025 are reclassified from AOCI and included in cost of products sold at the time the products are sold, generally not exceeding six months from the date of settlement.</w:t>
      </w:r>
    </w:p>
    <w:p>
      <w:pPr>
        <w:sectPr>
          <w:pgSz w:w="11880" w:h="15480" w:orient="portrait"/>
          <w:cols w:equalWidth="0" w:num="1">
            <w:col w:w="9100"/>
          </w:cols>
          <w:pgMar w:left="1400" w:top="1028" w:right="1380" w:bottom="75"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sz w:val="1"/>
          <w:szCs w:val="1"/>
          <w:color w:val="auto"/>
        </w:rPr>
        <w:drawing>
          <wp:inline distT="0" distB="0" distL="0" distR="0">
            <wp:extent cx="615950" cy="12827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8" w:right="1380" w:bottom="75" w:gutter="0" w:footer="0" w:header="0"/>
          <w:type w:val="continuous"/>
        </w:sectPr>
      </w:pPr>
    </w:p>
    <w:bookmarkStart w:id="90" w:name="page91"/>
    <w:bookmarkEnd w:id="90"/>
    <w:p>
      <w:pPr>
        <w:ind w:right="20" w:firstLine="359"/>
        <w:spacing w:after="0" w:line="269" w:lineRule="auto"/>
        <w:rPr>
          <w:sz w:val="20"/>
          <w:szCs w:val="20"/>
          <w:color w:val="auto"/>
        </w:rPr>
      </w:pPr>
      <w:r>
        <w:rPr>
          <w:rFonts w:ascii="Arial" w:cs="Arial" w:eastAsia="Arial" w:hAnsi="Arial"/>
          <w:sz w:val="19"/>
          <w:szCs w:val="19"/>
          <w:color w:val="auto"/>
        </w:rPr>
        <w:t>The company also enters into foreign currency forward exchange contracts to manage its exposure to foreign currency denominated debt, trade payables, receivables and intercompany loans. These contracts are not designated as hedges and are recorded at fair value. Resulting gains or losses are recognized in net foreign exchange loss in the consolidated statements of earnings and are generally offset by losses or gains on the foreign currency exposure being managed. These contracts had notional amounts totaling $9.2 billion at December 31, 2025 and $5.9 billion at December 31, 2024.</w:t>
      </w:r>
    </w:p>
    <w:p>
      <w:pPr>
        <w:spacing w:after="0" w:line="107"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color w:val="auto"/>
        </w:rPr>
        <w:t>The company also uses foreign currency forward exchange contracts or foreign currency denominated debt to hedge its net investments in certain foreign subsidiaries and affiliates. The company had an aggregate principal amount of senior Euro notes designated as net investment hedges of €3.1 billion at December 31, 2025 and December 31, 2024. In addition, the company had foreign currency forward exchange contracts designated as net investment hedges with notional amounts totaling €6.5 billion, SEK1.4 billion, CAD500 million and CHF80 million at December 31, 2025 and €6.2 billion, SEK1.4 billion, CAD500 million and CHF50 million at December 31, 2024. The company uses the spot method of assessing hedge effectiveness for derivative instruments designated as net investment hedges. Realized and unrealized gains and losses from these hedges are included in AOCI and the initial fair value of hedge components excluded from the assessment of effectiveness is recognized in interest expense, net over the life of the hedging instrument.</w:t>
      </w:r>
    </w:p>
    <w:p>
      <w:pPr>
        <w:spacing w:after="0" w:line="128" w:lineRule="exact"/>
        <w:rPr>
          <w:sz w:val="20"/>
          <w:szCs w:val="20"/>
          <w:color w:val="auto"/>
        </w:rPr>
      </w:pPr>
    </w:p>
    <w:p>
      <w:pPr>
        <w:ind w:right="100" w:firstLine="359"/>
        <w:spacing w:after="0" w:line="254" w:lineRule="auto"/>
        <w:rPr>
          <w:sz w:val="20"/>
          <w:szCs w:val="20"/>
          <w:color w:val="auto"/>
        </w:rPr>
      </w:pPr>
      <w:r>
        <w:rPr>
          <w:rFonts w:ascii="Arial" w:cs="Arial" w:eastAsia="Arial" w:hAnsi="Arial"/>
          <w:sz w:val="20"/>
          <w:szCs w:val="20"/>
          <w:color w:val="auto"/>
        </w:rPr>
        <w:t>The company is a party to interest rate swap contracts designated as fair value hedges with notional amounts totaling $1.8 billion at December 31, 2025 and $3.5 billion at December 31, 2024. The effect of the hedge contracts is to change a fixed-rate interest obligation to a floating rate for that portion of the debt. AbbVie records the contracts at fair value and adjusts the carrying amount of the fixed-rate debt by an offsetting amount.</w:t>
      </w:r>
    </w:p>
    <w:p>
      <w:pPr>
        <w:spacing w:after="0" w:line="120" w:lineRule="exact"/>
        <w:rPr>
          <w:sz w:val="20"/>
          <w:szCs w:val="20"/>
          <w:color w:val="auto"/>
        </w:rPr>
      </w:pPr>
    </w:p>
    <w:p>
      <w:pPr>
        <w:ind w:right="140" w:firstLine="359"/>
        <w:spacing w:after="0" w:line="269" w:lineRule="auto"/>
        <w:rPr>
          <w:sz w:val="20"/>
          <w:szCs w:val="20"/>
          <w:color w:val="auto"/>
        </w:rPr>
      </w:pPr>
      <w:r>
        <w:rPr>
          <w:rFonts w:ascii="Arial" w:cs="Arial" w:eastAsia="Arial" w:hAnsi="Arial"/>
          <w:sz w:val="20"/>
          <w:szCs w:val="20"/>
          <w:color w:val="auto"/>
        </w:rPr>
        <w:t>No amounts are excluded from the assessment of effectiveness for cash flow hedges or fair value hedges.</w:t>
      </w:r>
    </w:p>
    <w:p>
      <w:pPr>
        <w:spacing w:after="0" w:line="103" w:lineRule="exact"/>
        <w:rPr>
          <w:sz w:val="20"/>
          <w:szCs w:val="20"/>
          <w:color w:val="auto"/>
        </w:rPr>
      </w:pPr>
    </w:p>
    <w:p>
      <w:pPr>
        <w:ind w:right="320" w:firstLine="359"/>
        <w:spacing w:after="0" w:line="269" w:lineRule="auto"/>
        <w:rPr>
          <w:sz w:val="20"/>
          <w:szCs w:val="20"/>
          <w:color w:val="auto"/>
        </w:rPr>
      </w:pPr>
      <w:r>
        <w:rPr>
          <w:rFonts w:ascii="Arial" w:cs="Arial" w:eastAsia="Arial" w:hAnsi="Arial"/>
          <w:sz w:val="20"/>
          <w:szCs w:val="20"/>
          <w:color w:val="auto"/>
        </w:rPr>
        <w:t>The following table summarizes the amounts and location of AbbVie’s derivative instruments on the consolidated balance sheets: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Fair value—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6"/>
              </w:rPr>
              <w:t>Fair value—</w:t>
            </w:r>
          </w:p>
        </w:tc>
      </w:tr>
      <w:tr>
        <w:trPr>
          <w:trHeight w:val="197"/>
        </w:trPr>
        <w:tc>
          <w:tcPr>
            <w:tcW w:w="3440" w:type="dxa"/>
            <w:vAlign w:val="bottom"/>
          </w:tcPr>
          <w:p>
            <w:pPr>
              <w:spacing w:after="0"/>
              <w:rPr>
                <w:sz w:val="17"/>
                <w:szCs w:val="17"/>
                <w:color w:val="auto"/>
              </w:rPr>
            </w:pPr>
          </w:p>
        </w:tc>
        <w:tc>
          <w:tcPr>
            <w:tcW w:w="2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Derivatives in asset position</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8"/>
              </w:rPr>
              <w:t>Derivatives in liability position</w:t>
            </w:r>
          </w:p>
        </w:tc>
      </w:tr>
      <w:tr>
        <w:trPr>
          <w:trHeight w:val="22"/>
        </w:trPr>
        <w:tc>
          <w:tcPr>
            <w:tcW w:w="344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2940" w:type="dxa"/>
            <w:vAlign w:val="bottom"/>
            <w:gridSpan w:val="2"/>
          </w:tcPr>
          <w:p>
            <w:pPr>
              <w:ind w:left="160"/>
              <w:spacing w:after="0"/>
              <w:rPr>
                <w:sz w:val="20"/>
                <w:szCs w:val="20"/>
                <w:color w:val="auto"/>
              </w:rPr>
            </w:pPr>
            <w:r>
              <w:rPr>
                <w:rFonts w:ascii="Arial" w:cs="Arial" w:eastAsia="Arial" w:hAnsi="Arial"/>
                <w:sz w:val="16"/>
                <w:szCs w:val="16"/>
                <w:b w:val="1"/>
                <w:bCs w:val="1"/>
                <w:color w:val="auto"/>
              </w:rPr>
              <w:t>Balance sheet caption   2025 2024</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Balance sheet caption  2025 2024</w:t>
            </w:r>
          </w:p>
        </w:tc>
      </w:tr>
      <w:tr>
        <w:trPr>
          <w:trHeight w:val="22"/>
        </w:trPr>
        <w:tc>
          <w:tcPr>
            <w:tcW w:w="34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ectPr>
          <w:pgSz w:w="11880" w:h="15480" w:orient="portrait"/>
          <w:cols w:equalWidth="0" w:num="1">
            <w:col w:w="9100"/>
          </w:cols>
          <w:pgMar w:left="1400" w:top="1030" w:right="1380" w:bottom="87" w:gutter="0" w:footer="0" w:header="0"/>
        </w:sectPr>
      </w:pPr>
    </w:p>
    <w:p>
      <w:pPr>
        <w:ind w:left="140" w:hanging="159"/>
        <w:spacing w:after="0" w:line="344" w:lineRule="auto"/>
        <w:rPr>
          <w:sz w:val="20"/>
          <w:szCs w:val="20"/>
          <w:color w:val="auto"/>
        </w:rPr>
      </w:pPr>
      <w:r>
        <w:rPr>
          <w:rFonts w:ascii="Arial" w:cs="Arial" w:eastAsia="Arial" w:hAnsi="Arial"/>
          <w:sz w:val="16"/>
          <w:szCs w:val="16"/>
          <w:color w:val="auto"/>
        </w:rPr>
        <w:t>Foreign currency forward exchange contracts Designated as cash flow hedges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460" w:type="dxa"/>
            <w:vAlign w:val="bottom"/>
          </w:tcPr>
          <w:p>
            <w:pPr>
              <w:spacing w:after="0"/>
              <w:rPr>
                <w:sz w:val="20"/>
                <w:szCs w:val="20"/>
                <w:color w:val="auto"/>
              </w:rPr>
            </w:pPr>
            <w:r>
              <w:rPr>
                <w:rFonts w:ascii="Arial" w:cs="Arial" w:eastAsia="Arial" w:hAnsi="Arial"/>
                <w:sz w:val="16"/>
                <w:szCs w:val="16"/>
                <w:color w:val="auto"/>
              </w:rPr>
              <w:t>Prepaid expenses and other  $35</w:t>
            </w: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$119</w:t>
            </w:r>
          </w:p>
        </w:tc>
        <w:tc>
          <w:tcPr>
            <w:tcW w:w="1760" w:type="dxa"/>
            <w:vAlign w:val="bottom"/>
          </w:tcPr>
          <w:p>
            <w:pPr>
              <w:jc w:val="right"/>
              <w:spacing w:after="0"/>
              <w:rPr>
                <w:sz w:val="20"/>
                <w:szCs w:val="20"/>
                <w:color w:val="auto"/>
              </w:rPr>
            </w:pPr>
            <w:r>
              <w:rPr>
                <w:rFonts w:ascii="Arial" w:cs="Arial" w:eastAsia="Arial" w:hAnsi="Arial"/>
                <w:sz w:val="16"/>
                <w:szCs w:val="16"/>
                <w:color w:val="auto"/>
              </w:rPr>
              <w:t>Accounts payable and</w:t>
            </w:r>
          </w:p>
        </w:tc>
        <w:tc>
          <w:tcPr>
            <w:tcW w:w="460" w:type="dxa"/>
            <w:vAlign w:val="bottom"/>
          </w:tcPr>
          <w:p>
            <w:pPr>
              <w:jc w:val="right"/>
              <w:spacing w:after="0"/>
              <w:rPr>
                <w:sz w:val="20"/>
                <w:szCs w:val="20"/>
                <w:color w:val="auto"/>
              </w:rPr>
            </w:pPr>
            <w:r>
              <w:rPr>
                <w:rFonts w:ascii="Arial" w:cs="Arial" w:eastAsia="Arial" w:hAnsi="Arial"/>
                <w:sz w:val="16"/>
                <w:szCs w:val="16"/>
                <w:color w:val="auto"/>
              </w:rPr>
              <w:t>$ 51</w:t>
            </w:r>
          </w:p>
        </w:tc>
        <w:tc>
          <w:tcPr>
            <w:tcW w:w="400" w:type="dxa"/>
            <w:vAlign w:val="bottom"/>
          </w:tcPr>
          <w:p>
            <w:pPr>
              <w:jc w:val="right"/>
              <w:spacing w:after="0"/>
              <w:rPr>
                <w:sz w:val="20"/>
                <w:szCs w:val="20"/>
                <w:color w:val="auto"/>
              </w:rPr>
            </w:pPr>
            <w:r>
              <w:rPr>
                <w:rFonts w:ascii="Arial" w:cs="Arial" w:eastAsia="Arial" w:hAnsi="Arial"/>
                <w:sz w:val="16"/>
                <w:szCs w:val="16"/>
                <w:color w:val="auto"/>
              </w:rPr>
              <w:t>$  5</w:t>
            </w:r>
          </w:p>
        </w:tc>
      </w:tr>
      <w:tr>
        <w:trPr>
          <w:trHeight w:val="197"/>
        </w:trPr>
        <w:tc>
          <w:tcPr>
            <w:tcW w:w="2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accrued liabilities</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r>
    </w:tbl>
    <w:p>
      <w:pPr>
        <w:spacing w:after="0" w:line="54" w:lineRule="exact"/>
        <w:rPr>
          <w:sz w:val="20"/>
          <w:szCs w:val="20"/>
          <w:color w:val="auto"/>
        </w:rPr>
      </w:pPr>
    </w:p>
    <w:p>
      <w:pPr>
        <w:sectPr>
          <w:pgSz w:w="11880" w:h="15480" w:orient="portrait"/>
          <w:cols w:equalWidth="0" w:num="2">
            <w:col w:w="3180" w:space="280"/>
            <w:col w:w="5640"/>
          </w:cols>
          <w:pgMar w:left="1400" w:top="1030" w:right="1380" w:bottom="87"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3140" w:type="dxa"/>
            <w:vAlign w:val="bottom"/>
          </w:tcPr>
          <w:p>
            <w:pPr>
              <w:ind w:left="140"/>
              <w:spacing w:after="0"/>
              <w:rPr>
                <w:sz w:val="20"/>
                <w:szCs w:val="20"/>
                <w:color w:val="auto"/>
              </w:rPr>
            </w:pPr>
            <w:r>
              <w:rPr>
                <w:rFonts w:ascii="Arial" w:cs="Arial" w:eastAsia="Arial" w:hAnsi="Arial"/>
                <w:sz w:val="16"/>
                <w:szCs w:val="16"/>
                <w:color w:val="auto"/>
              </w:rPr>
              <w:t>Designated as cash flow hedges</w:t>
            </w:r>
          </w:p>
        </w:tc>
        <w:tc>
          <w:tcPr>
            <w:tcW w:w="2380" w:type="dxa"/>
            <w:vAlign w:val="bottom"/>
          </w:tcPr>
          <w:p>
            <w:pPr>
              <w:jc w:val="right"/>
              <w:spacing w:after="0"/>
              <w:rPr>
                <w:sz w:val="20"/>
                <w:szCs w:val="20"/>
                <w:color w:val="auto"/>
              </w:rPr>
            </w:pPr>
            <w:r>
              <w:rPr>
                <w:rFonts w:ascii="Arial" w:cs="Arial" w:eastAsia="Arial" w:hAnsi="Arial"/>
                <w:sz w:val="16"/>
                <w:szCs w:val="16"/>
                <w:color w:val="auto"/>
              </w:rPr>
              <w:t>Other assets</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Other long-term liabilities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3140" w:type="dxa"/>
            <w:vAlign w:val="bottom"/>
          </w:tcPr>
          <w:p>
            <w:pPr>
              <w:ind w:left="140"/>
              <w:spacing w:after="0"/>
              <w:rPr>
                <w:sz w:val="20"/>
                <w:szCs w:val="20"/>
                <w:color w:val="auto"/>
              </w:rPr>
            </w:pPr>
            <w:r>
              <w:rPr>
                <w:rFonts w:ascii="Arial" w:cs="Arial" w:eastAsia="Arial" w:hAnsi="Arial"/>
                <w:sz w:val="16"/>
                <w:szCs w:val="16"/>
                <w:color w:val="auto"/>
              </w:rPr>
              <w:t>Designated as net investment hedges</w:t>
            </w:r>
          </w:p>
        </w:tc>
        <w:tc>
          <w:tcPr>
            <w:tcW w:w="2380" w:type="dxa"/>
            <w:vAlign w:val="bottom"/>
          </w:tcPr>
          <w:p>
            <w:pPr>
              <w:jc w:val="right"/>
              <w:spacing w:after="0"/>
              <w:rPr>
                <w:sz w:val="20"/>
                <w:szCs w:val="20"/>
                <w:color w:val="auto"/>
              </w:rPr>
            </w:pPr>
            <w:r>
              <w:rPr>
                <w:rFonts w:ascii="Arial" w:cs="Arial" w:eastAsia="Arial" w:hAnsi="Arial"/>
                <w:sz w:val="16"/>
                <w:szCs w:val="16"/>
                <w:color w:val="auto"/>
              </w:rPr>
              <w:t>Prepaid expenses and other</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860" w:type="dxa"/>
            <w:vAlign w:val="bottom"/>
          </w:tcPr>
          <w:p>
            <w:pPr>
              <w:jc w:val="right"/>
              <w:spacing w:after="0"/>
              <w:rPr>
                <w:sz w:val="20"/>
                <w:szCs w:val="20"/>
                <w:color w:val="auto"/>
              </w:rPr>
            </w:pPr>
            <w:r>
              <w:rPr>
                <w:rFonts w:ascii="Arial" w:cs="Arial" w:eastAsia="Arial" w:hAnsi="Arial"/>
                <w:sz w:val="16"/>
                <w:szCs w:val="16"/>
                <w:color w:val="auto"/>
              </w:rPr>
              <w:t>Accounts payable and</w:t>
            </w:r>
          </w:p>
        </w:tc>
        <w:tc>
          <w:tcPr>
            <w:tcW w:w="460" w:type="dxa"/>
            <w:vAlign w:val="bottom"/>
          </w:tcPr>
          <w:p>
            <w:pPr>
              <w:jc w:val="right"/>
              <w:spacing w:after="0"/>
              <w:rPr>
                <w:sz w:val="20"/>
                <w:szCs w:val="20"/>
                <w:color w:val="auto"/>
              </w:rPr>
            </w:pPr>
            <w:r>
              <w:rPr>
                <w:rFonts w:ascii="Arial" w:cs="Arial" w:eastAsia="Arial" w:hAnsi="Arial"/>
                <w:sz w:val="16"/>
                <w:szCs w:val="16"/>
                <w:color w:val="auto"/>
              </w:rPr>
              <w:t>220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3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accrued liabilities</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1"/>
        </w:trPr>
        <w:tc>
          <w:tcPr>
            <w:tcW w:w="3140" w:type="dxa"/>
            <w:vAlign w:val="bottom"/>
          </w:tcPr>
          <w:p>
            <w:pPr>
              <w:ind w:left="140"/>
              <w:spacing w:after="0"/>
              <w:rPr>
                <w:sz w:val="20"/>
                <w:szCs w:val="20"/>
                <w:color w:val="auto"/>
              </w:rPr>
            </w:pPr>
            <w:r>
              <w:rPr>
                <w:rFonts w:ascii="Arial" w:cs="Arial" w:eastAsia="Arial" w:hAnsi="Arial"/>
                <w:sz w:val="16"/>
                <w:szCs w:val="16"/>
                <w:color w:val="auto"/>
              </w:rPr>
              <w:t>Designated as net investment hedges</w:t>
            </w:r>
          </w:p>
        </w:tc>
        <w:tc>
          <w:tcPr>
            <w:tcW w:w="2380" w:type="dxa"/>
            <w:vAlign w:val="bottom"/>
          </w:tcPr>
          <w:p>
            <w:pPr>
              <w:jc w:val="right"/>
              <w:spacing w:after="0"/>
              <w:rPr>
                <w:sz w:val="20"/>
                <w:szCs w:val="20"/>
                <w:color w:val="auto"/>
              </w:rPr>
            </w:pPr>
            <w:r>
              <w:rPr>
                <w:rFonts w:ascii="Arial" w:cs="Arial" w:eastAsia="Arial" w:hAnsi="Arial"/>
                <w:sz w:val="16"/>
                <w:szCs w:val="16"/>
                <w:color w:val="auto"/>
              </w:rPr>
              <w:t>Other assets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1860" w:type="dxa"/>
            <w:vAlign w:val="bottom"/>
          </w:tcPr>
          <w:p>
            <w:pPr>
              <w:jc w:val="right"/>
              <w:spacing w:after="0"/>
              <w:rPr>
                <w:sz w:val="20"/>
                <w:szCs w:val="20"/>
                <w:color w:val="auto"/>
              </w:rPr>
            </w:pPr>
            <w:r>
              <w:rPr>
                <w:rFonts w:ascii="Arial" w:cs="Arial" w:eastAsia="Arial" w:hAnsi="Arial"/>
                <w:sz w:val="16"/>
                <w:szCs w:val="16"/>
                <w:color w:val="auto"/>
              </w:rPr>
              <w:t>Other long-term liabilities</w:t>
            </w:r>
          </w:p>
        </w:tc>
        <w:tc>
          <w:tcPr>
            <w:tcW w:w="460" w:type="dxa"/>
            <w:vAlign w:val="bottom"/>
          </w:tcPr>
          <w:p>
            <w:pPr>
              <w:jc w:val="right"/>
              <w:spacing w:after="0"/>
              <w:rPr>
                <w:sz w:val="20"/>
                <w:szCs w:val="20"/>
                <w:color w:val="auto"/>
              </w:rPr>
            </w:pPr>
            <w:r>
              <w:rPr>
                <w:rFonts w:ascii="Arial" w:cs="Arial" w:eastAsia="Arial" w:hAnsi="Arial"/>
                <w:sz w:val="16"/>
                <w:szCs w:val="16"/>
                <w:color w:val="auto"/>
              </w:rPr>
              <w:t>228</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3140" w:type="dxa"/>
            <w:vAlign w:val="bottom"/>
          </w:tcPr>
          <w:p>
            <w:pPr>
              <w:ind w:left="140"/>
              <w:spacing w:after="0"/>
              <w:rPr>
                <w:sz w:val="20"/>
                <w:szCs w:val="20"/>
                <w:color w:val="auto"/>
              </w:rPr>
            </w:pPr>
            <w:r>
              <w:rPr>
                <w:rFonts w:ascii="Arial" w:cs="Arial" w:eastAsia="Arial" w:hAnsi="Arial"/>
                <w:sz w:val="16"/>
                <w:szCs w:val="16"/>
                <w:color w:val="auto"/>
              </w:rPr>
              <w:t>Not designated as hedges</w:t>
            </w:r>
          </w:p>
        </w:tc>
        <w:tc>
          <w:tcPr>
            <w:tcW w:w="2380" w:type="dxa"/>
            <w:vAlign w:val="bottom"/>
          </w:tcPr>
          <w:p>
            <w:pPr>
              <w:jc w:val="right"/>
              <w:spacing w:after="0"/>
              <w:rPr>
                <w:sz w:val="20"/>
                <w:szCs w:val="20"/>
                <w:color w:val="auto"/>
              </w:rPr>
            </w:pPr>
            <w:r>
              <w:rPr>
                <w:rFonts w:ascii="Arial" w:cs="Arial" w:eastAsia="Arial" w:hAnsi="Arial"/>
                <w:sz w:val="16"/>
                <w:szCs w:val="16"/>
                <w:color w:val="auto"/>
              </w:rPr>
              <w:t>Prepaid expenses and other</w:t>
            </w: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460" w:type="dxa"/>
            <w:vAlign w:val="bottom"/>
          </w:tcPr>
          <w:p>
            <w:pPr>
              <w:jc w:val="right"/>
              <w:spacing w:after="0"/>
              <w:rPr>
                <w:sz w:val="20"/>
                <w:szCs w:val="20"/>
                <w:color w:val="auto"/>
              </w:rPr>
            </w:pPr>
            <w:r>
              <w:rPr>
                <w:rFonts w:ascii="Arial" w:cs="Arial" w:eastAsia="Arial" w:hAnsi="Arial"/>
                <w:sz w:val="16"/>
                <w:szCs w:val="16"/>
                <w:color w:val="auto"/>
              </w:rPr>
              <w:t>42</w:t>
            </w:r>
          </w:p>
        </w:tc>
        <w:tc>
          <w:tcPr>
            <w:tcW w:w="1860" w:type="dxa"/>
            <w:vAlign w:val="bottom"/>
          </w:tcPr>
          <w:p>
            <w:pPr>
              <w:jc w:val="right"/>
              <w:spacing w:after="0"/>
              <w:rPr>
                <w:sz w:val="20"/>
                <w:szCs w:val="20"/>
                <w:color w:val="auto"/>
              </w:rPr>
            </w:pPr>
            <w:r>
              <w:rPr>
                <w:rFonts w:ascii="Arial" w:cs="Arial" w:eastAsia="Arial" w:hAnsi="Arial"/>
                <w:sz w:val="16"/>
                <w:szCs w:val="16"/>
                <w:color w:val="auto"/>
              </w:rPr>
              <w:t>Accounts payable and</w:t>
            </w: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7"/>
        </w:trPr>
        <w:tc>
          <w:tcPr>
            <w:tcW w:w="3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accrued liabilities</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1"/>
        </w:trPr>
        <w:tc>
          <w:tcPr>
            <w:tcW w:w="3140" w:type="dxa"/>
            <w:vAlign w:val="bottom"/>
          </w:tcPr>
          <w:p>
            <w:pPr>
              <w:spacing w:after="0"/>
              <w:rPr>
                <w:sz w:val="20"/>
                <w:szCs w:val="20"/>
                <w:color w:val="auto"/>
              </w:rPr>
            </w:pPr>
            <w:r>
              <w:rPr>
                <w:rFonts w:ascii="Arial" w:cs="Arial" w:eastAsia="Arial" w:hAnsi="Arial"/>
                <w:sz w:val="16"/>
                <w:szCs w:val="16"/>
                <w:color w:val="auto"/>
              </w:rPr>
              <w:t>Interest rate swap contracts</w:t>
            </w:r>
          </w:p>
        </w:tc>
        <w:tc>
          <w:tcPr>
            <w:tcW w:w="2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6"/>
        </w:trPr>
        <w:tc>
          <w:tcPr>
            <w:tcW w:w="3140" w:type="dxa"/>
            <w:vAlign w:val="bottom"/>
          </w:tcPr>
          <w:p>
            <w:pPr>
              <w:ind w:left="140"/>
              <w:spacing w:after="0"/>
              <w:rPr>
                <w:sz w:val="20"/>
                <w:szCs w:val="20"/>
                <w:color w:val="auto"/>
              </w:rPr>
            </w:pPr>
            <w:r>
              <w:rPr>
                <w:rFonts w:ascii="Arial" w:cs="Arial" w:eastAsia="Arial" w:hAnsi="Arial"/>
                <w:sz w:val="16"/>
                <w:szCs w:val="16"/>
                <w:color w:val="auto"/>
              </w:rPr>
              <w:t>Designated as fair value hedges</w:t>
            </w:r>
          </w:p>
        </w:tc>
        <w:tc>
          <w:tcPr>
            <w:tcW w:w="2380" w:type="dxa"/>
            <w:vAlign w:val="bottom"/>
          </w:tcPr>
          <w:p>
            <w:pPr>
              <w:jc w:val="right"/>
              <w:spacing w:after="0"/>
              <w:rPr>
                <w:sz w:val="20"/>
                <w:szCs w:val="20"/>
                <w:color w:val="auto"/>
              </w:rPr>
            </w:pPr>
            <w:r>
              <w:rPr>
                <w:rFonts w:ascii="Arial" w:cs="Arial" w:eastAsia="Arial" w:hAnsi="Arial"/>
                <w:sz w:val="16"/>
                <w:szCs w:val="16"/>
                <w:color w:val="auto"/>
              </w:rPr>
              <w:t>Prepaid expenses and other</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Accounts payable and</w:t>
            </w:r>
          </w:p>
        </w:tc>
        <w:tc>
          <w:tcPr>
            <w:tcW w:w="460" w:type="dxa"/>
            <w:vAlign w:val="bottom"/>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3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accrued liabilities</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1"/>
        </w:trPr>
        <w:tc>
          <w:tcPr>
            <w:tcW w:w="3140" w:type="dxa"/>
            <w:vAlign w:val="bottom"/>
          </w:tcPr>
          <w:p>
            <w:pPr>
              <w:ind w:left="140"/>
              <w:spacing w:after="0"/>
              <w:rPr>
                <w:sz w:val="20"/>
                <w:szCs w:val="20"/>
                <w:color w:val="auto"/>
              </w:rPr>
            </w:pPr>
            <w:r>
              <w:rPr>
                <w:rFonts w:ascii="Arial" w:cs="Arial" w:eastAsia="Arial" w:hAnsi="Arial"/>
                <w:sz w:val="16"/>
                <w:szCs w:val="16"/>
                <w:color w:val="auto"/>
              </w:rPr>
              <w:t>Designated as fair value hedges</w:t>
            </w:r>
          </w:p>
        </w:tc>
        <w:tc>
          <w:tcPr>
            <w:tcW w:w="2380" w:type="dxa"/>
            <w:vAlign w:val="bottom"/>
          </w:tcPr>
          <w:p>
            <w:pPr>
              <w:jc w:val="right"/>
              <w:spacing w:after="0"/>
              <w:rPr>
                <w:sz w:val="20"/>
                <w:szCs w:val="20"/>
                <w:color w:val="auto"/>
              </w:rPr>
            </w:pPr>
            <w:r>
              <w:rPr>
                <w:rFonts w:ascii="Arial" w:cs="Arial" w:eastAsia="Arial" w:hAnsi="Arial"/>
                <w:sz w:val="16"/>
                <w:szCs w:val="16"/>
                <w:color w:val="auto"/>
              </w:rPr>
              <w:t>Other assets</w:t>
            </w: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Other long-term liabilities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21"/>
        </w:trPr>
        <w:tc>
          <w:tcPr>
            <w:tcW w:w="3140" w:type="dxa"/>
            <w:vAlign w:val="bottom"/>
          </w:tcPr>
          <w:p>
            <w:pPr>
              <w:spacing w:after="0"/>
              <w:rPr>
                <w:sz w:val="20"/>
                <w:szCs w:val="20"/>
                <w:color w:val="auto"/>
              </w:rPr>
            </w:pPr>
            <w:r>
              <w:rPr>
                <w:rFonts w:ascii="Arial" w:cs="Arial" w:eastAsia="Arial" w:hAnsi="Arial"/>
                <w:sz w:val="16"/>
                <w:szCs w:val="16"/>
                <w:color w:val="auto"/>
              </w:rPr>
              <w:t>Total derivatives</w:t>
            </w:r>
          </w:p>
        </w:tc>
        <w:tc>
          <w:tcPr>
            <w:tcW w:w="2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$91</w:t>
            </w:r>
          </w:p>
        </w:tc>
        <w:tc>
          <w:tcPr>
            <w:tcW w:w="460" w:type="dxa"/>
            <w:vAlign w:val="bottom"/>
          </w:tcPr>
          <w:p>
            <w:pPr>
              <w:jc w:val="right"/>
              <w:spacing w:after="0"/>
              <w:rPr>
                <w:sz w:val="20"/>
                <w:szCs w:val="20"/>
                <w:color w:val="auto"/>
              </w:rPr>
            </w:pPr>
            <w:r>
              <w:rPr>
                <w:rFonts w:ascii="Arial" w:cs="Arial" w:eastAsia="Arial" w:hAnsi="Arial"/>
                <w:sz w:val="16"/>
                <w:szCs w:val="16"/>
                <w:color w:val="auto"/>
              </w:rPr>
              <w:t>$313</w:t>
            </w:r>
          </w:p>
        </w:tc>
        <w:tc>
          <w:tcPr>
            <w:tcW w:w="1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$540</w:t>
            </w:r>
          </w:p>
        </w:tc>
        <w:tc>
          <w:tcPr>
            <w:tcW w:w="40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260" w:firstLine="359"/>
        <w:spacing w:after="0" w:line="295" w:lineRule="auto"/>
        <w:rPr>
          <w:sz w:val="20"/>
          <w:szCs w:val="20"/>
          <w:color w:val="auto"/>
        </w:rPr>
      </w:pPr>
      <w:r>
        <w:rPr>
          <w:rFonts w:ascii="Arial" w:cs="Arial" w:eastAsia="Arial" w:hAnsi="Arial"/>
          <w:sz w:val="19"/>
          <w:szCs w:val="19"/>
          <w:color w:val="auto"/>
        </w:rPr>
        <w:t>While certain derivatives are subject to netting arrangements with the company’s counterparties, the company does not offset derivative assets and liabilities within the consolidated balance sheets.</w:t>
      </w:r>
    </w:p>
    <w:p>
      <w:pPr>
        <w:sectPr>
          <w:pgSz w:w="11880" w:h="15480" w:orient="portrait"/>
          <w:cols w:equalWidth="0" w:num="1">
            <w:col w:w="9100"/>
          </w:cols>
          <w:pgMar w:left="1400" w:top="1030" w:right="1380" w:bottom="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85</w:t>
      </w:r>
    </w:p>
    <w:p>
      <w:pPr>
        <w:sectPr>
          <w:pgSz w:w="11880" w:h="15480" w:orient="portrait"/>
          <w:cols w:equalWidth="0" w:num="1">
            <w:col w:w="9100"/>
          </w:cols>
          <w:pgMar w:left="1400" w:top="1030" w:right="1380" w:bottom="87" w:gutter="0" w:footer="0" w:header="0"/>
          <w:type w:val="continuous"/>
        </w:sectPr>
      </w:pPr>
    </w:p>
    <w:bookmarkStart w:id="91" w:name="page92"/>
    <w:bookmarkEnd w:id="91"/>
    <w:p>
      <w:pPr>
        <w:ind w:right="520" w:firstLine="359"/>
        <w:spacing w:after="0" w:line="269" w:lineRule="auto"/>
        <w:rPr>
          <w:sz w:val="20"/>
          <w:szCs w:val="20"/>
          <w:color w:val="auto"/>
        </w:rPr>
      </w:pPr>
      <w:r>
        <w:rPr>
          <w:rFonts w:ascii="Arial" w:cs="Arial" w:eastAsia="Arial" w:hAnsi="Arial"/>
          <w:sz w:val="20"/>
          <w:szCs w:val="20"/>
          <w:color w:val="auto"/>
        </w:rPr>
        <w:t>The following table presents the pre-tax amounts of gains (losses) from derivative instruments recognized in other comprehensive income (loss):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Pr>
          <w:p>
            <w:pPr>
              <w:spacing w:after="0"/>
              <w:rPr>
                <w:sz w:val="20"/>
                <w:szCs w:val="20"/>
                <w:color w:val="auto"/>
              </w:rPr>
            </w:pPr>
            <w:r>
              <w:rPr>
                <w:rFonts w:ascii="Arial" w:cs="Arial" w:eastAsia="Arial" w:hAnsi="Arial"/>
                <w:sz w:val="16"/>
                <w:szCs w:val="16"/>
                <w:b w:val="1"/>
                <w:bCs w:val="1"/>
                <w:color w:val="auto"/>
              </w:rPr>
              <w:t>years ended in December 31 (in millions)</w:t>
            </w:r>
          </w:p>
        </w:tc>
        <w:tc>
          <w:tcPr>
            <w:tcW w:w="2260" w:type="dxa"/>
            <w:vAlign w:val="bottom"/>
          </w:tcPr>
          <w:p>
            <w:pPr>
              <w:jc w:val="right"/>
              <w:ind w:right="145"/>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jc w:val="right"/>
              <w:ind w:right="65"/>
              <w:spacing w:after="0"/>
              <w:rPr>
                <w:sz w:val="20"/>
                <w:szCs w:val="20"/>
                <w:color w:val="auto"/>
              </w:rPr>
            </w:pPr>
            <w:r>
              <w:rPr>
                <w:rFonts w:ascii="Arial" w:cs="Arial" w:eastAsia="Arial" w:hAnsi="Arial"/>
                <w:sz w:val="16"/>
                <w:szCs w:val="16"/>
                <w:b w:val="1"/>
                <w:bCs w:val="1"/>
                <w:color w:val="auto"/>
              </w:rPr>
              <w:t>2024</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5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560" w:type="dxa"/>
            <w:vAlign w:val="bottom"/>
          </w:tcPr>
          <w:p>
            <w:pPr>
              <w:spacing w:after="0"/>
              <w:rPr>
                <w:sz w:val="20"/>
                <w:szCs w:val="20"/>
                <w:color w:val="auto"/>
              </w:rPr>
            </w:pPr>
            <w:r>
              <w:rPr>
                <w:rFonts w:ascii="Arial" w:cs="Arial" w:eastAsia="Arial" w:hAnsi="Arial"/>
                <w:sz w:val="20"/>
                <w:szCs w:val="20"/>
                <w:color w:val="auto"/>
              </w:rPr>
              <w:t>Foreign currency forward exchange contracts</w:t>
            </w:r>
          </w:p>
        </w:tc>
        <w:tc>
          <w:tcPr>
            <w:tcW w:w="2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9"/>
        </w:trPr>
        <w:tc>
          <w:tcPr>
            <w:tcW w:w="5560" w:type="dxa"/>
            <w:vAlign w:val="bottom"/>
          </w:tcPr>
          <w:p>
            <w:pPr>
              <w:ind w:left="180"/>
              <w:spacing w:after="0"/>
              <w:rPr>
                <w:sz w:val="20"/>
                <w:szCs w:val="20"/>
                <w:color w:val="auto"/>
              </w:rPr>
            </w:pPr>
            <w:r>
              <w:rPr>
                <w:rFonts w:ascii="Arial" w:cs="Arial" w:eastAsia="Arial" w:hAnsi="Arial"/>
                <w:sz w:val="20"/>
                <w:szCs w:val="20"/>
                <w:color w:val="auto"/>
              </w:rPr>
              <w:t>Designated as cash flow hedges</w:t>
            </w:r>
          </w:p>
        </w:tc>
        <w:tc>
          <w:tcPr>
            <w:tcW w:w="2260" w:type="dxa"/>
            <w:vAlign w:val="bottom"/>
          </w:tcPr>
          <w:p>
            <w:pPr>
              <w:jc w:val="right"/>
              <w:ind w:right="5"/>
              <w:spacing w:after="0"/>
              <w:rPr>
                <w:sz w:val="20"/>
                <w:szCs w:val="20"/>
                <w:color w:val="auto"/>
              </w:rPr>
            </w:pPr>
            <w:r>
              <w:rPr>
                <w:rFonts w:ascii="Arial" w:cs="Arial" w:eastAsia="Arial" w:hAnsi="Arial"/>
                <w:sz w:val="20"/>
                <w:szCs w:val="20"/>
                <w:color w:val="auto"/>
              </w:rPr>
              <w:t>$ (81)</w:t>
            </w:r>
          </w:p>
        </w:tc>
        <w:tc>
          <w:tcPr>
            <w:tcW w:w="640" w:type="dxa"/>
            <w:vAlign w:val="bottom"/>
          </w:tcPr>
          <w:p>
            <w:pPr>
              <w:jc w:val="right"/>
              <w:ind w:right="25"/>
              <w:spacing w:after="0"/>
              <w:rPr>
                <w:sz w:val="20"/>
                <w:szCs w:val="20"/>
                <w:color w:val="auto"/>
              </w:rPr>
            </w:pPr>
            <w:r>
              <w:rPr>
                <w:rFonts w:ascii="Arial" w:cs="Arial" w:eastAsia="Arial" w:hAnsi="Arial"/>
                <w:sz w:val="20"/>
                <w:szCs w:val="20"/>
                <w:color w:val="auto"/>
              </w:rPr>
              <w:t>$192</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  (2)</w:t>
            </w:r>
          </w:p>
        </w:tc>
      </w:tr>
      <w:tr>
        <w:trPr>
          <w:trHeight w:val="279"/>
        </w:trPr>
        <w:tc>
          <w:tcPr>
            <w:tcW w:w="5560" w:type="dxa"/>
            <w:vAlign w:val="bottom"/>
          </w:tcPr>
          <w:p>
            <w:pPr>
              <w:ind w:left="180"/>
              <w:spacing w:after="0"/>
              <w:rPr>
                <w:sz w:val="20"/>
                <w:szCs w:val="20"/>
                <w:color w:val="auto"/>
              </w:rPr>
            </w:pPr>
            <w:r>
              <w:rPr>
                <w:rFonts w:ascii="Arial" w:cs="Arial" w:eastAsia="Arial" w:hAnsi="Arial"/>
                <w:sz w:val="20"/>
                <w:szCs w:val="20"/>
                <w:color w:val="auto"/>
              </w:rPr>
              <w:t>Designated as net investment hedges</w:t>
            </w:r>
          </w:p>
        </w:tc>
        <w:tc>
          <w:tcPr>
            <w:tcW w:w="2260" w:type="dxa"/>
            <w:vAlign w:val="bottom"/>
          </w:tcPr>
          <w:p>
            <w:pPr>
              <w:jc w:val="right"/>
              <w:ind w:right="5"/>
              <w:spacing w:after="0"/>
              <w:rPr>
                <w:sz w:val="20"/>
                <w:szCs w:val="20"/>
                <w:color w:val="auto"/>
              </w:rPr>
            </w:pPr>
            <w:r>
              <w:rPr>
                <w:rFonts w:ascii="Arial" w:cs="Arial" w:eastAsia="Arial" w:hAnsi="Arial"/>
                <w:sz w:val="20"/>
                <w:szCs w:val="20"/>
                <w:color w:val="auto"/>
              </w:rPr>
              <w:t>(674)</w:t>
            </w:r>
          </w:p>
        </w:tc>
        <w:tc>
          <w:tcPr>
            <w:tcW w:w="640" w:type="dxa"/>
            <w:vAlign w:val="bottom"/>
          </w:tcPr>
          <w:p>
            <w:pPr>
              <w:jc w:val="right"/>
              <w:ind w:right="25"/>
              <w:spacing w:after="0"/>
              <w:rPr>
                <w:sz w:val="20"/>
                <w:szCs w:val="20"/>
                <w:color w:val="auto"/>
              </w:rPr>
            </w:pPr>
            <w:r>
              <w:rPr>
                <w:rFonts w:ascii="Arial" w:cs="Arial" w:eastAsia="Arial" w:hAnsi="Arial"/>
                <w:sz w:val="20"/>
                <w:szCs w:val="20"/>
                <w:color w:val="auto"/>
              </w:rPr>
              <w:t>435</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(144)</w:t>
            </w:r>
          </w:p>
        </w:tc>
      </w:tr>
      <w:tr>
        <w:trPr>
          <w:trHeight w:val="282"/>
        </w:trPr>
        <w:tc>
          <w:tcPr>
            <w:tcW w:w="5560" w:type="dxa"/>
            <w:vAlign w:val="bottom"/>
          </w:tcPr>
          <w:p>
            <w:pPr>
              <w:spacing w:after="0"/>
              <w:rPr>
                <w:sz w:val="20"/>
                <w:szCs w:val="20"/>
                <w:color w:val="auto"/>
              </w:rPr>
            </w:pPr>
            <w:r>
              <w:rPr>
                <w:rFonts w:ascii="Arial" w:cs="Arial" w:eastAsia="Arial" w:hAnsi="Arial"/>
                <w:sz w:val="20"/>
                <w:szCs w:val="20"/>
                <w:color w:val="auto"/>
              </w:rPr>
              <w:t>Other</w:t>
            </w:r>
          </w:p>
        </w:tc>
        <w:tc>
          <w:tcPr>
            <w:tcW w:w="2260" w:type="dxa"/>
            <w:vAlign w:val="bottom"/>
          </w:tcPr>
          <w:p>
            <w:pPr>
              <w:jc w:val="right"/>
              <w:ind w:right="65"/>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0"/>
        </w:trPr>
        <w:tc>
          <w:tcPr>
            <w:tcW w:w="556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ind w:right="140" w:firstLine="359"/>
        <w:spacing w:after="0" w:line="256" w:lineRule="auto"/>
        <w:rPr>
          <w:sz w:val="20"/>
          <w:szCs w:val="20"/>
          <w:color w:val="auto"/>
        </w:rPr>
      </w:pPr>
      <w:r>
        <w:rPr>
          <w:rFonts w:ascii="Arial" w:cs="Arial" w:eastAsia="Arial" w:hAnsi="Arial"/>
          <w:sz w:val="20"/>
          <w:szCs w:val="20"/>
          <w:color w:val="auto"/>
        </w:rPr>
        <w:t>Assuming market rates remain constant through contract maturities, the company expects to reclassify pre-tax losses of $19 million into cost of products sold for foreign currency cash flow hedges and pre-tax gains of $21 million into interest expense, net for other cash flow hedges during the next 12 months.</w:t>
      </w:r>
    </w:p>
    <w:p>
      <w:pPr>
        <w:spacing w:after="0" w:line="116" w:lineRule="exact"/>
        <w:rPr>
          <w:sz w:val="20"/>
          <w:szCs w:val="20"/>
          <w:color w:val="auto"/>
        </w:rPr>
      </w:pPr>
    </w:p>
    <w:p>
      <w:pPr>
        <w:ind w:right="60" w:firstLine="359"/>
        <w:spacing w:after="0" w:line="259" w:lineRule="auto"/>
        <w:rPr>
          <w:sz w:val="20"/>
          <w:szCs w:val="20"/>
          <w:color w:val="auto"/>
        </w:rPr>
      </w:pPr>
      <w:r>
        <w:rPr>
          <w:rFonts w:ascii="Arial" w:cs="Arial" w:eastAsia="Arial" w:hAnsi="Arial"/>
          <w:sz w:val="20"/>
          <w:szCs w:val="20"/>
          <w:color w:val="auto"/>
        </w:rPr>
        <w:t>Related to AbbVie’s non-derivative, foreign currency denominated debt designated as net investment hedges, the company recognized in other comprehensive income (loss) pre-tax losses of $418 million in 2025, pre-tax gains of $305 million in 2024 and pre-tax losses of $252 million in 2023.</w:t>
      </w:r>
    </w:p>
    <w:p>
      <w:pPr>
        <w:spacing w:after="0" w:line="114" w:lineRule="exact"/>
        <w:rPr>
          <w:sz w:val="20"/>
          <w:szCs w:val="20"/>
          <w:color w:val="auto"/>
        </w:rPr>
      </w:pPr>
    </w:p>
    <w:p>
      <w:pPr>
        <w:ind w:right="60" w:firstLine="359"/>
        <w:spacing w:after="0" w:line="256" w:lineRule="auto"/>
        <w:rPr>
          <w:sz w:val="20"/>
          <w:szCs w:val="20"/>
          <w:color w:val="auto"/>
        </w:rPr>
      </w:pPr>
      <w:r>
        <w:rPr>
          <w:rFonts w:ascii="Arial" w:cs="Arial" w:eastAsia="Arial" w:hAnsi="Arial"/>
          <w:sz w:val="20"/>
          <w:szCs w:val="20"/>
          <w:color w:val="auto"/>
        </w:rPr>
        <w:t>The following table summarizes the pre-tax amounts and location of derivative instrument net gains (losses) recognized in the consolidated statements of earnings, including the net gains (losses) reclassified out of AOCI into net earnings. See Note 13 for the amount of net gains (losses) reclassified out of AOCI.</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780" w:type="dxa"/>
            <w:vAlign w:val="bottom"/>
          </w:tcPr>
          <w:p>
            <w:pPr>
              <w:jc w:val="right"/>
              <w:ind w:right="23"/>
              <w:spacing w:after="0"/>
              <w:rPr>
                <w:sz w:val="20"/>
                <w:szCs w:val="20"/>
                <w:color w:val="auto"/>
              </w:rPr>
            </w:pPr>
            <w:r>
              <w:rPr>
                <w:rFonts w:ascii="Arial" w:cs="Arial" w:eastAsia="Arial" w:hAnsi="Arial"/>
                <w:sz w:val="16"/>
                <w:szCs w:val="16"/>
                <w:b w:val="1"/>
                <w:bCs w:val="1"/>
                <w:color w:val="auto"/>
              </w:rPr>
              <w:t>Statement of earnings caption</w:t>
            </w:r>
          </w:p>
        </w:tc>
        <w:tc>
          <w:tcPr>
            <w:tcW w:w="780" w:type="dxa"/>
            <w:vAlign w:val="bottom"/>
          </w:tcPr>
          <w:p>
            <w:pPr>
              <w:jc w:val="right"/>
              <w:ind w:right="143"/>
              <w:spacing w:after="0"/>
              <w:rPr>
                <w:sz w:val="20"/>
                <w:szCs w:val="20"/>
                <w:color w:val="auto"/>
              </w:rPr>
            </w:pPr>
            <w:r>
              <w:rPr>
                <w:rFonts w:ascii="Arial" w:cs="Arial" w:eastAsia="Arial" w:hAnsi="Arial"/>
                <w:sz w:val="16"/>
                <w:szCs w:val="16"/>
                <w:b w:val="1"/>
                <w:bCs w:val="1"/>
                <w:color w:val="auto"/>
              </w:rPr>
              <w:t>2025</w:t>
            </w:r>
          </w:p>
        </w:tc>
        <w:tc>
          <w:tcPr>
            <w:tcW w:w="680" w:type="dxa"/>
            <w:vAlign w:val="bottom"/>
          </w:tcPr>
          <w:p>
            <w:pPr>
              <w:jc w:val="right"/>
              <w:ind w:right="103"/>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20" w:type="dxa"/>
            <w:vAlign w:val="bottom"/>
          </w:tcPr>
          <w:p>
            <w:pPr>
              <w:spacing w:after="0"/>
              <w:rPr>
                <w:sz w:val="20"/>
                <w:szCs w:val="20"/>
                <w:color w:val="auto"/>
              </w:rPr>
            </w:pPr>
            <w:r>
              <w:rPr>
                <w:rFonts w:ascii="Arial" w:cs="Arial" w:eastAsia="Arial" w:hAnsi="Arial"/>
                <w:sz w:val="20"/>
                <w:szCs w:val="20"/>
                <w:color w:val="auto"/>
              </w:rPr>
              <w:t>Foreign currency forward exchange contracts</w:t>
            </w:r>
          </w:p>
        </w:tc>
        <w:tc>
          <w:tcPr>
            <w:tcW w:w="2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9"/>
        </w:trPr>
        <w:tc>
          <w:tcPr>
            <w:tcW w:w="4320" w:type="dxa"/>
            <w:vAlign w:val="bottom"/>
          </w:tcPr>
          <w:p>
            <w:pPr>
              <w:ind w:left="180"/>
              <w:spacing w:after="0"/>
              <w:rPr>
                <w:sz w:val="20"/>
                <w:szCs w:val="20"/>
                <w:color w:val="auto"/>
              </w:rPr>
            </w:pPr>
            <w:r>
              <w:rPr>
                <w:rFonts w:ascii="Arial" w:cs="Arial" w:eastAsia="Arial" w:hAnsi="Arial"/>
                <w:sz w:val="20"/>
                <w:szCs w:val="20"/>
                <w:color w:val="auto"/>
              </w:rPr>
              <w:t>Designated as cash flow hedges</w:t>
            </w:r>
          </w:p>
        </w:tc>
        <w:tc>
          <w:tcPr>
            <w:tcW w:w="2780" w:type="dxa"/>
            <w:vAlign w:val="bottom"/>
          </w:tcPr>
          <w:p>
            <w:pPr>
              <w:jc w:val="right"/>
              <w:ind w:right="23"/>
              <w:spacing w:after="0"/>
              <w:rPr>
                <w:sz w:val="20"/>
                <w:szCs w:val="20"/>
                <w:color w:val="auto"/>
              </w:rPr>
            </w:pPr>
            <w:r>
              <w:rPr>
                <w:rFonts w:ascii="Arial" w:cs="Arial" w:eastAsia="Arial" w:hAnsi="Arial"/>
                <w:sz w:val="20"/>
                <w:szCs w:val="20"/>
                <w:color w:val="auto"/>
              </w:rPr>
              <w:t>Cost of products sold</w:t>
            </w:r>
          </w:p>
        </w:tc>
        <w:tc>
          <w:tcPr>
            <w:tcW w:w="780" w:type="dxa"/>
            <w:vAlign w:val="bottom"/>
          </w:tcPr>
          <w:p>
            <w:pPr>
              <w:jc w:val="right"/>
              <w:ind w:right="63"/>
              <w:spacing w:after="0"/>
              <w:rPr>
                <w:sz w:val="20"/>
                <w:szCs w:val="20"/>
                <w:color w:val="auto"/>
              </w:rPr>
            </w:pPr>
            <w:r>
              <w:rPr>
                <w:rFonts w:ascii="Arial" w:cs="Arial" w:eastAsia="Arial" w:hAnsi="Arial"/>
                <w:sz w:val="20"/>
                <w:szCs w:val="20"/>
                <w:color w:val="auto"/>
              </w:rPr>
              <w:t>$  66</w:t>
            </w:r>
          </w:p>
        </w:tc>
        <w:tc>
          <w:tcPr>
            <w:tcW w:w="680" w:type="dxa"/>
            <w:vAlign w:val="bottom"/>
          </w:tcPr>
          <w:p>
            <w:pPr>
              <w:jc w:val="right"/>
              <w:ind w:right="63"/>
              <w:spacing w:after="0"/>
              <w:rPr>
                <w:sz w:val="20"/>
                <w:szCs w:val="20"/>
                <w:color w:val="auto"/>
              </w:rPr>
            </w:pPr>
            <w:r>
              <w:rPr>
                <w:rFonts w:ascii="Arial" w:cs="Arial" w:eastAsia="Arial" w:hAnsi="Arial"/>
                <w:sz w:val="20"/>
                <w:szCs w:val="20"/>
                <w:color w:val="auto"/>
              </w:rPr>
              <w:t>$ 73</w:t>
            </w:r>
          </w:p>
        </w:tc>
        <w:tc>
          <w:tcPr>
            <w:tcW w:w="600" w:type="dxa"/>
            <w:vAlign w:val="bottom"/>
            <w:gridSpan w:val="2"/>
          </w:tcPr>
          <w:p>
            <w:pPr>
              <w:jc w:val="right"/>
              <w:ind w:right="60"/>
              <w:spacing w:after="0"/>
              <w:rPr>
                <w:sz w:val="20"/>
                <w:szCs w:val="20"/>
                <w:color w:val="auto"/>
              </w:rPr>
            </w:pPr>
            <w:r>
              <w:rPr>
                <w:rFonts w:ascii="Arial" w:cs="Arial" w:eastAsia="Arial" w:hAnsi="Arial"/>
                <w:sz w:val="20"/>
                <w:szCs w:val="20"/>
                <w:color w:val="auto"/>
              </w:rPr>
              <w:t>$ 77</w:t>
            </w:r>
          </w:p>
        </w:tc>
      </w:tr>
      <w:tr>
        <w:trPr>
          <w:trHeight w:val="279"/>
        </w:trPr>
        <w:tc>
          <w:tcPr>
            <w:tcW w:w="4320" w:type="dxa"/>
            <w:vAlign w:val="bottom"/>
          </w:tcPr>
          <w:p>
            <w:pPr>
              <w:ind w:left="180"/>
              <w:spacing w:after="0"/>
              <w:rPr>
                <w:sz w:val="20"/>
                <w:szCs w:val="20"/>
                <w:color w:val="auto"/>
              </w:rPr>
            </w:pPr>
            <w:r>
              <w:rPr>
                <w:rFonts w:ascii="Arial" w:cs="Arial" w:eastAsia="Arial" w:hAnsi="Arial"/>
                <w:sz w:val="20"/>
                <w:szCs w:val="20"/>
                <w:color w:val="auto"/>
              </w:rPr>
              <w:t>Designated as net investment hedges</w:t>
            </w:r>
          </w:p>
        </w:tc>
        <w:tc>
          <w:tcPr>
            <w:tcW w:w="2780" w:type="dxa"/>
            <w:vAlign w:val="bottom"/>
          </w:tcPr>
          <w:p>
            <w:pPr>
              <w:jc w:val="right"/>
              <w:ind w:right="23"/>
              <w:spacing w:after="0"/>
              <w:rPr>
                <w:sz w:val="20"/>
                <w:szCs w:val="20"/>
                <w:color w:val="auto"/>
              </w:rPr>
            </w:pPr>
            <w:r>
              <w:rPr>
                <w:rFonts w:ascii="Arial" w:cs="Arial" w:eastAsia="Arial" w:hAnsi="Arial"/>
                <w:sz w:val="20"/>
                <w:szCs w:val="20"/>
                <w:color w:val="auto"/>
              </w:rPr>
              <w:t>Interest expense, net</w:t>
            </w:r>
          </w:p>
        </w:tc>
        <w:tc>
          <w:tcPr>
            <w:tcW w:w="780" w:type="dxa"/>
            <w:vAlign w:val="bottom"/>
          </w:tcPr>
          <w:p>
            <w:pPr>
              <w:jc w:val="right"/>
              <w:ind w:right="63"/>
              <w:spacing w:after="0"/>
              <w:rPr>
                <w:sz w:val="20"/>
                <w:szCs w:val="20"/>
                <w:color w:val="auto"/>
              </w:rPr>
            </w:pPr>
            <w:r>
              <w:rPr>
                <w:rFonts w:ascii="Arial" w:cs="Arial" w:eastAsia="Arial" w:hAnsi="Arial"/>
                <w:sz w:val="20"/>
                <w:szCs w:val="20"/>
                <w:color w:val="auto"/>
              </w:rPr>
              <w:t>145</w:t>
            </w:r>
          </w:p>
        </w:tc>
        <w:tc>
          <w:tcPr>
            <w:tcW w:w="680" w:type="dxa"/>
            <w:vAlign w:val="bottom"/>
          </w:tcPr>
          <w:p>
            <w:pPr>
              <w:jc w:val="right"/>
              <w:ind w:right="63"/>
              <w:spacing w:after="0"/>
              <w:rPr>
                <w:sz w:val="20"/>
                <w:szCs w:val="20"/>
                <w:color w:val="auto"/>
              </w:rPr>
            </w:pPr>
            <w:r>
              <w:rPr>
                <w:rFonts w:ascii="Arial" w:cs="Arial" w:eastAsia="Arial" w:hAnsi="Arial"/>
                <w:sz w:val="20"/>
                <w:szCs w:val="20"/>
                <w:color w:val="auto"/>
              </w:rPr>
              <w:t>123</w:t>
            </w:r>
          </w:p>
        </w:tc>
        <w:tc>
          <w:tcPr>
            <w:tcW w:w="540" w:type="dxa"/>
            <w:vAlign w:val="bottom"/>
          </w:tcPr>
          <w:p>
            <w:pPr>
              <w:jc w:val="right"/>
              <w:spacing w:after="0"/>
              <w:rPr>
                <w:sz w:val="20"/>
                <w:szCs w:val="20"/>
                <w:color w:val="auto"/>
              </w:rPr>
            </w:pPr>
            <w:r>
              <w:rPr>
                <w:rFonts w:ascii="Arial" w:cs="Arial" w:eastAsia="Arial" w:hAnsi="Arial"/>
                <w:sz w:val="20"/>
                <w:szCs w:val="20"/>
                <w:color w:val="auto"/>
              </w:rPr>
              <w:t>112</w:t>
            </w:r>
          </w:p>
        </w:tc>
        <w:tc>
          <w:tcPr>
            <w:tcW w:w="60" w:type="dxa"/>
            <w:vAlign w:val="bottom"/>
          </w:tcPr>
          <w:p>
            <w:pPr>
              <w:spacing w:after="0"/>
              <w:rPr>
                <w:sz w:val="24"/>
                <w:szCs w:val="24"/>
                <w:color w:val="auto"/>
              </w:rPr>
            </w:pPr>
          </w:p>
        </w:tc>
      </w:tr>
      <w:tr>
        <w:trPr>
          <w:trHeight w:val="279"/>
        </w:trPr>
        <w:tc>
          <w:tcPr>
            <w:tcW w:w="4320" w:type="dxa"/>
            <w:vAlign w:val="bottom"/>
          </w:tcPr>
          <w:p>
            <w:pPr>
              <w:ind w:left="180"/>
              <w:spacing w:after="0"/>
              <w:rPr>
                <w:sz w:val="20"/>
                <w:szCs w:val="20"/>
                <w:color w:val="auto"/>
              </w:rPr>
            </w:pPr>
            <w:r>
              <w:rPr>
                <w:rFonts w:ascii="Arial" w:cs="Arial" w:eastAsia="Arial" w:hAnsi="Arial"/>
                <w:sz w:val="20"/>
                <w:szCs w:val="20"/>
                <w:color w:val="auto"/>
              </w:rPr>
              <w:t>Not designated as hedges</w:t>
            </w:r>
          </w:p>
        </w:tc>
        <w:tc>
          <w:tcPr>
            <w:tcW w:w="2780" w:type="dxa"/>
            <w:vAlign w:val="bottom"/>
          </w:tcPr>
          <w:p>
            <w:pPr>
              <w:jc w:val="right"/>
              <w:ind w:right="23"/>
              <w:spacing w:after="0"/>
              <w:rPr>
                <w:sz w:val="20"/>
                <w:szCs w:val="20"/>
                <w:color w:val="auto"/>
              </w:rPr>
            </w:pPr>
            <w:r>
              <w:rPr>
                <w:rFonts w:ascii="Arial" w:cs="Arial" w:eastAsia="Arial" w:hAnsi="Arial"/>
                <w:sz w:val="20"/>
                <w:szCs w:val="20"/>
                <w:color w:val="auto"/>
              </w:rPr>
              <w:t>Net foreign exchange loss</w:t>
            </w:r>
          </w:p>
        </w:tc>
        <w:tc>
          <w:tcPr>
            <w:tcW w:w="780" w:type="dxa"/>
            <w:vAlign w:val="bottom"/>
          </w:tcPr>
          <w:p>
            <w:pPr>
              <w:jc w:val="right"/>
              <w:spacing w:after="0"/>
              <w:rPr>
                <w:sz w:val="20"/>
                <w:szCs w:val="20"/>
                <w:color w:val="auto"/>
              </w:rPr>
            </w:pPr>
            <w:r>
              <w:rPr>
                <w:rFonts w:ascii="Arial" w:cs="Arial" w:eastAsia="Arial" w:hAnsi="Arial"/>
                <w:sz w:val="20"/>
                <w:szCs w:val="20"/>
                <w:color w:val="auto"/>
              </w:rPr>
              <w:t>(31)</w:t>
            </w:r>
          </w:p>
        </w:tc>
        <w:tc>
          <w:tcPr>
            <w:tcW w:w="680" w:type="dxa"/>
            <w:vAlign w:val="bottom"/>
          </w:tcPr>
          <w:p>
            <w:pPr>
              <w:jc w:val="right"/>
              <w:ind w:right="63"/>
              <w:spacing w:after="0"/>
              <w:rPr>
                <w:sz w:val="20"/>
                <w:szCs w:val="20"/>
                <w:color w:val="auto"/>
              </w:rPr>
            </w:pPr>
            <w:r>
              <w:rPr>
                <w:rFonts w:ascii="Arial" w:cs="Arial" w:eastAsia="Arial" w:hAnsi="Arial"/>
                <w:sz w:val="20"/>
                <w:szCs w:val="20"/>
                <w:color w:val="auto"/>
              </w:rPr>
              <w:t>6</w:t>
            </w:r>
          </w:p>
        </w:tc>
        <w:tc>
          <w:tcPr>
            <w:tcW w:w="540" w:type="dxa"/>
            <w:vAlign w:val="bottom"/>
          </w:tcPr>
          <w:p>
            <w:pPr>
              <w:jc w:val="right"/>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4"/>
                <w:szCs w:val="24"/>
                <w:color w:val="auto"/>
              </w:rPr>
            </w:pPr>
          </w:p>
        </w:tc>
      </w:tr>
      <w:tr>
        <w:trPr>
          <w:trHeight w:val="279"/>
        </w:trPr>
        <w:tc>
          <w:tcPr>
            <w:tcW w:w="4320" w:type="dxa"/>
            <w:vAlign w:val="bottom"/>
          </w:tcPr>
          <w:p>
            <w:pPr>
              <w:spacing w:after="0"/>
              <w:rPr>
                <w:sz w:val="20"/>
                <w:szCs w:val="20"/>
                <w:color w:val="auto"/>
              </w:rPr>
            </w:pPr>
            <w:r>
              <w:rPr>
                <w:rFonts w:ascii="Arial" w:cs="Arial" w:eastAsia="Arial" w:hAnsi="Arial"/>
                <w:sz w:val="20"/>
                <w:szCs w:val="20"/>
                <w:color w:val="auto"/>
              </w:rPr>
              <w:t>Interest rate swap contracts</w:t>
            </w:r>
          </w:p>
        </w:tc>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9"/>
        </w:trPr>
        <w:tc>
          <w:tcPr>
            <w:tcW w:w="4320" w:type="dxa"/>
            <w:vAlign w:val="bottom"/>
          </w:tcPr>
          <w:p>
            <w:pPr>
              <w:ind w:left="180"/>
              <w:spacing w:after="0"/>
              <w:rPr>
                <w:sz w:val="20"/>
                <w:szCs w:val="20"/>
                <w:color w:val="auto"/>
              </w:rPr>
            </w:pPr>
            <w:r>
              <w:rPr>
                <w:rFonts w:ascii="Arial" w:cs="Arial" w:eastAsia="Arial" w:hAnsi="Arial"/>
                <w:sz w:val="20"/>
                <w:szCs w:val="20"/>
                <w:color w:val="auto"/>
              </w:rPr>
              <w:t>Designated as fair value hedges</w:t>
            </w:r>
          </w:p>
        </w:tc>
        <w:tc>
          <w:tcPr>
            <w:tcW w:w="2780" w:type="dxa"/>
            <w:vAlign w:val="bottom"/>
          </w:tcPr>
          <w:p>
            <w:pPr>
              <w:jc w:val="right"/>
              <w:ind w:right="23"/>
              <w:spacing w:after="0"/>
              <w:rPr>
                <w:sz w:val="20"/>
                <w:szCs w:val="20"/>
                <w:color w:val="auto"/>
              </w:rPr>
            </w:pPr>
            <w:r>
              <w:rPr>
                <w:rFonts w:ascii="Arial" w:cs="Arial" w:eastAsia="Arial" w:hAnsi="Arial"/>
                <w:sz w:val="20"/>
                <w:szCs w:val="20"/>
                <w:color w:val="auto"/>
              </w:rPr>
              <w:t>Interest expense, net</w:t>
            </w:r>
          </w:p>
        </w:tc>
        <w:tc>
          <w:tcPr>
            <w:tcW w:w="780" w:type="dxa"/>
            <w:vAlign w:val="bottom"/>
          </w:tcPr>
          <w:p>
            <w:pPr>
              <w:jc w:val="right"/>
              <w:ind w:right="63"/>
              <w:spacing w:after="0"/>
              <w:rPr>
                <w:sz w:val="20"/>
                <w:szCs w:val="20"/>
                <w:color w:val="auto"/>
              </w:rPr>
            </w:pPr>
            <w:r>
              <w:rPr>
                <w:rFonts w:ascii="Arial" w:cs="Arial" w:eastAsia="Arial" w:hAnsi="Arial"/>
                <w:sz w:val="20"/>
                <w:szCs w:val="20"/>
                <w:color w:val="auto"/>
              </w:rPr>
              <w:t>134</w:t>
            </w:r>
          </w:p>
        </w:tc>
        <w:tc>
          <w:tcPr>
            <w:tcW w:w="680" w:type="dxa"/>
            <w:vAlign w:val="bottom"/>
          </w:tcPr>
          <w:p>
            <w:pPr>
              <w:jc w:val="right"/>
              <w:ind w:right="63"/>
              <w:spacing w:after="0"/>
              <w:rPr>
                <w:sz w:val="20"/>
                <w:szCs w:val="20"/>
                <w:color w:val="auto"/>
              </w:rPr>
            </w:pPr>
            <w:r>
              <w:rPr>
                <w:rFonts w:ascii="Arial" w:cs="Arial" w:eastAsia="Arial" w:hAnsi="Arial"/>
                <w:sz w:val="20"/>
                <w:szCs w:val="20"/>
                <w:color w:val="auto"/>
              </w:rPr>
              <w:t>62</w:t>
            </w:r>
          </w:p>
        </w:tc>
        <w:tc>
          <w:tcPr>
            <w:tcW w:w="540" w:type="dxa"/>
            <w:vAlign w:val="bottom"/>
          </w:tcPr>
          <w:p>
            <w:pPr>
              <w:jc w:val="right"/>
              <w:spacing w:after="0"/>
              <w:rPr>
                <w:sz w:val="20"/>
                <w:szCs w:val="20"/>
                <w:color w:val="auto"/>
              </w:rPr>
            </w:pPr>
            <w:r>
              <w:rPr>
                <w:rFonts w:ascii="Arial" w:cs="Arial" w:eastAsia="Arial" w:hAnsi="Arial"/>
                <w:sz w:val="20"/>
                <w:szCs w:val="20"/>
                <w:color w:val="auto"/>
              </w:rPr>
              <w:t>98</w:t>
            </w:r>
          </w:p>
        </w:tc>
        <w:tc>
          <w:tcPr>
            <w:tcW w:w="60" w:type="dxa"/>
            <w:vAlign w:val="bottom"/>
          </w:tcPr>
          <w:p>
            <w:pPr>
              <w:spacing w:after="0"/>
              <w:rPr>
                <w:sz w:val="24"/>
                <w:szCs w:val="24"/>
                <w:color w:val="auto"/>
              </w:rPr>
            </w:pPr>
          </w:p>
        </w:tc>
      </w:tr>
      <w:tr>
        <w:trPr>
          <w:trHeight w:val="271"/>
        </w:trPr>
        <w:tc>
          <w:tcPr>
            <w:tcW w:w="4320" w:type="dxa"/>
            <w:vAlign w:val="bottom"/>
          </w:tcPr>
          <w:p>
            <w:pPr>
              <w:spacing w:after="0"/>
              <w:rPr>
                <w:sz w:val="20"/>
                <w:szCs w:val="20"/>
                <w:color w:val="auto"/>
              </w:rPr>
            </w:pPr>
            <w:r>
              <w:rPr>
                <w:rFonts w:ascii="Arial" w:cs="Arial" w:eastAsia="Arial" w:hAnsi="Arial"/>
                <w:sz w:val="20"/>
                <w:szCs w:val="20"/>
                <w:color w:val="auto"/>
              </w:rPr>
              <w:t>Debt designated as hedged item in fair value</w:t>
            </w:r>
          </w:p>
        </w:tc>
        <w:tc>
          <w:tcPr>
            <w:tcW w:w="2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8"/>
        </w:trPr>
        <w:tc>
          <w:tcPr>
            <w:tcW w:w="4320" w:type="dxa"/>
            <w:vAlign w:val="bottom"/>
          </w:tcPr>
          <w:p>
            <w:pPr>
              <w:ind w:left="180"/>
              <w:spacing w:after="0"/>
              <w:rPr>
                <w:sz w:val="20"/>
                <w:szCs w:val="20"/>
                <w:color w:val="auto"/>
              </w:rPr>
            </w:pPr>
            <w:r>
              <w:rPr>
                <w:rFonts w:ascii="Arial" w:cs="Arial" w:eastAsia="Arial" w:hAnsi="Arial"/>
                <w:sz w:val="20"/>
                <w:szCs w:val="20"/>
                <w:color w:val="auto"/>
              </w:rPr>
              <w:t>hedges</w:t>
            </w:r>
          </w:p>
        </w:tc>
        <w:tc>
          <w:tcPr>
            <w:tcW w:w="2780" w:type="dxa"/>
            <w:vAlign w:val="bottom"/>
          </w:tcPr>
          <w:p>
            <w:pPr>
              <w:jc w:val="right"/>
              <w:ind w:right="23"/>
              <w:spacing w:after="0"/>
              <w:rPr>
                <w:sz w:val="20"/>
                <w:szCs w:val="20"/>
                <w:color w:val="auto"/>
              </w:rPr>
            </w:pPr>
            <w:r>
              <w:rPr>
                <w:rFonts w:ascii="Arial" w:cs="Arial" w:eastAsia="Arial" w:hAnsi="Arial"/>
                <w:sz w:val="20"/>
                <w:szCs w:val="20"/>
                <w:color w:val="auto"/>
              </w:rPr>
              <w:t>Interest expense, net</w:t>
            </w:r>
          </w:p>
        </w:tc>
        <w:tc>
          <w:tcPr>
            <w:tcW w:w="780" w:type="dxa"/>
            <w:vAlign w:val="bottom"/>
          </w:tcPr>
          <w:p>
            <w:pPr>
              <w:jc w:val="right"/>
              <w:spacing w:after="0"/>
              <w:rPr>
                <w:sz w:val="20"/>
                <w:szCs w:val="20"/>
                <w:color w:val="auto"/>
              </w:rPr>
            </w:pPr>
            <w:r>
              <w:rPr>
                <w:rFonts w:ascii="Arial" w:cs="Arial" w:eastAsia="Arial" w:hAnsi="Arial"/>
                <w:sz w:val="20"/>
                <w:szCs w:val="20"/>
                <w:color w:val="auto"/>
              </w:rPr>
              <w:t>(134)</w:t>
            </w:r>
          </w:p>
        </w:tc>
        <w:tc>
          <w:tcPr>
            <w:tcW w:w="680" w:type="dxa"/>
            <w:vAlign w:val="bottom"/>
          </w:tcPr>
          <w:p>
            <w:pPr>
              <w:jc w:val="right"/>
              <w:spacing w:after="0"/>
              <w:rPr>
                <w:sz w:val="20"/>
                <w:szCs w:val="20"/>
                <w:color w:val="auto"/>
              </w:rPr>
            </w:pPr>
            <w:r>
              <w:rPr>
                <w:rFonts w:ascii="Arial" w:cs="Arial" w:eastAsia="Arial" w:hAnsi="Arial"/>
                <w:sz w:val="20"/>
                <w:szCs w:val="20"/>
                <w:color w:val="auto"/>
              </w:rPr>
              <w:t>(62)</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(98)</w:t>
            </w:r>
          </w:p>
        </w:tc>
      </w:tr>
      <w:tr>
        <w:trPr>
          <w:trHeight w:val="282"/>
        </w:trPr>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w:t>
            </w:r>
          </w:p>
        </w:tc>
        <w:tc>
          <w:tcPr>
            <w:tcW w:w="278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Interest expense, net</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20"/>
                <w:szCs w:val="20"/>
                <w:color w:val="auto"/>
              </w:rPr>
              <w:t>21</w:t>
            </w: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20"/>
                <w:szCs w:val="20"/>
                <w:color w:val="auto"/>
              </w:rPr>
              <w:t>23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Fair Value Measures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fair value hierarchy consists of the following three levels:</w:t>
      </w:r>
    </w:p>
    <w:p>
      <w:pPr>
        <w:spacing w:after="0" w:line="129" w:lineRule="exact"/>
        <w:rPr>
          <w:sz w:val="20"/>
          <w:szCs w:val="20"/>
          <w:color w:val="auto"/>
        </w:rPr>
      </w:pPr>
    </w:p>
    <w:p>
      <w:pPr>
        <w:ind w:left="540" w:right="440" w:hanging="191"/>
        <w:spacing w:after="0" w:line="269" w:lineRule="auto"/>
        <w:tabs>
          <w:tab w:leader="none" w:pos="5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Level 1—Valuations based on unadjusted quoted prices in active markets for identical assets that the company has the ability to access;</w:t>
      </w:r>
    </w:p>
    <w:p>
      <w:pPr>
        <w:spacing w:after="0" w:line="83" w:lineRule="exact"/>
        <w:rPr>
          <w:rFonts w:ascii="Arial" w:cs="Arial" w:eastAsia="Arial" w:hAnsi="Arial"/>
          <w:sz w:val="20"/>
          <w:szCs w:val="20"/>
          <w:color w:val="auto"/>
        </w:rPr>
      </w:pPr>
    </w:p>
    <w:p>
      <w:pPr>
        <w:ind w:left="540" w:right="60" w:hanging="191"/>
        <w:spacing w:after="0" w:line="259" w:lineRule="auto"/>
        <w:tabs>
          <w:tab w:leader="none" w:pos="5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Level 2—Valuations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93" w:lineRule="exact"/>
        <w:rPr>
          <w:rFonts w:ascii="Arial" w:cs="Arial" w:eastAsia="Arial" w:hAnsi="Arial"/>
          <w:sz w:val="20"/>
          <w:szCs w:val="20"/>
          <w:color w:val="auto"/>
        </w:rPr>
      </w:pPr>
    </w:p>
    <w:p>
      <w:pPr>
        <w:ind w:left="540" w:right="60" w:hanging="191"/>
        <w:spacing w:after="0" w:line="259" w:lineRule="auto"/>
        <w:tabs>
          <w:tab w:leader="none" w:pos="5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Level 3—Valuations using significant inputs that are unobservable in the market and include the use of judgment by the company’s management about the assumptions market participants would use in pricing the asset or liability.</w:t>
      </w:r>
    </w:p>
    <w:p>
      <w:pPr>
        <w:spacing w:after="0" w:line="114" w:lineRule="exact"/>
        <w:rPr>
          <w:sz w:val="20"/>
          <w:szCs w:val="20"/>
          <w:color w:val="auto"/>
        </w:rPr>
      </w:pPr>
    </w:p>
    <w:p>
      <w:pPr>
        <w:ind w:right="160" w:firstLine="359"/>
        <w:spacing w:after="0" w:line="259" w:lineRule="auto"/>
        <w:rPr>
          <w:sz w:val="20"/>
          <w:szCs w:val="20"/>
          <w:color w:val="auto"/>
        </w:rPr>
      </w:pPr>
      <w:r>
        <w:rPr>
          <w:rFonts w:ascii="Arial" w:cs="Arial" w:eastAsia="Arial" w:hAnsi="Arial"/>
          <w:sz w:val="20"/>
          <w:szCs w:val="20"/>
          <w:color w:val="auto"/>
        </w:rPr>
        <w:t>The following table summarizes the bases used to measure certain assets and liabilities carried at fair value on a recurring basis on the consolidated balance sheet as of December 31, 2025 and December 31, 2024:</w:t>
      </w:r>
    </w:p>
    <w:p>
      <w:pPr>
        <w:sectPr>
          <w:pgSz w:w="11880" w:h="15480" w:orient="portrait"/>
          <w:cols w:equalWidth="0" w:num="1">
            <w:col w:w="9160"/>
          </w:cols>
          <w:pgMar w:left="1400" w:top="1030" w:right="132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86  </w:t>
      </w:r>
      <w:r>
        <w:rPr>
          <w:sz w:val="1"/>
          <w:szCs w:val="1"/>
          <w:color w:val="auto"/>
        </w:rPr>
        <w:drawing>
          <wp:inline distT="0" distB="0" distL="0" distR="0">
            <wp:extent cx="615950" cy="1282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60"/>
          </w:cols>
          <w:pgMar w:left="1400" w:top="1030" w:right="1320" w:bottom="75"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97"/>
        </w:trPr>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gridSpan w:val="4"/>
          </w:tcPr>
          <w:p>
            <w:pPr>
              <w:jc w:val="right"/>
              <w:ind w:right="15"/>
              <w:spacing w:after="0"/>
              <w:rPr>
                <w:sz w:val="20"/>
                <w:szCs w:val="20"/>
                <w:color w:val="auto"/>
              </w:rPr>
            </w:pPr>
            <w:r>
              <w:rPr>
                <w:rFonts w:ascii="Arial" w:cs="Arial" w:eastAsia="Arial" w:hAnsi="Arial"/>
                <w:sz w:val="16"/>
                <w:szCs w:val="16"/>
                <w:b w:val="1"/>
                <w:bCs w:val="1"/>
                <w:color w:val="auto"/>
              </w:rPr>
              <w:t>December 31, 2025</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2024</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6"/>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8"/>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Arial" w:cs="Arial" w:eastAsia="Arial" w:hAnsi="Arial"/>
                <w:sz w:val="16"/>
                <w:szCs w:val="16"/>
                <w:b w:val="1"/>
                <w:bCs w:val="1"/>
                <w:color w:val="auto"/>
              </w:rPr>
              <w:t>Basis of fair value measurement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20" w:type="dxa"/>
            <w:vAlign w:val="bottom"/>
            <w:gridSpan w:val="6"/>
          </w:tcPr>
          <w:p>
            <w:pPr>
              <w:ind w:left="60"/>
              <w:spacing w:after="0"/>
              <w:rPr>
                <w:sz w:val="20"/>
                <w:szCs w:val="20"/>
                <w:color w:val="auto"/>
              </w:rPr>
            </w:pPr>
            <w:r>
              <w:rPr>
                <w:rFonts w:ascii="Arial" w:cs="Arial" w:eastAsia="Arial" w:hAnsi="Arial"/>
                <w:sz w:val="16"/>
                <w:szCs w:val="16"/>
                <w:b w:val="1"/>
                <w:bCs w:val="1"/>
                <w:color w:val="auto"/>
                <w:w w:val="99"/>
              </w:rPr>
              <w:t>Basis of fair value measurement</w:t>
            </w:r>
          </w:p>
        </w:tc>
      </w:tr>
      <w:tr>
        <w:trPr>
          <w:trHeight w:val="22"/>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560" w:type="dxa"/>
            <w:vAlign w:val="bottom"/>
          </w:tcPr>
          <w:p>
            <w:pPr>
              <w:jc w:val="right"/>
              <w:ind w:right="96"/>
              <w:spacing w:after="0"/>
              <w:rPr>
                <w:sz w:val="20"/>
                <w:szCs w:val="20"/>
                <w:color w:val="auto"/>
              </w:rPr>
            </w:pPr>
            <w:r>
              <w:rPr>
                <w:rFonts w:ascii="Arial" w:cs="Arial" w:eastAsia="Arial" w:hAnsi="Arial"/>
                <w:sz w:val="16"/>
                <w:szCs w:val="16"/>
                <w:b w:val="1"/>
                <w:bCs w:val="1"/>
                <w:color w:val="auto"/>
                <w:w w:val="94"/>
              </w:rPr>
              <w:t>Total</w:t>
            </w:r>
          </w:p>
        </w:tc>
        <w:tc>
          <w:tcPr>
            <w:tcW w:w="8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900" w:type="dxa"/>
            <w:vAlign w:val="bottom"/>
            <w:gridSpan w:val="2"/>
          </w:tcPr>
          <w:p>
            <w:pPr>
              <w:jc w:val="right"/>
              <w:ind w:right="135"/>
              <w:spacing w:after="0"/>
              <w:rPr>
                <w:sz w:val="20"/>
                <w:szCs w:val="20"/>
                <w:color w:val="auto"/>
              </w:rPr>
            </w:pPr>
            <w:r>
              <w:rPr>
                <w:rFonts w:ascii="Arial" w:cs="Arial" w:eastAsia="Arial" w:hAnsi="Arial"/>
                <w:sz w:val="16"/>
                <w:szCs w:val="16"/>
                <w:b w:val="1"/>
                <w:bCs w:val="1"/>
                <w:color w:val="auto"/>
              </w:rPr>
              <w:t>Level 2</w:t>
            </w:r>
          </w:p>
        </w:tc>
        <w:tc>
          <w:tcPr>
            <w:tcW w:w="840" w:type="dxa"/>
            <w:vAlign w:val="bottom"/>
            <w:gridSpan w:val="2"/>
          </w:tcPr>
          <w:p>
            <w:pPr>
              <w:jc w:val="right"/>
              <w:ind w:right="95"/>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6"/>
                <w:szCs w:val="16"/>
                <w:b w:val="1"/>
                <w:bCs w:val="1"/>
                <w:color w:val="auto"/>
                <w:w w:val="99"/>
              </w:rPr>
              <w:t>Total</w:t>
            </w: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900" w:type="dxa"/>
            <w:vAlign w:val="bottom"/>
          </w:tcPr>
          <w:p>
            <w:pPr>
              <w:jc w:val="right"/>
              <w:ind w:right="136"/>
              <w:spacing w:after="0"/>
              <w:rPr>
                <w:sz w:val="20"/>
                <w:szCs w:val="20"/>
                <w:color w:val="auto"/>
              </w:rPr>
            </w:pPr>
            <w:r>
              <w:rPr>
                <w:rFonts w:ascii="Arial" w:cs="Arial" w:eastAsia="Arial" w:hAnsi="Arial"/>
                <w:sz w:val="16"/>
                <w:szCs w:val="16"/>
                <w:b w:val="1"/>
                <w:bCs w:val="1"/>
                <w:color w:val="auto"/>
              </w:rPr>
              <w:t>Level 2</w:t>
            </w:r>
          </w:p>
        </w:tc>
        <w:tc>
          <w:tcPr>
            <w:tcW w:w="80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3</w:t>
            </w:r>
          </w:p>
        </w:tc>
      </w:tr>
      <w:tr>
        <w:trPr>
          <w:trHeight w:val="22"/>
        </w:trPr>
        <w:tc>
          <w:tcPr>
            <w:tcW w:w="2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5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2"/>
        </w:trPr>
        <w:tc>
          <w:tcPr>
            <w:tcW w:w="2540" w:type="dxa"/>
            <w:vAlign w:val="bottom"/>
          </w:tcPr>
          <w:p>
            <w:pPr>
              <w:spacing w:after="0"/>
              <w:rPr>
                <w:sz w:val="20"/>
                <w:szCs w:val="20"/>
                <w:color w:val="auto"/>
              </w:rPr>
            </w:pPr>
            <w:r>
              <w:rPr>
                <w:rFonts w:ascii="Arial" w:cs="Arial" w:eastAsia="Arial" w:hAnsi="Arial"/>
                <w:sz w:val="17"/>
                <w:szCs w:val="17"/>
                <w:color w:val="auto"/>
              </w:rPr>
              <w:t>Cash and equivalents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5,229</w:t>
            </w:r>
          </w:p>
        </w:tc>
        <w:tc>
          <w:tcPr>
            <w:tcW w:w="260" w:type="dxa"/>
            <w:vAlign w:val="bottom"/>
          </w:tcPr>
          <w:p>
            <w:pPr>
              <w:ind w:left="1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ind w:right="75"/>
              <w:spacing w:after="0"/>
              <w:rPr>
                <w:sz w:val="20"/>
                <w:szCs w:val="20"/>
                <w:color w:val="auto"/>
              </w:rPr>
            </w:pPr>
            <w:r>
              <w:rPr>
                <w:rFonts w:ascii="Arial" w:cs="Arial" w:eastAsia="Arial" w:hAnsi="Arial"/>
                <w:sz w:val="17"/>
                <w:szCs w:val="17"/>
                <w:color w:val="auto"/>
                <w:w w:val="93"/>
              </w:rPr>
              <w:t>4,868</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5"/>
              <w:spacing w:after="0"/>
              <w:rPr>
                <w:sz w:val="20"/>
                <w:szCs w:val="20"/>
                <w:color w:val="auto"/>
              </w:rPr>
            </w:pPr>
            <w:r>
              <w:rPr>
                <w:rFonts w:ascii="Arial" w:cs="Arial" w:eastAsia="Arial" w:hAnsi="Arial"/>
                <w:sz w:val="17"/>
                <w:szCs w:val="17"/>
                <w:color w:val="auto"/>
                <w:w w:val="91"/>
              </w:rPr>
              <w:t>361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5,524</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w w:val="98"/>
              </w:rPr>
              <w:t>5,179</w:t>
            </w:r>
          </w:p>
        </w:tc>
        <w:tc>
          <w:tcPr>
            <w:tcW w:w="900" w:type="dxa"/>
            <w:vAlign w:val="bottom"/>
          </w:tcPr>
          <w:p>
            <w:pPr>
              <w:jc w:val="right"/>
              <w:ind w:right="196"/>
              <w:spacing w:after="0"/>
              <w:rPr>
                <w:sz w:val="20"/>
                <w:szCs w:val="20"/>
                <w:color w:val="auto"/>
              </w:rPr>
            </w:pPr>
            <w:r>
              <w:rPr>
                <w:rFonts w:ascii="Arial" w:cs="Arial" w:eastAsia="Arial" w:hAnsi="Arial"/>
                <w:sz w:val="17"/>
                <w:szCs w:val="17"/>
                <w:color w:val="auto"/>
              </w:rPr>
              <w:t>$345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2"/>
        </w:trPr>
        <w:tc>
          <w:tcPr>
            <w:tcW w:w="2540" w:type="dxa"/>
            <w:vAlign w:val="bottom"/>
          </w:tcPr>
          <w:p>
            <w:pPr>
              <w:spacing w:after="0"/>
              <w:rPr>
                <w:sz w:val="20"/>
                <w:szCs w:val="20"/>
                <w:color w:val="auto"/>
              </w:rPr>
            </w:pPr>
            <w:r>
              <w:rPr>
                <w:rFonts w:ascii="Arial" w:cs="Arial" w:eastAsia="Arial" w:hAnsi="Arial"/>
                <w:sz w:val="17"/>
                <w:szCs w:val="17"/>
                <w:color w:val="auto"/>
              </w:rPr>
              <w:t>Money market funds and time</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2540" w:type="dxa"/>
            <w:vAlign w:val="bottom"/>
          </w:tcPr>
          <w:p>
            <w:pPr>
              <w:ind w:left="160"/>
              <w:spacing w:after="0"/>
              <w:rPr>
                <w:sz w:val="20"/>
                <w:szCs w:val="20"/>
                <w:color w:val="auto"/>
              </w:rPr>
            </w:pPr>
            <w:r>
              <w:rPr>
                <w:rFonts w:ascii="Arial" w:cs="Arial" w:eastAsia="Arial" w:hAnsi="Arial"/>
                <w:sz w:val="17"/>
                <w:szCs w:val="17"/>
                <w:color w:val="auto"/>
              </w:rPr>
              <w:t>deposits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5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580" w:type="dxa"/>
            <w:vAlign w:val="bottom"/>
          </w:tcPr>
          <w:p>
            <w:pPr>
              <w:jc w:val="right"/>
              <w:ind w:right="215"/>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6"/>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8"/>
        </w:trPr>
        <w:tc>
          <w:tcPr>
            <w:tcW w:w="2540" w:type="dxa"/>
            <w:vAlign w:val="bottom"/>
          </w:tcPr>
          <w:p>
            <w:pPr>
              <w:spacing w:after="0"/>
              <w:rPr>
                <w:sz w:val="20"/>
                <w:szCs w:val="20"/>
                <w:color w:val="auto"/>
              </w:rPr>
            </w:pPr>
            <w:r>
              <w:rPr>
                <w:rFonts w:ascii="Arial" w:cs="Arial" w:eastAsia="Arial" w:hAnsi="Arial"/>
                <w:sz w:val="17"/>
                <w:szCs w:val="17"/>
                <w:color w:val="auto"/>
              </w:rPr>
              <w:t>Debt securities</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22"/>
                <w:szCs w:val="22"/>
                <w:color w:val="auto"/>
              </w:rPr>
            </w:pPr>
          </w:p>
        </w:tc>
        <w:tc>
          <w:tcPr>
            <w:tcW w:w="5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580" w:type="dxa"/>
            <w:vAlign w:val="bottom"/>
          </w:tcPr>
          <w:p>
            <w:pPr>
              <w:jc w:val="right"/>
              <w:ind w:right="215"/>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22"/>
                <w:szCs w:val="22"/>
                <w:color w:val="auto"/>
              </w:rPr>
            </w:pP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22"/>
                <w:szCs w:val="22"/>
                <w:color w:val="auto"/>
              </w:rPr>
            </w:pP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6"/>
              <w:spacing w:after="0"/>
              <w:rPr>
                <w:sz w:val="20"/>
                <w:szCs w:val="20"/>
                <w:color w:val="auto"/>
              </w:rPr>
            </w:pPr>
            <w:r>
              <w:rPr>
                <w:rFonts w:ascii="Arial" w:cs="Arial" w:eastAsia="Arial" w:hAnsi="Arial"/>
                <w:sz w:val="17"/>
                <w:szCs w:val="17"/>
                <w:color w:val="auto"/>
              </w:rPr>
              <w:t>33</w:t>
            </w:r>
          </w:p>
        </w:tc>
        <w:tc>
          <w:tcPr>
            <w:tcW w:w="1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8"/>
        </w:trPr>
        <w:tc>
          <w:tcPr>
            <w:tcW w:w="2540" w:type="dxa"/>
            <w:vAlign w:val="bottom"/>
          </w:tcPr>
          <w:p>
            <w:pPr>
              <w:spacing w:after="0"/>
              <w:rPr>
                <w:sz w:val="20"/>
                <w:szCs w:val="20"/>
                <w:color w:val="auto"/>
              </w:rPr>
            </w:pPr>
            <w:r>
              <w:rPr>
                <w:rFonts w:ascii="Arial" w:cs="Arial" w:eastAsia="Arial" w:hAnsi="Arial"/>
                <w:sz w:val="17"/>
                <w:szCs w:val="17"/>
                <w:color w:val="auto"/>
              </w:rPr>
              <w:t>Equity securities</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103</w:t>
            </w:r>
          </w:p>
        </w:tc>
        <w:tc>
          <w:tcPr>
            <w:tcW w:w="260" w:type="dxa"/>
            <w:vAlign w:val="bottom"/>
          </w:tcPr>
          <w:p>
            <w:pPr>
              <w:spacing w:after="0"/>
              <w:rPr>
                <w:sz w:val="22"/>
                <w:szCs w:val="22"/>
                <w:color w:val="auto"/>
              </w:rPr>
            </w:pPr>
          </w:p>
        </w:tc>
        <w:tc>
          <w:tcPr>
            <w:tcW w:w="580" w:type="dxa"/>
            <w:vAlign w:val="bottom"/>
          </w:tcPr>
          <w:p>
            <w:pPr>
              <w:jc w:val="right"/>
              <w:ind w:right="75"/>
              <w:spacing w:after="0"/>
              <w:rPr>
                <w:sz w:val="20"/>
                <w:szCs w:val="20"/>
                <w:color w:val="auto"/>
              </w:rPr>
            </w:pPr>
            <w:r>
              <w:rPr>
                <w:rFonts w:ascii="Arial" w:cs="Arial" w:eastAsia="Arial" w:hAnsi="Arial"/>
                <w:sz w:val="17"/>
                <w:szCs w:val="17"/>
                <w:color w:val="auto"/>
              </w:rPr>
              <w:t>62</w:t>
            </w:r>
          </w:p>
        </w:tc>
        <w:tc>
          <w:tcPr>
            <w:tcW w:w="320" w:type="dxa"/>
            <w:vAlign w:val="bottom"/>
          </w:tcPr>
          <w:p>
            <w:pPr>
              <w:spacing w:after="0"/>
              <w:rPr>
                <w:sz w:val="22"/>
                <w:szCs w:val="22"/>
                <w:color w:val="auto"/>
              </w:rPr>
            </w:pPr>
          </w:p>
        </w:tc>
        <w:tc>
          <w:tcPr>
            <w:tcW w:w="580" w:type="dxa"/>
            <w:vAlign w:val="bottom"/>
          </w:tcPr>
          <w:p>
            <w:pPr>
              <w:jc w:val="right"/>
              <w:ind w:right="215"/>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22"/>
                <w:szCs w:val="22"/>
                <w:color w:val="auto"/>
              </w:rPr>
            </w:pP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22"/>
                <w:szCs w:val="22"/>
                <w:color w:val="auto"/>
              </w:rPr>
            </w:pP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70</w:t>
            </w:r>
          </w:p>
        </w:tc>
        <w:tc>
          <w:tcPr>
            <w:tcW w:w="900" w:type="dxa"/>
            <w:vAlign w:val="bottom"/>
          </w:tcPr>
          <w:p>
            <w:pPr>
              <w:jc w:val="right"/>
              <w:ind w:right="196"/>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8"/>
        </w:trPr>
        <w:tc>
          <w:tcPr>
            <w:tcW w:w="2540" w:type="dxa"/>
            <w:vAlign w:val="bottom"/>
          </w:tcPr>
          <w:p>
            <w:pPr>
              <w:spacing w:after="0"/>
              <w:rPr>
                <w:sz w:val="20"/>
                <w:szCs w:val="20"/>
                <w:color w:val="auto"/>
              </w:rPr>
            </w:pPr>
            <w:r>
              <w:rPr>
                <w:rFonts w:ascii="Arial" w:cs="Arial" w:eastAsia="Arial" w:hAnsi="Arial"/>
                <w:sz w:val="17"/>
                <w:szCs w:val="17"/>
                <w:color w:val="auto"/>
              </w:rPr>
              <w:t>Interest rate swap contracts</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c>
          <w:tcPr>
            <w:tcW w:w="260" w:type="dxa"/>
            <w:vAlign w:val="bottom"/>
          </w:tcPr>
          <w:p>
            <w:pPr>
              <w:spacing w:after="0"/>
              <w:rPr>
                <w:sz w:val="22"/>
                <w:szCs w:val="22"/>
                <w:color w:val="auto"/>
              </w:rPr>
            </w:pPr>
          </w:p>
        </w:tc>
        <w:tc>
          <w:tcPr>
            <w:tcW w:w="5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580" w:type="dxa"/>
            <w:vAlign w:val="bottom"/>
          </w:tcPr>
          <w:p>
            <w:pPr>
              <w:jc w:val="right"/>
              <w:ind w:right="215"/>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22"/>
                <w:szCs w:val="22"/>
                <w:color w:val="auto"/>
              </w:rPr>
            </w:pP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6"/>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contracts</w:t>
            </w: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61</w:t>
            </w: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2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313</w:t>
            </w: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r>
      <w:tr>
        <w:trPr>
          <w:trHeight w:val="248"/>
        </w:trPr>
        <w:tc>
          <w:tcPr>
            <w:tcW w:w="2540" w:type="dxa"/>
            <w:vAlign w:val="bottom"/>
          </w:tcPr>
          <w:p>
            <w:pPr>
              <w:spacing w:after="0"/>
              <w:rPr>
                <w:sz w:val="20"/>
                <w:szCs w:val="20"/>
                <w:color w:val="auto"/>
              </w:rPr>
            </w:pPr>
            <w:r>
              <w:rPr>
                <w:rFonts w:ascii="Arial" w:cs="Arial" w:eastAsia="Arial" w:hAnsi="Arial"/>
                <w:sz w:val="17"/>
                <w:szCs w:val="17"/>
                <w:color w:val="auto"/>
              </w:rPr>
              <w:t>Total assets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5,457</w:t>
            </w:r>
          </w:p>
        </w:tc>
        <w:tc>
          <w:tcPr>
            <w:tcW w:w="260" w:type="dxa"/>
            <w:vAlign w:val="bottom"/>
          </w:tcPr>
          <w:p>
            <w:pPr>
              <w:ind w:left="1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ind w:right="75"/>
              <w:spacing w:after="0"/>
              <w:rPr>
                <w:sz w:val="20"/>
                <w:szCs w:val="20"/>
                <w:color w:val="auto"/>
              </w:rPr>
            </w:pPr>
            <w:r>
              <w:rPr>
                <w:rFonts w:ascii="Arial" w:cs="Arial" w:eastAsia="Arial" w:hAnsi="Arial"/>
                <w:sz w:val="17"/>
                <w:szCs w:val="17"/>
                <w:color w:val="auto"/>
                <w:w w:val="93"/>
              </w:rPr>
              <w:t>4,930</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5"/>
              <w:spacing w:after="0"/>
              <w:rPr>
                <w:sz w:val="20"/>
                <w:szCs w:val="20"/>
                <w:color w:val="auto"/>
              </w:rPr>
            </w:pPr>
            <w:r>
              <w:rPr>
                <w:rFonts w:ascii="Arial" w:cs="Arial" w:eastAsia="Arial" w:hAnsi="Arial"/>
                <w:sz w:val="17"/>
                <w:szCs w:val="17"/>
                <w:color w:val="auto"/>
                <w:w w:val="91"/>
              </w:rPr>
              <w:t>527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5,978</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w w:val="98"/>
              </w:rPr>
              <w:t>5,249</w:t>
            </w:r>
          </w:p>
        </w:tc>
        <w:tc>
          <w:tcPr>
            <w:tcW w:w="900" w:type="dxa"/>
            <w:vAlign w:val="bottom"/>
          </w:tcPr>
          <w:p>
            <w:pPr>
              <w:jc w:val="right"/>
              <w:ind w:right="196"/>
              <w:spacing w:after="0"/>
              <w:rPr>
                <w:sz w:val="20"/>
                <w:szCs w:val="20"/>
                <w:color w:val="auto"/>
              </w:rPr>
            </w:pPr>
            <w:r>
              <w:rPr>
                <w:rFonts w:ascii="Arial" w:cs="Arial" w:eastAsia="Arial" w:hAnsi="Arial"/>
                <w:sz w:val="17"/>
                <w:szCs w:val="17"/>
                <w:color w:val="auto"/>
              </w:rPr>
              <w:t>$729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2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6"/>
        </w:trPr>
        <w:tc>
          <w:tcPr>
            <w:tcW w:w="25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2"/>
        </w:trPr>
        <w:tc>
          <w:tcPr>
            <w:tcW w:w="2540" w:type="dxa"/>
            <w:vAlign w:val="bottom"/>
          </w:tcPr>
          <w:p>
            <w:pPr>
              <w:spacing w:after="0"/>
              <w:rPr>
                <w:sz w:val="20"/>
                <w:szCs w:val="20"/>
                <w:color w:val="auto"/>
              </w:rPr>
            </w:pPr>
            <w:r>
              <w:rPr>
                <w:rFonts w:ascii="Arial" w:cs="Arial" w:eastAsia="Arial" w:hAnsi="Arial"/>
                <w:sz w:val="17"/>
                <w:szCs w:val="17"/>
                <w:color w:val="auto"/>
              </w:rPr>
              <w:t>Interest rate swap contracts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21</w:t>
            </w:r>
          </w:p>
        </w:tc>
        <w:tc>
          <w:tcPr>
            <w:tcW w:w="260" w:type="dxa"/>
            <w:vAlign w:val="bottom"/>
          </w:tcPr>
          <w:p>
            <w:pPr>
              <w:ind w:left="1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5"/>
              <w:spacing w:after="0"/>
              <w:rPr>
                <w:sz w:val="20"/>
                <w:szCs w:val="20"/>
                <w:color w:val="auto"/>
              </w:rPr>
            </w:pPr>
            <w:r>
              <w:rPr>
                <w:rFonts w:ascii="Arial" w:cs="Arial" w:eastAsia="Arial" w:hAnsi="Arial"/>
                <w:sz w:val="17"/>
                <w:szCs w:val="17"/>
                <w:color w:val="auto"/>
              </w:rPr>
              <w:t>21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231</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6"/>
              <w:spacing w:after="0"/>
              <w:rPr>
                <w:sz w:val="20"/>
                <w:szCs w:val="20"/>
                <w:color w:val="auto"/>
              </w:rPr>
            </w:pPr>
            <w:r>
              <w:rPr>
                <w:rFonts w:ascii="Arial" w:cs="Arial" w:eastAsia="Arial" w:hAnsi="Arial"/>
                <w:sz w:val="17"/>
                <w:szCs w:val="17"/>
                <w:color w:val="auto"/>
              </w:rPr>
              <w:t>$231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8"/>
        </w:trPr>
        <w:tc>
          <w:tcPr>
            <w:tcW w:w="2540" w:type="dxa"/>
            <w:vAlign w:val="bottom"/>
          </w:tcPr>
          <w:p>
            <w:pPr>
              <w:spacing w:after="0"/>
              <w:rPr>
                <w:sz w:val="20"/>
                <w:szCs w:val="20"/>
                <w:color w:val="auto"/>
              </w:rPr>
            </w:pPr>
            <w:r>
              <w:rPr>
                <w:rFonts w:ascii="Arial" w:cs="Arial" w:eastAsia="Arial" w:hAnsi="Arial"/>
                <w:sz w:val="17"/>
                <w:szCs w:val="17"/>
                <w:color w:val="auto"/>
              </w:rPr>
              <w:t>Foreign currency contracts</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519</w:t>
            </w:r>
          </w:p>
        </w:tc>
        <w:tc>
          <w:tcPr>
            <w:tcW w:w="260" w:type="dxa"/>
            <w:vAlign w:val="bottom"/>
          </w:tcPr>
          <w:p>
            <w:pPr>
              <w:spacing w:after="0"/>
              <w:rPr>
                <w:sz w:val="22"/>
                <w:szCs w:val="22"/>
                <w:color w:val="auto"/>
              </w:rPr>
            </w:pPr>
          </w:p>
        </w:tc>
        <w:tc>
          <w:tcPr>
            <w:tcW w:w="5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580" w:type="dxa"/>
            <w:vAlign w:val="bottom"/>
          </w:tcPr>
          <w:p>
            <w:pPr>
              <w:jc w:val="right"/>
              <w:ind w:right="215"/>
              <w:spacing w:after="0"/>
              <w:rPr>
                <w:sz w:val="20"/>
                <w:szCs w:val="20"/>
                <w:color w:val="auto"/>
              </w:rPr>
            </w:pPr>
            <w:r>
              <w:rPr>
                <w:rFonts w:ascii="Arial" w:cs="Arial" w:eastAsia="Arial" w:hAnsi="Arial"/>
                <w:sz w:val="17"/>
                <w:szCs w:val="17"/>
                <w:color w:val="auto"/>
                <w:w w:val="91"/>
              </w:rPr>
              <w:t>519</w:t>
            </w:r>
          </w:p>
        </w:tc>
        <w:tc>
          <w:tcPr>
            <w:tcW w:w="180" w:type="dxa"/>
            <w:vAlign w:val="bottom"/>
          </w:tcPr>
          <w:p>
            <w:pPr>
              <w:spacing w:after="0"/>
              <w:rPr>
                <w:sz w:val="22"/>
                <w:szCs w:val="22"/>
                <w:color w:val="auto"/>
              </w:rPr>
            </w:pP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w:t>
            </w:r>
          </w:p>
        </w:tc>
        <w:tc>
          <w:tcPr>
            <w:tcW w:w="240" w:type="dxa"/>
            <w:vAlign w:val="bottom"/>
          </w:tcPr>
          <w:p>
            <w:pPr>
              <w:spacing w:after="0"/>
              <w:rPr>
                <w:sz w:val="22"/>
                <w:szCs w:val="22"/>
                <w:color w:val="auto"/>
              </w:rPr>
            </w:pP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6"/>
              <w:spacing w:after="0"/>
              <w:rPr>
                <w:sz w:val="20"/>
                <w:szCs w:val="20"/>
                <w:color w:val="auto"/>
              </w:rPr>
            </w:pPr>
            <w:r>
              <w:rPr>
                <w:rFonts w:ascii="Arial" w:cs="Arial" w:eastAsia="Arial" w:hAnsi="Arial"/>
                <w:sz w:val="17"/>
                <w:szCs w:val="17"/>
                <w:color w:val="auto"/>
              </w:rPr>
              <w:t>35</w:t>
            </w:r>
          </w:p>
        </w:tc>
        <w:tc>
          <w:tcPr>
            <w:tcW w:w="1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8"/>
        </w:trPr>
        <w:tc>
          <w:tcPr>
            <w:tcW w:w="2540" w:type="dxa"/>
            <w:vAlign w:val="bottom"/>
          </w:tcPr>
          <w:p>
            <w:pPr>
              <w:spacing w:after="0"/>
              <w:rPr>
                <w:sz w:val="20"/>
                <w:szCs w:val="20"/>
                <w:color w:val="auto"/>
              </w:rPr>
            </w:pPr>
            <w:r>
              <w:rPr>
                <w:rFonts w:ascii="Arial" w:cs="Arial" w:eastAsia="Arial" w:hAnsi="Arial"/>
                <w:sz w:val="17"/>
                <w:szCs w:val="17"/>
                <w:color w:val="auto"/>
              </w:rPr>
              <w:t>Financing liability</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378</w:t>
            </w:r>
          </w:p>
        </w:tc>
        <w:tc>
          <w:tcPr>
            <w:tcW w:w="260" w:type="dxa"/>
            <w:vAlign w:val="bottom"/>
          </w:tcPr>
          <w:p>
            <w:pPr>
              <w:spacing w:after="0"/>
              <w:rPr>
                <w:sz w:val="22"/>
                <w:szCs w:val="22"/>
                <w:color w:val="auto"/>
              </w:rPr>
            </w:pPr>
          </w:p>
        </w:tc>
        <w:tc>
          <w:tcPr>
            <w:tcW w:w="5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5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378</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328</w:t>
            </w:r>
          </w:p>
        </w:tc>
        <w:tc>
          <w:tcPr>
            <w:tcW w:w="240" w:type="dxa"/>
            <w:vAlign w:val="bottom"/>
          </w:tcPr>
          <w:p>
            <w:pPr>
              <w:spacing w:after="0"/>
              <w:rPr>
                <w:sz w:val="22"/>
                <w:szCs w:val="22"/>
                <w:color w:val="auto"/>
              </w:rPr>
            </w:pP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328</w:t>
            </w:r>
          </w:p>
        </w:tc>
        <w:tc>
          <w:tcPr>
            <w:tcW w:w="20" w:type="dxa"/>
            <w:vAlign w:val="bottom"/>
          </w:tcPr>
          <w:p>
            <w:pPr>
              <w:spacing w:after="0"/>
              <w:rPr>
                <w:sz w:val="22"/>
                <w:szCs w:val="22"/>
                <w:color w:val="auto"/>
              </w:rPr>
            </w:pPr>
          </w:p>
        </w:tc>
      </w:tr>
      <w:tr>
        <w:trPr>
          <w:trHeight w:val="266"/>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Contingent consideration</w:t>
            </w: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25,374</w:t>
            </w: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6"/>
              </w:rPr>
              <w:t>25,374</w:t>
            </w: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21,666</w:t>
            </w:r>
          </w:p>
        </w:tc>
        <w:tc>
          <w:tcPr>
            <w:tcW w:w="2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21,666</w:t>
            </w:r>
          </w:p>
        </w:tc>
        <w:tc>
          <w:tcPr>
            <w:tcW w:w="20" w:type="dxa"/>
            <w:vAlign w:val="bottom"/>
          </w:tcPr>
          <w:p>
            <w:pPr>
              <w:spacing w:after="0"/>
              <w:rPr>
                <w:sz w:val="23"/>
                <w:szCs w:val="23"/>
                <w:color w:val="auto"/>
              </w:rPr>
            </w:pPr>
          </w:p>
        </w:tc>
      </w:tr>
      <w:tr>
        <w:trPr>
          <w:trHeight w:val="248"/>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26,292</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91"/>
              </w:rPr>
              <w:t>540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6"/>
              </w:rPr>
              <w:t>25,752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22,260</w:t>
            </w: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21,994</w:t>
            </w:r>
          </w:p>
        </w:tc>
        <w:tc>
          <w:tcPr>
            <w:tcW w:w="20" w:type="dxa"/>
            <w:vAlign w:val="bottom"/>
          </w:tcPr>
          <w:p>
            <w:pPr>
              <w:spacing w:after="0"/>
              <w:rPr>
                <w:sz w:val="21"/>
                <w:szCs w:val="21"/>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359"/>
        <w:spacing w:after="0" w:line="264" w:lineRule="auto"/>
        <w:rPr>
          <w:sz w:val="20"/>
          <w:szCs w:val="20"/>
          <w:color w:val="auto"/>
        </w:rPr>
      </w:pPr>
      <w:r>
        <w:rPr>
          <w:rFonts w:ascii="Arial" w:cs="Arial" w:eastAsia="Arial" w:hAnsi="Arial"/>
          <w:sz w:val="20"/>
          <w:szCs w:val="20"/>
          <w:color w:val="auto"/>
        </w:rPr>
        <w:t>Money market funds and time deposits are valued using relevant observable market inputs including quoted prices for similar assets and interest rate curves. Equity securities primarily consist of investments for which the fair values were determined by using the published market prices per unit multiplied by the number of units held, without consideration of transaction costs. The derivatives entered into by the company were valued using observable market inputs including published interest rate curves and both forward and spot prices for foreign currencies.</w:t>
      </w:r>
    </w:p>
    <w:p>
      <w:pPr>
        <w:spacing w:after="0" w:line="132" w:lineRule="exact"/>
        <w:rPr>
          <w:sz w:val="20"/>
          <w:szCs w:val="20"/>
          <w:color w:val="auto"/>
        </w:rPr>
      </w:pPr>
    </w:p>
    <w:p>
      <w:pPr>
        <w:ind w:firstLine="359"/>
        <w:spacing w:after="0" w:line="262" w:lineRule="auto"/>
        <w:rPr>
          <w:sz w:val="20"/>
          <w:szCs w:val="20"/>
          <w:color w:val="auto"/>
        </w:rPr>
      </w:pPr>
      <w:r>
        <w:rPr>
          <w:rFonts w:ascii="Arial" w:cs="Arial" w:eastAsia="Arial" w:hAnsi="Arial"/>
          <w:sz w:val="20"/>
          <w:szCs w:val="20"/>
          <w:color w:val="auto"/>
        </w:rPr>
        <w:t xml:space="preserve">The financing liability is related to financing arrangements which the company elected to account for in accordance with the fair value option, as permitted under ASC 825 </w:t>
      </w:r>
      <w:r>
        <w:rPr>
          <w:rFonts w:ascii="Arial" w:cs="Arial" w:eastAsia="Arial" w:hAnsi="Arial"/>
          <w:sz w:val="20"/>
          <w:szCs w:val="20"/>
          <w:i w:val="1"/>
          <w:iCs w:val="1"/>
          <w:color w:val="auto"/>
        </w:rPr>
        <w:t>Financial Instruments</w:t>
      </w:r>
      <w:r>
        <w:rPr>
          <w:rFonts w:ascii="Arial" w:cs="Arial" w:eastAsia="Arial" w:hAnsi="Arial"/>
          <w:sz w:val="20"/>
          <w:szCs w:val="20"/>
          <w:color w:val="auto"/>
        </w:rPr>
        <w:t>. The fair value measurement of the financing liability was determined based on significant unobservable inputs. Potential payments are estimated by applying a probability-weighted expected payment model, which are then discounted to present value. Changes to the fair value of the financing liability can result from changes to one or a number of inputs, including discount rates, estimated probabilities and timing of achieving milestones and estimated amounts of future sales. The change in fair value recognized in net earnings is recorded in other expense, net in the consolidated statements of earnings and included a charge of $50 million in 2025 and $82 million in 2024. The change in fair value attributable to instrument-specific credit risk is recognized in other comprehensive income (loss) and were insignificant in 2025 and 2024.</w:t>
      </w:r>
    </w:p>
    <w:p>
      <w:pPr>
        <w:spacing w:after="0" w:line="136" w:lineRule="exact"/>
        <w:rPr>
          <w:sz w:val="20"/>
          <w:szCs w:val="20"/>
          <w:color w:val="auto"/>
        </w:rPr>
      </w:pPr>
    </w:p>
    <w:p>
      <w:pPr>
        <w:ind w:firstLine="359"/>
        <w:spacing w:after="0" w:line="262" w:lineRule="auto"/>
        <w:rPr>
          <w:sz w:val="20"/>
          <w:szCs w:val="20"/>
          <w:color w:val="auto"/>
        </w:rPr>
      </w:pPr>
      <w:r>
        <w:rPr>
          <w:rFonts w:ascii="Arial" w:cs="Arial" w:eastAsia="Arial" w:hAnsi="Arial"/>
          <w:sz w:val="20"/>
          <w:szCs w:val="20"/>
          <w:color w:val="auto"/>
        </w:rPr>
        <w:t>The fair value measurements of the contingent consideration liabilities were determined based on significant unobservable inputs, including the discount rate, estimated probabilities and timing of achieving specified development, regulatory and commercial milestones and the estimated amount of future sales of the acquired products. The potential contingent consideration payments are estimated by applying a probability-weighted expected payment model for contingent milestone payments and a Monte Carlo simulation model for contingent royalty payments, which are then discounted to present value.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certain of these inputs. Changes to the inputs described above could have a material impact on the company’s financial position and results of operations in any given period.</w:t>
      </w:r>
    </w:p>
    <w:p>
      <w:pPr>
        <w:sectPr>
          <w:pgSz w:w="11880" w:h="15480" w:orient="portrait"/>
          <w:cols w:equalWidth="0" w:num="1">
            <w:col w:w="9100"/>
          </w:cols>
          <w:pgMar w:left="1400" w:top="1025"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87</w:t>
      </w:r>
    </w:p>
    <w:p>
      <w:pPr>
        <w:sectPr>
          <w:pgSz w:w="11880" w:h="15480" w:orient="portrait"/>
          <w:cols w:equalWidth="0" w:num="1">
            <w:col w:w="9100"/>
          </w:cols>
          <w:pgMar w:left="1400" w:top="1025" w:right="1380" w:bottom="87" w:gutter="0" w:footer="0" w:header="0"/>
          <w:type w:val="continuous"/>
        </w:sectPr>
      </w:pPr>
    </w:p>
    <w:bookmarkStart w:id="93" w:name="page94"/>
    <w:bookmarkEnd w:id="93"/>
    <w:p>
      <w:pPr>
        <w:ind w:left="10" w:right="760" w:firstLine="359"/>
        <w:spacing w:after="0" w:line="241" w:lineRule="auto"/>
        <w:rPr>
          <w:sz w:val="20"/>
          <w:szCs w:val="20"/>
          <w:color w:val="auto"/>
        </w:rPr>
      </w:pPr>
      <w:r>
        <w:rPr>
          <w:rFonts w:ascii="Arial" w:cs="Arial" w:eastAsia="Arial" w:hAnsi="Arial"/>
          <w:sz w:val="20"/>
          <w:szCs w:val="20"/>
          <w:color w:val="auto"/>
        </w:rPr>
        <w:t>The fair value of the company’s contingent consideration liabilities was calculated using the following significant unobservable inputs:</w:t>
      </w:r>
    </w:p>
    <w:tbl>
      <w:tblPr>
        <w:tblLayout w:type="fixed"/>
        <w:tblInd w:w="10" w:type="dxa"/>
        <w:tblCellMar>
          <w:top w:w="0" w:type="dxa"/>
          <w:left w:w="0" w:type="dxa"/>
          <w:bottom w:w="0" w:type="dxa"/>
          <w:right w:w="0" w:type="dxa"/>
        </w:tblCellMar>
      </w:tblPr>
      <w:tr>
        <w:trPr>
          <w:trHeight w:val="181"/>
        </w:trPr>
        <w:tc>
          <w:tcPr>
            <w:tcW w:w="498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2025</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spacing w:after="0"/>
              <w:rPr>
                <w:sz w:val="15"/>
                <w:szCs w:val="15"/>
                <w:color w:val="auto"/>
              </w:rPr>
            </w:pPr>
          </w:p>
        </w:tc>
      </w:tr>
      <w:tr>
        <w:trPr>
          <w:trHeight w:val="181"/>
        </w:trPr>
        <w:tc>
          <w:tcPr>
            <w:tcW w:w="4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gridSpan w:val="2"/>
          </w:tcPr>
          <w:p>
            <w:pPr>
              <w:jc w:val="right"/>
              <w:ind w:right="100"/>
              <w:spacing w:after="0" w:line="181" w:lineRule="exact"/>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Weighted</w:t>
            </w:r>
          </w:p>
        </w:tc>
      </w:tr>
      <w:tr>
        <w:trPr>
          <w:trHeight w:val="227"/>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Range</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w w:val="96"/>
              </w:rPr>
              <w:t>Average</w:t>
            </w:r>
            <w:r>
              <w:rPr>
                <w:rFonts w:ascii="Arial" w:cs="Arial" w:eastAsia="Arial" w:hAnsi="Arial"/>
                <w:sz w:val="19"/>
                <w:szCs w:val="19"/>
                <w:b w:val="1"/>
                <w:bCs w:val="1"/>
                <w:color w:val="auto"/>
                <w:w w:val="96"/>
                <w:vertAlign w:val="superscript"/>
              </w:rPr>
              <w:t>(a)</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Range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Average</w:t>
            </w:r>
            <w:r>
              <w:rPr>
                <w:rFonts w:ascii="Arial" w:cs="Arial" w:eastAsia="Arial" w:hAnsi="Arial"/>
                <w:sz w:val="19"/>
                <w:szCs w:val="19"/>
                <w:b w:val="1"/>
                <w:bCs w:val="1"/>
                <w:color w:val="auto"/>
                <w:w w:val="99"/>
                <w:vertAlign w:val="superscript"/>
              </w:rPr>
              <w:t>(a)</w:t>
            </w:r>
          </w:p>
        </w:tc>
      </w:tr>
      <w:tr>
        <w:trPr>
          <w:trHeight w:val="264"/>
        </w:trPr>
        <w:tc>
          <w:tcPr>
            <w:tcW w:w="4980" w:type="dxa"/>
            <w:vAlign w:val="bottom"/>
          </w:tcPr>
          <w:p>
            <w:pPr>
              <w:spacing w:after="0"/>
              <w:rPr>
                <w:sz w:val="20"/>
                <w:szCs w:val="20"/>
                <w:color w:val="auto"/>
              </w:rPr>
            </w:pPr>
            <w:r>
              <w:rPr>
                <w:rFonts w:ascii="Arial" w:cs="Arial" w:eastAsia="Arial" w:hAnsi="Arial"/>
                <w:sz w:val="20"/>
                <w:szCs w:val="20"/>
                <w:color w:val="auto"/>
              </w:rPr>
              <w:t>Discount rate</w:t>
            </w:r>
          </w:p>
        </w:tc>
        <w:tc>
          <w:tcPr>
            <w:tcW w:w="1200" w:type="dxa"/>
            <w:vAlign w:val="bottom"/>
          </w:tcPr>
          <w:p>
            <w:pPr>
              <w:jc w:val="right"/>
              <w:ind w:right="28"/>
              <w:spacing w:after="0"/>
              <w:rPr>
                <w:sz w:val="20"/>
                <w:szCs w:val="20"/>
                <w:color w:val="auto"/>
              </w:rPr>
            </w:pPr>
            <w:r>
              <w:rPr>
                <w:rFonts w:ascii="Arial" w:cs="Arial" w:eastAsia="Arial" w:hAnsi="Arial"/>
                <w:sz w:val="20"/>
                <w:szCs w:val="20"/>
                <w:color w:val="auto"/>
                <w:w w:val="97"/>
              </w:rPr>
              <w:t>3.7% - 4.8%</w:t>
            </w: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auto"/>
              </w:rPr>
              <w:t>4.0%</w:t>
            </w:r>
          </w:p>
        </w:tc>
        <w:tc>
          <w:tcPr>
            <w:tcW w:w="1260" w:type="dxa"/>
            <w:vAlign w:val="bottom"/>
          </w:tcPr>
          <w:p>
            <w:pPr>
              <w:jc w:val="right"/>
              <w:ind w:right="28"/>
              <w:spacing w:after="0"/>
              <w:rPr>
                <w:sz w:val="20"/>
                <w:szCs w:val="20"/>
                <w:color w:val="auto"/>
              </w:rPr>
            </w:pPr>
            <w:r>
              <w:rPr>
                <w:rFonts w:ascii="Arial" w:cs="Arial" w:eastAsia="Arial" w:hAnsi="Arial"/>
                <w:sz w:val="20"/>
                <w:szCs w:val="20"/>
                <w:color w:val="auto"/>
              </w:rPr>
              <w:t>4.6% - 5.2%</w:t>
            </w:r>
          </w:p>
        </w:tc>
        <w:tc>
          <w:tcPr>
            <w:tcW w:w="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79"/>
        </w:trPr>
        <w:tc>
          <w:tcPr>
            <w:tcW w:w="4980" w:type="dxa"/>
            <w:vAlign w:val="bottom"/>
          </w:tcPr>
          <w:p>
            <w:pPr>
              <w:spacing w:after="0"/>
              <w:rPr>
                <w:sz w:val="20"/>
                <w:szCs w:val="20"/>
                <w:color w:val="auto"/>
              </w:rPr>
            </w:pPr>
            <w:r>
              <w:rPr>
                <w:rFonts w:ascii="Arial" w:cs="Arial" w:eastAsia="Arial" w:hAnsi="Arial"/>
                <w:sz w:val="20"/>
                <w:szCs w:val="20"/>
                <w:color w:val="auto"/>
              </w:rPr>
              <w:t>Probability of payment for royalties by indication</w:t>
            </w:r>
          </w:p>
        </w:tc>
        <w:tc>
          <w:tcPr>
            <w:tcW w:w="1200" w:type="dxa"/>
            <w:vAlign w:val="bottom"/>
          </w:tcPr>
          <w:p>
            <w:pPr>
              <w:jc w:val="right"/>
              <w:ind w:right="28"/>
              <w:spacing w:after="0"/>
              <w:rPr>
                <w:sz w:val="20"/>
                <w:szCs w:val="20"/>
                <w:color w:val="auto"/>
              </w:rPr>
            </w:pPr>
            <w:r>
              <w:rPr>
                <w:rFonts w:ascii="Arial" w:cs="Arial" w:eastAsia="Arial" w:hAnsi="Arial"/>
                <w:sz w:val="20"/>
                <w:szCs w:val="20"/>
                <w:color w:val="auto"/>
              </w:rPr>
              <w:t>100%</w:t>
            </w: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auto"/>
              </w:rPr>
              <w:t>100%</w:t>
            </w:r>
          </w:p>
        </w:tc>
        <w:tc>
          <w:tcPr>
            <w:tcW w:w="1260" w:type="dxa"/>
            <w:vAlign w:val="bottom"/>
          </w:tcPr>
          <w:p>
            <w:pPr>
              <w:jc w:val="right"/>
              <w:ind w:right="28"/>
              <w:spacing w:after="0"/>
              <w:rPr>
                <w:sz w:val="20"/>
                <w:szCs w:val="20"/>
                <w:color w:val="auto"/>
              </w:rPr>
            </w:pPr>
            <w:r>
              <w:rPr>
                <w:rFonts w:ascii="Arial" w:cs="Arial" w:eastAsia="Arial" w:hAnsi="Arial"/>
                <w:sz w:val="20"/>
                <w:szCs w:val="20"/>
                <w:color w:val="auto"/>
              </w:rPr>
              <w:t>100%</w:t>
            </w:r>
          </w:p>
        </w:tc>
        <w:tc>
          <w:tcPr>
            <w:tcW w:w="80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82"/>
        </w:trPr>
        <w:tc>
          <w:tcPr>
            <w:tcW w:w="4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Projected year of payments</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20"/>
                <w:szCs w:val="20"/>
                <w:color w:val="auto"/>
                <w:w w:val="99"/>
              </w:rPr>
              <w:t>2026 - 2037</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2030</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20"/>
                <w:szCs w:val="20"/>
                <w:color w:val="auto"/>
              </w:rPr>
              <w:t>2025 - 2034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2029</w:t>
            </w:r>
          </w:p>
        </w:tc>
      </w:tr>
    </w:tbl>
    <w:p>
      <w:pPr>
        <w:spacing w:after="0" w:line="189" w:lineRule="exact"/>
        <w:rPr>
          <w:sz w:val="20"/>
          <w:szCs w:val="20"/>
          <w:color w:val="auto"/>
        </w:rPr>
      </w:pPr>
    </w:p>
    <w:p>
      <w:pPr>
        <w:ind w:left="350" w:right="700" w:hanging="350"/>
        <w:spacing w:after="0" w:line="279" w:lineRule="auto"/>
        <w:tabs>
          <w:tab w:leader="none" w:pos="350" w:val="left"/>
        </w:tabs>
        <w:numPr>
          <w:ilvl w:val="0"/>
          <w:numId w:val="34"/>
        </w:numPr>
        <w:rPr>
          <w:rFonts w:ascii="Arial" w:cs="Arial" w:eastAsia="Arial" w:hAnsi="Arial"/>
          <w:sz w:val="20"/>
          <w:szCs w:val="20"/>
          <w:color w:val="auto"/>
        </w:rPr>
      </w:pPr>
      <w:r>
        <w:rPr>
          <w:rFonts w:ascii="Arial" w:cs="Arial" w:eastAsia="Arial" w:hAnsi="Arial"/>
          <w:sz w:val="20"/>
          <w:szCs w:val="20"/>
          <w:color w:val="auto"/>
        </w:rPr>
        <w:t>Unobservable inputs were weighted by the relative fair value of the contingent consideration liabilities.</w:t>
      </w:r>
    </w:p>
    <w:p>
      <w:pPr>
        <w:spacing w:after="0" w:line="118" w:lineRule="exact"/>
        <w:rPr>
          <w:sz w:val="20"/>
          <w:szCs w:val="20"/>
          <w:color w:val="auto"/>
        </w:rPr>
      </w:pPr>
    </w:p>
    <w:p>
      <w:pPr>
        <w:ind w:left="10" w:right="60" w:firstLine="359"/>
        <w:spacing w:after="0" w:line="269" w:lineRule="auto"/>
        <w:rPr>
          <w:sz w:val="20"/>
          <w:szCs w:val="20"/>
          <w:color w:val="auto"/>
        </w:rPr>
      </w:pPr>
      <w:r>
        <w:rPr>
          <w:rFonts w:ascii="Arial" w:cs="Arial" w:eastAsia="Arial" w:hAnsi="Arial"/>
          <w:sz w:val="20"/>
          <w:szCs w:val="20"/>
          <w:color w:val="auto"/>
        </w:rPr>
        <w:t>There have been no transfers of assets or liabilities into or out of Level 3 of the fair value hierarchy. The following table presents the changes in fair value of contingent consideration liabilities which are measured using Level 3 inputs:</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530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020" w:type="dxa"/>
            <w:vAlign w:val="bottom"/>
          </w:tcPr>
          <w:p>
            <w:pPr>
              <w:jc w:val="right"/>
              <w:ind w:right="244"/>
              <w:spacing w:after="0"/>
              <w:rPr>
                <w:sz w:val="20"/>
                <w:szCs w:val="20"/>
                <w:color w:val="auto"/>
              </w:rPr>
            </w:pPr>
            <w:r>
              <w:rPr>
                <w:rFonts w:ascii="Arial" w:cs="Arial" w:eastAsia="Arial" w:hAnsi="Arial"/>
                <w:sz w:val="16"/>
                <w:szCs w:val="16"/>
                <w:b w:val="1"/>
                <w:bCs w:val="1"/>
                <w:color w:val="auto"/>
              </w:rPr>
              <w:t>2025</w:t>
            </w:r>
          </w:p>
        </w:tc>
        <w:tc>
          <w:tcPr>
            <w:tcW w:w="960" w:type="dxa"/>
            <w:vAlign w:val="bottom"/>
          </w:tcPr>
          <w:p>
            <w:pPr>
              <w:jc w:val="right"/>
              <w:ind w:right="244"/>
              <w:spacing w:after="0"/>
              <w:rPr>
                <w:sz w:val="20"/>
                <w:szCs w:val="20"/>
                <w:color w:val="auto"/>
              </w:rPr>
            </w:pPr>
            <w:r>
              <w:rPr>
                <w:rFonts w:ascii="Arial" w:cs="Arial" w:eastAsia="Arial" w:hAnsi="Arial"/>
                <w:sz w:val="16"/>
                <w:szCs w:val="16"/>
                <w:b w:val="1"/>
                <w:bCs w:val="1"/>
                <w:color w:val="auto"/>
              </w:rPr>
              <w:t>2024</w:t>
            </w:r>
          </w:p>
        </w:tc>
        <w:tc>
          <w:tcPr>
            <w:tcW w:w="820" w:type="dxa"/>
            <w:vAlign w:val="bottom"/>
          </w:tcPr>
          <w:p>
            <w:pPr>
              <w:jc w:val="right"/>
              <w:ind w:right="104"/>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5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300" w:type="dxa"/>
            <w:vAlign w:val="bottom"/>
          </w:tcPr>
          <w:p>
            <w:pPr>
              <w:spacing w:after="0"/>
              <w:rPr>
                <w:sz w:val="20"/>
                <w:szCs w:val="20"/>
                <w:color w:val="auto"/>
              </w:rPr>
            </w:pPr>
            <w:r>
              <w:rPr>
                <w:rFonts w:ascii="Arial" w:cs="Arial" w:eastAsia="Arial" w:hAnsi="Arial"/>
                <w:sz w:val="20"/>
                <w:szCs w:val="20"/>
                <w:color w:val="auto"/>
              </w:rPr>
              <w:t>Beginning balance</w:t>
            </w:r>
          </w:p>
        </w:tc>
        <w:tc>
          <w:tcPr>
            <w:tcW w:w="2020" w:type="dxa"/>
            <w:vAlign w:val="bottom"/>
          </w:tcPr>
          <w:p>
            <w:pPr>
              <w:jc w:val="right"/>
              <w:ind w:right="64"/>
              <w:spacing w:after="0"/>
              <w:rPr>
                <w:sz w:val="20"/>
                <w:szCs w:val="20"/>
                <w:color w:val="auto"/>
              </w:rPr>
            </w:pPr>
            <w:r>
              <w:rPr>
                <w:rFonts w:ascii="Arial" w:cs="Arial" w:eastAsia="Arial" w:hAnsi="Arial"/>
                <w:sz w:val="20"/>
                <w:szCs w:val="20"/>
                <w:color w:val="auto"/>
              </w:rPr>
              <w:t>$21,666</w:t>
            </w:r>
          </w:p>
        </w:tc>
        <w:tc>
          <w:tcPr>
            <w:tcW w:w="960" w:type="dxa"/>
            <w:vAlign w:val="bottom"/>
          </w:tcPr>
          <w:p>
            <w:pPr>
              <w:jc w:val="right"/>
              <w:ind w:right="44"/>
              <w:spacing w:after="0"/>
              <w:rPr>
                <w:sz w:val="20"/>
                <w:szCs w:val="20"/>
                <w:color w:val="auto"/>
              </w:rPr>
            </w:pPr>
            <w:r>
              <w:rPr>
                <w:rFonts w:ascii="Arial" w:cs="Arial" w:eastAsia="Arial" w:hAnsi="Arial"/>
                <w:sz w:val="20"/>
                <w:szCs w:val="20"/>
                <w:color w:val="auto"/>
              </w:rPr>
              <w:t>$19,890</w:t>
            </w:r>
          </w:p>
        </w:tc>
        <w:tc>
          <w:tcPr>
            <w:tcW w:w="820" w:type="dxa"/>
            <w:vAlign w:val="bottom"/>
          </w:tcPr>
          <w:p>
            <w:pPr>
              <w:jc w:val="right"/>
              <w:spacing w:after="0"/>
              <w:rPr>
                <w:sz w:val="20"/>
                <w:szCs w:val="20"/>
                <w:color w:val="auto"/>
              </w:rPr>
            </w:pPr>
            <w:r>
              <w:rPr>
                <w:rFonts w:ascii="Arial" w:cs="Arial" w:eastAsia="Arial" w:hAnsi="Arial"/>
                <w:sz w:val="20"/>
                <w:szCs w:val="20"/>
                <w:color w:val="auto"/>
              </w:rPr>
              <w:t>$16,384</w:t>
            </w:r>
          </w:p>
        </w:tc>
        <w:tc>
          <w:tcPr>
            <w:tcW w:w="60" w:type="dxa"/>
            <w:vAlign w:val="bottom"/>
          </w:tcPr>
          <w:p>
            <w:pPr>
              <w:spacing w:after="0"/>
              <w:rPr>
                <w:sz w:val="22"/>
                <w:szCs w:val="22"/>
                <w:color w:val="auto"/>
              </w:rPr>
            </w:pPr>
          </w:p>
        </w:tc>
      </w:tr>
      <w:tr>
        <w:trPr>
          <w:trHeight w:val="305"/>
        </w:trPr>
        <w:tc>
          <w:tcPr>
            <w:tcW w:w="5300" w:type="dxa"/>
            <w:vAlign w:val="bottom"/>
          </w:tcPr>
          <w:p>
            <w:pPr>
              <w:spacing w:after="0"/>
              <w:rPr>
                <w:sz w:val="20"/>
                <w:szCs w:val="20"/>
                <w:color w:val="auto"/>
              </w:rPr>
            </w:pPr>
            <w:r>
              <w:rPr>
                <w:rFonts w:ascii="Arial" w:cs="Arial" w:eastAsia="Arial" w:hAnsi="Arial"/>
                <w:sz w:val="20"/>
                <w:szCs w:val="20"/>
                <w:color w:val="auto"/>
              </w:rPr>
              <w:t>Additions</w:t>
            </w:r>
            <w:r>
              <w:rPr>
                <w:rFonts w:ascii="Arial" w:cs="Arial" w:eastAsia="Arial" w:hAnsi="Arial"/>
                <w:sz w:val="25"/>
                <w:szCs w:val="25"/>
                <w:color w:val="auto"/>
                <w:vertAlign w:val="superscript"/>
              </w:rPr>
              <w:t>(a)</w:t>
            </w:r>
          </w:p>
        </w:tc>
        <w:tc>
          <w:tcPr>
            <w:tcW w:w="2020" w:type="dxa"/>
            <w:vAlign w:val="bottom"/>
          </w:tcPr>
          <w:p>
            <w:pPr>
              <w:jc w:val="right"/>
              <w:ind w:right="64"/>
              <w:spacing w:after="0"/>
              <w:rPr>
                <w:sz w:val="20"/>
                <w:szCs w:val="20"/>
                <w:color w:val="auto"/>
              </w:rPr>
            </w:pPr>
            <w:r>
              <w:rPr>
                <w:rFonts w:ascii="Arial" w:cs="Arial" w:eastAsia="Arial" w:hAnsi="Arial"/>
                <w:sz w:val="20"/>
                <w:szCs w:val="20"/>
                <w:color w:val="auto"/>
              </w:rPr>
              <w:t>78</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253"/>
        </w:trPr>
        <w:tc>
          <w:tcPr>
            <w:tcW w:w="5300" w:type="dxa"/>
            <w:vAlign w:val="bottom"/>
          </w:tcPr>
          <w:p>
            <w:pPr>
              <w:spacing w:after="0"/>
              <w:rPr>
                <w:sz w:val="20"/>
                <w:szCs w:val="20"/>
                <w:color w:val="auto"/>
              </w:rPr>
            </w:pPr>
            <w:r>
              <w:rPr>
                <w:rFonts w:ascii="Arial" w:cs="Arial" w:eastAsia="Arial" w:hAnsi="Arial"/>
                <w:sz w:val="20"/>
                <w:szCs w:val="20"/>
                <w:color w:val="auto"/>
              </w:rPr>
              <w:t>Change in fair value recognized in net earnings</w:t>
            </w:r>
          </w:p>
        </w:tc>
        <w:tc>
          <w:tcPr>
            <w:tcW w:w="2020" w:type="dxa"/>
            <w:vAlign w:val="bottom"/>
          </w:tcPr>
          <w:p>
            <w:pPr>
              <w:jc w:val="right"/>
              <w:ind w:right="64"/>
              <w:spacing w:after="0"/>
              <w:rPr>
                <w:sz w:val="20"/>
                <w:szCs w:val="20"/>
                <w:color w:val="auto"/>
              </w:rPr>
            </w:pPr>
            <w:r>
              <w:rPr>
                <w:rFonts w:ascii="Arial" w:cs="Arial" w:eastAsia="Arial" w:hAnsi="Arial"/>
                <w:sz w:val="20"/>
                <w:szCs w:val="20"/>
                <w:color w:val="auto"/>
              </w:rPr>
              <w:t>6,495</w:t>
            </w:r>
          </w:p>
        </w:tc>
        <w:tc>
          <w:tcPr>
            <w:tcW w:w="960" w:type="dxa"/>
            <w:vAlign w:val="bottom"/>
          </w:tcPr>
          <w:p>
            <w:pPr>
              <w:jc w:val="right"/>
              <w:ind w:right="64"/>
              <w:spacing w:after="0"/>
              <w:rPr>
                <w:sz w:val="20"/>
                <w:szCs w:val="20"/>
                <w:color w:val="auto"/>
              </w:rPr>
            </w:pPr>
            <w:r>
              <w:rPr>
                <w:rFonts w:ascii="Arial" w:cs="Arial" w:eastAsia="Arial" w:hAnsi="Arial"/>
                <w:sz w:val="20"/>
                <w:szCs w:val="20"/>
                <w:color w:val="auto"/>
              </w:rPr>
              <w:t>3,771</w:t>
            </w:r>
          </w:p>
        </w:tc>
        <w:tc>
          <w:tcPr>
            <w:tcW w:w="820" w:type="dxa"/>
            <w:vAlign w:val="bottom"/>
          </w:tcPr>
          <w:p>
            <w:pPr>
              <w:jc w:val="right"/>
              <w:spacing w:after="0"/>
              <w:rPr>
                <w:sz w:val="20"/>
                <w:szCs w:val="20"/>
                <w:color w:val="auto"/>
              </w:rPr>
            </w:pPr>
            <w:r>
              <w:rPr>
                <w:rFonts w:ascii="Arial" w:cs="Arial" w:eastAsia="Arial" w:hAnsi="Arial"/>
                <w:sz w:val="20"/>
                <w:szCs w:val="20"/>
                <w:color w:val="auto"/>
              </w:rPr>
              <w:t>5,128</w:t>
            </w:r>
          </w:p>
        </w:tc>
        <w:tc>
          <w:tcPr>
            <w:tcW w:w="60" w:type="dxa"/>
            <w:vAlign w:val="bottom"/>
          </w:tcPr>
          <w:p>
            <w:pPr>
              <w:spacing w:after="0"/>
              <w:rPr>
                <w:sz w:val="22"/>
                <w:szCs w:val="22"/>
                <w:color w:val="auto"/>
              </w:rPr>
            </w:pPr>
          </w:p>
        </w:tc>
      </w:tr>
      <w:tr>
        <w:trPr>
          <w:trHeight w:val="282"/>
        </w:trPr>
        <w:tc>
          <w:tcPr>
            <w:tcW w:w="5300" w:type="dxa"/>
            <w:vAlign w:val="bottom"/>
          </w:tcPr>
          <w:p>
            <w:pPr>
              <w:spacing w:after="0"/>
              <w:rPr>
                <w:sz w:val="20"/>
                <w:szCs w:val="20"/>
                <w:color w:val="auto"/>
              </w:rPr>
            </w:pPr>
            <w:r>
              <w:rPr>
                <w:rFonts w:ascii="Arial" w:cs="Arial" w:eastAsia="Arial" w:hAnsi="Arial"/>
                <w:sz w:val="20"/>
                <w:szCs w:val="20"/>
                <w:color w:val="auto"/>
              </w:rPr>
              <w:t>Payments</w:t>
            </w:r>
          </w:p>
        </w:tc>
        <w:tc>
          <w:tcPr>
            <w:tcW w:w="2020" w:type="dxa"/>
            <w:vAlign w:val="bottom"/>
          </w:tcPr>
          <w:p>
            <w:pPr>
              <w:jc w:val="right"/>
              <w:spacing w:after="0"/>
              <w:rPr>
                <w:sz w:val="20"/>
                <w:szCs w:val="20"/>
                <w:color w:val="auto"/>
              </w:rPr>
            </w:pPr>
            <w:r>
              <w:rPr>
                <w:rFonts w:ascii="Arial" w:cs="Arial" w:eastAsia="Arial" w:hAnsi="Arial"/>
                <w:sz w:val="20"/>
                <w:szCs w:val="20"/>
                <w:color w:val="auto"/>
              </w:rPr>
              <w:t>(2,865)</w:t>
            </w:r>
          </w:p>
        </w:tc>
        <w:tc>
          <w:tcPr>
            <w:tcW w:w="960" w:type="dxa"/>
            <w:vAlign w:val="bottom"/>
          </w:tcPr>
          <w:p>
            <w:pPr>
              <w:jc w:val="right"/>
              <w:spacing w:after="0"/>
              <w:rPr>
                <w:sz w:val="20"/>
                <w:szCs w:val="20"/>
                <w:color w:val="auto"/>
              </w:rPr>
            </w:pPr>
            <w:r>
              <w:rPr>
                <w:rFonts w:ascii="Arial" w:cs="Arial" w:eastAsia="Arial" w:hAnsi="Arial"/>
                <w:sz w:val="20"/>
                <w:szCs w:val="20"/>
                <w:color w:val="auto"/>
              </w:rPr>
              <w:t>(1,995)</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(1,622)</w:t>
            </w:r>
          </w:p>
        </w:tc>
      </w:tr>
      <w:tr>
        <w:trPr>
          <w:trHeight w:val="269"/>
        </w:trPr>
        <w:tc>
          <w:tcPr>
            <w:tcW w:w="53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Ending balance</w:t>
            </w:r>
          </w:p>
        </w:tc>
        <w:tc>
          <w:tcPr>
            <w:tcW w:w="20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20"/>
                <w:szCs w:val="20"/>
                <w:color w:val="auto"/>
              </w:rPr>
              <w:t>$25,374</w:t>
            </w:r>
          </w:p>
        </w:tc>
        <w:tc>
          <w:tcPr>
            <w:tcW w:w="9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20"/>
                <w:szCs w:val="20"/>
                <w:color w:val="auto"/>
              </w:rPr>
              <w:t>$21,666</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$19,890</w:t>
            </w:r>
          </w:p>
        </w:tc>
        <w:tc>
          <w:tcPr>
            <w:tcW w:w="60" w:type="dxa"/>
            <w:vAlign w:val="bottom"/>
          </w:tcPr>
          <w:p>
            <w:pPr>
              <w:spacing w:after="0"/>
              <w:rPr>
                <w:sz w:val="23"/>
                <w:szCs w:val="23"/>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ind w:left="350" w:right="200" w:hanging="350"/>
        <w:spacing w:after="0" w:line="279" w:lineRule="auto"/>
        <w:tabs>
          <w:tab w:leader="none" w:pos="35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Additions during the year ended December 31, 2025, represent contingent consideration liabilities related to the Nimble acquisition.</w:t>
      </w:r>
    </w:p>
    <w:p>
      <w:pPr>
        <w:spacing w:after="0" w:line="118" w:lineRule="exact"/>
        <w:rPr>
          <w:sz w:val="20"/>
          <w:szCs w:val="20"/>
          <w:color w:val="auto"/>
        </w:rPr>
      </w:pPr>
    </w:p>
    <w:p>
      <w:pPr>
        <w:ind w:left="10" w:right="60" w:firstLine="359"/>
        <w:spacing w:after="0" w:line="263" w:lineRule="auto"/>
        <w:rPr>
          <w:sz w:val="20"/>
          <w:szCs w:val="20"/>
          <w:color w:val="auto"/>
        </w:rPr>
      </w:pPr>
      <w:r>
        <w:rPr>
          <w:rFonts w:ascii="Arial" w:cs="Arial" w:eastAsia="Arial" w:hAnsi="Arial"/>
          <w:sz w:val="20"/>
          <w:szCs w:val="20"/>
          <w:color w:val="auto"/>
        </w:rPr>
        <w:t>The change in fair value recognized in net earnings is recorded in other expense, net in the consolidated statements of earnings and included charges of $6.5 billion in 2025, $3.8 billion in 2024 and $5.1 billion in 2023. In 2025, the change in fair value reflected higher estimated Skyrizi sales, the passage of time, lower discount rates and a longer estimated royalty period. In 2024, the change in fair value reflected higher estimated Skyrizi sales and the passage of time, partially offset by higher discount rates. In 2023, the change in fair value reflected higher estimated Skyrizi sales, the passage of time and lower discount rates.</w:t>
      </w:r>
    </w:p>
    <w:p>
      <w:pPr>
        <w:spacing w:after="0" w:line="135" w:lineRule="exact"/>
        <w:rPr>
          <w:sz w:val="20"/>
          <w:szCs w:val="20"/>
          <w:color w:val="auto"/>
        </w:rPr>
      </w:pPr>
    </w:p>
    <w:p>
      <w:pPr>
        <w:ind w:left="10" w:right="260" w:firstLine="359"/>
        <w:spacing w:after="0" w:line="266" w:lineRule="auto"/>
        <w:rPr>
          <w:sz w:val="20"/>
          <w:szCs w:val="20"/>
          <w:color w:val="auto"/>
        </w:rPr>
      </w:pPr>
      <w:r>
        <w:rPr>
          <w:rFonts w:ascii="Arial" w:cs="Arial" w:eastAsia="Arial" w:hAnsi="Arial"/>
          <w:sz w:val="20"/>
          <w:szCs w:val="20"/>
          <w:color w:val="auto"/>
        </w:rPr>
        <w:t>Contingent consideration payments of amounts up to the initial acquisition date fair value are classified as cash outflows from financing activities and payments of amounts in excess of the initial acquisition date fair value are classified as cash outflows from operating activities in the consolidated statements of cash flows.</w:t>
      </w:r>
    </w:p>
    <w:p>
      <w:pPr>
        <w:spacing w:after="0" w:line="132" w:lineRule="exact"/>
        <w:rPr>
          <w:sz w:val="20"/>
          <w:szCs w:val="20"/>
          <w:color w:val="auto"/>
        </w:rPr>
      </w:pPr>
    </w:p>
    <w:p>
      <w:pPr>
        <w:jc w:val="both"/>
        <w:ind w:left="10" w:right="200" w:firstLine="359"/>
        <w:spacing w:after="0" w:line="269" w:lineRule="auto"/>
        <w:rPr>
          <w:sz w:val="20"/>
          <w:szCs w:val="20"/>
          <w:color w:val="auto"/>
        </w:rPr>
      </w:pPr>
      <w:r>
        <w:rPr>
          <w:rFonts w:ascii="Arial" w:cs="Arial" w:eastAsia="Arial" w:hAnsi="Arial"/>
          <w:sz w:val="20"/>
          <w:szCs w:val="20"/>
          <w:color w:val="auto"/>
        </w:rPr>
        <w:t>Certain financial instruments are carried at historical cost or some basis other than fair value. The book value, fair value and bases used to measure the fair value of certain financial instruments as of December 31, 2025 are shown in the table below:</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jc w:val="right"/>
              <w:ind w:right="404"/>
              <w:spacing w:after="0"/>
              <w:rPr>
                <w:sz w:val="20"/>
                <w:szCs w:val="20"/>
                <w:color w:val="auto"/>
              </w:rPr>
            </w:pPr>
            <w:r>
              <w:rPr>
                <w:rFonts w:ascii="Arial" w:cs="Arial" w:eastAsia="Arial" w:hAnsi="Arial"/>
                <w:sz w:val="16"/>
                <w:szCs w:val="16"/>
                <w:b w:val="1"/>
                <w:bCs w:val="1"/>
                <w:color w:val="auto"/>
              </w:rPr>
              <w:t>Basis of fair value</w:t>
            </w:r>
          </w:p>
        </w:tc>
      </w:tr>
      <w:tr>
        <w:trPr>
          <w:trHeight w:val="197"/>
        </w:trPr>
        <w:tc>
          <w:tcPr>
            <w:tcW w:w="4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measurement</w:t>
            </w:r>
          </w:p>
        </w:tc>
        <w:tc>
          <w:tcPr>
            <w:tcW w:w="600" w:type="dxa"/>
            <w:vAlign w:val="bottom"/>
          </w:tcPr>
          <w:p>
            <w:pPr>
              <w:spacing w:after="0"/>
              <w:rPr>
                <w:sz w:val="17"/>
                <w:szCs w:val="17"/>
                <w:color w:val="auto"/>
              </w:rPr>
            </w:pPr>
          </w:p>
        </w:tc>
      </w:tr>
      <w:tr>
        <w:trPr>
          <w:trHeight w:val="22"/>
        </w:trPr>
        <w:tc>
          <w:tcPr>
            <w:tcW w:w="44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8"/>
        </w:trPr>
        <w:tc>
          <w:tcPr>
            <w:tcW w:w="44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Book value</w:t>
            </w: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96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Level 1</w:t>
            </w:r>
          </w:p>
        </w:tc>
        <w:tc>
          <w:tcPr>
            <w:tcW w:w="920" w:type="dxa"/>
            <w:vAlign w:val="bottom"/>
          </w:tcPr>
          <w:p>
            <w:pPr>
              <w:jc w:val="right"/>
              <w:ind w:right="124"/>
              <w:spacing w:after="0"/>
              <w:rPr>
                <w:sz w:val="20"/>
                <w:szCs w:val="20"/>
                <w:color w:val="auto"/>
              </w:rPr>
            </w:pPr>
            <w:r>
              <w:rPr>
                <w:rFonts w:ascii="Arial" w:cs="Arial" w:eastAsia="Arial" w:hAnsi="Arial"/>
                <w:sz w:val="16"/>
                <w:szCs w:val="16"/>
                <w:b w:val="1"/>
                <w:bCs w:val="1"/>
                <w:color w:val="auto"/>
              </w:rPr>
              <w:t>Level 2</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r>
      <w:tr>
        <w:trPr>
          <w:trHeight w:val="22"/>
        </w:trPr>
        <w:tc>
          <w:tcPr>
            <w:tcW w:w="4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60"/>
        </w:trPr>
        <w:tc>
          <w:tcPr>
            <w:tcW w:w="442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83"/>
        </w:trPr>
        <w:tc>
          <w:tcPr>
            <w:tcW w:w="4420" w:type="dxa"/>
            <w:vAlign w:val="bottom"/>
          </w:tcPr>
          <w:p>
            <w:pPr>
              <w:spacing w:after="0"/>
              <w:rPr>
                <w:sz w:val="20"/>
                <w:szCs w:val="20"/>
                <w:color w:val="auto"/>
              </w:rPr>
            </w:pPr>
            <w:r>
              <w:rPr>
                <w:rFonts w:ascii="Arial" w:cs="Arial" w:eastAsia="Arial" w:hAnsi="Arial"/>
                <w:sz w:val="20"/>
                <w:szCs w:val="20"/>
                <w:color w:val="auto"/>
              </w:rPr>
              <w:t>Short-term borrowings</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0"/>
              <w:spacing w:after="0"/>
              <w:rPr>
                <w:sz w:val="20"/>
                <w:szCs w:val="20"/>
                <w:color w:val="auto"/>
              </w:rPr>
            </w:pPr>
            <w:r>
              <w:rPr>
                <w:rFonts w:ascii="Arial" w:cs="Arial" w:eastAsia="Arial" w:hAnsi="Arial"/>
                <w:sz w:val="20"/>
                <w:szCs w:val="20"/>
                <w:color w:val="auto"/>
              </w:rPr>
              <w:t>2,499</w:t>
            </w:r>
          </w:p>
        </w:tc>
        <w:tc>
          <w:tcPr>
            <w:tcW w:w="24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2,497</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84"/>
              <w:spacing w:after="0"/>
              <w:rPr>
                <w:sz w:val="20"/>
                <w:szCs w:val="20"/>
                <w:color w:val="auto"/>
              </w:rPr>
            </w:pPr>
            <w:r>
              <w:rPr>
                <w:rFonts w:ascii="Arial" w:cs="Arial" w:eastAsia="Arial" w:hAnsi="Arial"/>
                <w:sz w:val="20"/>
                <w:szCs w:val="20"/>
                <w:color w:val="auto"/>
              </w:rPr>
              <w:t>$2,497</w:t>
            </w:r>
          </w:p>
        </w:tc>
        <w:tc>
          <w:tcPr>
            <w:tcW w:w="600" w:type="dxa"/>
            <w:vAlign w:val="bottom"/>
          </w:tcPr>
          <w:p>
            <w:pPr>
              <w:jc w:val="right"/>
              <w:ind w:right="24"/>
              <w:spacing w:after="0"/>
              <w:rPr>
                <w:sz w:val="20"/>
                <w:szCs w:val="20"/>
                <w:color w:val="auto"/>
              </w:rPr>
            </w:pPr>
            <w:r>
              <w:rPr>
                <w:rFonts w:ascii="Arial" w:cs="Arial" w:eastAsia="Arial" w:hAnsi="Arial"/>
                <w:sz w:val="20"/>
                <w:szCs w:val="20"/>
                <w:color w:val="auto"/>
              </w:rPr>
              <w:t>$—</w:t>
            </w:r>
          </w:p>
        </w:tc>
      </w:tr>
      <w:tr>
        <w:trPr>
          <w:trHeight w:val="252"/>
        </w:trPr>
        <w:tc>
          <w:tcPr>
            <w:tcW w:w="4420" w:type="dxa"/>
            <w:vAlign w:val="bottom"/>
          </w:tcPr>
          <w:p>
            <w:pPr>
              <w:spacing w:after="0"/>
              <w:rPr>
                <w:sz w:val="20"/>
                <w:szCs w:val="20"/>
                <w:color w:val="auto"/>
              </w:rPr>
            </w:pPr>
            <w:r>
              <w:rPr>
                <w:rFonts w:ascii="Arial" w:cs="Arial" w:eastAsia="Arial" w:hAnsi="Arial"/>
                <w:sz w:val="20"/>
                <w:szCs w:val="20"/>
                <w:color w:val="auto"/>
              </w:rPr>
              <w:t>Current portion of long-term debt and finance</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9"/>
        </w:trPr>
        <w:tc>
          <w:tcPr>
            <w:tcW w:w="4420" w:type="dxa"/>
            <w:vAlign w:val="bottom"/>
          </w:tcPr>
          <w:p>
            <w:pPr>
              <w:ind w:left="180"/>
              <w:spacing w:after="0" w:line="280" w:lineRule="exact"/>
              <w:rPr>
                <w:sz w:val="20"/>
                <w:szCs w:val="20"/>
                <w:color w:val="auto"/>
              </w:rPr>
            </w:pPr>
            <w:r>
              <w:rPr>
                <w:rFonts w:ascii="Arial" w:cs="Arial" w:eastAsia="Arial" w:hAnsi="Arial"/>
                <w:sz w:val="20"/>
                <w:szCs w:val="20"/>
                <w:color w:val="auto"/>
              </w:rPr>
              <w:t>lease obligations</w:t>
            </w:r>
            <w:r>
              <w:rPr>
                <w:rFonts w:ascii="Arial" w:cs="Arial" w:eastAsia="Arial" w:hAnsi="Arial"/>
                <w:sz w:val="25"/>
                <w:szCs w:val="25"/>
                <w:color w:val="auto"/>
                <w:vertAlign w:val="superscript"/>
              </w:rPr>
              <w:t>(a)</w:t>
            </w:r>
          </w:p>
        </w:tc>
        <w:tc>
          <w:tcPr>
            <w:tcW w:w="440" w:type="dxa"/>
            <w:vAlign w:val="bottom"/>
          </w:tcPr>
          <w:p>
            <w:pPr>
              <w:spacing w:after="0"/>
              <w:rPr>
                <w:sz w:val="24"/>
                <w:szCs w:val="24"/>
                <w:color w:val="auto"/>
              </w:rPr>
            </w:pPr>
          </w:p>
        </w:tc>
        <w:tc>
          <w:tcPr>
            <w:tcW w:w="800" w:type="dxa"/>
            <w:vAlign w:val="bottom"/>
          </w:tcPr>
          <w:p>
            <w:pPr>
              <w:jc w:val="right"/>
              <w:ind w:right="80"/>
              <w:spacing w:after="0"/>
              <w:rPr>
                <w:sz w:val="20"/>
                <w:szCs w:val="20"/>
                <w:color w:val="auto"/>
              </w:rPr>
            </w:pPr>
            <w:r>
              <w:rPr>
                <w:rFonts w:ascii="Arial" w:cs="Arial" w:eastAsia="Arial" w:hAnsi="Arial"/>
                <w:sz w:val="20"/>
                <w:szCs w:val="20"/>
                <w:color w:val="auto"/>
              </w:rPr>
              <w:t>6,016</w:t>
            </w:r>
          </w:p>
        </w:tc>
        <w:tc>
          <w:tcPr>
            <w:tcW w:w="24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5,985</w:t>
            </w:r>
          </w:p>
        </w:tc>
        <w:tc>
          <w:tcPr>
            <w:tcW w:w="24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Arial" w:cs="Arial" w:eastAsia="Arial" w:hAnsi="Arial"/>
                <w:sz w:val="20"/>
                <w:szCs w:val="20"/>
                <w:color w:val="auto"/>
              </w:rPr>
              <w:t>5,965</w:t>
            </w:r>
          </w:p>
        </w:tc>
        <w:tc>
          <w:tcPr>
            <w:tcW w:w="920" w:type="dxa"/>
            <w:vAlign w:val="bottom"/>
          </w:tcPr>
          <w:p>
            <w:pPr>
              <w:jc w:val="right"/>
              <w:ind w:right="84"/>
              <w:spacing w:after="0"/>
              <w:rPr>
                <w:sz w:val="20"/>
                <w:szCs w:val="20"/>
                <w:color w:val="auto"/>
              </w:rPr>
            </w:pPr>
            <w:r>
              <w:rPr>
                <w:rFonts w:ascii="Arial" w:cs="Arial" w:eastAsia="Arial" w:hAnsi="Arial"/>
                <w:sz w:val="20"/>
                <w:szCs w:val="20"/>
                <w:color w:val="auto"/>
              </w:rPr>
              <w:t>20</w:t>
            </w:r>
          </w:p>
        </w:tc>
        <w:tc>
          <w:tcPr>
            <w:tcW w:w="600" w:type="dxa"/>
            <w:vAlign w:val="bottom"/>
          </w:tcPr>
          <w:p>
            <w:pPr>
              <w:jc w:val="right"/>
              <w:ind w:right="24"/>
              <w:spacing w:after="0"/>
              <w:rPr>
                <w:sz w:val="20"/>
                <w:szCs w:val="20"/>
                <w:color w:val="auto"/>
              </w:rPr>
            </w:pPr>
            <w:r>
              <w:rPr>
                <w:rFonts w:ascii="Arial" w:cs="Arial" w:eastAsia="Arial" w:hAnsi="Arial"/>
                <w:sz w:val="20"/>
                <w:szCs w:val="20"/>
                <w:color w:val="auto"/>
              </w:rPr>
              <w:t>—</w:t>
            </w:r>
          </w:p>
        </w:tc>
      </w:tr>
      <w:tr>
        <w:trPr>
          <w:trHeight w:val="273"/>
        </w:trPr>
        <w:tc>
          <w:tcPr>
            <w:tcW w:w="4420" w:type="dxa"/>
            <w:vAlign w:val="bottom"/>
            <w:tcBorders>
              <w:bottom w:val="single" w:sz="8" w:color="auto"/>
            </w:tcBorders>
          </w:tcPr>
          <w:p>
            <w:pPr>
              <w:spacing w:after="0" w:line="272" w:lineRule="exact"/>
              <w:rPr>
                <w:sz w:val="20"/>
                <w:szCs w:val="20"/>
                <w:color w:val="auto"/>
              </w:rPr>
            </w:pPr>
            <w:r>
              <w:rPr>
                <w:rFonts w:ascii="Arial" w:cs="Arial" w:eastAsia="Arial" w:hAnsi="Arial"/>
                <w:sz w:val="20"/>
                <w:szCs w:val="20"/>
                <w:color w:val="auto"/>
              </w:rPr>
              <w:t>Long-term debt and finance lease obligations</w:t>
            </w:r>
            <w:r>
              <w:rPr>
                <w:rFonts w:ascii="Arial" w:cs="Arial" w:eastAsia="Arial" w:hAnsi="Arial"/>
                <w:sz w:val="25"/>
                <w:szCs w:val="25"/>
                <w:color w:val="auto"/>
                <w:vertAlign w:val="superscript"/>
              </w:rPr>
              <w:t>(a)</w:t>
            </w: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w w:val="98"/>
              </w:rPr>
              <w:t>58,650</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w w:val="94"/>
              </w:rPr>
              <w:t>55,822</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7"/>
              <w:spacing w:after="0"/>
              <w:rPr>
                <w:sz w:val="20"/>
                <w:szCs w:val="20"/>
                <w:color w:val="auto"/>
              </w:rPr>
            </w:pPr>
            <w:r>
              <w:rPr>
                <w:rFonts w:ascii="Arial" w:cs="Arial" w:eastAsia="Arial" w:hAnsi="Arial"/>
                <w:sz w:val="20"/>
                <w:szCs w:val="20"/>
                <w:color w:val="auto"/>
                <w:w w:val="94"/>
              </w:rPr>
              <w:t>53,381</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20"/>
                <w:szCs w:val="20"/>
                <w:color w:val="auto"/>
              </w:rPr>
              <w:t>2,441</w:t>
            </w: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w:t>
            </w:r>
          </w:p>
        </w:tc>
      </w:tr>
      <w:tr>
        <w:trPr>
          <w:trHeight w:val="266"/>
        </w:trPr>
        <w:tc>
          <w:tcPr>
            <w:tcW w:w="4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liabilities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w w:val="98"/>
              </w:rPr>
              <w:t>67,165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w w:val="94"/>
              </w:rPr>
              <w:t>64,304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ind w:right="27"/>
              <w:spacing w:after="0"/>
              <w:rPr>
                <w:sz w:val="20"/>
                <w:szCs w:val="20"/>
                <w:color w:val="auto"/>
              </w:rPr>
            </w:pPr>
            <w:r>
              <w:rPr>
                <w:rFonts w:ascii="Arial" w:cs="Arial" w:eastAsia="Arial" w:hAnsi="Arial"/>
                <w:sz w:val="20"/>
                <w:szCs w:val="20"/>
                <w:color w:val="auto"/>
                <w:w w:val="94"/>
              </w:rPr>
              <w:t>59,346</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20"/>
                <w:szCs w:val="20"/>
                <w:color w:val="auto"/>
              </w:rPr>
              <w:t>$4,958</w:t>
            </w: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10"/>
        <w:spacing w:after="0"/>
        <w:rPr>
          <w:sz w:val="20"/>
          <w:szCs w:val="20"/>
          <w:color w:val="auto"/>
        </w:rPr>
      </w:pPr>
      <w:r>
        <w:rPr>
          <w:rFonts w:ascii="Arial" w:cs="Arial" w:eastAsia="Arial" w:hAnsi="Arial"/>
          <w:sz w:val="20"/>
          <w:szCs w:val="20"/>
          <w:color w:val="auto"/>
        </w:rPr>
        <w:t>(a) Excludes the effects of fair value hedges and financing liability.</w:t>
      </w:r>
    </w:p>
    <w:p>
      <w:pPr>
        <w:sectPr>
          <w:pgSz w:w="11880" w:h="15480" w:orient="portrait"/>
          <w:cols w:equalWidth="0" w:num="1">
            <w:col w:w="9170"/>
          </w:cols>
          <w:pgMar w:left="1390" w:top="1030" w:right="132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88  </w:t>
      </w:r>
      <w:r>
        <w:rPr>
          <w:sz w:val="1"/>
          <w:szCs w:val="1"/>
          <w:color w:val="auto"/>
        </w:rPr>
        <w:drawing>
          <wp:inline distT="0" distB="0" distL="0" distR="0">
            <wp:extent cx="615950" cy="12827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70"/>
          </w:cols>
          <w:pgMar w:left="1390" w:top="1030" w:right="1320" w:bottom="75" w:gutter="0" w:footer="0" w:header="0"/>
          <w:type w:val="continuous"/>
        </w:sectPr>
      </w:pPr>
    </w:p>
    <w:bookmarkStart w:id="94" w:name="page95"/>
    <w:bookmarkEnd w:id="94"/>
    <w:p>
      <w:pPr>
        <w:ind w:firstLine="359"/>
        <w:spacing w:after="0" w:line="279" w:lineRule="auto"/>
        <w:rPr>
          <w:sz w:val="20"/>
          <w:szCs w:val="20"/>
          <w:color w:val="auto"/>
        </w:rPr>
      </w:pPr>
      <w:r>
        <w:rPr>
          <w:rFonts w:ascii="Arial" w:cs="Arial" w:eastAsia="Arial" w:hAnsi="Arial"/>
          <w:sz w:val="20"/>
          <w:szCs w:val="20"/>
          <w:color w:val="auto"/>
        </w:rPr>
        <w:t>The book value, fair value and bases used to measure the fair value of certain financial instruments as of December 31, 2024 are shown in the table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right"/>
              <w:ind w:right="405"/>
              <w:spacing w:after="0"/>
              <w:rPr>
                <w:sz w:val="20"/>
                <w:szCs w:val="20"/>
                <w:color w:val="auto"/>
              </w:rPr>
            </w:pPr>
            <w:r>
              <w:rPr>
                <w:rFonts w:ascii="Arial" w:cs="Arial" w:eastAsia="Arial" w:hAnsi="Arial"/>
                <w:sz w:val="16"/>
                <w:szCs w:val="16"/>
                <w:b w:val="1"/>
                <w:bCs w:val="1"/>
                <w:color w:val="auto"/>
              </w:rPr>
              <w:t>Basis of fair value</w:t>
            </w:r>
          </w:p>
        </w:tc>
      </w:tr>
      <w:tr>
        <w:trPr>
          <w:trHeight w:val="197"/>
        </w:trPr>
        <w:tc>
          <w:tcPr>
            <w:tcW w:w="4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measurement</w:t>
            </w:r>
          </w:p>
        </w:tc>
        <w:tc>
          <w:tcPr>
            <w:tcW w:w="600" w:type="dxa"/>
            <w:vAlign w:val="bottom"/>
          </w:tcPr>
          <w:p>
            <w:pPr>
              <w:spacing w:after="0"/>
              <w:rPr>
                <w:sz w:val="17"/>
                <w:szCs w:val="17"/>
                <w:color w:val="auto"/>
              </w:rPr>
            </w:pPr>
          </w:p>
        </w:tc>
      </w:tr>
      <w:tr>
        <w:trPr>
          <w:trHeight w:val="22"/>
        </w:trPr>
        <w:tc>
          <w:tcPr>
            <w:tcW w:w="44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8"/>
        </w:trPr>
        <w:tc>
          <w:tcPr>
            <w:tcW w:w="44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Book value</w:t>
            </w: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960" w:type="dxa"/>
            <w:vAlign w:val="bottom"/>
            <w:gridSpan w:val="2"/>
          </w:tcPr>
          <w:p>
            <w:pPr>
              <w:jc w:val="right"/>
              <w:ind w:right="108"/>
              <w:spacing w:after="0"/>
              <w:rPr>
                <w:sz w:val="20"/>
                <w:szCs w:val="20"/>
                <w:color w:val="auto"/>
              </w:rPr>
            </w:pPr>
            <w:r>
              <w:rPr>
                <w:rFonts w:ascii="Arial" w:cs="Arial" w:eastAsia="Arial" w:hAnsi="Arial"/>
                <w:sz w:val="16"/>
                <w:szCs w:val="16"/>
                <w:b w:val="1"/>
                <w:bCs w:val="1"/>
                <w:color w:val="auto"/>
              </w:rPr>
              <w:t>Level 1</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Level 2</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r>
      <w:tr>
        <w:trPr>
          <w:trHeight w:val="22"/>
        </w:trPr>
        <w:tc>
          <w:tcPr>
            <w:tcW w:w="4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60"/>
        </w:trPr>
        <w:tc>
          <w:tcPr>
            <w:tcW w:w="442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4420" w:type="dxa"/>
            <w:vAlign w:val="bottom"/>
          </w:tcPr>
          <w:p>
            <w:pPr>
              <w:spacing w:after="0"/>
              <w:rPr>
                <w:sz w:val="20"/>
                <w:szCs w:val="20"/>
                <w:color w:val="auto"/>
              </w:rPr>
            </w:pPr>
            <w:r>
              <w:rPr>
                <w:rFonts w:ascii="Arial" w:cs="Arial" w:eastAsia="Arial" w:hAnsi="Arial"/>
                <w:sz w:val="20"/>
                <w:szCs w:val="20"/>
                <w:color w:val="auto"/>
              </w:rPr>
              <w:t>Current portion of long-term debt and finance</w:t>
            </w: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9"/>
        </w:trPr>
        <w:tc>
          <w:tcPr>
            <w:tcW w:w="4420" w:type="dxa"/>
            <w:vAlign w:val="bottom"/>
          </w:tcPr>
          <w:p>
            <w:pPr>
              <w:ind w:left="180"/>
              <w:spacing w:after="0" w:line="280" w:lineRule="exact"/>
              <w:rPr>
                <w:sz w:val="20"/>
                <w:szCs w:val="20"/>
                <w:color w:val="auto"/>
              </w:rPr>
            </w:pPr>
            <w:r>
              <w:rPr>
                <w:rFonts w:ascii="Arial" w:cs="Arial" w:eastAsia="Arial" w:hAnsi="Arial"/>
                <w:sz w:val="20"/>
                <w:szCs w:val="20"/>
                <w:color w:val="auto"/>
              </w:rPr>
              <w:t>lease obligations</w:t>
            </w:r>
            <w:r>
              <w:rPr>
                <w:rFonts w:ascii="Arial" w:cs="Arial" w:eastAsia="Arial" w:hAnsi="Arial"/>
                <w:sz w:val="25"/>
                <w:szCs w:val="25"/>
                <w:color w:val="auto"/>
                <w:vertAlign w:val="superscript"/>
              </w:rPr>
              <w:t>(a)</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0"/>
              <w:spacing w:after="0"/>
              <w:rPr>
                <w:sz w:val="20"/>
                <w:szCs w:val="20"/>
                <w:color w:val="auto"/>
              </w:rPr>
            </w:pPr>
            <w:r>
              <w:rPr>
                <w:rFonts w:ascii="Arial" w:cs="Arial" w:eastAsia="Arial" w:hAnsi="Arial"/>
                <w:sz w:val="20"/>
                <w:szCs w:val="20"/>
                <w:color w:val="auto"/>
              </w:rPr>
              <w:t>6,797</w:t>
            </w:r>
          </w:p>
        </w:tc>
        <w:tc>
          <w:tcPr>
            <w:tcW w:w="24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6,767</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8"/>
              <w:spacing w:after="0"/>
              <w:rPr>
                <w:sz w:val="20"/>
                <w:szCs w:val="20"/>
                <w:color w:val="auto"/>
              </w:rPr>
            </w:pPr>
            <w:r>
              <w:rPr>
                <w:rFonts w:ascii="Arial" w:cs="Arial" w:eastAsia="Arial" w:hAnsi="Arial"/>
                <w:sz w:val="20"/>
                <w:szCs w:val="20"/>
                <w:color w:val="auto"/>
              </w:rPr>
              <w:t>6,620</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0"/>
              <w:spacing w:after="0"/>
              <w:rPr>
                <w:sz w:val="20"/>
                <w:szCs w:val="20"/>
                <w:color w:val="auto"/>
              </w:rPr>
            </w:pPr>
            <w:r>
              <w:rPr>
                <w:rFonts w:ascii="Arial" w:cs="Arial" w:eastAsia="Arial" w:hAnsi="Arial"/>
                <w:sz w:val="20"/>
                <w:szCs w:val="20"/>
                <w:color w:val="auto"/>
              </w:rPr>
              <w:t>147</w:t>
            </w:r>
          </w:p>
        </w:tc>
        <w:tc>
          <w:tcPr>
            <w:tcW w:w="600" w:type="dxa"/>
            <w:vAlign w:val="bottom"/>
          </w:tcPr>
          <w:p>
            <w:pPr>
              <w:jc w:val="right"/>
              <w:ind w:right="25"/>
              <w:spacing w:after="0"/>
              <w:rPr>
                <w:sz w:val="20"/>
                <w:szCs w:val="20"/>
                <w:color w:val="auto"/>
              </w:rPr>
            </w:pPr>
            <w:r>
              <w:rPr>
                <w:rFonts w:ascii="Arial" w:cs="Arial" w:eastAsia="Arial" w:hAnsi="Arial"/>
                <w:sz w:val="20"/>
                <w:szCs w:val="20"/>
                <w:color w:val="auto"/>
              </w:rPr>
              <w:t>$—</w:t>
            </w:r>
          </w:p>
        </w:tc>
      </w:tr>
      <w:tr>
        <w:trPr>
          <w:trHeight w:val="273"/>
        </w:trPr>
        <w:tc>
          <w:tcPr>
            <w:tcW w:w="4420" w:type="dxa"/>
            <w:vAlign w:val="bottom"/>
            <w:tcBorders>
              <w:bottom w:val="single" w:sz="8" w:color="auto"/>
            </w:tcBorders>
          </w:tcPr>
          <w:p>
            <w:pPr>
              <w:spacing w:after="0" w:line="272" w:lineRule="exact"/>
              <w:rPr>
                <w:sz w:val="20"/>
                <w:szCs w:val="20"/>
                <w:color w:val="auto"/>
              </w:rPr>
            </w:pPr>
            <w:r>
              <w:rPr>
                <w:rFonts w:ascii="Arial" w:cs="Arial" w:eastAsia="Arial" w:hAnsi="Arial"/>
                <w:sz w:val="20"/>
                <w:szCs w:val="20"/>
                <w:color w:val="auto"/>
              </w:rPr>
              <w:t>Long-term debt and finance lease obligations</w:t>
            </w:r>
            <w:r>
              <w:rPr>
                <w:rFonts w:ascii="Arial" w:cs="Arial" w:eastAsia="Arial" w:hAnsi="Arial"/>
                <w:sz w:val="25"/>
                <w:szCs w:val="25"/>
                <w:color w:val="auto"/>
                <w:vertAlign w:val="superscript"/>
              </w:rPr>
              <w:t>(a)</w:t>
            </w: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w w:val="98"/>
              </w:rPr>
              <w:t>60,243</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w w:val="94"/>
              </w:rPr>
              <w:t>55,836</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20"/>
                <w:szCs w:val="20"/>
                <w:color w:val="auto"/>
                <w:w w:val="94"/>
              </w:rPr>
              <w:t>53,441</w:t>
            </w: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w w:val="95"/>
              </w:rPr>
              <w:t>2,395</w:t>
            </w:r>
          </w:p>
        </w:tc>
        <w:tc>
          <w:tcPr>
            <w:tcW w:w="60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w:t>
            </w:r>
          </w:p>
        </w:tc>
      </w:tr>
      <w:tr>
        <w:trPr>
          <w:trHeight w:val="266"/>
        </w:trPr>
        <w:tc>
          <w:tcPr>
            <w:tcW w:w="4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liabilities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w w:val="98"/>
              </w:rPr>
              <w:t>67,040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w w:val="94"/>
              </w:rPr>
              <w:t>62,603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20"/>
                <w:szCs w:val="20"/>
                <w:color w:val="auto"/>
                <w:w w:val="94"/>
              </w:rPr>
              <w:t>60,061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w w:val="95"/>
              </w:rPr>
              <w:t>2,542</w:t>
            </w:r>
          </w:p>
        </w:tc>
        <w:tc>
          <w:tcPr>
            <w:tcW w:w="60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Excludes the effects of fair value hedges and financing liability.</w:t>
      </w:r>
    </w:p>
    <w:p>
      <w:pPr>
        <w:spacing w:after="0" w:line="173" w:lineRule="exact"/>
        <w:rPr>
          <w:sz w:val="20"/>
          <w:szCs w:val="20"/>
          <w:color w:val="auto"/>
        </w:rPr>
      </w:pPr>
    </w:p>
    <w:p>
      <w:pPr>
        <w:ind w:right="20" w:firstLine="359"/>
        <w:spacing w:after="0" w:line="264" w:lineRule="auto"/>
        <w:rPr>
          <w:sz w:val="20"/>
          <w:szCs w:val="20"/>
          <w:color w:val="auto"/>
        </w:rPr>
      </w:pPr>
      <w:r>
        <w:rPr>
          <w:rFonts w:ascii="Arial" w:cs="Arial" w:eastAsia="Arial" w:hAnsi="Arial"/>
          <w:sz w:val="20"/>
          <w:szCs w:val="20"/>
          <w:color w:val="auto"/>
        </w:rPr>
        <w:t>AbbVie also holds investments in equity securities that do not have readily determinable fair values. The company records these investments at cost and remeasures them to fair value based on certain observable price changes or impairment events as they occur. The carrying amount of these investments was $159 million as of December 31, 2025 and $169 million as of December 31, 2024. No significant cumulative upward or downward adjustments have been recorded for these investments as of December 31, 2025.</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Concentrations of Risk</w:t>
      </w:r>
    </w:p>
    <w:p>
      <w:pPr>
        <w:spacing w:after="0" w:line="131" w:lineRule="exact"/>
        <w:rPr>
          <w:sz w:val="20"/>
          <w:szCs w:val="20"/>
          <w:color w:val="auto"/>
        </w:rPr>
      </w:pPr>
    </w:p>
    <w:p>
      <w:pPr>
        <w:ind w:right="100" w:firstLine="359"/>
        <w:spacing w:after="0" w:line="269" w:lineRule="auto"/>
        <w:rPr>
          <w:sz w:val="20"/>
          <w:szCs w:val="20"/>
          <w:color w:val="auto"/>
        </w:rPr>
      </w:pPr>
      <w:r>
        <w:rPr>
          <w:rFonts w:ascii="Arial" w:cs="Arial" w:eastAsia="Arial" w:hAnsi="Arial"/>
          <w:sz w:val="20"/>
          <w:szCs w:val="20"/>
          <w:color w:val="auto"/>
        </w:rPr>
        <w:t>Of total net accounts receivable, three U.S. wholesalers accounted for 84% as of December 31, 2025 and 81% as of December 31, 2024, and substantially all of AbbVie’s pharmaceutical product net revenues in the United States were to these three wholesalers.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12 Post-Employment Benefits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50" w:lineRule="exact"/>
        <w:rPr>
          <w:sz w:val="20"/>
          <w:szCs w:val="20"/>
          <w:color w:val="auto"/>
        </w:rPr>
      </w:pPr>
    </w:p>
    <w:p>
      <w:pPr>
        <w:ind w:firstLine="359"/>
        <w:spacing w:after="0" w:line="265" w:lineRule="auto"/>
        <w:rPr>
          <w:sz w:val="20"/>
          <w:szCs w:val="20"/>
          <w:color w:val="auto"/>
        </w:rPr>
      </w:pPr>
      <w:r>
        <w:rPr>
          <w:rFonts w:ascii="Arial" w:cs="Arial" w:eastAsia="Arial" w:hAnsi="Arial"/>
          <w:sz w:val="20"/>
          <w:szCs w:val="20"/>
          <w:color w:val="auto"/>
        </w:rPr>
        <w:t>AbbVie sponsors various pension and other post-employment benefit plans, including defined benefit, defined contribution and termination indemnity plans, which cover most employees worldwide. In addition, AbbVie provides medical benefits, primarily to eligible retirees in the United States and Puerto Rico, through other post-retirement benefit plans. Net obligations for these plans have been recognized on the consolidated balance sheets as of December 31, 2025 and 2024.</w:t>
      </w:r>
    </w:p>
    <w:p>
      <w:pPr>
        <w:sectPr>
          <w:pgSz w:w="11880" w:h="15480" w:orient="portrait"/>
          <w:cols w:equalWidth="0" w:num="1">
            <w:col w:w="9100"/>
          </w:cols>
          <w:pgMar w:left="1400" w:top="1030"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89</w:t>
      </w:r>
    </w:p>
    <w:p>
      <w:pPr>
        <w:sectPr>
          <w:pgSz w:w="11880" w:h="15480" w:orient="portrait"/>
          <w:cols w:equalWidth="0" w:num="1">
            <w:col w:w="9100"/>
          </w:cols>
          <w:pgMar w:left="1400" w:top="1030" w:right="1380" w:bottom="87" w:gutter="0" w:footer="0" w:header="0"/>
          <w:type w:val="continuous"/>
        </w:sectPr>
      </w:pPr>
    </w:p>
    <w:bookmarkStart w:id="95" w:name="page96"/>
    <w:bookmarkEnd w:id="95"/>
    <w:p>
      <w:pPr>
        <w:ind w:right="260" w:firstLine="359"/>
        <w:spacing w:after="0" w:line="269" w:lineRule="auto"/>
        <w:rPr>
          <w:sz w:val="20"/>
          <w:szCs w:val="20"/>
          <w:color w:val="auto"/>
        </w:rPr>
      </w:pPr>
      <w:r>
        <w:rPr>
          <w:rFonts w:ascii="Arial" w:cs="Arial" w:eastAsia="Arial" w:hAnsi="Arial"/>
          <w:sz w:val="20"/>
          <w:szCs w:val="20"/>
          <w:color w:val="auto"/>
        </w:rPr>
        <w:t>The following table summarizes benefit plan information for the global AbbVie-sponsored defined benefit and other post-employment plans: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Other</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right"/>
              <w:ind w:right="780"/>
              <w:spacing w:after="0" w:line="180" w:lineRule="exact"/>
              <w:rPr>
                <w:sz w:val="20"/>
                <w:szCs w:val="20"/>
                <w:color w:val="auto"/>
              </w:rPr>
            </w:pPr>
            <w:r>
              <w:rPr>
                <w:rFonts w:ascii="Arial" w:cs="Arial" w:eastAsia="Arial" w:hAnsi="Arial"/>
                <w:sz w:val="16"/>
                <w:szCs w:val="16"/>
                <w:b w:val="1"/>
                <w:bCs w:val="1"/>
                <w:color w:val="auto"/>
              </w:rPr>
              <w:t>Defined</w:t>
            </w:r>
          </w:p>
        </w:tc>
        <w:tc>
          <w:tcPr>
            <w:tcW w:w="1380" w:type="dxa"/>
            <w:vAlign w:val="bottom"/>
            <w:gridSpan w:val="5"/>
          </w:tcPr>
          <w:p>
            <w:pPr>
              <w:spacing w:after="0" w:line="180" w:lineRule="exact"/>
              <w:rPr>
                <w:sz w:val="20"/>
                <w:szCs w:val="20"/>
                <w:color w:val="auto"/>
              </w:rPr>
            </w:pPr>
            <w:r>
              <w:rPr>
                <w:rFonts w:ascii="Arial" w:cs="Arial" w:eastAsia="Arial" w:hAnsi="Arial"/>
                <w:sz w:val="16"/>
                <w:szCs w:val="16"/>
                <w:b w:val="1"/>
                <w:bCs w:val="1"/>
                <w:color w:val="auto"/>
              </w:rPr>
              <w:t>post-employment</w:t>
            </w:r>
          </w:p>
        </w:tc>
      </w:tr>
      <w:tr>
        <w:trPr>
          <w:trHeight w:val="197"/>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benefit plans</w:t>
            </w:r>
          </w:p>
        </w:tc>
        <w:tc>
          <w:tcPr>
            <w:tcW w:w="1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plans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5620" w:type="dxa"/>
            <w:vAlign w:val="bottom"/>
          </w:tcPr>
          <w:p>
            <w:pPr>
              <w:spacing w:after="0"/>
              <w:rPr>
                <w:sz w:val="20"/>
                <w:szCs w:val="20"/>
                <w:color w:val="auto"/>
              </w:rPr>
            </w:pPr>
            <w:r>
              <w:rPr>
                <w:rFonts w:ascii="Arial" w:cs="Arial" w:eastAsia="Arial" w:hAnsi="Arial"/>
                <w:sz w:val="16"/>
                <w:szCs w:val="16"/>
                <w:b w:val="1"/>
                <w:bCs w:val="1"/>
                <w:color w:val="auto"/>
              </w:rPr>
              <w:t>as of and for the years ended December 31 (in millions)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43"/>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600" w:type="dxa"/>
            <w:vAlign w:val="bottom"/>
          </w:tcPr>
          <w:p>
            <w:pPr>
              <w:jc w:val="right"/>
              <w:ind w:right="81"/>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70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auto"/>
              </w:rPr>
              <w:t>2025</w:t>
            </w: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8"/>
                <w:szCs w:val="18"/>
                <w:color w:val="auto"/>
              </w:rPr>
            </w:pPr>
          </w:p>
        </w:tc>
      </w:tr>
      <w:tr>
        <w:trPr>
          <w:trHeight w:val="22"/>
        </w:trPr>
        <w:tc>
          <w:tcPr>
            <w:tcW w:w="5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0"/>
        </w:trPr>
        <w:tc>
          <w:tcPr>
            <w:tcW w:w="5620" w:type="dxa"/>
            <w:vAlign w:val="bottom"/>
          </w:tcPr>
          <w:p>
            <w:pPr>
              <w:spacing w:after="0"/>
              <w:rPr>
                <w:sz w:val="20"/>
                <w:szCs w:val="20"/>
                <w:color w:val="auto"/>
              </w:rPr>
            </w:pPr>
            <w:r>
              <w:rPr>
                <w:rFonts w:ascii="Arial" w:cs="Arial" w:eastAsia="Arial" w:hAnsi="Arial"/>
                <w:sz w:val="20"/>
                <w:szCs w:val="20"/>
                <w:b w:val="1"/>
                <w:bCs w:val="1"/>
                <w:color w:val="auto"/>
              </w:rPr>
              <w:t>Projected benefit obligations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3"/>
        </w:trPr>
        <w:tc>
          <w:tcPr>
            <w:tcW w:w="5620" w:type="dxa"/>
            <w:vAlign w:val="bottom"/>
          </w:tcPr>
          <w:p>
            <w:pPr>
              <w:spacing w:after="0"/>
              <w:rPr>
                <w:sz w:val="20"/>
                <w:szCs w:val="20"/>
                <w:color w:val="auto"/>
              </w:rPr>
            </w:pPr>
            <w:r>
              <w:rPr>
                <w:rFonts w:ascii="Arial" w:cs="Arial" w:eastAsia="Arial" w:hAnsi="Arial"/>
                <w:sz w:val="20"/>
                <w:szCs w:val="20"/>
                <w:color w:val="auto"/>
              </w:rPr>
              <w:t>Beginning of period</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8,964</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9,544</w:t>
            </w:r>
          </w:p>
        </w:tc>
        <w:tc>
          <w:tcPr>
            <w:tcW w:w="120" w:type="dxa"/>
            <w:vAlign w:val="bottom"/>
          </w:tcPr>
          <w:p>
            <w:pPr>
              <w:ind w:left="20"/>
              <w:spacing w:after="0"/>
              <w:rPr>
                <w:sz w:val="20"/>
                <w:szCs w:val="20"/>
                <w:color w:val="auto"/>
              </w:rPr>
            </w:pPr>
            <w:r>
              <w:rPr>
                <w:rFonts w:ascii="Arial" w:cs="Arial" w:eastAsia="Arial" w:hAnsi="Arial"/>
                <w:sz w:val="20"/>
                <w:szCs w:val="20"/>
                <w:color w:val="auto"/>
                <w:w w:val="71"/>
              </w:rPr>
              <w:t>$</w:t>
            </w:r>
          </w:p>
        </w:tc>
        <w:tc>
          <w:tcPr>
            <w:tcW w:w="580" w:type="dxa"/>
            <w:vAlign w:val="bottom"/>
          </w:tcPr>
          <w:p>
            <w:pPr>
              <w:jc w:val="right"/>
              <w:ind w:right="82"/>
              <w:spacing w:after="0"/>
              <w:rPr>
                <w:sz w:val="20"/>
                <w:szCs w:val="20"/>
                <w:color w:val="auto"/>
              </w:rPr>
            </w:pPr>
            <w:r>
              <w:rPr>
                <w:rFonts w:ascii="Arial" w:cs="Arial" w:eastAsia="Arial" w:hAnsi="Arial"/>
                <w:sz w:val="20"/>
                <w:szCs w:val="20"/>
                <w:color w:val="auto"/>
              </w:rPr>
              <w:t>786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796</w:t>
            </w:r>
          </w:p>
        </w:tc>
        <w:tc>
          <w:tcPr>
            <w:tcW w:w="40" w:type="dxa"/>
            <w:vAlign w:val="bottom"/>
          </w:tcPr>
          <w:p>
            <w:pPr>
              <w:spacing w:after="0"/>
              <w:rPr>
                <w:sz w:val="24"/>
                <w:szCs w:val="24"/>
                <w:color w:val="auto"/>
              </w:rPr>
            </w:pPr>
          </w:p>
        </w:tc>
      </w:tr>
      <w:tr>
        <w:trPr>
          <w:trHeight w:val="279"/>
        </w:trPr>
        <w:tc>
          <w:tcPr>
            <w:tcW w:w="5620" w:type="dxa"/>
            <w:vAlign w:val="bottom"/>
          </w:tcPr>
          <w:p>
            <w:pPr>
              <w:spacing w:after="0"/>
              <w:rPr>
                <w:sz w:val="20"/>
                <w:szCs w:val="20"/>
                <w:color w:val="auto"/>
              </w:rPr>
            </w:pPr>
            <w:r>
              <w:rPr>
                <w:rFonts w:ascii="Arial" w:cs="Arial" w:eastAsia="Arial" w:hAnsi="Arial"/>
                <w:sz w:val="20"/>
                <w:szCs w:val="20"/>
                <w:color w:val="auto"/>
              </w:rPr>
              <w:t>Service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264</w:t>
            </w:r>
          </w:p>
        </w:tc>
        <w:tc>
          <w:tcPr>
            <w:tcW w:w="2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286</w:t>
            </w:r>
          </w:p>
        </w:tc>
        <w:tc>
          <w:tcPr>
            <w:tcW w:w="120" w:type="dxa"/>
            <w:vAlign w:val="bottom"/>
          </w:tcPr>
          <w:p>
            <w:pPr>
              <w:spacing w:after="0"/>
              <w:rPr>
                <w:sz w:val="24"/>
                <w:szCs w:val="24"/>
                <w:color w:val="auto"/>
              </w:rPr>
            </w:pPr>
          </w:p>
        </w:tc>
        <w:tc>
          <w:tcPr>
            <w:tcW w:w="580" w:type="dxa"/>
            <w:vAlign w:val="bottom"/>
          </w:tcPr>
          <w:p>
            <w:pPr>
              <w:jc w:val="right"/>
              <w:ind w:right="82"/>
              <w:spacing w:after="0"/>
              <w:rPr>
                <w:sz w:val="20"/>
                <w:szCs w:val="20"/>
                <w:color w:val="auto"/>
              </w:rPr>
            </w:pPr>
            <w:r>
              <w:rPr>
                <w:rFonts w:ascii="Arial" w:cs="Arial" w:eastAsia="Arial" w:hAnsi="Arial"/>
                <w:sz w:val="20"/>
                <w:szCs w:val="20"/>
                <w:color w:val="auto"/>
              </w:rPr>
              <w:t>40</w:t>
            </w: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43</w:t>
            </w:r>
          </w:p>
        </w:tc>
        <w:tc>
          <w:tcPr>
            <w:tcW w:w="40" w:type="dxa"/>
            <w:vAlign w:val="bottom"/>
          </w:tcPr>
          <w:p>
            <w:pPr>
              <w:spacing w:after="0"/>
              <w:rPr>
                <w:sz w:val="24"/>
                <w:szCs w:val="24"/>
                <w:color w:val="auto"/>
              </w:rPr>
            </w:pPr>
          </w:p>
        </w:tc>
      </w:tr>
      <w:tr>
        <w:trPr>
          <w:trHeight w:val="279"/>
        </w:trPr>
        <w:tc>
          <w:tcPr>
            <w:tcW w:w="5620" w:type="dxa"/>
            <w:vAlign w:val="bottom"/>
          </w:tcPr>
          <w:p>
            <w:pPr>
              <w:spacing w:after="0"/>
              <w:rPr>
                <w:sz w:val="20"/>
                <w:szCs w:val="20"/>
                <w:color w:val="auto"/>
              </w:rPr>
            </w:pPr>
            <w:r>
              <w:rPr>
                <w:rFonts w:ascii="Arial" w:cs="Arial" w:eastAsia="Arial" w:hAnsi="Arial"/>
                <w:sz w:val="20"/>
                <w:szCs w:val="20"/>
                <w:color w:val="auto"/>
              </w:rPr>
              <w:t>Interest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484</w:t>
            </w:r>
          </w:p>
        </w:tc>
        <w:tc>
          <w:tcPr>
            <w:tcW w:w="2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451</w:t>
            </w:r>
          </w:p>
        </w:tc>
        <w:tc>
          <w:tcPr>
            <w:tcW w:w="120" w:type="dxa"/>
            <w:vAlign w:val="bottom"/>
          </w:tcPr>
          <w:p>
            <w:pPr>
              <w:spacing w:after="0"/>
              <w:rPr>
                <w:sz w:val="24"/>
                <w:szCs w:val="24"/>
                <w:color w:val="auto"/>
              </w:rPr>
            </w:pPr>
          </w:p>
        </w:tc>
        <w:tc>
          <w:tcPr>
            <w:tcW w:w="580" w:type="dxa"/>
            <w:vAlign w:val="bottom"/>
          </w:tcPr>
          <w:p>
            <w:pPr>
              <w:jc w:val="right"/>
              <w:ind w:right="82"/>
              <w:spacing w:after="0"/>
              <w:rPr>
                <w:sz w:val="20"/>
                <w:szCs w:val="20"/>
                <w:color w:val="auto"/>
              </w:rPr>
            </w:pPr>
            <w:r>
              <w:rPr>
                <w:rFonts w:ascii="Arial" w:cs="Arial" w:eastAsia="Arial" w:hAnsi="Arial"/>
                <w:sz w:val="20"/>
                <w:szCs w:val="20"/>
                <w:color w:val="auto"/>
              </w:rPr>
              <w:t>44</w:t>
            </w: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41</w:t>
            </w:r>
          </w:p>
        </w:tc>
        <w:tc>
          <w:tcPr>
            <w:tcW w:w="40" w:type="dxa"/>
            <w:vAlign w:val="bottom"/>
          </w:tcPr>
          <w:p>
            <w:pPr>
              <w:spacing w:after="0"/>
              <w:rPr>
                <w:sz w:val="24"/>
                <w:szCs w:val="24"/>
                <w:color w:val="auto"/>
              </w:rPr>
            </w:pPr>
          </w:p>
        </w:tc>
      </w:tr>
      <w:tr>
        <w:trPr>
          <w:trHeight w:val="279"/>
        </w:trPr>
        <w:tc>
          <w:tcPr>
            <w:tcW w:w="5620" w:type="dxa"/>
            <w:vAlign w:val="bottom"/>
          </w:tcPr>
          <w:p>
            <w:pPr>
              <w:spacing w:after="0"/>
              <w:rPr>
                <w:sz w:val="20"/>
                <w:szCs w:val="20"/>
                <w:color w:val="auto"/>
              </w:rPr>
            </w:pPr>
            <w:r>
              <w:rPr>
                <w:rFonts w:ascii="Arial" w:cs="Arial" w:eastAsia="Arial" w:hAnsi="Arial"/>
                <w:sz w:val="20"/>
                <w:szCs w:val="20"/>
                <w:color w:val="auto"/>
              </w:rPr>
              <w:t>Actuarial (gain) loss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124</w:t>
            </w:r>
          </w:p>
        </w:tc>
        <w:tc>
          <w:tcPr>
            <w:tcW w:w="2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(855)</w:t>
            </w:r>
          </w:p>
        </w:tc>
        <w:tc>
          <w:tcPr>
            <w:tcW w:w="120" w:type="dxa"/>
            <w:vAlign w:val="bottom"/>
          </w:tcPr>
          <w:p>
            <w:pPr>
              <w:spacing w:after="0"/>
              <w:rPr>
                <w:sz w:val="24"/>
                <w:szCs w:val="24"/>
                <w:color w:val="auto"/>
              </w:rPr>
            </w:pPr>
          </w:p>
        </w:tc>
        <w:tc>
          <w:tcPr>
            <w:tcW w:w="580" w:type="dxa"/>
            <w:vAlign w:val="bottom"/>
          </w:tcPr>
          <w:p>
            <w:pPr>
              <w:jc w:val="right"/>
              <w:ind w:right="2"/>
              <w:spacing w:after="0"/>
              <w:rPr>
                <w:sz w:val="20"/>
                <w:szCs w:val="20"/>
                <w:color w:val="auto"/>
              </w:rPr>
            </w:pPr>
            <w:r>
              <w:rPr>
                <w:rFonts w:ascii="Arial" w:cs="Arial" w:eastAsia="Arial" w:hAnsi="Arial"/>
                <w:sz w:val="20"/>
                <w:szCs w:val="20"/>
                <w:color w:val="auto"/>
              </w:rPr>
              <w:t>(12)</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(62)</w:t>
            </w:r>
          </w:p>
        </w:tc>
      </w:tr>
      <w:tr>
        <w:trPr>
          <w:trHeight w:val="279"/>
        </w:trPr>
        <w:tc>
          <w:tcPr>
            <w:tcW w:w="5620" w:type="dxa"/>
            <w:vAlign w:val="bottom"/>
          </w:tcPr>
          <w:p>
            <w:pPr>
              <w:spacing w:after="0"/>
              <w:rPr>
                <w:sz w:val="20"/>
                <w:szCs w:val="20"/>
                <w:color w:val="auto"/>
              </w:rPr>
            </w:pPr>
            <w:r>
              <w:rPr>
                <w:rFonts w:ascii="Arial" w:cs="Arial" w:eastAsia="Arial" w:hAnsi="Arial"/>
                <w:sz w:val="20"/>
                <w:szCs w:val="20"/>
                <w:color w:val="auto"/>
              </w:rPr>
              <w:t>Benefits paid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auto"/>
              </w:rPr>
              <w:t>(371)</w:t>
            </w:r>
          </w:p>
        </w:tc>
        <w:tc>
          <w:tcPr>
            <w:tcW w:w="2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(347)</w:t>
            </w:r>
          </w:p>
        </w:tc>
        <w:tc>
          <w:tcPr>
            <w:tcW w:w="120" w:type="dxa"/>
            <w:vAlign w:val="bottom"/>
          </w:tcPr>
          <w:p>
            <w:pPr>
              <w:spacing w:after="0"/>
              <w:rPr>
                <w:sz w:val="24"/>
                <w:szCs w:val="24"/>
                <w:color w:val="auto"/>
              </w:rPr>
            </w:pPr>
          </w:p>
        </w:tc>
        <w:tc>
          <w:tcPr>
            <w:tcW w:w="580" w:type="dxa"/>
            <w:vAlign w:val="bottom"/>
          </w:tcPr>
          <w:p>
            <w:pPr>
              <w:jc w:val="right"/>
              <w:ind w:right="2"/>
              <w:spacing w:after="0"/>
              <w:rPr>
                <w:sz w:val="20"/>
                <w:szCs w:val="20"/>
                <w:color w:val="auto"/>
              </w:rPr>
            </w:pPr>
            <w:r>
              <w:rPr>
                <w:rFonts w:ascii="Arial" w:cs="Arial" w:eastAsia="Arial" w:hAnsi="Arial"/>
                <w:sz w:val="20"/>
                <w:szCs w:val="20"/>
                <w:color w:val="auto"/>
              </w:rPr>
              <w:t>(37)</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(31)</w:t>
            </w:r>
          </w:p>
        </w:tc>
      </w:tr>
      <w:tr>
        <w:trPr>
          <w:trHeight w:val="282"/>
        </w:trPr>
        <w:tc>
          <w:tcPr>
            <w:tcW w:w="5620" w:type="dxa"/>
            <w:vAlign w:val="bottom"/>
          </w:tcPr>
          <w:p>
            <w:pPr>
              <w:spacing w:after="0"/>
              <w:rPr>
                <w:sz w:val="20"/>
                <w:szCs w:val="20"/>
                <w:color w:val="auto"/>
              </w:rPr>
            </w:pPr>
            <w:r>
              <w:rPr>
                <w:rFonts w:ascii="Arial" w:cs="Arial" w:eastAsia="Arial" w:hAnsi="Arial"/>
                <w:sz w:val="20"/>
                <w:szCs w:val="20"/>
                <w:color w:val="auto"/>
              </w:rPr>
              <w:t>Other, primarily foreign currency translation adjustments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193</w:t>
            </w:r>
          </w:p>
        </w:tc>
        <w:tc>
          <w:tcPr>
            <w:tcW w:w="2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(115)</w:t>
            </w:r>
          </w:p>
        </w:tc>
        <w:tc>
          <w:tcPr>
            <w:tcW w:w="120" w:type="dxa"/>
            <w:vAlign w:val="bottom"/>
          </w:tcPr>
          <w:p>
            <w:pPr>
              <w:spacing w:after="0"/>
              <w:rPr>
                <w:sz w:val="24"/>
                <w:szCs w:val="24"/>
                <w:color w:val="auto"/>
              </w:rPr>
            </w:pPr>
          </w:p>
        </w:tc>
        <w:tc>
          <w:tcPr>
            <w:tcW w:w="580" w:type="dxa"/>
            <w:vAlign w:val="bottom"/>
          </w:tcPr>
          <w:p>
            <w:pPr>
              <w:jc w:val="right"/>
              <w:ind w:right="82"/>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69"/>
        </w:trPr>
        <w:tc>
          <w:tcPr>
            <w:tcW w:w="56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End of period</w:t>
            </w:r>
          </w:p>
        </w:tc>
        <w:tc>
          <w:tcPr>
            <w:tcW w:w="2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20"/>
                <w:szCs w:val="20"/>
                <w:color w:val="auto"/>
              </w:rPr>
              <w:t>9,658</w:t>
            </w:r>
          </w:p>
        </w:tc>
        <w:tc>
          <w:tcPr>
            <w:tcW w:w="20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8,964</w:t>
            </w:r>
          </w:p>
        </w:tc>
        <w:tc>
          <w:tcPr>
            <w:tcW w:w="12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20"/>
                <w:szCs w:val="20"/>
                <w:color w:val="auto"/>
              </w:rPr>
              <w:t>822</w:t>
            </w:r>
          </w:p>
        </w:tc>
        <w:tc>
          <w:tcPr>
            <w:tcW w:w="22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786</w:t>
            </w:r>
          </w:p>
        </w:tc>
        <w:tc>
          <w:tcPr>
            <w:tcW w:w="40" w:type="dxa"/>
            <w:vAlign w:val="bottom"/>
          </w:tcPr>
          <w:p>
            <w:pPr>
              <w:spacing w:after="0"/>
              <w:rPr>
                <w:sz w:val="23"/>
                <w:szCs w:val="23"/>
                <w:color w:val="auto"/>
              </w:rPr>
            </w:pPr>
          </w:p>
        </w:tc>
      </w:tr>
      <w:tr>
        <w:trPr>
          <w:trHeight w:val="262"/>
        </w:trPr>
        <w:tc>
          <w:tcPr>
            <w:tcW w:w="5620" w:type="dxa"/>
            <w:vAlign w:val="bottom"/>
          </w:tcPr>
          <w:p>
            <w:pPr>
              <w:spacing w:after="0"/>
              <w:rPr>
                <w:sz w:val="20"/>
                <w:szCs w:val="20"/>
                <w:color w:val="auto"/>
              </w:rPr>
            </w:pPr>
            <w:r>
              <w:rPr>
                <w:rFonts w:ascii="Arial" w:cs="Arial" w:eastAsia="Arial" w:hAnsi="Arial"/>
                <w:sz w:val="20"/>
                <w:szCs w:val="20"/>
                <w:b w:val="1"/>
                <w:bCs w:val="1"/>
                <w:color w:val="auto"/>
              </w:rPr>
              <w:t>Fair value of plan assets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3"/>
        </w:trPr>
        <w:tc>
          <w:tcPr>
            <w:tcW w:w="5620" w:type="dxa"/>
            <w:vAlign w:val="bottom"/>
          </w:tcPr>
          <w:p>
            <w:pPr>
              <w:spacing w:after="0"/>
              <w:rPr>
                <w:sz w:val="20"/>
                <w:szCs w:val="20"/>
                <w:color w:val="auto"/>
              </w:rPr>
            </w:pPr>
            <w:r>
              <w:rPr>
                <w:rFonts w:ascii="Arial" w:cs="Arial" w:eastAsia="Arial" w:hAnsi="Arial"/>
                <w:sz w:val="20"/>
                <w:szCs w:val="20"/>
                <w:color w:val="auto"/>
              </w:rPr>
              <w:t>Beginning of period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20"/>
                <w:szCs w:val="20"/>
                <w:color w:val="auto"/>
                <w:w w:val="94"/>
              </w:rPr>
              <w:t>10,551</w:t>
            </w:r>
          </w:p>
        </w:tc>
        <w:tc>
          <w:tcPr>
            <w:tcW w:w="2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9,839</w:t>
            </w:r>
          </w:p>
        </w:tc>
        <w:tc>
          <w:tcPr>
            <w:tcW w:w="120" w:type="dxa"/>
            <w:vAlign w:val="bottom"/>
          </w:tcPr>
          <w:p>
            <w:pPr>
              <w:spacing w:after="0"/>
              <w:rPr>
                <w:sz w:val="24"/>
                <w:szCs w:val="24"/>
                <w:color w:val="auto"/>
              </w:rPr>
            </w:pPr>
          </w:p>
        </w:tc>
        <w:tc>
          <w:tcPr>
            <w:tcW w:w="58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279"/>
        </w:trPr>
        <w:tc>
          <w:tcPr>
            <w:tcW w:w="5620" w:type="dxa"/>
            <w:vAlign w:val="bottom"/>
          </w:tcPr>
          <w:p>
            <w:pPr>
              <w:spacing w:after="0"/>
              <w:rPr>
                <w:sz w:val="20"/>
                <w:szCs w:val="20"/>
                <w:color w:val="auto"/>
              </w:rPr>
            </w:pPr>
            <w:r>
              <w:rPr>
                <w:rFonts w:ascii="Arial" w:cs="Arial" w:eastAsia="Arial" w:hAnsi="Arial"/>
                <w:sz w:val="20"/>
                <w:szCs w:val="20"/>
                <w:color w:val="auto"/>
              </w:rPr>
              <w:t>Actual return on plan assets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1,434</w:t>
            </w:r>
          </w:p>
        </w:tc>
        <w:tc>
          <w:tcPr>
            <w:tcW w:w="2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865</w:t>
            </w:r>
          </w:p>
        </w:tc>
        <w:tc>
          <w:tcPr>
            <w:tcW w:w="120" w:type="dxa"/>
            <w:vAlign w:val="bottom"/>
          </w:tcPr>
          <w:p>
            <w:pPr>
              <w:spacing w:after="0"/>
              <w:rPr>
                <w:sz w:val="24"/>
                <w:szCs w:val="24"/>
                <w:color w:val="auto"/>
              </w:rPr>
            </w:pPr>
          </w:p>
        </w:tc>
        <w:tc>
          <w:tcPr>
            <w:tcW w:w="58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279"/>
        </w:trPr>
        <w:tc>
          <w:tcPr>
            <w:tcW w:w="5620" w:type="dxa"/>
            <w:vAlign w:val="bottom"/>
          </w:tcPr>
          <w:p>
            <w:pPr>
              <w:spacing w:after="0"/>
              <w:rPr>
                <w:sz w:val="20"/>
                <w:szCs w:val="20"/>
                <w:color w:val="auto"/>
              </w:rPr>
            </w:pPr>
            <w:r>
              <w:rPr>
                <w:rFonts w:ascii="Arial" w:cs="Arial" w:eastAsia="Arial" w:hAnsi="Arial"/>
                <w:sz w:val="20"/>
                <w:szCs w:val="20"/>
                <w:color w:val="auto"/>
              </w:rPr>
              <w:t>Company contributions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348</w:t>
            </w:r>
          </w:p>
        </w:tc>
        <w:tc>
          <w:tcPr>
            <w:tcW w:w="2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326</w:t>
            </w:r>
          </w:p>
        </w:tc>
        <w:tc>
          <w:tcPr>
            <w:tcW w:w="120" w:type="dxa"/>
            <w:vAlign w:val="bottom"/>
          </w:tcPr>
          <w:p>
            <w:pPr>
              <w:spacing w:after="0"/>
              <w:rPr>
                <w:sz w:val="24"/>
                <w:szCs w:val="24"/>
                <w:color w:val="auto"/>
              </w:rPr>
            </w:pPr>
          </w:p>
        </w:tc>
        <w:tc>
          <w:tcPr>
            <w:tcW w:w="580" w:type="dxa"/>
            <w:vAlign w:val="bottom"/>
          </w:tcPr>
          <w:p>
            <w:pPr>
              <w:jc w:val="right"/>
              <w:ind w:right="82"/>
              <w:spacing w:after="0"/>
              <w:rPr>
                <w:sz w:val="20"/>
                <w:szCs w:val="20"/>
                <w:color w:val="auto"/>
              </w:rPr>
            </w:pPr>
            <w:r>
              <w:rPr>
                <w:rFonts w:ascii="Arial" w:cs="Arial" w:eastAsia="Arial" w:hAnsi="Arial"/>
                <w:sz w:val="20"/>
                <w:szCs w:val="20"/>
                <w:color w:val="auto"/>
              </w:rPr>
              <w:t>37</w:t>
            </w: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31</w:t>
            </w:r>
          </w:p>
        </w:tc>
        <w:tc>
          <w:tcPr>
            <w:tcW w:w="40" w:type="dxa"/>
            <w:vAlign w:val="bottom"/>
          </w:tcPr>
          <w:p>
            <w:pPr>
              <w:spacing w:after="0"/>
              <w:rPr>
                <w:sz w:val="24"/>
                <w:szCs w:val="24"/>
                <w:color w:val="auto"/>
              </w:rPr>
            </w:pPr>
          </w:p>
        </w:tc>
      </w:tr>
      <w:tr>
        <w:trPr>
          <w:trHeight w:val="279"/>
        </w:trPr>
        <w:tc>
          <w:tcPr>
            <w:tcW w:w="5620" w:type="dxa"/>
            <w:vAlign w:val="bottom"/>
          </w:tcPr>
          <w:p>
            <w:pPr>
              <w:spacing w:after="0"/>
              <w:rPr>
                <w:sz w:val="20"/>
                <w:szCs w:val="20"/>
                <w:color w:val="auto"/>
              </w:rPr>
            </w:pPr>
            <w:r>
              <w:rPr>
                <w:rFonts w:ascii="Arial" w:cs="Arial" w:eastAsia="Arial" w:hAnsi="Arial"/>
                <w:sz w:val="20"/>
                <w:szCs w:val="20"/>
                <w:color w:val="auto"/>
              </w:rPr>
              <w:t>Benefits paid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auto"/>
              </w:rPr>
              <w:t>(371)</w:t>
            </w:r>
          </w:p>
        </w:tc>
        <w:tc>
          <w:tcPr>
            <w:tcW w:w="2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(347)</w:t>
            </w:r>
          </w:p>
        </w:tc>
        <w:tc>
          <w:tcPr>
            <w:tcW w:w="120" w:type="dxa"/>
            <w:vAlign w:val="bottom"/>
          </w:tcPr>
          <w:p>
            <w:pPr>
              <w:spacing w:after="0"/>
              <w:rPr>
                <w:sz w:val="24"/>
                <w:szCs w:val="24"/>
                <w:color w:val="auto"/>
              </w:rPr>
            </w:pPr>
          </w:p>
        </w:tc>
        <w:tc>
          <w:tcPr>
            <w:tcW w:w="580" w:type="dxa"/>
            <w:vAlign w:val="bottom"/>
          </w:tcPr>
          <w:p>
            <w:pPr>
              <w:jc w:val="right"/>
              <w:ind w:right="2"/>
              <w:spacing w:after="0"/>
              <w:rPr>
                <w:sz w:val="20"/>
                <w:szCs w:val="20"/>
                <w:color w:val="auto"/>
              </w:rPr>
            </w:pPr>
            <w:r>
              <w:rPr>
                <w:rFonts w:ascii="Arial" w:cs="Arial" w:eastAsia="Arial" w:hAnsi="Arial"/>
                <w:sz w:val="20"/>
                <w:szCs w:val="20"/>
                <w:color w:val="auto"/>
              </w:rPr>
              <w:t>(37)</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(31)</w:t>
            </w:r>
          </w:p>
        </w:tc>
      </w:tr>
      <w:tr>
        <w:trPr>
          <w:trHeight w:val="282"/>
        </w:trPr>
        <w:tc>
          <w:tcPr>
            <w:tcW w:w="5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 primarily foreign currency translation adjustments</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20"/>
                <w:szCs w:val="20"/>
                <w:color w:val="auto"/>
              </w:rPr>
              <w:t>242</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0"/>
                <w:szCs w:val="20"/>
                <w:color w:val="auto"/>
              </w:rPr>
              <w:t>(132)</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r>
      <w:tr>
        <w:trPr>
          <w:trHeight w:val="269"/>
        </w:trPr>
        <w:tc>
          <w:tcPr>
            <w:tcW w:w="5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End of period</w:t>
            </w: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20"/>
                <w:szCs w:val="20"/>
                <w:color w:val="auto"/>
                <w:w w:val="94"/>
              </w:rPr>
              <w:t>12,204</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w w:val="94"/>
              </w:rPr>
              <w:t>10,551</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3"/>
                <w:szCs w:val="23"/>
                <w:color w:val="auto"/>
              </w:rPr>
            </w:pPr>
          </w:p>
        </w:tc>
      </w:tr>
      <w:tr>
        <w:trPr>
          <w:trHeight w:val="269"/>
        </w:trPr>
        <w:tc>
          <w:tcPr>
            <w:tcW w:w="5620" w:type="dxa"/>
            <w:vAlign w:val="bottom"/>
          </w:tcPr>
          <w:p>
            <w:pPr>
              <w:spacing w:after="0"/>
              <w:rPr>
                <w:sz w:val="20"/>
                <w:szCs w:val="20"/>
                <w:color w:val="auto"/>
              </w:rPr>
            </w:pPr>
            <w:r>
              <w:rPr>
                <w:rFonts w:ascii="Arial" w:cs="Arial" w:eastAsia="Arial" w:hAnsi="Arial"/>
                <w:sz w:val="20"/>
                <w:szCs w:val="20"/>
                <w:color w:val="auto"/>
              </w:rPr>
              <w:t>Funded status, end of period</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2,546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1,587</w:t>
            </w:r>
          </w:p>
        </w:tc>
        <w:tc>
          <w:tcPr>
            <w:tcW w:w="120" w:type="dxa"/>
            <w:vAlign w:val="bottom"/>
          </w:tcPr>
          <w:p>
            <w:pPr>
              <w:ind w:left="20"/>
              <w:spacing w:after="0"/>
              <w:rPr>
                <w:sz w:val="20"/>
                <w:szCs w:val="20"/>
                <w:color w:val="auto"/>
              </w:rPr>
            </w:pPr>
            <w:r>
              <w:rPr>
                <w:rFonts w:ascii="Arial" w:cs="Arial" w:eastAsia="Arial" w:hAnsi="Arial"/>
                <w:sz w:val="20"/>
                <w:szCs w:val="20"/>
                <w:color w:val="auto"/>
                <w:w w:val="71"/>
              </w:rPr>
              <w:t>$</w:t>
            </w:r>
          </w:p>
        </w:tc>
        <w:tc>
          <w:tcPr>
            <w:tcW w:w="580" w:type="dxa"/>
            <w:vAlign w:val="bottom"/>
          </w:tcPr>
          <w:p>
            <w:pPr>
              <w:jc w:val="right"/>
              <w:ind w:right="2"/>
              <w:spacing w:after="0"/>
              <w:rPr>
                <w:sz w:val="20"/>
                <w:szCs w:val="20"/>
                <w:color w:val="auto"/>
              </w:rPr>
            </w:pPr>
            <w:r>
              <w:rPr>
                <w:rFonts w:ascii="Arial" w:cs="Arial" w:eastAsia="Arial" w:hAnsi="Arial"/>
                <w:sz w:val="20"/>
                <w:szCs w:val="20"/>
                <w:color w:val="auto"/>
                <w:w w:val="98"/>
              </w:rPr>
              <w:t>(822)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w w:val="94"/>
              </w:rPr>
              <w:t>(786)</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2"/>
        </w:trPr>
        <w:tc>
          <w:tcPr>
            <w:tcW w:w="5620" w:type="dxa"/>
            <w:vAlign w:val="bottom"/>
          </w:tcPr>
          <w:p>
            <w:pPr>
              <w:spacing w:after="0"/>
              <w:rPr>
                <w:sz w:val="20"/>
                <w:szCs w:val="20"/>
                <w:color w:val="auto"/>
              </w:rPr>
            </w:pPr>
            <w:r>
              <w:rPr>
                <w:rFonts w:ascii="Arial" w:cs="Arial" w:eastAsia="Arial" w:hAnsi="Arial"/>
                <w:sz w:val="20"/>
                <w:szCs w:val="20"/>
                <w:b w:val="1"/>
                <w:bCs w:val="1"/>
                <w:color w:val="auto"/>
              </w:rPr>
              <w:t>Amounts recognized on the consolidated balance sheets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3"/>
        </w:trPr>
        <w:tc>
          <w:tcPr>
            <w:tcW w:w="5620" w:type="dxa"/>
            <w:vAlign w:val="bottom"/>
          </w:tcPr>
          <w:p>
            <w:pPr>
              <w:spacing w:after="0"/>
              <w:rPr>
                <w:sz w:val="20"/>
                <w:szCs w:val="20"/>
                <w:color w:val="auto"/>
              </w:rPr>
            </w:pPr>
            <w:r>
              <w:rPr>
                <w:rFonts w:ascii="Arial" w:cs="Arial" w:eastAsia="Arial" w:hAnsi="Arial"/>
                <w:sz w:val="20"/>
                <w:szCs w:val="20"/>
                <w:color w:val="auto"/>
              </w:rPr>
              <w:t>Other assets</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3,196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2,097</w:t>
            </w:r>
          </w:p>
        </w:tc>
        <w:tc>
          <w:tcPr>
            <w:tcW w:w="120" w:type="dxa"/>
            <w:vAlign w:val="bottom"/>
          </w:tcPr>
          <w:p>
            <w:pPr>
              <w:ind w:left="20"/>
              <w:spacing w:after="0"/>
              <w:rPr>
                <w:sz w:val="20"/>
                <w:szCs w:val="20"/>
                <w:color w:val="auto"/>
              </w:rPr>
            </w:pPr>
            <w:r>
              <w:rPr>
                <w:rFonts w:ascii="Arial" w:cs="Arial" w:eastAsia="Arial" w:hAnsi="Arial"/>
                <w:sz w:val="20"/>
                <w:szCs w:val="20"/>
                <w:color w:val="auto"/>
                <w:w w:val="71"/>
              </w:rPr>
              <w:t>$</w:t>
            </w:r>
          </w:p>
        </w:tc>
        <w:tc>
          <w:tcPr>
            <w:tcW w:w="58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279"/>
        </w:trPr>
        <w:tc>
          <w:tcPr>
            <w:tcW w:w="5620" w:type="dxa"/>
            <w:vAlign w:val="bottom"/>
          </w:tcPr>
          <w:p>
            <w:pPr>
              <w:spacing w:after="0"/>
              <w:rPr>
                <w:sz w:val="20"/>
                <w:szCs w:val="20"/>
                <w:color w:val="auto"/>
              </w:rPr>
            </w:pPr>
            <w:r>
              <w:rPr>
                <w:rFonts w:ascii="Arial" w:cs="Arial" w:eastAsia="Arial" w:hAnsi="Arial"/>
                <w:sz w:val="20"/>
                <w:szCs w:val="20"/>
                <w:color w:val="auto"/>
              </w:rPr>
              <w:t>Accounts payable and accrued liabilities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auto"/>
              </w:rPr>
              <w:t>(23)</w:t>
            </w:r>
          </w:p>
        </w:tc>
        <w:tc>
          <w:tcPr>
            <w:tcW w:w="2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(20)</w:t>
            </w:r>
          </w:p>
        </w:tc>
        <w:tc>
          <w:tcPr>
            <w:tcW w:w="120" w:type="dxa"/>
            <w:vAlign w:val="bottom"/>
          </w:tcPr>
          <w:p>
            <w:pPr>
              <w:spacing w:after="0"/>
              <w:rPr>
                <w:sz w:val="24"/>
                <w:szCs w:val="24"/>
                <w:color w:val="auto"/>
              </w:rPr>
            </w:pPr>
          </w:p>
        </w:tc>
        <w:tc>
          <w:tcPr>
            <w:tcW w:w="580" w:type="dxa"/>
            <w:vAlign w:val="bottom"/>
          </w:tcPr>
          <w:p>
            <w:pPr>
              <w:jc w:val="right"/>
              <w:ind w:right="2"/>
              <w:spacing w:after="0"/>
              <w:rPr>
                <w:sz w:val="20"/>
                <w:szCs w:val="20"/>
                <w:color w:val="auto"/>
              </w:rPr>
            </w:pPr>
            <w:r>
              <w:rPr>
                <w:rFonts w:ascii="Arial" w:cs="Arial" w:eastAsia="Arial" w:hAnsi="Arial"/>
                <w:sz w:val="20"/>
                <w:szCs w:val="20"/>
                <w:color w:val="auto"/>
              </w:rPr>
              <w:t>(39)</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(42)</w:t>
            </w:r>
          </w:p>
        </w:tc>
      </w:tr>
      <w:tr>
        <w:trPr>
          <w:trHeight w:val="282"/>
        </w:trPr>
        <w:tc>
          <w:tcPr>
            <w:tcW w:w="5620" w:type="dxa"/>
            <w:vAlign w:val="bottom"/>
          </w:tcPr>
          <w:p>
            <w:pPr>
              <w:spacing w:after="0"/>
              <w:rPr>
                <w:sz w:val="20"/>
                <w:szCs w:val="20"/>
                <w:color w:val="auto"/>
              </w:rPr>
            </w:pPr>
            <w:r>
              <w:rPr>
                <w:rFonts w:ascii="Arial" w:cs="Arial" w:eastAsia="Arial" w:hAnsi="Arial"/>
                <w:sz w:val="20"/>
                <w:szCs w:val="20"/>
                <w:color w:val="auto"/>
              </w:rPr>
              <w:t>Other long-term liabilities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auto"/>
              </w:rPr>
              <w:t>(627)</w:t>
            </w:r>
          </w:p>
        </w:tc>
        <w:tc>
          <w:tcPr>
            <w:tcW w:w="2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(490)</w:t>
            </w:r>
          </w:p>
        </w:tc>
        <w:tc>
          <w:tcPr>
            <w:tcW w:w="120" w:type="dxa"/>
            <w:vAlign w:val="bottom"/>
          </w:tcPr>
          <w:p>
            <w:pPr>
              <w:spacing w:after="0"/>
              <w:rPr>
                <w:sz w:val="24"/>
                <w:szCs w:val="24"/>
                <w:color w:val="auto"/>
              </w:rPr>
            </w:pPr>
          </w:p>
        </w:tc>
        <w:tc>
          <w:tcPr>
            <w:tcW w:w="580" w:type="dxa"/>
            <w:vAlign w:val="bottom"/>
          </w:tcPr>
          <w:p>
            <w:pPr>
              <w:jc w:val="right"/>
              <w:ind w:right="2"/>
              <w:spacing w:after="0"/>
              <w:rPr>
                <w:sz w:val="20"/>
                <w:szCs w:val="20"/>
                <w:color w:val="auto"/>
              </w:rPr>
            </w:pPr>
            <w:r>
              <w:rPr>
                <w:rFonts w:ascii="Arial" w:cs="Arial" w:eastAsia="Arial" w:hAnsi="Arial"/>
                <w:sz w:val="20"/>
                <w:szCs w:val="20"/>
                <w:color w:val="auto"/>
                <w:w w:val="98"/>
              </w:rPr>
              <w:t>(783)</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w w:val="94"/>
              </w:rPr>
              <w:t>(744)</w:t>
            </w:r>
          </w:p>
        </w:tc>
      </w:tr>
      <w:tr>
        <w:trPr>
          <w:trHeight w:val="20"/>
        </w:trPr>
        <w:tc>
          <w:tcPr>
            <w:tcW w:w="56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9"/>
        </w:trPr>
        <w:tc>
          <w:tcPr>
            <w:tcW w:w="5620" w:type="dxa"/>
            <w:vAlign w:val="bottom"/>
          </w:tcPr>
          <w:p>
            <w:pPr>
              <w:spacing w:after="0"/>
              <w:rPr>
                <w:sz w:val="20"/>
                <w:szCs w:val="20"/>
                <w:color w:val="auto"/>
              </w:rPr>
            </w:pPr>
            <w:r>
              <w:rPr>
                <w:rFonts w:ascii="Arial" w:cs="Arial" w:eastAsia="Arial" w:hAnsi="Arial"/>
                <w:sz w:val="20"/>
                <w:szCs w:val="20"/>
                <w:color w:val="auto"/>
              </w:rPr>
              <w:t>Net asset (obligation)</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2,546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1,587</w:t>
            </w:r>
          </w:p>
        </w:tc>
        <w:tc>
          <w:tcPr>
            <w:tcW w:w="120" w:type="dxa"/>
            <w:vAlign w:val="bottom"/>
          </w:tcPr>
          <w:p>
            <w:pPr>
              <w:ind w:left="20"/>
              <w:spacing w:after="0"/>
              <w:rPr>
                <w:sz w:val="20"/>
                <w:szCs w:val="20"/>
                <w:color w:val="auto"/>
              </w:rPr>
            </w:pPr>
            <w:r>
              <w:rPr>
                <w:rFonts w:ascii="Arial" w:cs="Arial" w:eastAsia="Arial" w:hAnsi="Arial"/>
                <w:sz w:val="20"/>
                <w:szCs w:val="20"/>
                <w:color w:val="auto"/>
                <w:w w:val="71"/>
              </w:rPr>
              <w:t>$</w:t>
            </w:r>
          </w:p>
        </w:tc>
        <w:tc>
          <w:tcPr>
            <w:tcW w:w="580" w:type="dxa"/>
            <w:vAlign w:val="bottom"/>
          </w:tcPr>
          <w:p>
            <w:pPr>
              <w:jc w:val="right"/>
              <w:ind w:right="2"/>
              <w:spacing w:after="0"/>
              <w:rPr>
                <w:sz w:val="20"/>
                <w:szCs w:val="20"/>
                <w:color w:val="auto"/>
              </w:rPr>
            </w:pPr>
            <w:r>
              <w:rPr>
                <w:rFonts w:ascii="Arial" w:cs="Arial" w:eastAsia="Arial" w:hAnsi="Arial"/>
                <w:sz w:val="20"/>
                <w:szCs w:val="20"/>
                <w:color w:val="auto"/>
                <w:w w:val="98"/>
              </w:rPr>
              <w:t>(822)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w w:val="94"/>
              </w:rPr>
              <w:t>(786)</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5620" w:type="dxa"/>
            <w:vAlign w:val="bottom"/>
          </w:tcPr>
          <w:p>
            <w:pPr>
              <w:spacing w:after="0"/>
              <w:rPr>
                <w:sz w:val="20"/>
                <w:szCs w:val="20"/>
                <w:color w:val="auto"/>
              </w:rPr>
            </w:pPr>
            <w:r>
              <w:rPr>
                <w:rFonts w:ascii="Arial" w:cs="Arial" w:eastAsia="Arial" w:hAnsi="Arial"/>
                <w:sz w:val="20"/>
                <w:szCs w:val="20"/>
                <w:color w:val="auto"/>
              </w:rPr>
              <w:t>Actuarial loss, net</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770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1,303</w:t>
            </w:r>
          </w:p>
        </w:tc>
        <w:tc>
          <w:tcPr>
            <w:tcW w:w="120" w:type="dxa"/>
            <w:vAlign w:val="bottom"/>
          </w:tcPr>
          <w:p>
            <w:pPr>
              <w:ind w:left="20"/>
              <w:spacing w:after="0"/>
              <w:rPr>
                <w:sz w:val="20"/>
                <w:szCs w:val="20"/>
                <w:color w:val="auto"/>
              </w:rPr>
            </w:pPr>
            <w:r>
              <w:rPr>
                <w:rFonts w:ascii="Arial" w:cs="Arial" w:eastAsia="Arial" w:hAnsi="Arial"/>
                <w:sz w:val="20"/>
                <w:szCs w:val="20"/>
                <w:color w:val="auto"/>
                <w:w w:val="71"/>
              </w:rPr>
              <w:t>$</w:t>
            </w:r>
          </w:p>
        </w:tc>
        <w:tc>
          <w:tcPr>
            <w:tcW w:w="580" w:type="dxa"/>
            <w:vAlign w:val="bottom"/>
          </w:tcPr>
          <w:p>
            <w:pPr>
              <w:jc w:val="right"/>
              <w:ind w:right="82"/>
              <w:spacing w:after="0"/>
              <w:rPr>
                <w:sz w:val="20"/>
                <w:szCs w:val="20"/>
                <w:color w:val="auto"/>
              </w:rPr>
            </w:pPr>
            <w:r>
              <w:rPr>
                <w:rFonts w:ascii="Arial" w:cs="Arial" w:eastAsia="Arial" w:hAnsi="Arial"/>
                <w:sz w:val="20"/>
                <w:szCs w:val="20"/>
                <w:color w:val="auto"/>
              </w:rPr>
              <w:t>181</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203</w:t>
            </w:r>
          </w:p>
        </w:tc>
        <w:tc>
          <w:tcPr>
            <w:tcW w:w="40" w:type="dxa"/>
            <w:vAlign w:val="bottom"/>
          </w:tcPr>
          <w:p>
            <w:pPr>
              <w:spacing w:after="0"/>
              <w:rPr>
                <w:sz w:val="22"/>
                <w:szCs w:val="22"/>
                <w:color w:val="auto"/>
              </w:rPr>
            </w:pPr>
          </w:p>
        </w:tc>
      </w:tr>
      <w:tr>
        <w:trPr>
          <w:trHeight w:val="282"/>
        </w:trPr>
        <w:tc>
          <w:tcPr>
            <w:tcW w:w="5620" w:type="dxa"/>
            <w:vAlign w:val="bottom"/>
          </w:tcPr>
          <w:p>
            <w:pPr>
              <w:spacing w:after="0"/>
              <w:rPr>
                <w:sz w:val="20"/>
                <w:szCs w:val="20"/>
                <w:color w:val="auto"/>
              </w:rPr>
            </w:pPr>
            <w:r>
              <w:rPr>
                <w:rFonts w:ascii="Arial" w:cs="Arial" w:eastAsia="Arial" w:hAnsi="Arial"/>
                <w:sz w:val="20"/>
                <w:szCs w:val="20"/>
                <w:color w:val="auto"/>
              </w:rPr>
              <w:t>Prior service cost (credit)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4"/>
                <w:szCs w:val="24"/>
                <w:color w:val="auto"/>
              </w:rPr>
            </w:pPr>
          </w:p>
        </w:tc>
        <w:tc>
          <w:tcPr>
            <w:tcW w:w="580" w:type="dxa"/>
            <w:vAlign w:val="bottom"/>
          </w:tcPr>
          <w:p>
            <w:pPr>
              <w:jc w:val="right"/>
              <w:ind w:right="2"/>
              <w:spacing w:after="0"/>
              <w:rPr>
                <w:sz w:val="20"/>
                <w:szCs w:val="20"/>
                <w:color w:val="auto"/>
              </w:rPr>
            </w:pPr>
            <w:r>
              <w:rPr>
                <w:rFonts w:ascii="Arial" w:cs="Arial" w:eastAsia="Arial" w:hAnsi="Arial"/>
                <w:sz w:val="20"/>
                <w:szCs w:val="20"/>
                <w:color w:val="auto"/>
                <w:w w:val="98"/>
              </w:rPr>
              <w:t>(225)</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w w:val="94"/>
              </w:rPr>
              <w:t>(261)</w:t>
            </w:r>
          </w:p>
        </w:tc>
      </w:tr>
      <w:tr>
        <w:trPr>
          <w:trHeight w:val="20"/>
        </w:trPr>
        <w:tc>
          <w:tcPr>
            <w:tcW w:w="56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9"/>
        </w:trPr>
        <w:tc>
          <w:tcPr>
            <w:tcW w:w="5620" w:type="dxa"/>
            <w:vAlign w:val="bottom"/>
          </w:tcPr>
          <w:p>
            <w:pPr>
              <w:spacing w:after="0"/>
              <w:rPr>
                <w:sz w:val="20"/>
                <w:szCs w:val="20"/>
                <w:color w:val="auto"/>
              </w:rPr>
            </w:pPr>
            <w:r>
              <w:rPr>
                <w:rFonts w:ascii="Arial" w:cs="Arial" w:eastAsia="Arial" w:hAnsi="Arial"/>
                <w:sz w:val="20"/>
                <w:szCs w:val="20"/>
                <w:color w:val="auto"/>
              </w:rPr>
              <w:t>Accumulated other comprehensive loss (income)</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63"/>
              <w:spacing w:after="0"/>
              <w:rPr>
                <w:sz w:val="20"/>
                <w:szCs w:val="20"/>
                <w:color w:val="auto"/>
              </w:rPr>
            </w:pPr>
            <w:r>
              <w:rPr>
                <w:rFonts w:ascii="Arial" w:cs="Arial" w:eastAsia="Arial" w:hAnsi="Arial"/>
                <w:sz w:val="20"/>
                <w:szCs w:val="20"/>
                <w:color w:val="auto"/>
              </w:rPr>
              <w:t>771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20"/>
                <w:szCs w:val="20"/>
                <w:color w:val="auto"/>
              </w:rPr>
              <w:t>1,304</w:t>
            </w:r>
          </w:p>
        </w:tc>
        <w:tc>
          <w:tcPr>
            <w:tcW w:w="120" w:type="dxa"/>
            <w:vAlign w:val="bottom"/>
          </w:tcPr>
          <w:p>
            <w:pPr>
              <w:ind w:left="20"/>
              <w:spacing w:after="0"/>
              <w:rPr>
                <w:sz w:val="20"/>
                <w:szCs w:val="20"/>
                <w:color w:val="auto"/>
              </w:rPr>
            </w:pPr>
            <w:r>
              <w:rPr>
                <w:rFonts w:ascii="Arial" w:cs="Arial" w:eastAsia="Arial" w:hAnsi="Arial"/>
                <w:sz w:val="20"/>
                <w:szCs w:val="20"/>
                <w:color w:val="auto"/>
                <w:w w:val="71"/>
              </w:rPr>
              <w:t>$</w:t>
            </w:r>
          </w:p>
        </w:tc>
        <w:tc>
          <w:tcPr>
            <w:tcW w:w="580" w:type="dxa"/>
            <w:vAlign w:val="bottom"/>
          </w:tcPr>
          <w:p>
            <w:pPr>
              <w:jc w:val="right"/>
              <w:ind w:right="2"/>
              <w:spacing w:after="0"/>
              <w:rPr>
                <w:sz w:val="20"/>
                <w:szCs w:val="20"/>
                <w:color w:val="auto"/>
              </w:rPr>
            </w:pPr>
            <w:r>
              <w:rPr>
                <w:rFonts w:ascii="Arial" w:cs="Arial" w:eastAsia="Arial" w:hAnsi="Arial"/>
                <w:sz w:val="20"/>
                <w:szCs w:val="20"/>
                <w:color w:val="auto"/>
              </w:rPr>
              <w:t>(44)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(58)</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ind w:right="340" w:firstLine="359"/>
        <w:spacing w:after="0" w:line="269" w:lineRule="auto"/>
        <w:rPr>
          <w:sz w:val="20"/>
          <w:szCs w:val="20"/>
          <w:color w:val="auto"/>
        </w:rPr>
      </w:pPr>
      <w:r>
        <w:rPr>
          <w:rFonts w:ascii="Arial" w:cs="Arial" w:eastAsia="Arial" w:hAnsi="Arial"/>
          <w:sz w:val="20"/>
          <w:szCs w:val="20"/>
          <w:color w:val="auto"/>
        </w:rPr>
        <w:t>Related to international defined benefit plans the projected benefit obligations in the table above included $2.3 billion at December 31, 2025 and $2.2 billion at December 31, 2024.</w:t>
      </w:r>
    </w:p>
    <w:p>
      <w:pPr>
        <w:spacing w:after="0" w:line="103" w:lineRule="exact"/>
        <w:rPr>
          <w:sz w:val="20"/>
          <w:szCs w:val="20"/>
          <w:color w:val="auto"/>
        </w:rPr>
      </w:pPr>
    </w:p>
    <w:p>
      <w:pPr>
        <w:ind w:right="580" w:firstLine="359"/>
        <w:spacing w:after="0" w:line="269" w:lineRule="auto"/>
        <w:rPr>
          <w:sz w:val="20"/>
          <w:szCs w:val="20"/>
          <w:color w:val="auto"/>
        </w:rPr>
      </w:pPr>
      <w:r>
        <w:rPr>
          <w:rFonts w:ascii="Arial" w:cs="Arial" w:eastAsia="Arial" w:hAnsi="Arial"/>
          <w:sz w:val="20"/>
          <w:szCs w:val="20"/>
          <w:color w:val="auto"/>
        </w:rPr>
        <w:t>For plans reflected in the table above, the accumulated benefit obligations were $8.7 billion at December 31, 2025 and $8.1 billion at December 31, 2024.</w:t>
      </w:r>
    </w:p>
    <w:p>
      <w:pPr>
        <w:spacing w:after="0" w:line="103" w:lineRule="exact"/>
        <w:rPr>
          <w:sz w:val="20"/>
          <w:szCs w:val="20"/>
          <w:color w:val="auto"/>
        </w:rPr>
      </w:pPr>
    </w:p>
    <w:p>
      <w:pPr>
        <w:ind w:right="40" w:firstLine="359"/>
        <w:spacing w:after="0" w:line="259" w:lineRule="auto"/>
        <w:rPr>
          <w:sz w:val="20"/>
          <w:szCs w:val="20"/>
          <w:color w:val="auto"/>
        </w:rPr>
      </w:pPr>
      <w:r>
        <w:rPr>
          <w:rFonts w:ascii="Arial" w:cs="Arial" w:eastAsia="Arial" w:hAnsi="Arial"/>
          <w:sz w:val="20"/>
          <w:szCs w:val="20"/>
          <w:color w:val="auto"/>
        </w:rPr>
        <w:t>The 2025 actuarial loss of $124 million for qualified pension plans was primarily driven by experience losses, partially offset by higher discount rates. The 2024 actuarial gain of $855 million for qualified pension plans was primarily driven by higher discount rates.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Information For Pension Plans With An Accumulated Benefit Obligation In Excess Of Plan 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3180" w:type="dxa"/>
            <w:vAlign w:val="bottom"/>
          </w:tcPr>
          <w:p>
            <w:pPr>
              <w:jc w:val="right"/>
              <w:ind w:right="67"/>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r>
      <w:tr>
        <w:trPr>
          <w:trHeight w:val="22"/>
        </w:trPr>
        <w:tc>
          <w:tcPr>
            <w:tcW w:w="53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64"/>
        </w:trPr>
        <w:tc>
          <w:tcPr>
            <w:tcW w:w="5340" w:type="dxa"/>
            <w:vAlign w:val="bottom"/>
          </w:tcPr>
          <w:p>
            <w:pPr>
              <w:spacing w:after="0"/>
              <w:rPr>
                <w:sz w:val="20"/>
                <w:szCs w:val="20"/>
                <w:color w:val="auto"/>
              </w:rPr>
            </w:pPr>
            <w:r>
              <w:rPr>
                <w:rFonts w:ascii="Arial" w:cs="Arial" w:eastAsia="Arial" w:hAnsi="Arial"/>
                <w:sz w:val="20"/>
                <w:szCs w:val="20"/>
                <w:color w:val="auto"/>
              </w:rPr>
              <w:t>Accumulated benefit obligation</w:t>
            </w:r>
          </w:p>
        </w:tc>
        <w:tc>
          <w:tcPr>
            <w:tcW w:w="3180" w:type="dxa"/>
            <w:vAlign w:val="bottom"/>
          </w:tcPr>
          <w:p>
            <w:pPr>
              <w:jc w:val="right"/>
              <w:ind w:right="27"/>
              <w:spacing w:after="0"/>
              <w:rPr>
                <w:sz w:val="20"/>
                <w:szCs w:val="20"/>
                <w:color w:val="auto"/>
              </w:rPr>
            </w:pPr>
            <w:r>
              <w:rPr>
                <w:rFonts w:ascii="Arial" w:cs="Arial" w:eastAsia="Arial" w:hAnsi="Arial"/>
                <w:sz w:val="20"/>
                <w:szCs w:val="20"/>
                <w:color w:val="auto"/>
              </w:rPr>
              <w:t>$647</w:t>
            </w:r>
          </w:p>
        </w:tc>
        <w:tc>
          <w:tcPr>
            <w:tcW w:w="580" w:type="dxa"/>
            <w:vAlign w:val="bottom"/>
          </w:tcPr>
          <w:p>
            <w:pPr>
              <w:jc w:val="right"/>
              <w:spacing w:after="0"/>
              <w:rPr>
                <w:sz w:val="20"/>
                <w:szCs w:val="20"/>
                <w:color w:val="auto"/>
              </w:rPr>
            </w:pPr>
            <w:r>
              <w:rPr>
                <w:rFonts w:ascii="Arial" w:cs="Arial" w:eastAsia="Arial" w:hAnsi="Arial"/>
                <w:sz w:val="20"/>
                <w:szCs w:val="20"/>
                <w:color w:val="auto"/>
              </w:rPr>
              <w:t>$527</w:t>
            </w:r>
          </w:p>
        </w:tc>
      </w:tr>
      <w:tr>
        <w:trPr>
          <w:trHeight w:val="282"/>
        </w:trPr>
        <w:tc>
          <w:tcPr>
            <w:tcW w:w="5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Fair value of plan assets</w:t>
            </w:r>
          </w:p>
        </w:tc>
        <w:tc>
          <w:tcPr>
            <w:tcW w:w="3180" w:type="dxa"/>
            <w:vAlign w:val="bottom"/>
            <w:tcBorders>
              <w:bottom w:val="single" w:sz="8" w:color="auto"/>
            </w:tcBorders>
          </w:tcPr>
          <w:p>
            <w:pPr>
              <w:jc w:val="right"/>
              <w:ind w:right="27"/>
              <w:spacing w:after="0"/>
              <w:rPr>
                <w:sz w:val="20"/>
                <w:szCs w:val="20"/>
                <w:color w:val="auto"/>
              </w:rPr>
            </w:pPr>
            <w:r>
              <w:rPr>
                <w:rFonts w:ascii="Arial" w:cs="Arial" w:eastAsia="Arial" w:hAnsi="Arial"/>
                <w:sz w:val="20"/>
                <w:szCs w:val="20"/>
                <w:color w:val="auto"/>
              </w:rPr>
              <w:t>99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w:t>
            </w:r>
          </w:p>
        </w:tc>
      </w:tr>
    </w:tbl>
    <w:p>
      <w:pPr>
        <w:spacing w:after="0" w:line="200" w:lineRule="exact"/>
        <w:rPr>
          <w:sz w:val="20"/>
          <w:szCs w:val="20"/>
          <w:color w:val="auto"/>
        </w:rPr>
      </w:pPr>
    </w:p>
    <w:p>
      <w:pPr>
        <w:sectPr>
          <w:pgSz w:w="11880" w:h="15480" w:orient="portrait"/>
          <w:cols w:equalWidth="0" w:num="1">
            <w:col w:w="9140"/>
          </w:cols>
          <w:pgMar w:left="1400" w:top="1030" w:right="134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  </w:t>
      </w:r>
      <w:r>
        <w:rPr>
          <w:sz w:val="1"/>
          <w:szCs w:val="1"/>
          <w:color w:val="auto"/>
        </w:rPr>
        <w:drawing>
          <wp:inline distT="0" distB="0" distL="0" distR="0">
            <wp:extent cx="615950" cy="12827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40"/>
          </w:cols>
          <w:pgMar w:left="1400" w:top="1030" w:right="1340" w:bottom="75"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i w:val="1"/>
          <w:iCs w:val="1"/>
          <w:color w:val="auto"/>
        </w:rPr>
        <w:t>Information For Pension Plans With A Projected Benefit Obligation In Excess Of Plan 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3340" w:type="dxa"/>
            <w:vAlign w:val="bottom"/>
          </w:tcPr>
          <w:p>
            <w:pPr>
              <w:jc w:val="right"/>
              <w:ind w:right="67"/>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r>
      <w:tr>
        <w:trPr>
          <w:trHeight w:val="22"/>
        </w:trPr>
        <w:tc>
          <w:tcPr>
            <w:tcW w:w="518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64"/>
        </w:trPr>
        <w:tc>
          <w:tcPr>
            <w:tcW w:w="5180" w:type="dxa"/>
            <w:vAlign w:val="bottom"/>
          </w:tcPr>
          <w:p>
            <w:pPr>
              <w:spacing w:after="0"/>
              <w:rPr>
                <w:sz w:val="20"/>
                <w:szCs w:val="20"/>
                <w:color w:val="auto"/>
              </w:rPr>
            </w:pPr>
            <w:r>
              <w:rPr>
                <w:rFonts w:ascii="Arial" w:cs="Arial" w:eastAsia="Arial" w:hAnsi="Arial"/>
                <w:sz w:val="20"/>
                <w:szCs w:val="20"/>
                <w:color w:val="auto"/>
              </w:rPr>
              <w:t>Projected benefit obligation</w:t>
            </w:r>
          </w:p>
        </w:tc>
        <w:tc>
          <w:tcPr>
            <w:tcW w:w="3340" w:type="dxa"/>
            <w:vAlign w:val="bottom"/>
          </w:tcPr>
          <w:p>
            <w:pPr>
              <w:jc w:val="right"/>
              <w:ind w:right="27"/>
              <w:spacing w:after="0"/>
              <w:rPr>
                <w:sz w:val="20"/>
                <w:szCs w:val="20"/>
                <w:color w:val="auto"/>
              </w:rPr>
            </w:pPr>
            <w:r>
              <w:rPr>
                <w:rFonts w:ascii="Arial" w:cs="Arial" w:eastAsia="Arial" w:hAnsi="Arial"/>
                <w:sz w:val="20"/>
                <w:szCs w:val="20"/>
                <w:color w:val="auto"/>
              </w:rPr>
              <w:t>$749</w:t>
            </w:r>
          </w:p>
        </w:tc>
        <w:tc>
          <w:tcPr>
            <w:tcW w:w="580" w:type="dxa"/>
            <w:vAlign w:val="bottom"/>
          </w:tcPr>
          <w:p>
            <w:pPr>
              <w:jc w:val="right"/>
              <w:spacing w:after="0"/>
              <w:rPr>
                <w:sz w:val="20"/>
                <w:szCs w:val="20"/>
                <w:color w:val="auto"/>
              </w:rPr>
            </w:pPr>
            <w:r>
              <w:rPr>
                <w:rFonts w:ascii="Arial" w:cs="Arial" w:eastAsia="Arial" w:hAnsi="Arial"/>
                <w:sz w:val="20"/>
                <w:szCs w:val="20"/>
                <w:color w:val="auto"/>
              </w:rPr>
              <w:t>$775</w:t>
            </w:r>
          </w:p>
        </w:tc>
      </w:tr>
      <w:tr>
        <w:trPr>
          <w:trHeight w:val="282"/>
        </w:trPr>
        <w:tc>
          <w:tcPr>
            <w:tcW w:w="5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Fair value of plan assets</w:t>
            </w:r>
          </w:p>
        </w:tc>
        <w:tc>
          <w:tcPr>
            <w:tcW w:w="3340" w:type="dxa"/>
            <w:vAlign w:val="bottom"/>
            <w:tcBorders>
              <w:bottom w:val="single" w:sz="8" w:color="auto"/>
            </w:tcBorders>
          </w:tcPr>
          <w:p>
            <w:pPr>
              <w:jc w:val="right"/>
              <w:ind w:right="27"/>
              <w:spacing w:after="0"/>
              <w:rPr>
                <w:sz w:val="20"/>
                <w:szCs w:val="20"/>
                <w:color w:val="auto"/>
              </w:rPr>
            </w:pPr>
            <w:r>
              <w:rPr>
                <w:rFonts w:ascii="Arial" w:cs="Arial" w:eastAsia="Arial" w:hAnsi="Arial"/>
                <w:sz w:val="20"/>
                <w:szCs w:val="20"/>
                <w:color w:val="auto"/>
              </w:rPr>
              <w:t>99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Amounts Recognized in Other Comprehensive Income (Loss)</w:t>
      </w:r>
    </w:p>
    <w:p>
      <w:pPr>
        <w:spacing w:after="0" w:line="100" w:lineRule="exact"/>
        <w:rPr>
          <w:sz w:val="20"/>
          <w:szCs w:val="20"/>
          <w:color w:val="auto"/>
        </w:rPr>
      </w:pPr>
    </w:p>
    <w:p>
      <w:pPr>
        <w:ind w:right="160" w:firstLine="359"/>
        <w:spacing w:after="0" w:line="258" w:lineRule="auto"/>
        <w:rPr>
          <w:sz w:val="20"/>
          <w:szCs w:val="20"/>
          <w:color w:val="auto"/>
        </w:rPr>
      </w:pPr>
      <w:r>
        <w:rPr>
          <w:rFonts w:ascii="Arial" w:cs="Arial" w:eastAsia="Arial" w:hAnsi="Arial"/>
          <w:sz w:val="20"/>
          <w:szCs w:val="20"/>
          <w:color w:val="auto"/>
        </w:rPr>
        <w:t>The following table summarizes the pre-tax losses (gains) included in other comprehensive income (loss):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720" w:type="dxa"/>
            <w:vAlign w:val="bottom"/>
          </w:tcPr>
          <w:p>
            <w:pPr>
              <w:jc w:val="right"/>
              <w:ind w:right="120"/>
              <w:spacing w:after="0"/>
              <w:rPr>
                <w:sz w:val="20"/>
                <w:szCs w:val="20"/>
                <w:color w:val="auto"/>
              </w:rPr>
            </w:pPr>
            <w:r>
              <w:rPr>
                <w:rFonts w:ascii="Arial" w:cs="Arial" w:eastAsia="Arial" w:hAnsi="Arial"/>
                <w:sz w:val="16"/>
                <w:szCs w:val="16"/>
                <w:b w:val="1"/>
                <w:bCs w:val="1"/>
                <w:color w:val="auto"/>
              </w:rPr>
              <w:t>2025</w:t>
            </w:r>
          </w:p>
        </w:tc>
        <w:tc>
          <w:tcPr>
            <w:tcW w:w="740" w:type="dxa"/>
            <w:vAlign w:val="bottom"/>
          </w:tcPr>
          <w:p>
            <w:pPr>
              <w:jc w:val="right"/>
              <w:ind w:right="120"/>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sectPr>
          <w:pgSz w:w="11880" w:h="15480" w:orient="portrait"/>
          <w:cols w:equalWidth="0" w:num="1">
            <w:col w:w="9220"/>
          </w:cols>
          <w:pgMar w:left="1400" w:top="1028" w:right="1260" w:bottom="87" w:gutter="0" w:footer="0" w:header="0"/>
        </w:sectPr>
      </w:pPr>
    </w:p>
    <w:p>
      <w:pPr>
        <w:spacing w:after="0"/>
        <w:rPr>
          <w:sz w:val="20"/>
          <w:szCs w:val="20"/>
          <w:color w:val="auto"/>
        </w:rPr>
      </w:pPr>
      <w:r>
        <w:rPr>
          <w:rFonts w:ascii="Arial" w:cs="Arial" w:eastAsia="Arial" w:hAnsi="Arial"/>
          <w:sz w:val="20"/>
          <w:szCs w:val="20"/>
          <w:b w:val="1"/>
          <w:bCs w:val="1"/>
          <w:color w:val="auto"/>
        </w:rPr>
        <w:t>Defined benefit plans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Actuarial gain</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Amortization of prior service cost</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Amortization of actuarial loss</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Foreign exchange gain and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25400</wp:posOffset>
                </wp:positionV>
                <wp:extent cx="577786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pt" to="454.5pt,2pt" o:allowincell="f" strokecolor="#000000" strokeweight="0.499pt"/>
            </w:pict>
          </mc:Fallback>
        </mc:AlternateConten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Total gain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18415</wp:posOffset>
                </wp:positionV>
                <wp:extent cx="577786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45pt" to="454.5pt,1.4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37465</wp:posOffset>
                </wp:positionV>
                <wp:extent cx="577786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95pt" to="454.5pt,2.95pt" o:allowincell="f" strokecolor="#000000" strokeweight="0.499pt"/>
            </w:pict>
          </mc:Fallback>
        </mc:AlternateConten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tabs>
          <w:tab w:leader="none" w:pos="740" w:val="left"/>
          <w:tab w:leader="none" w:pos="1480" w:val="left"/>
        </w:tabs>
        <w:rPr>
          <w:sz w:val="20"/>
          <w:szCs w:val="20"/>
          <w:color w:val="auto"/>
        </w:rPr>
      </w:pPr>
      <w:r>
        <w:rPr>
          <w:rFonts w:ascii="Arial" w:cs="Arial" w:eastAsia="Arial" w:hAnsi="Arial"/>
          <w:sz w:val="20"/>
          <w:szCs w:val="20"/>
          <w:color w:val="auto"/>
        </w:rPr>
        <w:t>$(478)</w:t>
        <w:tab/>
        <w:t>$(935)</w:t>
      </w:r>
      <w:r>
        <w:rPr>
          <w:sz w:val="20"/>
          <w:szCs w:val="20"/>
          <w:color w:val="auto"/>
        </w:rPr>
        <w:tab/>
      </w:r>
      <w:r>
        <w:rPr>
          <w:rFonts w:ascii="Arial" w:cs="Arial" w:eastAsia="Arial" w:hAnsi="Arial"/>
          <w:sz w:val="19"/>
          <w:szCs w:val="19"/>
          <w:color w:val="auto"/>
        </w:rPr>
        <w:t>$ (16)</w:t>
      </w:r>
    </w:p>
    <w:p>
      <w:pPr>
        <w:spacing w:after="0" w:line="49" w:lineRule="exact"/>
        <w:rPr>
          <w:sz w:val="20"/>
          <w:szCs w:val="20"/>
          <w:color w:val="auto"/>
        </w:rPr>
      </w:pPr>
    </w:p>
    <w:p>
      <w:pPr>
        <w:ind w:left="320"/>
        <w:spacing w:after="0"/>
        <w:tabs>
          <w:tab w:leader="none" w:pos="1040" w:val="left"/>
          <w:tab w:leader="none" w:pos="176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(1)</w:t>
      </w:r>
    </w:p>
    <w:p>
      <w:pPr>
        <w:spacing w:after="0" w:line="49" w:lineRule="exact"/>
        <w:rPr>
          <w:sz w:val="20"/>
          <w:szCs w:val="20"/>
          <w:color w:val="auto"/>
        </w:rPr>
      </w:pPr>
    </w:p>
    <w:p>
      <w:pPr>
        <w:ind w:left="220"/>
        <w:spacing w:after="0"/>
        <w:tabs>
          <w:tab w:leader="none" w:pos="960" w:val="left"/>
          <w:tab w:leader="none" w:pos="1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(16)</w:t>
      </w:r>
    </w:p>
    <w:p>
      <w:pPr>
        <w:spacing w:after="0" w:line="49" w:lineRule="exact"/>
        <w:rPr>
          <w:sz w:val="20"/>
          <w:szCs w:val="20"/>
          <w:color w:val="auto"/>
        </w:rPr>
      </w:pPr>
    </w:p>
    <w:p>
      <w:pPr>
        <w:ind w:left="220"/>
        <w:spacing w:after="0"/>
        <w:tabs>
          <w:tab w:leader="none" w:pos="1040" w:val="left"/>
          <w:tab w:leader="none" w:pos="1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(44)</w:t>
      </w:r>
    </w:p>
    <w:p>
      <w:pPr>
        <w:spacing w:after="0" w:line="59" w:lineRule="exact"/>
        <w:rPr>
          <w:sz w:val="20"/>
          <w:szCs w:val="20"/>
          <w:color w:val="auto"/>
        </w:rPr>
      </w:pPr>
    </w:p>
    <w:p>
      <w:pPr>
        <w:spacing w:after="0"/>
        <w:tabs>
          <w:tab w:leader="none" w:pos="740" w:val="left"/>
          <w:tab w:leader="none" w:pos="1480" w:val="left"/>
        </w:tabs>
        <w:rPr>
          <w:sz w:val="20"/>
          <w:szCs w:val="20"/>
          <w:color w:val="auto"/>
        </w:rPr>
      </w:pPr>
      <w:r>
        <w:rPr>
          <w:rFonts w:ascii="Arial" w:cs="Arial" w:eastAsia="Arial" w:hAnsi="Arial"/>
          <w:sz w:val="20"/>
          <w:szCs w:val="20"/>
          <w:color w:val="auto"/>
        </w:rPr>
        <w:t>$(533)</w:t>
        <w:tab/>
        <w:t>$(987)</w:t>
      </w:r>
      <w:r>
        <w:rPr>
          <w:sz w:val="20"/>
          <w:szCs w:val="20"/>
          <w:color w:val="auto"/>
        </w:rPr>
        <w:tab/>
      </w:r>
      <w:r>
        <w:rPr>
          <w:rFonts w:ascii="Arial" w:cs="Arial" w:eastAsia="Arial" w:hAnsi="Arial"/>
          <w:sz w:val="19"/>
          <w:szCs w:val="19"/>
          <w:color w:val="auto"/>
        </w:rPr>
        <w:t>$ (77)</w:t>
      </w:r>
    </w:p>
    <w:p>
      <w:pPr>
        <w:spacing w:after="0" w:line="87" w:lineRule="exact"/>
        <w:rPr>
          <w:sz w:val="20"/>
          <w:szCs w:val="20"/>
          <w:color w:val="auto"/>
        </w:rPr>
      </w:pPr>
    </w:p>
    <w:p>
      <w:pPr>
        <w:sectPr>
          <w:pgSz w:w="11880" w:h="15480" w:orient="portrait"/>
          <w:cols w:equalWidth="0" w:num="2">
            <w:col w:w="6420" w:space="720"/>
            <w:col w:w="2080"/>
          </w:cols>
          <w:pgMar w:left="1400" w:top="1028" w:right="1260" w:bottom="87"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5060" w:type="dxa"/>
            <w:vAlign w:val="bottom"/>
          </w:tcPr>
          <w:p>
            <w:pPr>
              <w:spacing w:after="0"/>
              <w:rPr>
                <w:sz w:val="20"/>
                <w:szCs w:val="20"/>
                <w:color w:val="auto"/>
              </w:rPr>
            </w:pPr>
            <w:r>
              <w:rPr>
                <w:rFonts w:ascii="Arial" w:cs="Arial" w:eastAsia="Arial" w:hAnsi="Arial"/>
                <w:sz w:val="20"/>
                <w:szCs w:val="20"/>
                <w:b w:val="1"/>
                <w:bCs w:val="1"/>
                <w:color w:val="auto"/>
              </w:rPr>
              <w:t>Other post-employment plans</w:t>
            </w:r>
          </w:p>
        </w:tc>
        <w:tc>
          <w:tcPr>
            <w:tcW w:w="2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20"/>
                <w:szCs w:val="20"/>
                <w:color w:val="auto"/>
              </w:rPr>
              <w:t>Actuarial loss (gain)</w:t>
            </w:r>
          </w:p>
        </w:tc>
        <w:tc>
          <w:tcPr>
            <w:tcW w:w="2200" w:type="dxa"/>
            <w:vAlign w:val="bottom"/>
          </w:tcPr>
          <w:p>
            <w:pPr>
              <w:ind w:left="2080"/>
              <w:spacing w:after="0"/>
              <w:rPr>
                <w:sz w:val="20"/>
                <w:szCs w:val="20"/>
                <w:color w:val="auto"/>
              </w:rPr>
            </w:pPr>
            <w:r>
              <w:rPr>
                <w:rFonts w:ascii="Arial" w:cs="Arial" w:eastAsia="Arial" w:hAnsi="Arial"/>
                <w:sz w:val="20"/>
                <w:szCs w:val="20"/>
                <w:color w:val="auto"/>
                <w:w w:val="89"/>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(12)</w:t>
            </w:r>
          </w:p>
        </w:tc>
        <w:tc>
          <w:tcPr>
            <w:tcW w:w="220" w:type="dxa"/>
            <w:vAlign w:val="bottom"/>
          </w:tcPr>
          <w:p>
            <w:pPr>
              <w:ind w:left="120"/>
              <w:spacing w:after="0"/>
              <w:rPr>
                <w:sz w:val="20"/>
                <w:szCs w:val="20"/>
                <w:color w:val="auto"/>
              </w:rPr>
            </w:pPr>
            <w:r>
              <w:rPr>
                <w:rFonts w:ascii="Arial" w:cs="Arial" w:eastAsia="Arial" w:hAnsi="Arial"/>
                <w:sz w:val="20"/>
                <w:szCs w:val="20"/>
                <w:color w:val="auto"/>
                <w:w w:val="71"/>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(62)</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89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Amortization of prior service credit</w:t>
            </w:r>
          </w:p>
        </w:tc>
        <w:tc>
          <w:tcPr>
            <w:tcW w:w="220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20"/>
                <w:szCs w:val="20"/>
                <w:color w:val="auto"/>
              </w:rPr>
              <w:t>36</w:t>
            </w:r>
          </w:p>
        </w:tc>
        <w:tc>
          <w:tcPr>
            <w:tcW w:w="22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20"/>
                <w:szCs w:val="20"/>
                <w:color w:val="auto"/>
              </w:rPr>
              <w:t>36</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5060" w:type="dxa"/>
            <w:vAlign w:val="bottom"/>
          </w:tcPr>
          <w:p>
            <w:pPr>
              <w:spacing w:after="0"/>
              <w:rPr>
                <w:sz w:val="20"/>
                <w:szCs w:val="20"/>
                <w:color w:val="auto"/>
              </w:rPr>
            </w:pPr>
            <w:r>
              <w:rPr>
                <w:rFonts w:ascii="Arial" w:cs="Arial" w:eastAsia="Arial" w:hAnsi="Arial"/>
                <w:sz w:val="20"/>
                <w:szCs w:val="20"/>
                <w:color w:val="auto"/>
              </w:rPr>
              <w:t>Amortization of actuarial loss</w:t>
            </w:r>
          </w:p>
        </w:tc>
        <w:tc>
          <w:tcPr>
            <w:tcW w:w="2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(17)</w:t>
            </w: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20"/>
                <w:szCs w:val="20"/>
                <w:color w:val="auto"/>
              </w:rPr>
              <w:t>(12)</w:t>
            </w:r>
          </w:p>
        </w:tc>
      </w:tr>
      <w:tr>
        <w:trPr>
          <w:trHeight w:val="269"/>
        </w:trPr>
        <w:tc>
          <w:tcPr>
            <w:tcW w:w="50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Total loss (gain)</w:t>
            </w:r>
          </w:p>
        </w:tc>
        <w:tc>
          <w:tcPr>
            <w:tcW w:w="2200" w:type="dxa"/>
            <w:vAlign w:val="bottom"/>
            <w:tcBorders>
              <w:top w:val="single" w:sz="8" w:color="auto"/>
            </w:tcBorders>
          </w:tcPr>
          <w:p>
            <w:pPr>
              <w:ind w:left="2080"/>
              <w:spacing w:after="0"/>
              <w:rPr>
                <w:sz w:val="20"/>
                <w:szCs w:val="20"/>
                <w:color w:val="auto"/>
              </w:rPr>
            </w:pPr>
            <w:r>
              <w:rPr>
                <w:rFonts w:ascii="Arial" w:cs="Arial" w:eastAsia="Arial" w:hAnsi="Arial"/>
                <w:sz w:val="20"/>
                <w:szCs w:val="20"/>
                <w:color w:val="auto"/>
                <w:w w:val="89"/>
              </w:rPr>
              <w:t>$</w:t>
            </w: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20"/>
                <w:szCs w:val="20"/>
                <w:color w:val="auto"/>
              </w:rPr>
              <w:t>14</w:t>
            </w:r>
          </w:p>
        </w:tc>
        <w:tc>
          <w:tcPr>
            <w:tcW w:w="220" w:type="dxa"/>
            <w:vAlign w:val="bottom"/>
            <w:tcBorders>
              <w:top w:val="single" w:sz="8" w:color="auto"/>
            </w:tcBorders>
          </w:tcPr>
          <w:p>
            <w:pPr>
              <w:ind w:left="120"/>
              <w:spacing w:after="0"/>
              <w:rPr>
                <w:sz w:val="20"/>
                <w:szCs w:val="20"/>
                <w:color w:val="auto"/>
              </w:rPr>
            </w:pPr>
            <w:r>
              <w:rPr>
                <w:rFonts w:ascii="Arial" w:cs="Arial" w:eastAsia="Arial" w:hAnsi="Arial"/>
                <w:sz w:val="20"/>
                <w:szCs w:val="20"/>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6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$113</w:t>
            </w:r>
          </w:p>
        </w:tc>
        <w:tc>
          <w:tcPr>
            <w:tcW w:w="40" w:type="dxa"/>
            <w:vAlign w:val="bottom"/>
          </w:tcPr>
          <w:p>
            <w:pPr>
              <w:spacing w:after="0"/>
              <w:rPr>
                <w:sz w:val="23"/>
                <w:szCs w:val="23"/>
                <w:color w:val="auto"/>
              </w:rPr>
            </w:pPr>
          </w:p>
        </w:tc>
      </w:tr>
      <w:tr>
        <w:trPr>
          <w:trHeight w:val="20"/>
        </w:trPr>
        <w:tc>
          <w:tcPr>
            <w:tcW w:w="50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7"/>
        </w:trPr>
        <w:tc>
          <w:tcPr>
            <w:tcW w:w="5060" w:type="dxa"/>
            <w:vAlign w:val="bottom"/>
          </w:tcPr>
          <w:p>
            <w:pPr>
              <w:spacing w:after="0"/>
              <w:rPr>
                <w:sz w:val="20"/>
                <w:szCs w:val="20"/>
                <w:color w:val="auto"/>
              </w:rPr>
            </w:pPr>
            <w:r>
              <w:rPr>
                <w:rFonts w:ascii="Arial" w:cs="Arial" w:eastAsia="Arial" w:hAnsi="Arial"/>
                <w:sz w:val="20"/>
                <w:szCs w:val="20"/>
                <w:i w:val="1"/>
                <w:iCs w:val="1"/>
                <w:color w:val="auto"/>
              </w:rPr>
              <w:t>Net Periodic Benefit Cost</w:t>
            </w: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5"/>
        </w:trPr>
        <w:tc>
          <w:tcPr>
            <w:tcW w:w="506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720" w:type="dxa"/>
            <w:vAlign w:val="bottom"/>
            <w:gridSpan w:val="2"/>
          </w:tcPr>
          <w:p>
            <w:pPr>
              <w:ind w:left="2100"/>
              <w:spacing w:after="0"/>
              <w:rPr>
                <w:sz w:val="20"/>
                <w:szCs w:val="20"/>
                <w:color w:val="auto"/>
              </w:rPr>
            </w:pPr>
            <w:r>
              <w:rPr>
                <w:rFonts w:ascii="Arial" w:cs="Arial" w:eastAsia="Arial" w:hAnsi="Arial"/>
                <w:sz w:val="16"/>
                <w:szCs w:val="16"/>
                <w:b w:val="1"/>
                <w:bCs w:val="1"/>
                <w:color w:val="auto"/>
              </w:rPr>
              <w:t>2025</w:t>
            </w:r>
          </w:p>
        </w:tc>
        <w:tc>
          <w:tcPr>
            <w:tcW w:w="740" w:type="dxa"/>
            <w:vAlign w:val="bottom"/>
            <w:gridSpan w:val="2"/>
          </w:tcPr>
          <w:p>
            <w:pPr>
              <w:ind w:left="120"/>
              <w:spacing w:after="0"/>
              <w:rPr>
                <w:sz w:val="20"/>
                <w:szCs w:val="20"/>
                <w:color w:val="auto"/>
              </w:rPr>
            </w:pPr>
            <w:r>
              <w:rPr>
                <w:rFonts w:ascii="Arial" w:cs="Arial" w:eastAsia="Arial" w:hAnsi="Arial"/>
                <w:sz w:val="16"/>
                <w:szCs w:val="16"/>
                <w:b w:val="1"/>
                <w:bCs w:val="1"/>
                <w:color w:val="auto"/>
              </w:rPr>
              <w:t>2024</w:t>
            </w: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0"/>
        </w:trPr>
        <w:tc>
          <w:tcPr>
            <w:tcW w:w="5060" w:type="dxa"/>
            <w:vAlign w:val="bottom"/>
          </w:tcPr>
          <w:p>
            <w:pPr>
              <w:spacing w:after="0"/>
              <w:rPr>
                <w:sz w:val="20"/>
                <w:szCs w:val="20"/>
                <w:color w:val="auto"/>
              </w:rPr>
            </w:pPr>
            <w:r>
              <w:rPr>
                <w:rFonts w:ascii="Arial" w:cs="Arial" w:eastAsia="Arial" w:hAnsi="Arial"/>
                <w:sz w:val="20"/>
                <w:szCs w:val="20"/>
                <w:b w:val="1"/>
                <w:bCs w:val="1"/>
                <w:color w:val="auto"/>
              </w:rPr>
              <w:t>Defined benefit plans</w:t>
            </w:r>
          </w:p>
        </w:tc>
        <w:tc>
          <w:tcPr>
            <w:tcW w:w="2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20"/>
                <w:szCs w:val="20"/>
                <w:color w:val="auto"/>
              </w:rPr>
              <w:t>Service cost</w:t>
            </w:r>
          </w:p>
        </w:tc>
        <w:tc>
          <w:tcPr>
            <w:tcW w:w="2720" w:type="dxa"/>
            <w:vAlign w:val="bottom"/>
            <w:gridSpan w:val="2"/>
          </w:tcPr>
          <w:p>
            <w:pPr>
              <w:jc w:val="right"/>
              <w:ind w:right="80"/>
              <w:spacing w:after="0"/>
              <w:rPr>
                <w:sz w:val="20"/>
                <w:szCs w:val="20"/>
                <w:color w:val="auto"/>
              </w:rPr>
            </w:pPr>
            <w:r>
              <w:rPr>
                <w:rFonts w:ascii="Arial" w:cs="Arial" w:eastAsia="Arial" w:hAnsi="Arial"/>
                <w:sz w:val="20"/>
                <w:szCs w:val="20"/>
                <w:color w:val="auto"/>
              </w:rPr>
              <w:t>$ 264</w:t>
            </w:r>
          </w:p>
        </w:tc>
        <w:tc>
          <w:tcPr>
            <w:tcW w:w="740" w:type="dxa"/>
            <w:vAlign w:val="bottom"/>
            <w:gridSpan w:val="2"/>
          </w:tcPr>
          <w:p>
            <w:pPr>
              <w:jc w:val="right"/>
              <w:ind w:right="80"/>
              <w:spacing w:after="0"/>
              <w:rPr>
                <w:sz w:val="20"/>
                <w:szCs w:val="20"/>
                <w:color w:val="auto"/>
              </w:rPr>
            </w:pPr>
            <w:r>
              <w:rPr>
                <w:rFonts w:ascii="Arial" w:cs="Arial" w:eastAsia="Arial" w:hAnsi="Arial"/>
                <w:sz w:val="20"/>
                <w:szCs w:val="20"/>
                <w:color w:val="auto"/>
              </w:rPr>
              <w:t>$ 286</w:t>
            </w:r>
          </w:p>
        </w:tc>
        <w:tc>
          <w:tcPr>
            <w:tcW w:w="600" w:type="dxa"/>
            <w:vAlign w:val="bottom"/>
            <w:gridSpan w:val="3"/>
          </w:tcPr>
          <w:p>
            <w:pPr>
              <w:jc w:val="right"/>
              <w:ind w:right="20"/>
              <w:spacing w:after="0"/>
              <w:rPr>
                <w:sz w:val="20"/>
                <w:szCs w:val="20"/>
                <w:color w:val="auto"/>
              </w:rPr>
            </w:pPr>
            <w:r>
              <w:rPr>
                <w:rFonts w:ascii="Arial" w:cs="Arial" w:eastAsia="Arial" w:hAnsi="Arial"/>
                <w:sz w:val="20"/>
                <w:szCs w:val="20"/>
                <w:color w:val="auto"/>
              </w:rPr>
              <w:t>$ 270</w:t>
            </w:r>
          </w:p>
        </w:tc>
        <w:tc>
          <w:tcPr>
            <w:tcW w:w="40" w:type="dxa"/>
            <w:vAlign w:val="bottom"/>
          </w:tcPr>
          <w:p>
            <w:pPr>
              <w:spacing w:after="0"/>
              <w:rPr>
                <w:sz w:val="24"/>
                <w:szCs w:val="24"/>
                <w:color w:val="auto"/>
              </w:rPr>
            </w:pP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Interest cost</w:t>
            </w:r>
          </w:p>
        </w:tc>
        <w:tc>
          <w:tcPr>
            <w:tcW w:w="2200" w:type="dxa"/>
            <w:vAlign w:val="bottom"/>
          </w:tcPr>
          <w:p>
            <w:pPr>
              <w:spacing w:after="0"/>
              <w:rPr>
                <w:sz w:val="24"/>
                <w:szCs w:val="24"/>
                <w:color w:val="auto"/>
              </w:rPr>
            </w:pPr>
          </w:p>
        </w:tc>
        <w:tc>
          <w:tcPr>
            <w:tcW w:w="520" w:type="dxa"/>
            <w:vAlign w:val="bottom"/>
          </w:tcPr>
          <w:p>
            <w:pPr>
              <w:jc w:val="right"/>
              <w:ind w:right="80"/>
              <w:spacing w:after="0"/>
              <w:rPr>
                <w:sz w:val="20"/>
                <w:szCs w:val="20"/>
                <w:color w:val="auto"/>
              </w:rPr>
            </w:pPr>
            <w:r>
              <w:rPr>
                <w:rFonts w:ascii="Arial" w:cs="Arial" w:eastAsia="Arial" w:hAnsi="Arial"/>
                <w:sz w:val="20"/>
                <w:szCs w:val="20"/>
                <w:color w:val="auto"/>
                <w:w w:val="95"/>
              </w:rPr>
              <w:t>484</w:t>
            </w:r>
          </w:p>
        </w:tc>
        <w:tc>
          <w:tcPr>
            <w:tcW w:w="220" w:type="dxa"/>
            <w:vAlign w:val="bottom"/>
          </w:tcPr>
          <w:p>
            <w:pPr>
              <w:spacing w:after="0"/>
              <w:rPr>
                <w:sz w:val="24"/>
                <w:szCs w:val="24"/>
                <w:color w:val="auto"/>
              </w:rPr>
            </w:pPr>
          </w:p>
        </w:tc>
        <w:tc>
          <w:tcPr>
            <w:tcW w:w="520" w:type="dxa"/>
            <w:vAlign w:val="bottom"/>
          </w:tcPr>
          <w:p>
            <w:pPr>
              <w:jc w:val="right"/>
              <w:ind w:right="80"/>
              <w:spacing w:after="0"/>
              <w:rPr>
                <w:sz w:val="20"/>
                <w:szCs w:val="20"/>
                <w:color w:val="auto"/>
              </w:rPr>
            </w:pPr>
            <w:r>
              <w:rPr>
                <w:rFonts w:ascii="Arial" w:cs="Arial" w:eastAsia="Arial" w:hAnsi="Arial"/>
                <w:sz w:val="20"/>
                <w:szCs w:val="20"/>
                <w:color w:val="auto"/>
                <w:w w:val="95"/>
              </w:rPr>
              <w:t>451</w:t>
            </w:r>
          </w:p>
        </w:tc>
        <w:tc>
          <w:tcPr>
            <w:tcW w:w="24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auto"/>
                <w:w w:val="95"/>
              </w:rPr>
              <w:t>432</w:t>
            </w:r>
          </w:p>
        </w:tc>
        <w:tc>
          <w:tcPr>
            <w:tcW w:w="40" w:type="dxa"/>
            <w:vAlign w:val="bottom"/>
          </w:tcPr>
          <w:p>
            <w:pPr>
              <w:spacing w:after="0"/>
              <w:rPr>
                <w:sz w:val="24"/>
                <w:szCs w:val="24"/>
                <w:color w:val="auto"/>
              </w:rPr>
            </w:pP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Expected return on plan assets</w:t>
            </w:r>
          </w:p>
        </w:tc>
        <w:tc>
          <w:tcPr>
            <w:tcW w:w="2720" w:type="dxa"/>
            <w:vAlign w:val="bottom"/>
            <w:gridSpan w:val="2"/>
          </w:tcPr>
          <w:p>
            <w:pPr>
              <w:jc w:val="right"/>
              <w:ind w:right="20"/>
              <w:spacing w:after="0"/>
              <w:rPr>
                <w:sz w:val="20"/>
                <w:szCs w:val="20"/>
                <w:color w:val="auto"/>
              </w:rPr>
            </w:pPr>
            <w:r>
              <w:rPr>
                <w:rFonts w:ascii="Arial" w:cs="Arial" w:eastAsia="Arial" w:hAnsi="Arial"/>
                <w:sz w:val="20"/>
                <w:szCs w:val="20"/>
                <w:color w:val="auto"/>
              </w:rPr>
              <w:t>(832)</w:t>
            </w: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(785)</w:t>
            </w:r>
          </w:p>
        </w:tc>
        <w:tc>
          <w:tcPr>
            <w:tcW w:w="640" w:type="dxa"/>
            <w:vAlign w:val="bottom"/>
            <w:gridSpan w:val="4"/>
          </w:tcPr>
          <w:p>
            <w:pPr>
              <w:jc w:val="right"/>
              <w:spacing w:after="0"/>
              <w:rPr>
                <w:sz w:val="20"/>
                <w:szCs w:val="20"/>
                <w:color w:val="auto"/>
              </w:rPr>
            </w:pPr>
            <w:r>
              <w:rPr>
                <w:rFonts w:ascii="Arial" w:cs="Arial" w:eastAsia="Arial" w:hAnsi="Arial"/>
                <w:sz w:val="20"/>
                <w:szCs w:val="20"/>
                <w:color w:val="auto"/>
              </w:rPr>
              <w:t>(723)</w:t>
            </w: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Amortization of prior service cost</w:t>
            </w:r>
          </w:p>
        </w:tc>
        <w:tc>
          <w:tcPr>
            <w:tcW w:w="2200" w:type="dxa"/>
            <w:vAlign w:val="bottom"/>
          </w:tcPr>
          <w:p>
            <w:pPr>
              <w:spacing w:after="0"/>
              <w:rPr>
                <w:sz w:val="24"/>
                <w:szCs w:val="24"/>
                <w:color w:val="auto"/>
              </w:rPr>
            </w:pPr>
          </w:p>
        </w:tc>
        <w:tc>
          <w:tcPr>
            <w:tcW w:w="5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5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5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Amortization of actuarial loss</w:t>
            </w:r>
          </w:p>
        </w:tc>
        <w:tc>
          <w:tcPr>
            <w:tcW w:w="2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31</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52</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506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220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20"/>
              <w:spacing w:after="0"/>
              <w:rPr>
                <w:sz w:val="20"/>
                <w:szCs w:val="20"/>
                <w:color w:val="auto"/>
              </w:rPr>
            </w:pPr>
            <w:r>
              <w:rPr>
                <w:rFonts w:ascii="Arial" w:cs="Arial" w:eastAsia="Arial" w:hAnsi="Arial"/>
                <w:sz w:val="20"/>
                <w:szCs w:val="20"/>
                <w:color w:val="auto"/>
              </w:rPr>
              <w:t>(53)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80"/>
              <w:spacing w:after="0"/>
              <w:rPr>
                <w:sz w:val="20"/>
                <w:szCs w:val="20"/>
                <w:color w:val="auto"/>
              </w:rPr>
            </w:pPr>
            <w:r>
              <w:rPr>
                <w:rFonts w:ascii="Arial" w:cs="Arial" w:eastAsia="Arial" w:hAnsi="Arial"/>
                <w:sz w:val="20"/>
                <w:szCs w:val="20"/>
                <w:color w:val="auto"/>
              </w:rPr>
              <w:t>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gridSpan w:val="3"/>
          </w:tcPr>
          <w:p>
            <w:pPr>
              <w:jc w:val="right"/>
              <w:spacing w:after="0"/>
              <w:rPr>
                <w:sz w:val="20"/>
                <w:szCs w:val="20"/>
                <w:color w:val="auto"/>
              </w:rPr>
            </w:pPr>
            <w:r>
              <w:rPr>
                <w:rFonts w:ascii="Arial" w:cs="Arial" w:eastAsia="Arial" w:hAnsi="Arial"/>
                <w:sz w:val="20"/>
                <w:szCs w:val="20"/>
                <w:color w:val="auto"/>
              </w:rPr>
              <w:t>(4)</w:t>
            </w:r>
          </w:p>
        </w:tc>
      </w:tr>
      <w:tr>
        <w:trPr>
          <w:trHeight w:val="20"/>
        </w:trPr>
        <w:tc>
          <w:tcPr>
            <w:tcW w:w="50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2"/>
        </w:trPr>
        <w:tc>
          <w:tcPr>
            <w:tcW w:w="5060" w:type="dxa"/>
            <w:vAlign w:val="bottom"/>
          </w:tcPr>
          <w:p>
            <w:pPr>
              <w:spacing w:after="0"/>
              <w:rPr>
                <w:sz w:val="20"/>
                <w:szCs w:val="20"/>
                <w:color w:val="auto"/>
              </w:rPr>
            </w:pPr>
            <w:r>
              <w:rPr>
                <w:rFonts w:ascii="Arial" w:cs="Arial" w:eastAsia="Arial" w:hAnsi="Arial"/>
                <w:sz w:val="20"/>
                <w:szCs w:val="20"/>
                <w:b w:val="1"/>
                <w:bCs w:val="1"/>
                <w:color w:val="auto"/>
              </w:rPr>
              <w:t>Other post-employment plans</w:t>
            </w:r>
          </w:p>
        </w:tc>
        <w:tc>
          <w:tcPr>
            <w:tcW w:w="2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20"/>
                <w:szCs w:val="20"/>
                <w:color w:val="auto"/>
              </w:rPr>
              <w:t>Service cost</w:t>
            </w:r>
          </w:p>
        </w:tc>
        <w:tc>
          <w:tcPr>
            <w:tcW w:w="220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80"/>
              <w:spacing w:after="0"/>
              <w:rPr>
                <w:sz w:val="20"/>
                <w:szCs w:val="20"/>
                <w:color w:val="auto"/>
              </w:rPr>
            </w:pPr>
            <w:r>
              <w:rPr>
                <w:rFonts w:ascii="Arial" w:cs="Arial" w:eastAsia="Arial" w:hAnsi="Arial"/>
                <w:sz w:val="20"/>
                <w:szCs w:val="20"/>
                <w:color w:val="auto"/>
              </w:rPr>
              <w:t>40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80"/>
              <w:spacing w:after="0"/>
              <w:rPr>
                <w:sz w:val="20"/>
                <w:szCs w:val="20"/>
                <w:color w:val="auto"/>
              </w:rPr>
            </w:pPr>
            <w:r>
              <w:rPr>
                <w:rFonts w:ascii="Arial" w:cs="Arial" w:eastAsia="Arial" w:hAnsi="Arial"/>
                <w:sz w:val="20"/>
                <w:szCs w:val="20"/>
                <w:color w:val="auto"/>
              </w:rPr>
              <w:t>43</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37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Interest cost</w:t>
            </w:r>
          </w:p>
        </w:tc>
        <w:tc>
          <w:tcPr>
            <w:tcW w:w="2200" w:type="dxa"/>
            <w:vAlign w:val="bottom"/>
          </w:tcPr>
          <w:p>
            <w:pPr>
              <w:spacing w:after="0"/>
              <w:rPr>
                <w:sz w:val="24"/>
                <w:szCs w:val="24"/>
                <w:color w:val="auto"/>
              </w:rPr>
            </w:pPr>
          </w:p>
        </w:tc>
        <w:tc>
          <w:tcPr>
            <w:tcW w:w="520" w:type="dxa"/>
            <w:vAlign w:val="bottom"/>
          </w:tcPr>
          <w:p>
            <w:pPr>
              <w:jc w:val="right"/>
              <w:ind w:right="80"/>
              <w:spacing w:after="0"/>
              <w:rPr>
                <w:sz w:val="20"/>
                <w:szCs w:val="20"/>
                <w:color w:val="auto"/>
              </w:rPr>
            </w:pPr>
            <w:r>
              <w:rPr>
                <w:rFonts w:ascii="Arial" w:cs="Arial" w:eastAsia="Arial" w:hAnsi="Arial"/>
                <w:sz w:val="20"/>
                <w:szCs w:val="20"/>
                <w:color w:val="auto"/>
              </w:rPr>
              <w:t>44</w:t>
            </w:r>
          </w:p>
        </w:tc>
        <w:tc>
          <w:tcPr>
            <w:tcW w:w="220" w:type="dxa"/>
            <w:vAlign w:val="bottom"/>
          </w:tcPr>
          <w:p>
            <w:pPr>
              <w:spacing w:after="0"/>
              <w:rPr>
                <w:sz w:val="24"/>
                <w:szCs w:val="24"/>
                <w:color w:val="auto"/>
              </w:rPr>
            </w:pPr>
          </w:p>
        </w:tc>
        <w:tc>
          <w:tcPr>
            <w:tcW w:w="520" w:type="dxa"/>
            <w:vAlign w:val="bottom"/>
          </w:tcPr>
          <w:p>
            <w:pPr>
              <w:jc w:val="right"/>
              <w:ind w:right="80"/>
              <w:spacing w:after="0"/>
              <w:rPr>
                <w:sz w:val="20"/>
                <w:szCs w:val="20"/>
                <w:color w:val="auto"/>
              </w:rPr>
            </w:pPr>
            <w:r>
              <w:rPr>
                <w:rFonts w:ascii="Arial" w:cs="Arial" w:eastAsia="Arial" w:hAnsi="Arial"/>
                <w:sz w:val="20"/>
                <w:szCs w:val="20"/>
                <w:color w:val="auto"/>
              </w:rPr>
              <w:t>41</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37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Amortization of prior service credit</w:t>
            </w:r>
          </w:p>
        </w:tc>
        <w:tc>
          <w:tcPr>
            <w:tcW w:w="220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20"/>
                <w:szCs w:val="20"/>
                <w:color w:val="auto"/>
              </w:rPr>
              <w:t>(36)</w:t>
            </w:r>
          </w:p>
        </w:tc>
        <w:tc>
          <w:tcPr>
            <w:tcW w:w="22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20"/>
                <w:szCs w:val="20"/>
                <w:color w:val="auto"/>
              </w:rPr>
              <w:t>(36)</w:t>
            </w: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20"/>
                <w:szCs w:val="20"/>
                <w:color w:val="auto"/>
              </w:rPr>
              <w:t>(36)</w:t>
            </w:r>
          </w:p>
        </w:tc>
      </w:tr>
      <w:tr>
        <w:trPr>
          <w:trHeight w:val="282"/>
        </w:trPr>
        <w:tc>
          <w:tcPr>
            <w:tcW w:w="5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Amortization of actuarial loss</w:t>
            </w:r>
          </w:p>
        </w:tc>
        <w:tc>
          <w:tcPr>
            <w:tcW w:w="2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10</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17</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5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Net periodic benefit cost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3" w:lineRule="exact"/>
        <w:rPr>
          <w:sz w:val="20"/>
          <w:szCs w:val="20"/>
          <w:color w:val="auto"/>
        </w:rPr>
      </w:pPr>
    </w:p>
    <w:p>
      <w:pPr>
        <w:ind w:right="200" w:firstLine="359"/>
        <w:spacing w:after="0" w:line="258" w:lineRule="auto"/>
        <w:rPr>
          <w:sz w:val="20"/>
          <w:szCs w:val="20"/>
          <w:color w:val="auto"/>
        </w:rPr>
      </w:pPr>
      <w:r>
        <w:rPr>
          <w:rFonts w:ascii="Arial" w:cs="Arial" w:eastAsia="Arial" w:hAnsi="Arial"/>
          <w:sz w:val="20"/>
          <w:szCs w:val="20"/>
          <w:color w:val="auto"/>
        </w:rPr>
        <w:t>The components of net periodic benefit cost other than service cost are included in other expense, net in the consolidated statements of earnings.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Weighted-Average Assumptions Used in Determining Benefit Obligations at the Measurement Date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20"/>
                <w:szCs w:val="20"/>
                <w:color w:val="auto"/>
              </w:rPr>
            </w:pPr>
            <w:r>
              <w:rPr>
                <w:rFonts w:ascii="Arial" w:cs="Arial" w:eastAsia="Arial" w:hAnsi="Arial"/>
                <w:sz w:val="16"/>
                <w:szCs w:val="16"/>
                <w:b w:val="1"/>
                <w:bCs w:val="1"/>
                <w:color w:val="auto"/>
              </w:rPr>
              <w:t>as of December 31</w:t>
            </w:r>
          </w:p>
        </w:tc>
        <w:tc>
          <w:tcPr>
            <w:tcW w:w="3040" w:type="dxa"/>
            <w:vAlign w:val="bottom"/>
          </w:tcPr>
          <w:p>
            <w:pPr>
              <w:jc w:val="right"/>
              <w:ind w:right="84"/>
              <w:spacing w:after="0"/>
              <w:rPr>
                <w:sz w:val="20"/>
                <w:szCs w:val="20"/>
                <w:color w:val="auto"/>
              </w:rPr>
            </w:pPr>
            <w:r>
              <w:rPr>
                <w:rFonts w:ascii="Arial" w:cs="Arial" w:eastAsia="Arial" w:hAnsi="Arial"/>
                <w:sz w:val="16"/>
                <w:szCs w:val="16"/>
                <w:b w:val="1"/>
                <w:bCs w:val="1"/>
                <w:color w:val="auto"/>
              </w:rPr>
              <w:t>2025</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2024</w:t>
            </w:r>
          </w:p>
        </w:tc>
      </w:tr>
      <w:tr>
        <w:trPr>
          <w:trHeight w:val="22"/>
        </w:trPr>
        <w:tc>
          <w:tcPr>
            <w:tcW w:w="56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0"/>
        </w:trPr>
        <w:tc>
          <w:tcPr>
            <w:tcW w:w="5640" w:type="dxa"/>
            <w:vAlign w:val="bottom"/>
          </w:tcPr>
          <w:p>
            <w:pPr>
              <w:spacing w:after="0"/>
              <w:rPr>
                <w:sz w:val="20"/>
                <w:szCs w:val="20"/>
                <w:color w:val="auto"/>
              </w:rPr>
            </w:pPr>
            <w:r>
              <w:rPr>
                <w:rFonts w:ascii="Arial" w:cs="Arial" w:eastAsia="Arial" w:hAnsi="Arial"/>
                <w:sz w:val="20"/>
                <w:szCs w:val="20"/>
                <w:b w:val="1"/>
                <w:bCs w:val="1"/>
                <w:color w:val="auto"/>
              </w:rPr>
              <w:t>Defined benefit plans</w:t>
            </w:r>
          </w:p>
        </w:tc>
        <w:tc>
          <w:tcPr>
            <w:tcW w:w="3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3"/>
        </w:trPr>
        <w:tc>
          <w:tcPr>
            <w:tcW w:w="5640" w:type="dxa"/>
            <w:vAlign w:val="bottom"/>
          </w:tcPr>
          <w:p>
            <w:pPr>
              <w:spacing w:after="0"/>
              <w:rPr>
                <w:sz w:val="20"/>
                <w:szCs w:val="20"/>
                <w:color w:val="auto"/>
              </w:rPr>
            </w:pPr>
            <w:r>
              <w:rPr>
                <w:rFonts w:ascii="Arial" w:cs="Arial" w:eastAsia="Arial" w:hAnsi="Arial"/>
                <w:sz w:val="20"/>
                <w:szCs w:val="20"/>
                <w:color w:val="auto"/>
              </w:rPr>
              <w:t>Discount rate</w:t>
            </w:r>
          </w:p>
        </w:tc>
        <w:tc>
          <w:tcPr>
            <w:tcW w:w="3040" w:type="dxa"/>
            <w:vAlign w:val="bottom"/>
          </w:tcPr>
          <w:p>
            <w:pPr>
              <w:jc w:val="right"/>
              <w:spacing w:after="0"/>
              <w:rPr>
                <w:sz w:val="20"/>
                <w:szCs w:val="20"/>
                <w:color w:val="auto"/>
              </w:rPr>
            </w:pPr>
            <w:r>
              <w:rPr>
                <w:rFonts w:ascii="Arial" w:cs="Arial" w:eastAsia="Arial" w:hAnsi="Arial"/>
                <w:sz w:val="20"/>
                <w:szCs w:val="20"/>
                <w:color w:val="auto"/>
              </w:rPr>
              <w:t>5.5%</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5.4%</w:t>
            </w:r>
          </w:p>
        </w:tc>
      </w:tr>
      <w:tr>
        <w:trPr>
          <w:trHeight w:val="279"/>
        </w:trPr>
        <w:tc>
          <w:tcPr>
            <w:tcW w:w="5640" w:type="dxa"/>
            <w:vAlign w:val="bottom"/>
          </w:tcPr>
          <w:p>
            <w:pPr>
              <w:spacing w:after="0"/>
              <w:rPr>
                <w:sz w:val="20"/>
                <w:szCs w:val="20"/>
                <w:color w:val="auto"/>
              </w:rPr>
            </w:pPr>
            <w:r>
              <w:rPr>
                <w:rFonts w:ascii="Arial" w:cs="Arial" w:eastAsia="Arial" w:hAnsi="Arial"/>
                <w:sz w:val="20"/>
                <w:szCs w:val="20"/>
                <w:color w:val="auto"/>
              </w:rPr>
              <w:t>Rate of compensation increases</w:t>
            </w:r>
          </w:p>
        </w:tc>
        <w:tc>
          <w:tcPr>
            <w:tcW w:w="3040" w:type="dxa"/>
            <w:vAlign w:val="bottom"/>
          </w:tcPr>
          <w:p>
            <w:pPr>
              <w:jc w:val="right"/>
              <w:spacing w:after="0"/>
              <w:rPr>
                <w:sz w:val="20"/>
                <w:szCs w:val="20"/>
                <w:color w:val="auto"/>
              </w:rPr>
            </w:pPr>
            <w:r>
              <w:rPr>
                <w:rFonts w:ascii="Arial" w:cs="Arial" w:eastAsia="Arial" w:hAnsi="Arial"/>
                <w:sz w:val="20"/>
                <w:szCs w:val="20"/>
                <w:color w:val="auto"/>
              </w:rPr>
              <w:t>4.1%</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4.4%</w:t>
            </w:r>
          </w:p>
        </w:tc>
      </w:tr>
      <w:tr>
        <w:trPr>
          <w:trHeight w:val="279"/>
        </w:trPr>
        <w:tc>
          <w:tcPr>
            <w:tcW w:w="5640" w:type="dxa"/>
            <w:vAlign w:val="bottom"/>
          </w:tcPr>
          <w:p>
            <w:pPr>
              <w:spacing w:after="0"/>
              <w:rPr>
                <w:sz w:val="20"/>
                <w:szCs w:val="20"/>
                <w:color w:val="auto"/>
              </w:rPr>
            </w:pPr>
            <w:r>
              <w:rPr>
                <w:rFonts w:ascii="Arial" w:cs="Arial" w:eastAsia="Arial" w:hAnsi="Arial"/>
                <w:sz w:val="20"/>
                <w:szCs w:val="20"/>
                <w:color w:val="auto"/>
              </w:rPr>
              <w:t>Cash balance interest crediting rate</w:t>
            </w:r>
          </w:p>
        </w:tc>
        <w:tc>
          <w:tcPr>
            <w:tcW w:w="3040" w:type="dxa"/>
            <w:vAlign w:val="bottom"/>
          </w:tcPr>
          <w:p>
            <w:pPr>
              <w:jc w:val="right"/>
              <w:spacing w:after="0"/>
              <w:rPr>
                <w:sz w:val="20"/>
                <w:szCs w:val="20"/>
                <w:color w:val="auto"/>
              </w:rPr>
            </w:pPr>
            <w:r>
              <w:rPr>
                <w:rFonts w:ascii="Arial" w:cs="Arial" w:eastAsia="Arial" w:hAnsi="Arial"/>
                <w:sz w:val="20"/>
                <w:szCs w:val="20"/>
                <w:color w:val="auto"/>
              </w:rPr>
              <w:t>5.0%</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4.0%</w:t>
            </w:r>
          </w:p>
        </w:tc>
      </w:tr>
      <w:tr>
        <w:trPr>
          <w:trHeight w:val="275"/>
        </w:trPr>
        <w:tc>
          <w:tcPr>
            <w:tcW w:w="5640" w:type="dxa"/>
            <w:vAlign w:val="bottom"/>
          </w:tcPr>
          <w:p>
            <w:pPr>
              <w:spacing w:after="0"/>
              <w:rPr>
                <w:sz w:val="20"/>
                <w:szCs w:val="20"/>
                <w:color w:val="auto"/>
              </w:rPr>
            </w:pPr>
            <w:r>
              <w:rPr>
                <w:rFonts w:ascii="Arial" w:cs="Arial" w:eastAsia="Arial" w:hAnsi="Arial"/>
                <w:sz w:val="20"/>
                <w:szCs w:val="20"/>
                <w:b w:val="1"/>
                <w:bCs w:val="1"/>
                <w:color w:val="auto"/>
              </w:rPr>
              <w:t>Other post-employment plans</w:t>
            </w:r>
          </w:p>
        </w:tc>
        <w:tc>
          <w:tcPr>
            <w:tcW w:w="3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86"/>
        </w:trPr>
        <w:tc>
          <w:tcPr>
            <w:tcW w:w="5640" w:type="dxa"/>
            <w:vAlign w:val="bottom"/>
          </w:tcPr>
          <w:p>
            <w:pPr>
              <w:spacing w:after="0"/>
              <w:rPr>
                <w:sz w:val="20"/>
                <w:szCs w:val="20"/>
                <w:color w:val="auto"/>
              </w:rPr>
            </w:pPr>
            <w:r>
              <w:rPr>
                <w:rFonts w:ascii="Arial" w:cs="Arial" w:eastAsia="Arial" w:hAnsi="Arial"/>
                <w:sz w:val="20"/>
                <w:szCs w:val="20"/>
                <w:color w:val="auto"/>
              </w:rPr>
              <w:t>Discount rate</w:t>
            </w:r>
          </w:p>
        </w:tc>
        <w:tc>
          <w:tcPr>
            <w:tcW w:w="3040" w:type="dxa"/>
            <w:vAlign w:val="bottom"/>
          </w:tcPr>
          <w:p>
            <w:pPr>
              <w:jc w:val="right"/>
              <w:spacing w:after="0"/>
              <w:rPr>
                <w:sz w:val="20"/>
                <w:szCs w:val="20"/>
                <w:color w:val="auto"/>
              </w:rPr>
            </w:pPr>
            <w:r>
              <w:rPr>
                <w:rFonts w:ascii="Arial" w:cs="Arial" w:eastAsia="Arial" w:hAnsi="Arial"/>
                <w:sz w:val="20"/>
                <w:szCs w:val="20"/>
                <w:color w:val="auto"/>
              </w:rPr>
              <w:t>5.6%</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5.7%</w:t>
            </w:r>
          </w:p>
        </w:tc>
      </w:tr>
      <w:tr>
        <w:trPr>
          <w:trHeight w:val="20"/>
        </w:trPr>
        <w:tc>
          <w:tcPr>
            <w:tcW w:w="564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220"/>
          </w:cols>
          <w:pgMar w:left="1400" w:top="1028" w:right="1260" w:bottom="87" w:gutter="0" w:footer="0" w:header="0"/>
          <w:type w:val="continuous"/>
        </w:sectPr>
      </w:pPr>
    </w:p>
    <w:p>
      <w:pPr>
        <w:spacing w:after="0" w:line="179"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91</w:t>
      </w:r>
    </w:p>
    <w:p>
      <w:pPr>
        <w:sectPr>
          <w:pgSz w:w="11880" w:h="15480" w:orient="portrait"/>
          <w:cols w:equalWidth="0" w:num="1">
            <w:col w:w="9220"/>
          </w:cols>
          <w:pgMar w:left="1400" w:top="1028" w:right="1260" w:bottom="87" w:gutter="0" w:footer="0" w:header="0"/>
          <w:type w:val="continuous"/>
        </w:sectPr>
      </w:pPr>
    </w:p>
    <w:bookmarkStart w:id="97" w:name="page98"/>
    <w:bookmarkEnd w:id="97"/>
    <w:p>
      <w:pPr>
        <w:ind w:left="20" w:right="120" w:firstLine="359"/>
        <w:spacing w:after="0" w:line="264" w:lineRule="auto"/>
        <w:rPr>
          <w:sz w:val="20"/>
          <w:szCs w:val="20"/>
          <w:color w:val="auto"/>
        </w:rPr>
      </w:pPr>
      <w:r>
        <w:rPr>
          <w:rFonts w:ascii="Arial" w:cs="Arial" w:eastAsia="Arial" w:hAnsi="Arial"/>
          <w:sz w:val="20"/>
          <w:szCs w:val="20"/>
          <w:color w:val="auto"/>
        </w:rPr>
        <w:t>The assumptions used in calculating the December 31, 2025 measurement date benefit obligations will be used in the calculation of net periodic benefit cost in 2026.</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Weighted-Average Assumptions Used in Determining Net Periodic Benefit Cost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b w:val="1"/>
                <w:bCs w:val="1"/>
                <w:color w:val="auto"/>
              </w:rPr>
              <w:t>years ended December 31</w:t>
            </w:r>
          </w:p>
        </w:tc>
        <w:tc>
          <w:tcPr>
            <w:tcW w:w="2180" w:type="dxa"/>
            <w:vAlign w:val="bottom"/>
          </w:tcPr>
          <w:p>
            <w:pPr>
              <w:jc w:val="right"/>
              <w:ind w:right="103"/>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jc w:val="right"/>
              <w:ind w:right="83"/>
              <w:spacing w:after="0"/>
              <w:rPr>
                <w:sz w:val="20"/>
                <w:szCs w:val="20"/>
                <w:color w:val="auto"/>
              </w:rPr>
            </w:pPr>
            <w:r>
              <w:rPr>
                <w:rFonts w:ascii="Arial" w:cs="Arial" w:eastAsia="Arial" w:hAnsi="Arial"/>
                <w:sz w:val="16"/>
                <w:szCs w:val="16"/>
                <w:b w:val="1"/>
                <w:bCs w:val="1"/>
                <w:color w:val="auto"/>
              </w:rPr>
              <w:t>2024</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2023</w:t>
            </w:r>
          </w:p>
        </w:tc>
      </w:tr>
      <w:tr>
        <w:trPr>
          <w:trHeight w:val="22"/>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5920" w:type="dxa"/>
            <w:vAlign w:val="bottom"/>
          </w:tcPr>
          <w:p>
            <w:pPr>
              <w:spacing w:after="0"/>
              <w:rPr>
                <w:sz w:val="20"/>
                <w:szCs w:val="20"/>
                <w:color w:val="auto"/>
              </w:rPr>
            </w:pPr>
            <w:r>
              <w:rPr>
                <w:rFonts w:ascii="Arial" w:cs="Arial" w:eastAsia="Arial" w:hAnsi="Arial"/>
                <w:sz w:val="20"/>
                <w:szCs w:val="20"/>
                <w:b w:val="1"/>
                <w:bCs w:val="1"/>
                <w:color w:val="auto"/>
              </w:rPr>
              <w:t>Defined benefit plans</w:t>
            </w:r>
          </w:p>
        </w:tc>
        <w:tc>
          <w:tcPr>
            <w:tcW w:w="2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3"/>
        </w:trPr>
        <w:tc>
          <w:tcPr>
            <w:tcW w:w="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20"/>
                <w:szCs w:val="20"/>
                <w:color w:val="auto"/>
              </w:rPr>
              <w:t>Discount rate for determining service cost</w:t>
            </w:r>
          </w:p>
        </w:tc>
        <w:tc>
          <w:tcPr>
            <w:tcW w:w="2180" w:type="dxa"/>
            <w:vAlign w:val="bottom"/>
          </w:tcPr>
          <w:p>
            <w:pPr>
              <w:jc w:val="right"/>
              <w:spacing w:after="0"/>
              <w:rPr>
                <w:sz w:val="20"/>
                <w:szCs w:val="20"/>
                <w:color w:val="auto"/>
              </w:rPr>
            </w:pPr>
            <w:r>
              <w:rPr>
                <w:rFonts w:ascii="Arial" w:cs="Arial" w:eastAsia="Arial" w:hAnsi="Arial"/>
                <w:sz w:val="20"/>
                <w:szCs w:val="20"/>
                <w:color w:val="auto"/>
              </w:rPr>
              <w:t>5.4%</w:t>
            </w:r>
          </w:p>
        </w:tc>
        <w:tc>
          <w:tcPr>
            <w:tcW w:w="580" w:type="dxa"/>
            <w:vAlign w:val="bottom"/>
          </w:tcPr>
          <w:p>
            <w:pPr>
              <w:jc w:val="right"/>
              <w:spacing w:after="0"/>
              <w:rPr>
                <w:sz w:val="20"/>
                <w:szCs w:val="20"/>
                <w:color w:val="auto"/>
              </w:rPr>
            </w:pPr>
            <w:r>
              <w:rPr>
                <w:rFonts w:ascii="Arial" w:cs="Arial" w:eastAsia="Arial" w:hAnsi="Arial"/>
                <w:sz w:val="20"/>
                <w:szCs w:val="20"/>
                <w:color w:val="auto"/>
              </w:rPr>
              <w:t>4.8%</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5.0%</w:t>
            </w:r>
          </w:p>
        </w:tc>
      </w:tr>
      <w:tr>
        <w:trPr>
          <w:trHeight w:val="279"/>
        </w:trPr>
        <w:tc>
          <w:tcPr>
            <w:tcW w:w="5940" w:type="dxa"/>
            <w:vAlign w:val="bottom"/>
            <w:gridSpan w:val="2"/>
          </w:tcPr>
          <w:p>
            <w:pPr>
              <w:ind w:left="20"/>
              <w:spacing w:after="0"/>
              <w:rPr>
                <w:sz w:val="20"/>
                <w:szCs w:val="20"/>
                <w:color w:val="auto"/>
              </w:rPr>
            </w:pPr>
            <w:r>
              <w:rPr>
                <w:rFonts w:ascii="Arial" w:cs="Arial" w:eastAsia="Arial" w:hAnsi="Arial"/>
                <w:sz w:val="20"/>
                <w:szCs w:val="20"/>
                <w:color w:val="auto"/>
              </w:rPr>
              <w:t>Discount rate for determining interest cost</w:t>
            </w:r>
          </w:p>
        </w:tc>
        <w:tc>
          <w:tcPr>
            <w:tcW w:w="2180" w:type="dxa"/>
            <w:vAlign w:val="bottom"/>
          </w:tcPr>
          <w:p>
            <w:pPr>
              <w:jc w:val="right"/>
              <w:spacing w:after="0"/>
              <w:rPr>
                <w:sz w:val="20"/>
                <w:szCs w:val="20"/>
                <w:color w:val="auto"/>
              </w:rPr>
            </w:pPr>
            <w:r>
              <w:rPr>
                <w:rFonts w:ascii="Arial" w:cs="Arial" w:eastAsia="Arial" w:hAnsi="Arial"/>
                <w:sz w:val="20"/>
                <w:szCs w:val="20"/>
                <w:color w:val="auto"/>
              </w:rPr>
              <w:t>5.2%</w:t>
            </w:r>
          </w:p>
        </w:tc>
        <w:tc>
          <w:tcPr>
            <w:tcW w:w="580" w:type="dxa"/>
            <w:vAlign w:val="bottom"/>
          </w:tcPr>
          <w:p>
            <w:pPr>
              <w:jc w:val="right"/>
              <w:spacing w:after="0"/>
              <w:rPr>
                <w:sz w:val="20"/>
                <w:szCs w:val="20"/>
                <w:color w:val="auto"/>
              </w:rPr>
            </w:pPr>
            <w:r>
              <w:rPr>
                <w:rFonts w:ascii="Arial" w:cs="Arial" w:eastAsia="Arial" w:hAnsi="Arial"/>
                <w:sz w:val="20"/>
                <w:szCs w:val="20"/>
                <w:color w:val="auto"/>
              </w:rPr>
              <w:t>4.8%</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4.9%</w:t>
            </w:r>
          </w:p>
        </w:tc>
      </w:tr>
      <w:tr>
        <w:trPr>
          <w:trHeight w:val="279"/>
        </w:trPr>
        <w:tc>
          <w:tcPr>
            <w:tcW w:w="5940" w:type="dxa"/>
            <w:vAlign w:val="bottom"/>
            <w:gridSpan w:val="2"/>
          </w:tcPr>
          <w:p>
            <w:pPr>
              <w:spacing w:after="0"/>
              <w:rPr>
                <w:sz w:val="20"/>
                <w:szCs w:val="20"/>
                <w:color w:val="auto"/>
              </w:rPr>
            </w:pPr>
            <w:r>
              <w:rPr>
                <w:rFonts w:ascii="Arial" w:cs="Arial" w:eastAsia="Arial" w:hAnsi="Arial"/>
                <w:sz w:val="20"/>
                <w:szCs w:val="20"/>
                <w:color w:val="auto"/>
              </w:rPr>
              <w:t>Expected long-term rate of return on plan assets</w:t>
            </w:r>
          </w:p>
        </w:tc>
        <w:tc>
          <w:tcPr>
            <w:tcW w:w="2180" w:type="dxa"/>
            <w:vAlign w:val="bottom"/>
          </w:tcPr>
          <w:p>
            <w:pPr>
              <w:jc w:val="right"/>
              <w:spacing w:after="0"/>
              <w:rPr>
                <w:sz w:val="20"/>
                <w:szCs w:val="20"/>
                <w:color w:val="auto"/>
              </w:rPr>
            </w:pPr>
            <w:r>
              <w:rPr>
                <w:rFonts w:ascii="Arial" w:cs="Arial" w:eastAsia="Arial" w:hAnsi="Arial"/>
                <w:sz w:val="20"/>
                <w:szCs w:val="20"/>
                <w:color w:val="auto"/>
              </w:rPr>
              <w:t>7.6%</w:t>
            </w:r>
          </w:p>
        </w:tc>
        <w:tc>
          <w:tcPr>
            <w:tcW w:w="580" w:type="dxa"/>
            <w:vAlign w:val="bottom"/>
          </w:tcPr>
          <w:p>
            <w:pPr>
              <w:jc w:val="right"/>
              <w:spacing w:after="0"/>
              <w:rPr>
                <w:sz w:val="20"/>
                <w:szCs w:val="20"/>
                <w:color w:val="auto"/>
              </w:rPr>
            </w:pPr>
            <w:r>
              <w:rPr>
                <w:rFonts w:ascii="Arial" w:cs="Arial" w:eastAsia="Arial" w:hAnsi="Arial"/>
                <w:sz w:val="20"/>
                <w:szCs w:val="20"/>
                <w:color w:val="auto"/>
              </w:rPr>
              <w:t>7.5%</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7.3%</w:t>
            </w:r>
          </w:p>
        </w:tc>
      </w:tr>
      <w:tr>
        <w:trPr>
          <w:trHeight w:val="279"/>
        </w:trPr>
        <w:tc>
          <w:tcPr>
            <w:tcW w:w="5940" w:type="dxa"/>
            <w:vAlign w:val="bottom"/>
            <w:gridSpan w:val="2"/>
          </w:tcPr>
          <w:p>
            <w:pPr>
              <w:spacing w:after="0"/>
              <w:rPr>
                <w:sz w:val="20"/>
                <w:szCs w:val="20"/>
                <w:color w:val="auto"/>
              </w:rPr>
            </w:pPr>
            <w:r>
              <w:rPr>
                <w:rFonts w:ascii="Arial" w:cs="Arial" w:eastAsia="Arial" w:hAnsi="Arial"/>
                <w:sz w:val="20"/>
                <w:szCs w:val="20"/>
                <w:color w:val="auto"/>
              </w:rPr>
              <w:t>Expected rate of change in compensation</w:t>
            </w:r>
          </w:p>
        </w:tc>
        <w:tc>
          <w:tcPr>
            <w:tcW w:w="2180" w:type="dxa"/>
            <w:vAlign w:val="bottom"/>
          </w:tcPr>
          <w:p>
            <w:pPr>
              <w:jc w:val="right"/>
              <w:spacing w:after="0"/>
              <w:rPr>
                <w:sz w:val="20"/>
                <w:szCs w:val="20"/>
                <w:color w:val="auto"/>
              </w:rPr>
            </w:pPr>
            <w:r>
              <w:rPr>
                <w:rFonts w:ascii="Arial" w:cs="Arial" w:eastAsia="Arial" w:hAnsi="Arial"/>
                <w:sz w:val="20"/>
                <w:szCs w:val="20"/>
                <w:color w:val="auto"/>
              </w:rPr>
              <w:t>4.1%</w:t>
            </w:r>
          </w:p>
        </w:tc>
        <w:tc>
          <w:tcPr>
            <w:tcW w:w="580" w:type="dxa"/>
            <w:vAlign w:val="bottom"/>
          </w:tcPr>
          <w:p>
            <w:pPr>
              <w:jc w:val="right"/>
              <w:spacing w:after="0"/>
              <w:rPr>
                <w:sz w:val="20"/>
                <w:szCs w:val="20"/>
                <w:color w:val="auto"/>
              </w:rPr>
            </w:pPr>
            <w:r>
              <w:rPr>
                <w:rFonts w:ascii="Arial" w:cs="Arial" w:eastAsia="Arial" w:hAnsi="Arial"/>
                <w:sz w:val="20"/>
                <w:szCs w:val="20"/>
                <w:color w:val="auto"/>
              </w:rPr>
              <w:t>4.4%</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4.8%</w:t>
            </w:r>
          </w:p>
        </w:tc>
      </w:tr>
      <w:tr>
        <w:trPr>
          <w:trHeight w:val="279"/>
        </w:trPr>
        <w:tc>
          <w:tcPr>
            <w:tcW w:w="5940" w:type="dxa"/>
            <w:vAlign w:val="bottom"/>
            <w:gridSpan w:val="2"/>
          </w:tcPr>
          <w:p>
            <w:pPr>
              <w:spacing w:after="0"/>
              <w:rPr>
                <w:sz w:val="20"/>
                <w:szCs w:val="20"/>
                <w:color w:val="auto"/>
              </w:rPr>
            </w:pPr>
            <w:r>
              <w:rPr>
                <w:rFonts w:ascii="Arial" w:cs="Arial" w:eastAsia="Arial" w:hAnsi="Arial"/>
                <w:sz w:val="20"/>
                <w:szCs w:val="20"/>
                <w:color w:val="auto"/>
              </w:rPr>
              <w:t>Cash balance interest crediting rate</w:t>
            </w:r>
          </w:p>
        </w:tc>
        <w:tc>
          <w:tcPr>
            <w:tcW w:w="2180" w:type="dxa"/>
            <w:vAlign w:val="bottom"/>
          </w:tcPr>
          <w:p>
            <w:pPr>
              <w:jc w:val="right"/>
              <w:spacing w:after="0"/>
              <w:rPr>
                <w:sz w:val="20"/>
                <w:szCs w:val="20"/>
                <w:color w:val="auto"/>
              </w:rPr>
            </w:pPr>
            <w:r>
              <w:rPr>
                <w:rFonts w:ascii="Arial" w:cs="Arial" w:eastAsia="Arial" w:hAnsi="Arial"/>
                <w:sz w:val="20"/>
                <w:szCs w:val="20"/>
                <w:color w:val="auto"/>
              </w:rPr>
              <w:t>4.0%</w:t>
            </w:r>
          </w:p>
        </w:tc>
        <w:tc>
          <w:tcPr>
            <w:tcW w:w="580" w:type="dxa"/>
            <w:vAlign w:val="bottom"/>
          </w:tcPr>
          <w:p>
            <w:pPr>
              <w:jc w:val="right"/>
              <w:spacing w:after="0"/>
              <w:rPr>
                <w:sz w:val="20"/>
                <w:szCs w:val="20"/>
                <w:color w:val="auto"/>
              </w:rPr>
            </w:pPr>
            <w:r>
              <w:rPr>
                <w:rFonts w:ascii="Arial" w:cs="Arial" w:eastAsia="Arial" w:hAnsi="Arial"/>
                <w:sz w:val="20"/>
                <w:szCs w:val="20"/>
                <w:color w:val="auto"/>
              </w:rPr>
              <w:t>4.4%</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2.7%</w:t>
            </w:r>
          </w:p>
        </w:tc>
      </w:tr>
      <w:tr>
        <w:trPr>
          <w:trHeight w:val="275"/>
        </w:trPr>
        <w:tc>
          <w:tcPr>
            <w:tcW w:w="5940" w:type="dxa"/>
            <w:vAlign w:val="bottom"/>
            <w:gridSpan w:val="2"/>
          </w:tcPr>
          <w:p>
            <w:pPr>
              <w:spacing w:after="0"/>
              <w:rPr>
                <w:sz w:val="20"/>
                <w:szCs w:val="20"/>
                <w:color w:val="auto"/>
              </w:rPr>
            </w:pPr>
            <w:r>
              <w:rPr>
                <w:rFonts w:ascii="Arial" w:cs="Arial" w:eastAsia="Arial" w:hAnsi="Arial"/>
                <w:sz w:val="20"/>
                <w:szCs w:val="20"/>
                <w:b w:val="1"/>
                <w:bCs w:val="1"/>
                <w:color w:val="auto"/>
              </w:rPr>
              <w:t>Other post-employment plans</w:t>
            </w:r>
          </w:p>
        </w:tc>
        <w:tc>
          <w:tcPr>
            <w:tcW w:w="2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83"/>
        </w:trPr>
        <w:tc>
          <w:tcPr>
            <w:tcW w:w="5940" w:type="dxa"/>
            <w:vAlign w:val="bottom"/>
            <w:gridSpan w:val="2"/>
          </w:tcPr>
          <w:p>
            <w:pPr>
              <w:spacing w:after="0"/>
              <w:rPr>
                <w:sz w:val="20"/>
                <w:szCs w:val="20"/>
                <w:color w:val="auto"/>
              </w:rPr>
            </w:pPr>
            <w:r>
              <w:rPr>
                <w:rFonts w:ascii="Arial" w:cs="Arial" w:eastAsia="Arial" w:hAnsi="Arial"/>
                <w:sz w:val="20"/>
                <w:szCs w:val="20"/>
                <w:color w:val="auto"/>
              </w:rPr>
              <w:t>Discount rate for determining service cost</w:t>
            </w:r>
          </w:p>
        </w:tc>
        <w:tc>
          <w:tcPr>
            <w:tcW w:w="2180" w:type="dxa"/>
            <w:vAlign w:val="bottom"/>
          </w:tcPr>
          <w:p>
            <w:pPr>
              <w:jc w:val="right"/>
              <w:spacing w:after="0"/>
              <w:rPr>
                <w:sz w:val="20"/>
                <w:szCs w:val="20"/>
                <w:color w:val="auto"/>
              </w:rPr>
            </w:pPr>
            <w:r>
              <w:rPr>
                <w:rFonts w:ascii="Arial" w:cs="Arial" w:eastAsia="Arial" w:hAnsi="Arial"/>
                <w:sz w:val="20"/>
                <w:szCs w:val="20"/>
                <w:color w:val="auto"/>
              </w:rPr>
              <w:t>5.9%</w:t>
            </w:r>
          </w:p>
        </w:tc>
        <w:tc>
          <w:tcPr>
            <w:tcW w:w="580" w:type="dxa"/>
            <w:vAlign w:val="bottom"/>
          </w:tcPr>
          <w:p>
            <w:pPr>
              <w:jc w:val="right"/>
              <w:spacing w:after="0"/>
              <w:rPr>
                <w:sz w:val="20"/>
                <w:szCs w:val="20"/>
                <w:color w:val="auto"/>
              </w:rPr>
            </w:pPr>
            <w:r>
              <w:rPr>
                <w:rFonts w:ascii="Arial" w:cs="Arial" w:eastAsia="Arial" w:hAnsi="Arial"/>
                <w:sz w:val="20"/>
                <w:szCs w:val="20"/>
                <w:color w:val="auto"/>
              </w:rPr>
              <w:t>5.2%</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5.3%</w:t>
            </w:r>
          </w:p>
        </w:tc>
      </w:tr>
      <w:tr>
        <w:trPr>
          <w:trHeight w:val="282"/>
        </w:trPr>
        <w:tc>
          <w:tcPr>
            <w:tcW w:w="5940" w:type="dxa"/>
            <w:vAlign w:val="bottom"/>
            <w:gridSpan w:val="2"/>
          </w:tcPr>
          <w:p>
            <w:pPr>
              <w:spacing w:after="0"/>
              <w:rPr>
                <w:sz w:val="20"/>
                <w:szCs w:val="20"/>
                <w:color w:val="auto"/>
              </w:rPr>
            </w:pPr>
            <w:r>
              <w:rPr>
                <w:rFonts w:ascii="Arial" w:cs="Arial" w:eastAsia="Arial" w:hAnsi="Arial"/>
                <w:sz w:val="20"/>
                <w:szCs w:val="20"/>
                <w:color w:val="auto"/>
              </w:rPr>
              <w:t>Discount rate for determining interest cost</w:t>
            </w:r>
          </w:p>
        </w:tc>
        <w:tc>
          <w:tcPr>
            <w:tcW w:w="2180" w:type="dxa"/>
            <w:vAlign w:val="bottom"/>
          </w:tcPr>
          <w:p>
            <w:pPr>
              <w:jc w:val="right"/>
              <w:spacing w:after="0"/>
              <w:rPr>
                <w:sz w:val="20"/>
                <w:szCs w:val="20"/>
                <w:color w:val="auto"/>
              </w:rPr>
            </w:pPr>
            <w:r>
              <w:rPr>
                <w:rFonts w:ascii="Arial" w:cs="Arial" w:eastAsia="Arial" w:hAnsi="Arial"/>
                <w:sz w:val="20"/>
                <w:szCs w:val="20"/>
                <w:color w:val="auto"/>
              </w:rPr>
              <w:t>5.5%</w:t>
            </w:r>
          </w:p>
        </w:tc>
        <w:tc>
          <w:tcPr>
            <w:tcW w:w="580" w:type="dxa"/>
            <w:vAlign w:val="bottom"/>
          </w:tcPr>
          <w:p>
            <w:pPr>
              <w:jc w:val="right"/>
              <w:spacing w:after="0"/>
              <w:rPr>
                <w:sz w:val="20"/>
                <w:szCs w:val="20"/>
                <w:color w:val="auto"/>
              </w:rPr>
            </w:pPr>
            <w:r>
              <w:rPr>
                <w:rFonts w:ascii="Arial" w:cs="Arial" w:eastAsia="Arial" w:hAnsi="Arial"/>
                <w:sz w:val="20"/>
                <w:szCs w:val="20"/>
                <w:color w:val="auto"/>
              </w:rPr>
              <w:t>4.9%</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5.1%</w:t>
            </w:r>
          </w:p>
        </w:tc>
      </w:tr>
      <w:tr>
        <w:trPr>
          <w:trHeight w:val="20"/>
        </w:trPr>
        <w:tc>
          <w:tcPr>
            <w:tcW w:w="20" w:type="dxa"/>
            <w:vAlign w:val="bottom"/>
            <w:shd w:val="clear" w:color="auto" w:fill="000000"/>
          </w:tcPr>
          <w:p>
            <w:pPr>
              <w:spacing w:after="0" w:line="20" w:lineRule="exact"/>
              <w:rPr>
                <w:sz w:val="1"/>
                <w:szCs w:val="1"/>
                <w:color w:val="auto"/>
              </w:rPr>
            </w:pPr>
          </w:p>
        </w:tc>
        <w:tc>
          <w:tcPr>
            <w:tcW w:w="59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For the December 31, 2025 post-retirement health care obligations remeasurement, the company</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assumed a 6.6% pre-65 (2.2% post-65) annual rate of increase in the per capita cost of covered health</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care benefits. The pre-65 rate was assumed to decrease gradually to 4.5% (1.6% post-65) in 2035</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and remain at that level thereafter. For purposes of measuring the 2025 post-retirement health care costs,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the company assumed a 6.6% pre-65 (2.0% post-65) annual rate of increase in the per capita cost of</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covered health care benefits. The pre-65 rate was assumed to decrease gradually to 4.5% (1.8% post-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65) for 2033 and remain at that level thereafter.</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Defined Benefit Pension Plan Assets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December 31, 2025</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December 31, 2024</w:t>
            </w:r>
          </w:p>
        </w:tc>
        <w:tc>
          <w:tcPr>
            <w:tcW w:w="760" w:type="dxa"/>
            <w:vAlign w:val="bottom"/>
          </w:tcPr>
          <w:p>
            <w:pPr>
              <w:spacing w:after="0"/>
              <w:rPr>
                <w:sz w:val="17"/>
                <w:szCs w:val="17"/>
                <w:color w:val="auto"/>
              </w:rPr>
            </w:pPr>
          </w:p>
        </w:tc>
      </w:tr>
      <w:tr>
        <w:trPr>
          <w:trHeight w:val="22"/>
        </w:trPr>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4"/>
          </w:tcPr>
          <w:p>
            <w:pPr>
              <w:spacing w:after="0" w:line="20" w:lineRule="exact"/>
              <w:rPr>
                <w:sz w:val="1"/>
                <w:szCs w:val="1"/>
                <w:color w:val="auto"/>
              </w:rPr>
            </w:pPr>
          </w:p>
        </w:tc>
      </w:tr>
      <w:tr>
        <w:trPr>
          <w:trHeight w:val="208"/>
        </w:trPr>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Basis of fair value measurement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b w:val="1"/>
                <w:bCs w:val="1"/>
                <w:color w:val="auto"/>
              </w:rPr>
              <w:t>Basis of fair value measurement</w:t>
            </w:r>
          </w:p>
        </w:tc>
      </w:tr>
      <w:tr>
        <w:trPr>
          <w:trHeight w:val="22"/>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7"/>
        </w:trPr>
        <w:tc>
          <w:tcPr>
            <w:tcW w:w="260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160" w:type="dxa"/>
            <w:vAlign w:val="bottom"/>
          </w:tcPr>
          <w:p>
            <w:pPr>
              <w:spacing w:after="0"/>
              <w:rPr>
                <w:sz w:val="18"/>
                <w:szCs w:val="18"/>
                <w:color w:val="auto"/>
              </w:rPr>
            </w:pPr>
          </w:p>
        </w:tc>
        <w:tc>
          <w:tcPr>
            <w:tcW w:w="540" w:type="dxa"/>
            <w:vAlign w:val="bottom"/>
          </w:tcPr>
          <w:p>
            <w:pPr>
              <w:jc w:val="right"/>
              <w:ind w:right="80"/>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Level 1</w:t>
            </w: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800" w:type="dxa"/>
            <w:vAlign w:val="bottom"/>
          </w:tcPr>
          <w:p>
            <w:pPr>
              <w:jc w:val="right"/>
              <w:ind w:right="8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8"/>
                <w:szCs w:val="18"/>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b w:val="1"/>
                <w:bCs w:val="1"/>
                <w:color w:val="auto"/>
                <w:w w:val="99"/>
              </w:rPr>
              <w:t>Total</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Level 1</w:t>
            </w:r>
          </w:p>
        </w:tc>
        <w:tc>
          <w:tcPr>
            <w:tcW w:w="9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760" w:type="dxa"/>
            <w:vAlign w:val="bottom"/>
          </w:tcPr>
          <w:p>
            <w:pPr>
              <w:jc w:val="right"/>
              <w:ind w:right="40"/>
              <w:spacing w:after="0"/>
              <w:rPr>
                <w:sz w:val="20"/>
                <w:szCs w:val="20"/>
                <w:color w:val="auto"/>
              </w:rPr>
            </w:pPr>
            <w:r>
              <w:rPr>
                <w:rFonts w:ascii="Arial" w:cs="Arial" w:eastAsia="Arial" w:hAnsi="Arial"/>
                <w:sz w:val="16"/>
                <w:szCs w:val="16"/>
                <w:b w:val="1"/>
                <w:bCs w:val="1"/>
                <w:color w:val="auto"/>
              </w:rPr>
              <w:t>Level 3</w:t>
            </w:r>
          </w:p>
        </w:tc>
      </w:tr>
      <w:tr>
        <w:trPr>
          <w:trHeight w:val="22"/>
        </w:trPr>
        <w:tc>
          <w:tcPr>
            <w:tcW w:w="2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1"/>
        </w:trPr>
        <w:tc>
          <w:tcPr>
            <w:tcW w:w="2600" w:type="dxa"/>
            <w:vAlign w:val="bottom"/>
          </w:tcPr>
          <w:p>
            <w:pPr>
              <w:spacing w:after="0"/>
              <w:rPr>
                <w:sz w:val="20"/>
                <w:szCs w:val="20"/>
                <w:color w:val="auto"/>
              </w:rPr>
            </w:pPr>
            <w:r>
              <w:rPr>
                <w:rFonts w:ascii="Arial" w:cs="Arial" w:eastAsia="Arial" w:hAnsi="Arial"/>
                <w:sz w:val="16"/>
                <w:szCs w:val="16"/>
                <w:color w:val="auto"/>
              </w:rPr>
              <w:t>Equities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72"/>
        </w:trPr>
        <w:tc>
          <w:tcPr>
            <w:tcW w:w="2600" w:type="dxa"/>
            <w:vAlign w:val="bottom"/>
          </w:tcPr>
          <w:p>
            <w:pPr>
              <w:ind w:left="140"/>
              <w:spacing w:after="0"/>
              <w:rPr>
                <w:sz w:val="20"/>
                <w:szCs w:val="20"/>
                <w:color w:val="auto"/>
              </w:rPr>
            </w:pPr>
            <w:r>
              <w:rPr>
                <w:rFonts w:ascii="Arial" w:cs="Arial" w:eastAsia="Arial" w:hAnsi="Arial"/>
                <w:sz w:val="16"/>
                <w:szCs w:val="16"/>
                <w:color w:val="auto"/>
              </w:rPr>
              <w:t>U.S. large cap</w:t>
            </w:r>
            <w:r>
              <w:rPr>
                <w:rFonts w:ascii="Arial" w:cs="Arial" w:eastAsia="Arial" w:hAnsi="Arial"/>
                <w:sz w:val="19"/>
                <w:szCs w:val="19"/>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1,376</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$1,376</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1,131</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$1,131</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w:t>
            </w:r>
          </w:p>
        </w:tc>
      </w:tr>
      <w:tr>
        <w:trPr>
          <w:trHeight w:val="251"/>
        </w:trPr>
        <w:tc>
          <w:tcPr>
            <w:tcW w:w="2600" w:type="dxa"/>
            <w:vAlign w:val="bottom"/>
          </w:tcPr>
          <w:p>
            <w:pPr>
              <w:ind w:left="140"/>
              <w:spacing w:after="0"/>
              <w:rPr>
                <w:sz w:val="20"/>
                <w:szCs w:val="20"/>
                <w:color w:val="auto"/>
              </w:rPr>
            </w:pPr>
            <w:r>
              <w:rPr>
                <w:rFonts w:ascii="Arial" w:cs="Arial" w:eastAsia="Arial" w:hAnsi="Arial"/>
                <w:sz w:val="16"/>
                <w:szCs w:val="16"/>
                <w:color w:val="auto"/>
              </w:rPr>
              <w:t>U.S. mid cap</w:t>
            </w:r>
            <w:r>
              <w:rPr>
                <w:rFonts w:ascii="Arial" w:cs="Arial" w:eastAsia="Arial" w:hAnsi="Arial"/>
                <w:sz w:val="19"/>
                <w:szCs w:val="19"/>
                <w:color w:val="auto"/>
                <w:vertAlign w:val="superscript"/>
              </w:rPr>
              <w:t>(b)</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130</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130</w:t>
            </w:r>
          </w:p>
        </w:tc>
        <w:tc>
          <w:tcPr>
            <w:tcW w:w="28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176</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176</w:t>
            </w:r>
          </w:p>
        </w:tc>
        <w:tc>
          <w:tcPr>
            <w:tcW w:w="26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w:t>
            </w:r>
          </w:p>
        </w:tc>
      </w:tr>
      <w:tr>
        <w:trPr>
          <w:trHeight w:val="251"/>
        </w:trPr>
        <w:tc>
          <w:tcPr>
            <w:tcW w:w="2600" w:type="dxa"/>
            <w:vAlign w:val="bottom"/>
          </w:tcPr>
          <w:p>
            <w:pPr>
              <w:ind w:left="140"/>
              <w:spacing w:after="0"/>
              <w:rPr>
                <w:sz w:val="20"/>
                <w:szCs w:val="20"/>
                <w:color w:val="auto"/>
              </w:rPr>
            </w:pPr>
            <w:r>
              <w:rPr>
                <w:rFonts w:ascii="Arial" w:cs="Arial" w:eastAsia="Arial" w:hAnsi="Arial"/>
                <w:sz w:val="16"/>
                <w:szCs w:val="16"/>
                <w:color w:val="auto"/>
              </w:rPr>
              <w:t>International</w:t>
            </w:r>
            <w:r>
              <w:rPr>
                <w:rFonts w:ascii="Arial" w:cs="Arial" w:eastAsia="Arial" w:hAnsi="Arial"/>
                <w:sz w:val="19"/>
                <w:szCs w:val="19"/>
                <w:color w:val="auto"/>
                <w:vertAlign w:val="superscript"/>
              </w:rPr>
              <w:t>(c)</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573</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573</w:t>
            </w:r>
          </w:p>
        </w:tc>
        <w:tc>
          <w:tcPr>
            <w:tcW w:w="28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408</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408</w:t>
            </w:r>
          </w:p>
        </w:tc>
        <w:tc>
          <w:tcPr>
            <w:tcW w:w="26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w:t>
            </w:r>
          </w:p>
        </w:tc>
      </w:tr>
      <w:tr>
        <w:trPr>
          <w:trHeight w:val="230"/>
        </w:trPr>
        <w:tc>
          <w:tcPr>
            <w:tcW w:w="2600" w:type="dxa"/>
            <w:vAlign w:val="bottom"/>
          </w:tcPr>
          <w:p>
            <w:pPr>
              <w:spacing w:after="0"/>
              <w:rPr>
                <w:sz w:val="20"/>
                <w:szCs w:val="20"/>
                <w:color w:val="auto"/>
              </w:rPr>
            </w:pPr>
            <w:r>
              <w:rPr>
                <w:rFonts w:ascii="Arial" w:cs="Arial" w:eastAsia="Arial" w:hAnsi="Arial"/>
                <w:sz w:val="16"/>
                <w:szCs w:val="16"/>
                <w:color w:val="auto"/>
              </w:rPr>
              <w:t>Fixed income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2"/>
        </w:trPr>
        <w:tc>
          <w:tcPr>
            <w:tcW w:w="2600" w:type="dxa"/>
            <w:vAlign w:val="bottom"/>
          </w:tcPr>
          <w:p>
            <w:pPr>
              <w:ind w:left="140"/>
              <w:spacing w:after="0"/>
              <w:rPr>
                <w:sz w:val="20"/>
                <w:szCs w:val="20"/>
                <w:color w:val="auto"/>
              </w:rPr>
            </w:pPr>
            <w:r>
              <w:rPr>
                <w:rFonts w:ascii="Arial" w:cs="Arial" w:eastAsia="Arial" w:hAnsi="Arial"/>
                <w:sz w:val="16"/>
                <w:szCs w:val="16"/>
                <w:color w:val="auto"/>
              </w:rPr>
              <w:t>U.S. government</w:t>
            </w:r>
            <w:r>
              <w:rPr>
                <w:rFonts w:ascii="Arial" w:cs="Arial" w:eastAsia="Arial" w:hAnsi="Arial"/>
                <w:sz w:val="19"/>
                <w:szCs w:val="19"/>
                <w:color w:val="auto"/>
                <w:vertAlign w:val="superscript"/>
              </w:rPr>
              <w:t>(d)</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405</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3"/>
                <w:szCs w:val="23"/>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399</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414</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3"/>
                <w:szCs w:val="23"/>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396</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w:t>
            </w:r>
          </w:p>
        </w:tc>
      </w:tr>
      <w:tr>
        <w:trPr>
          <w:trHeight w:val="251"/>
        </w:trPr>
        <w:tc>
          <w:tcPr>
            <w:tcW w:w="2600" w:type="dxa"/>
            <w:vAlign w:val="bottom"/>
          </w:tcPr>
          <w:p>
            <w:pPr>
              <w:ind w:left="140"/>
              <w:spacing w:after="0"/>
              <w:rPr>
                <w:sz w:val="20"/>
                <w:szCs w:val="20"/>
                <w:color w:val="auto"/>
              </w:rPr>
            </w:pPr>
            <w:r>
              <w:rPr>
                <w:rFonts w:ascii="Arial" w:cs="Arial" w:eastAsia="Arial" w:hAnsi="Arial"/>
                <w:sz w:val="16"/>
                <w:szCs w:val="16"/>
                <w:color w:val="auto"/>
              </w:rPr>
              <w:t>Corporate debt</w:t>
            </w:r>
            <w:r>
              <w:rPr>
                <w:rFonts w:ascii="Arial" w:cs="Arial" w:eastAsia="Arial" w:hAnsi="Arial"/>
                <w:sz w:val="19"/>
                <w:szCs w:val="19"/>
                <w:color w:val="auto"/>
                <w:vertAlign w:val="superscript"/>
              </w:rPr>
              <w:t>(d)</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668</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584</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609</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580</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w:t>
            </w:r>
          </w:p>
        </w:tc>
      </w:tr>
      <w:tr>
        <w:trPr>
          <w:trHeight w:val="251"/>
        </w:trPr>
        <w:tc>
          <w:tcPr>
            <w:tcW w:w="2600" w:type="dxa"/>
            <w:vAlign w:val="bottom"/>
          </w:tcPr>
          <w:p>
            <w:pPr>
              <w:ind w:left="140"/>
              <w:spacing w:after="0"/>
              <w:rPr>
                <w:sz w:val="20"/>
                <w:szCs w:val="20"/>
                <w:color w:val="auto"/>
              </w:rPr>
            </w:pPr>
            <w:r>
              <w:rPr>
                <w:rFonts w:ascii="Arial" w:cs="Arial" w:eastAsia="Arial" w:hAnsi="Arial"/>
                <w:sz w:val="16"/>
                <w:szCs w:val="16"/>
                <w:color w:val="auto"/>
              </w:rPr>
              <w:t>Non-U.S. government</w:t>
            </w:r>
            <w:r>
              <w:rPr>
                <w:rFonts w:ascii="Arial" w:cs="Arial" w:eastAsia="Arial" w:hAnsi="Arial"/>
                <w:sz w:val="19"/>
                <w:szCs w:val="19"/>
                <w:color w:val="auto"/>
                <w:vertAlign w:val="superscript"/>
              </w:rPr>
              <w:t>(d)</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447</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146</w:t>
            </w:r>
          </w:p>
        </w:tc>
        <w:tc>
          <w:tcPr>
            <w:tcW w:w="28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301</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346</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183</w:t>
            </w:r>
          </w:p>
        </w:tc>
        <w:tc>
          <w:tcPr>
            <w:tcW w:w="26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163</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w:t>
            </w:r>
          </w:p>
        </w:tc>
      </w:tr>
      <w:tr>
        <w:trPr>
          <w:trHeight w:val="251"/>
        </w:trPr>
        <w:tc>
          <w:tcPr>
            <w:tcW w:w="2600" w:type="dxa"/>
            <w:vAlign w:val="bottom"/>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19"/>
                <w:szCs w:val="19"/>
                <w:color w:val="auto"/>
                <w:vertAlign w:val="superscript"/>
              </w:rPr>
              <w:t>(d)</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w:t>
            </w:r>
          </w:p>
        </w:tc>
      </w:tr>
      <w:tr>
        <w:trPr>
          <w:trHeight w:val="251"/>
        </w:trPr>
        <w:tc>
          <w:tcPr>
            <w:tcW w:w="2600" w:type="dxa"/>
            <w:vAlign w:val="bottom"/>
          </w:tcPr>
          <w:p>
            <w:pPr>
              <w:spacing w:after="0"/>
              <w:rPr>
                <w:sz w:val="20"/>
                <w:szCs w:val="20"/>
                <w:color w:val="auto"/>
              </w:rPr>
            </w:pPr>
            <w:r>
              <w:rPr>
                <w:rFonts w:ascii="Arial" w:cs="Arial" w:eastAsia="Arial" w:hAnsi="Arial"/>
                <w:sz w:val="16"/>
                <w:szCs w:val="16"/>
                <w:color w:val="auto"/>
              </w:rPr>
              <w:t>Absolute return funds</w:t>
            </w:r>
            <w:r>
              <w:rPr>
                <w:rFonts w:ascii="Arial" w:cs="Arial" w:eastAsia="Arial" w:hAnsi="Arial"/>
                <w:sz w:val="19"/>
                <w:szCs w:val="19"/>
                <w:color w:val="auto"/>
                <w:vertAlign w:val="superscript"/>
              </w:rPr>
              <w:t>(e)</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152</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132</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176</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82</w:t>
            </w:r>
          </w:p>
        </w:tc>
        <w:tc>
          <w:tcPr>
            <w:tcW w:w="260" w:type="dxa"/>
            <w:vAlign w:val="bottom"/>
          </w:tcPr>
          <w:p>
            <w:pPr>
              <w:spacing w:after="0"/>
              <w:rPr>
                <w:sz w:val="21"/>
                <w:szCs w:val="21"/>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rPr>
              <w:t>94</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w:t>
            </w:r>
          </w:p>
        </w:tc>
      </w:tr>
      <w:tr>
        <w:trPr>
          <w:trHeight w:val="250"/>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r>
              <w:rPr>
                <w:rFonts w:ascii="Arial" w:cs="Arial" w:eastAsia="Arial" w:hAnsi="Arial"/>
                <w:sz w:val="19"/>
                <w:szCs w:val="19"/>
                <w:color w:val="auto"/>
                <w:vertAlign w:val="superscript"/>
              </w:rPr>
              <w:t>(f)</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467</w:t>
            </w: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350</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r>
      <w:tr>
        <w:trPr>
          <w:trHeight w:val="231"/>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4,275</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$2,853</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94"/>
              </w:rPr>
              <w:t>1,422</w:t>
            </w: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$2,392</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94"/>
              </w:rPr>
              <w:t>1,239</w:t>
            </w: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1"/>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 measured at NAV</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7,929</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6,920</w:t>
            </w: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41"/>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of plan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12,204</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10,551</w:t>
            </w: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60" w:right="220" w:hanging="350"/>
        <w:spacing w:after="0" w:line="264" w:lineRule="auto"/>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mix of index funds and actively managed equity accounts that are benchmarked to various large cap indices.</w:t>
      </w:r>
    </w:p>
    <w:p>
      <w:pPr>
        <w:spacing w:after="0" w:line="66" w:lineRule="exact"/>
        <w:rPr>
          <w:rFonts w:ascii="Arial" w:cs="Arial" w:eastAsia="Arial" w:hAnsi="Arial"/>
          <w:sz w:val="20"/>
          <w:szCs w:val="20"/>
          <w:color w:val="auto"/>
        </w:rPr>
      </w:pPr>
    </w:p>
    <w:p>
      <w:pPr>
        <w:ind w:left="360" w:right="340" w:hanging="350"/>
        <w:spacing w:after="0" w:line="264" w:lineRule="auto"/>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mix of index funds and actively managed equity accounts that are benchmarked to various mid cap indices.</w:t>
      </w:r>
    </w:p>
    <w:p>
      <w:pPr>
        <w:spacing w:after="0" w:line="64" w:lineRule="exact"/>
        <w:rPr>
          <w:rFonts w:ascii="Arial" w:cs="Arial" w:eastAsia="Arial" w:hAnsi="Arial"/>
          <w:sz w:val="20"/>
          <w:szCs w:val="20"/>
          <w:color w:val="auto"/>
        </w:rPr>
      </w:pPr>
    </w:p>
    <w:p>
      <w:pPr>
        <w:ind w:left="360" w:right="720" w:hanging="350"/>
        <w:spacing w:after="0" w:line="264" w:lineRule="auto"/>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mix of index funds and actively managed equity accounts that are benchmarked to various non-U.S. equity indices in both developed and emerging markets.</w:t>
      </w:r>
    </w:p>
    <w:p>
      <w:pPr>
        <w:spacing w:after="0" w:line="64" w:lineRule="exact"/>
        <w:rPr>
          <w:rFonts w:ascii="Arial" w:cs="Arial" w:eastAsia="Arial" w:hAnsi="Arial"/>
          <w:sz w:val="20"/>
          <w:szCs w:val="20"/>
          <w:color w:val="auto"/>
        </w:rPr>
      </w:pPr>
    </w:p>
    <w:p>
      <w:pPr>
        <w:ind w:left="360" w:hanging="350"/>
        <w:spacing w:after="0"/>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Securities held by actively managed accounts, index funds and mutual funds.</w:t>
      </w:r>
    </w:p>
    <w:p>
      <w:pPr>
        <w:spacing w:after="0" w:line="105" w:lineRule="exact"/>
        <w:rPr>
          <w:rFonts w:ascii="Arial" w:cs="Arial" w:eastAsia="Arial" w:hAnsi="Arial"/>
          <w:sz w:val="20"/>
          <w:szCs w:val="20"/>
          <w:color w:val="auto"/>
        </w:rPr>
      </w:pPr>
    </w:p>
    <w:p>
      <w:pPr>
        <w:ind w:left="360" w:right="120" w:hanging="350"/>
        <w:spacing w:after="0" w:line="291" w:lineRule="auto"/>
        <w:tabs>
          <w:tab w:leader="none" w:pos="3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Primarily funds having global mandates with the flexibility to allocate capital broadly across a wide range of asset classes and strategies, including but not limited to equities, fixed income, commodities,</w:t>
      </w:r>
    </w:p>
    <w:p>
      <w:pPr>
        <w:sectPr>
          <w:pgSz w:w="11880" w:h="15480" w:orient="portrait"/>
          <w:cols w:equalWidth="0" w:num="1">
            <w:col w:w="9240"/>
          </w:cols>
          <w:pgMar w:left="1380" w:top="1030" w:right="1260" w:bottom="75" w:gutter="0" w:footer="0" w:header="0"/>
        </w:sect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92  </w:t>
      </w:r>
      <w:r>
        <w:rPr>
          <w:sz w:val="1"/>
          <w:szCs w:val="1"/>
          <w:color w:val="auto"/>
        </w:rPr>
        <w:drawing>
          <wp:inline distT="0" distB="0" distL="0" distR="0">
            <wp:extent cx="615950" cy="12827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240"/>
          </w:cols>
          <w:pgMar w:left="1380" w:top="1030" w:right="1260" w:bottom="75" w:gutter="0" w:footer="0" w:header="0"/>
          <w:type w:val="continuous"/>
        </w:sectPr>
      </w:pPr>
    </w:p>
    <w:bookmarkStart w:id="98" w:name="page99"/>
    <w:bookmarkEnd w:id="98"/>
    <w:p>
      <w:pPr>
        <w:ind w:left="340" w:right="700"/>
        <w:spacing w:after="0" w:line="262" w:lineRule="auto"/>
        <w:rPr>
          <w:sz w:val="20"/>
          <w:szCs w:val="20"/>
          <w:color w:val="auto"/>
        </w:rPr>
      </w:pPr>
      <w:r>
        <w:rPr>
          <w:rFonts w:ascii="Arial" w:cs="Arial" w:eastAsia="Arial" w:hAnsi="Arial"/>
          <w:sz w:val="20"/>
          <w:szCs w:val="20"/>
          <w:color w:val="auto"/>
        </w:rPr>
        <w:t>financial futures, currencies and other securities, with objectives to outperform agreed upon benchmarks of specific return and volatility targets.</w:t>
      </w:r>
    </w:p>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9"/>
          <w:szCs w:val="19"/>
          <w:color w:val="auto"/>
        </w:rPr>
        <w:t>Investments in cash and equivalents.</w:t>
      </w:r>
    </w:p>
    <w:p>
      <w:pPr>
        <w:spacing w:after="0" w:line="143" w:lineRule="exact"/>
        <w:rPr>
          <w:sz w:val="20"/>
          <w:szCs w:val="20"/>
          <w:color w:val="auto"/>
        </w:rPr>
      </w:pPr>
    </w:p>
    <w:p>
      <w:pPr>
        <w:ind w:right="40" w:firstLine="359"/>
        <w:spacing w:after="0" w:line="263" w:lineRule="auto"/>
        <w:rPr>
          <w:sz w:val="20"/>
          <w:szCs w:val="20"/>
          <w:color w:val="auto"/>
        </w:rPr>
      </w:pPr>
      <w:r>
        <w:rPr>
          <w:rFonts w:ascii="Arial" w:cs="Arial" w:eastAsia="Arial" w:hAnsi="Arial"/>
          <w:sz w:val="19"/>
          <w:szCs w:val="19"/>
          <w:color w:val="auto"/>
        </w:rPr>
        <w:t>Equities and registered investment companies having quoted prices are valued at the published market prices. Fixed income securities that are valued using significant other observable inputs are quoted at prices obtained from independent financial service industry-recognized vendors. Investments held in pooled investment funds, common collective trusts or limited partnerships are valued at the net asset value (NAV) practical expedient to estimate fair value. The NAV is provided by the fund administrator and is based on the value of the underlying assets owned by the fund minus its liabilities.</w:t>
      </w:r>
    </w:p>
    <w:p>
      <w:pPr>
        <w:spacing w:after="0" w:line="104" w:lineRule="exact"/>
        <w:rPr>
          <w:sz w:val="20"/>
          <w:szCs w:val="20"/>
          <w:color w:val="auto"/>
        </w:rPr>
      </w:pPr>
    </w:p>
    <w:p>
      <w:pPr>
        <w:ind w:firstLine="359"/>
        <w:spacing w:after="0" w:line="246" w:lineRule="auto"/>
        <w:rPr>
          <w:sz w:val="20"/>
          <w:szCs w:val="20"/>
          <w:color w:val="auto"/>
        </w:rPr>
      </w:pPr>
      <w:r>
        <w:rPr>
          <w:rFonts w:ascii="Arial" w:cs="Arial" w:eastAsia="Arial" w:hAnsi="Arial"/>
          <w:sz w:val="20"/>
          <w:szCs w:val="20"/>
          <w:color w:val="auto"/>
        </w:rPr>
        <w:t>The investment mix of equity securities, fixed income and other asset allocation strategies is based upon achieving a desired return, balancing higher return, more volatile equity securities and lower return, less volatile fixed income securities. Investment allocations are established for each plan and are generally made across a range of markets, industry sectors, capitalization sizes and in the case of fixed income securities, maturities and credit quality. The 2025 target investment allocation for the AbbVie Pension Plan was 62.5% in equity securities, 22.5% in fixed income securities and 15% in asset allocation strategies and other holdings. There are no known significant concentrations of risk in the plan assets of the AbbVie Pension Plan or of any other plans.</w:t>
      </w:r>
    </w:p>
    <w:p>
      <w:pPr>
        <w:spacing w:after="0" w:line="122" w:lineRule="exact"/>
        <w:rPr>
          <w:sz w:val="20"/>
          <w:szCs w:val="20"/>
          <w:color w:val="auto"/>
        </w:rPr>
      </w:pPr>
    </w:p>
    <w:p>
      <w:pPr>
        <w:ind w:firstLine="359"/>
        <w:spacing w:after="0" w:line="267" w:lineRule="auto"/>
        <w:rPr>
          <w:sz w:val="20"/>
          <w:szCs w:val="20"/>
          <w:color w:val="auto"/>
        </w:rPr>
      </w:pPr>
      <w:r>
        <w:rPr>
          <w:rFonts w:ascii="Arial" w:cs="Arial" w:eastAsia="Arial" w:hAnsi="Arial"/>
          <w:sz w:val="19"/>
          <w:szCs w:val="19"/>
          <w:color w:val="auto"/>
        </w:rPr>
        <w:t>The expected return on plan assets assumption for each plan is based on management’s expectations of long-term average rates of return to be achieved by the underlying investment portfolio. In establishing this assumption, management considers historical and expected returns for the asset classes in which the plans are invested, as well as current economic and capital market conditions.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Expected Benefit Payments</w:t>
      </w:r>
    </w:p>
    <w:p>
      <w:pPr>
        <w:spacing w:after="0" w:line="131" w:lineRule="exact"/>
        <w:rPr>
          <w:sz w:val="20"/>
          <w:szCs w:val="20"/>
          <w:color w:val="auto"/>
        </w:rPr>
      </w:pPr>
    </w:p>
    <w:p>
      <w:pPr>
        <w:ind w:right="420" w:firstLine="359"/>
        <w:spacing w:after="0" w:line="262" w:lineRule="auto"/>
        <w:rPr>
          <w:sz w:val="20"/>
          <w:szCs w:val="20"/>
          <w:color w:val="auto"/>
        </w:rPr>
      </w:pPr>
      <w:r>
        <w:rPr>
          <w:rFonts w:ascii="Arial" w:cs="Arial" w:eastAsia="Arial" w:hAnsi="Arial"/>
          <w:sz w:val="20"/>
          <w:szCs w:val="20"/>
          <w:color w:val="auto"/>
        </w:rPr>
        <w:t>The following table summarizes total benefit payments expected to be paid to plan participants including payments funded from both plan and company assets: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60" w:type="dxa"/>
            <w:vAlign w:val="bottom"/>
          </w:tcPr>
          <w:p>
            <w:pPr>
              <w:jc w:val="center"/>
              <w:ind w:left="27"/>
              <w:spacing w:after="0"/>
              <w:rPr>
                <w:sz w:val="20"/>
                <w:szCs w:val="20"/>
                <w:color w:val="auto"/>
              </w:rPr>
            </w:pPr>
            <w:r>
              <w:rPr>
                <w:rFonts w:ascii="Arial" w:cs="Arial" w:eastAsia="Arial" w:hAnsi="Arial"/>
                <w:sz w:val="16"/>
                <w:szCs w:val="16"/>
                <w:b w:val="1"/>
                <w:bCs w:val="1"/>
                <w:color w:val="auto"/>
                <w:w w:val="98"/>
              </w:rPr>
              <w:t>Other</w:t>
            </w:r>
          </w:p>
        </w:tc>
      </w:tr>
      <w:tr>
        <w:trPr>
          <w:trHeight w:val="180"/>
        </w:trPr>
        <w:tc>
          <w:tcPr>
            <w:tcW w:w="4740" w:type="dxa"/>
            <w:vAlign w:val="bottom"/>
          </w:tcPr>
          <w:p>
            <w:pPr>
              <w:spacing w:after="0"/>
              <w:rPr>
                <w:sz w:val="15"/>
                <w:szCs w:val="15"/>
                <w:color w:val="auto"/>
              </w:rPr>
            </w:pPr>
          </w:p>
        </w:tc>
        <w:tc>
          <w:tcPr>
            <w:tcW w:w="2900" w:type="dxa"/>
            <w:vAlign w:val="bottom"/>
          </w:tcPr>
          <w:p>
            <w:pPr>
              <w:jc w:val="right"/>
              <w:ind w:right="225"/>
              <w:spacing w:after="0" w:line="180" w:lineRule="exact"/>
              <w:rPr>
                <w:sz w:val="20"/>
                <w:szCs w:val="20"/>
                <w:color w:val="auto"/>
              </w:rPr>
            </w:pPr>
            <w:r>
              <w:rPr>
                <w:rFonts w:ascii="Arial" w:cs="Arial" w:eastAsia="Arial" w:hAnsi="Arial"/>
                <w:sz w:val="16"/>
                <w:szCs w:val="16"/>
                <w:b w:val="1"/>
                <w:bCs w:val="1"/>
                <w:color w:val="auto"/>
              </w:rPr>
              <w:t>Defined</w:t>
            </w:r>
          </w:p>
        </w:tc>
        <w:tc>
          <w:tcPr>
            <w:tcW w:w="1460" w:type="dxa"/>
            <w:vAlign w:val="bottom"/>
          </w:tcPr>
          <w:p>
            <w:pPr>
              <w:jc w:val="center"/>
              <w:ind w:left="27"/>
              <w:spacing w:after="0" w:line="180" w:lineRule="exact"/>
              <w:rPr>
                <w:sz w:val="20"/>
                <w:szCs w:val="20"/>
                <w:color w:val="auto"/>
              </w:rPr>
            </w:pPr>
            <w:r>
              <w:rPr>
                <w:rFonts w:ascii="Arial" w:cs="Arial" w:eastAsia="Arial" w:hAnsi="Arial"/>
                <w:sz w:val="16"/>
                <w:szCs w:val="16"/>
                <w:b w:val="1"/>
                <w:bCs w:val="1"/>
                <w:color w:val="auto"/>
              </w:rPr>
              <w:t>post-employment</w:t>
            </w:r>
          </w:p>
        </w:tc>
      </w:tr>
      <w:tr>
        <w:trPr>
          <w:trHeight w:val="197"/>
        </w:trPr>
        <w:tc>
          <w:tcPr>
            <w:tcW w:w="4740" w:type="dxa"/>
            <w:vAlign w:val="bottom"/>
          </w:tcPr>
          <w:p>
            <w:pPr>
              <w:spacing w:after="0"/>
              <w:rPr>
                <w:sz w:val="20"/>
                <w:szCs w:val="20"/>
                <w:color w:val="auto"/>
              </w:rPr>
            </w:pPr>
            <w:r>
              <w:rPr>
                <w:rFonts w:ascii="Arial" w:cs="Arial" w:eastAsia="Arial" w:hAnsi="Arial"/>
                <w:sz w:val="16"/>
                <w:szCs w:val="16"/>
                <w:b w:val="1"/>
                <w:bCs w:val="1"/>
                <w:color w:val="auto"/>
              </w:rPr>
              <w:t>years ending December 31 (in millions)</w:t>
            </w:r>
          </w:p>
        </w:tc>
        <w:tc>
          <w:tcPr>
            <w:tcW w:w="2900" w:type="dxa"/>
            <w:vAlign w:val="bottom"/>
          </w:tcPr>
          <w:p>
            <w:pPr>
              <w:jc w:val="right"/>
              <w:ind w:right="25"/>
              <w:spacing w:after="0"/>
              <w:rPr>
                <w:sz w:val="20"/>
                <w:szCs w:val="20"/>
                <w:color w:val="auto"/>
              </w:rPr>
            </w:pPr>
            <w:r>
              <w:rPr>
                <w:rFonts w:ascii="Arial" w:cs="Arial" w:eastAsia="Arial" w:hAnsi="Arial"/>
                <w:sz w:val="16"/>
                <w:szCs w:val="16"/>
                <w:b w:val="1"/>
                <w:bCs w:val="1"/>
                <w:color w:val="auto"/>
              </w:rPr>
              <w:t>benefit plans</w:t>
            </w:r>
          </w:p>
        </w:tc>
        <w:tc>
          <w:tcPr>
            <w:tcW w:w="1460" w:type="dxa"/>
            <w:vAlign w:val="bottom"/>
          </w:tcPr>
          <w:p>
            <w:pPr>
              <w:jc w:val="center"/>
              <w:ind w:left="27"/>
              <w:spacing w:after="0"/>
              <w:rPr>
                <w:sz w:val="20"/>
                <w:szCs w:val="20"/>
                <w:color w:val="auto"/>
              </w:rPr>
            </w:pPr>
            <w:r>
              <w:rPr>
                <w:rFonts w:ascii="Arial" w:cs="Arial" w:eastAsia="Arial" w:hAnsi="Arial"/>
                <w:sz w:val="16"/>
                <w:szCs w:val="16"/>
                <w:b w:val="1"/>
                <w:bCs w:val="1"/>
                <w:color w:val="auto"/>
              </w:rPr>
              <w:t>plans</w:t>
            </w:r>
          </w:p>
        </w:tc>
      </w:tr>
      <w:tr>
        <w:trPr>
          <w:trHeight w:val="22"/>
        </w:trPr>
        <w:tc>
          <w:tcPr>
            <w:tcW w:w="47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4740" w:type="dxa"/>
            <w:vAlign w:val="bottom"/>
          </w:tcPr>
          <w:p>
            <w:pPr>
              <w:spacing w:after="0"/>
              <w:rPr>
                <w:sz w:val="20"/>
                <w:szCs w:val="20"/>
                <w:color w:val="auto"/>
              </w:rPr>
            </w:pPr>
            <w:r>
              <w:rPr>
                <w:rFonts w:ascii="Arial" w:cs="Arial" w:eastAsia="Arial" w:hAnsi="Arial"/>
                <w:sz w:val="20"/>
                <w:szCs w:val="20"/>
                <w:color w:val="auto"/>
              </w:rPr>
              <w:t>2026</w:t>
            </w:r>
          </w:p>
        </w:tc>
        <w:tc>
          <w:tcPr>
            <w:tcW w:w="2900" w:type="dxa"/>
            <w:vAlign w:val="bottom"/>
          </w:tcPr>
          <w:p>
            <w:pPr>
              <w:jc w:val="right"/>
              <w:ind w:right="205"/>
              <w:spacing w:after="0"/>
              <w:rPr>
                <w:sz w:val="20"/>
                <w:szCs w:val="20"/>
                <w:color w:val="auto"/>
              </w:rPr>
            </w:pPr>
            <w:r>
              <w:rPr>
                <w:rFonts w:ascii="Arial" w:cs="Arial" w:eastAsia="Arial" w:hAnsi="Arial"/>
                <w:sz w:val="20"/>
                <w:szCs w:val="20"/>
                <w:color w:val="auto"/>
              </w:rPr>
              <w:t>$  396</w:t>
            </w:r>
          </w:p>
        </w:tc>
        <w:tc>
          <w:tcPr>
            <w:tcW w:w="1460" w:type="dxa"/>
            <w:vAlign w:val="bottom"/>
          </w:tcPr>
          <w:p>
            <w:pPr>
              <w:jc w:val="right"/>
              <w:ind w:right="367"/>
              <w:spacing w:after="0"/>
              <w:rPr>
                <w:sz w:val="20"/>
                <w:szCs w:val="20"/>
                <w:color w:val="auto"/>
              </w:rPr>
            </w:pPr>
            <w:r>
              <w:rPr>
                <w:rFonts w:ascii="Arial" w:cs="Arial" w:eastAsia="Arial" w:hAnsi="Arial"/>
                <w:sz w:val="20"/>
                <w:szCs w:val="20"/>
                <w:color w:val="auto"/>
              </w:rPr>
              <w:t>$ 39</w:t>
            </w:r>
          </w:p>
        </w:tc>
      </w:tr>
      <w:tr>
        <w:trPr>
          <w:trHeight w:val="279"/>
        </w:trPr>
        <w:tc>
          <w:tcPr>
            <w:tcW w:w="4740" w:type="dxa"/>
            <w:vAlign w:val="bottom"/>
          </w:tcPr>
          <w:p>
            <w:pPr>
              <w:spacing w:after="0"/>
              <w:rPr>
                <w:sz w:val="20"/>
                <w:szCs w:val="20"/>
                <w:color w:val="auto"/>
              </w:rPr>
            </w:pPr>
            <w:r>
              <w:rPr>
                <w:rFonts w:ascii="Arial" w:cs="Arial" w:eastAsia="Arial" w:hAnsi="Arial"/>
                <w:sz w:val="20"/>
                <w:szCs w:val="20"/>
                <w:color w:val="auto"/>
              </w:rPr>
              <w:t>2027</w:t>
            </w:r>
          </w:p>
        </w:tc>
        <w:tc>
          <w:tcPr>
            <w:tcW w:w="2900" w:type="dxa"/>
            <w:vAlign w:val="bottom"/>
          </w:tcPr>
          <w:p>
            <w:pPr>
              <w:jc w:val="right"/>
              <w:ind w:right="205"/>
              <w:spacing w:after="0"/>
              <w:rPr>
                <w:sz w:val="20"/>
                <w:szCs w:val="20"/>
                <w:color w:val="auto"/>
              </w:rPr>
            </w:pPr>
            <w:r>
              <w:rPr>
                <w:rFonts w:ascii="Arial" w:cs="Arial" w:eastAsia="Arial" w:hAnsi="Arial"/>
                <w:sz w:val="20"/>
                <w:szCs w:val="20"/>
                <w:color w:val="auto"/>
              </w:rPr>
              <w:t>422</w:t>
            </w:r>
          </w:p>
        </w:tc>
        <w:tc>
          <w:tcPr>
            <w:tcW w:w="1460" w:type="dxa"/>
            <w:vAlign w:val="bottom"/>
          </w:tcPr>
          <w:p>
            <w:pPr>
              <w:jc w:val="right"/>
              <w:ind w:right="367"/>
              <w:spacing w:after="0"/>
              <w:rPr>
                <w:sz w:val="20"/>
                <w:szCs w:val="20"/>
                <w:color w:val="auto"/>
              </w:rPr>
            </w:pPr>
            <w:r>
              <w:rPr>
                <w:rFonts w:ascii="Arial" w:cs="Arial" w:eastAsia="Arial" w:hAnsi="Arial"/>
                <w:sz w:val="20"/>
                <w:szCs w:val="20"/>
                <w:color w:val="auto"/>
              </w:rPr>
              <w:t>43</w:t>
            </w:r>
          </w:p>
        </w:tc>
      </w:tr>
      <w:tr>
        <w:trPr>
          <w:trHeight w:val="279"/>
        </w:trPr>
        <w:tc>
          <w:tcPr>
            <w:tcW w:w="4740" w:type="dxa"/>
            <w:vAlign w:val="bottom"/>
          </w:tcPr>
          <w:p>
            <w:pPr>
              <w:spacing w:after="0"/>
              <w:rPr>
                <w:sz w:val="20"/>
                <w:szCs w:val="20"/>
                <w:color w:val="auto"/>
              </w:rPr>
            </w:pPr>
            <w:r>
              <w:rPr>
                <w:rFonts w:ascii="Arial" w:cs="Arial" w:eastAsia="Arial" w:hAnsi="Arial"/>
                <w:sz w:val="20"/>
                <w:szCs w:val="20"/>
                <w:color w:val="auto"/>
              </w:rPr>
              <w:t>2028</w:t>
            </w:r>
          </w:p>
        </w:tc>
        <w:tc>
          <w:tcPr>
            <w:tcW w:w="2900" w:type="dxa"/>
            <w:vAlign w:val="bottom"/>
          </w:tcPr>
          <w:p>
            <w:pPr>
              <w:jc w:val="right"/>
              <w:ind w:right="205"/>
              <w:spacing w:after="0"/>
              <w:rPr>
                <w:sz w:val="20"/>
                <w:szCs w:val="20"/>
                <w:color w:val="auto"/>
              </w:rPr>
            </w:pPr>
            <w:r>
              <w:rPr>
                <w:rFonts w:ascii="Arial" w:cs="Arial" w:eastAsia="Arial" w:hAnsi="Arial"/>
                <w:sz w:val="20"/>
                <w:szCs w:val="20"/>
                <w:color w:val="auto"/>
              </w:rPr>
              <w:t>449</w:t>
            </w:r>
          </w:p>
        </w:tc>
        <w:tc>
          <w:tcPr>
            <w:tcW w:w="1460" w:type="dxa"/>
            <w:vAlign w:val="bottom"/>
          </w:tcPr>
          <w:p>
            <w:pPr>
              <w:jc w:val="right"/>
              <w:ind w:right="367"/>
              <w:spacing w:after="0"/>
              <w:rPr>
                <w:sz w:val="20"/>
                <w:szCs w:val="20"/>
                <w:color w:val="auto"/>
              </w:rPr>
            </w:pPr>
            <w:r>
              <w:rPr>
                <w:rFonts w:ascii="Arial" w:cs="Arial" w:eastAsia="Arial" w:hAnsi="Arial"/>
                <w:sz w:val="20"/>
                <w:szCs w:val="20"/>
                <w:color w:val="auto"/>
              </w:rPr>
              <w:t>47</w:t>
            </w:r>
          </w:p>
        </w:tc>
      </w:tr>
      <w:tr>
        <w:trPr>
          <w:trHeight w:val="279"/>
        </w:trPr>
        <w:tc>
          <w:tcPr>
            <w:tcW w:w="4740" w:type="dxa"/>
            <w:vAlign w:val="bottom"/>
          </w:tcPr>
          <w:p>
            <w:pPr>
              <w:spacing w:after="0"/>
              <w:rPr>
                <w:sz w:val="20"/>
                <w:szCs w:val="20"/>
                <w:color w:val="auto"/>
              </w:rPr>
            </w:pPr>
            <w:r>
              <w:rPr>
                <w:rFonts w:ascii="Arial" w:cs="Arial" w:eastAsia="Arial" w:hAnsi="Arial"/>
                <w:sz w:val="20"/>
                <w:szCs w:val="20"/>
                <w:color w:val="auto"/>
              </w:rPr>
              <w:t>2029</w:t>
            </w:r>
          </w:p>
        </w:tc>
        <w:tc>
          <w:tcPr>
            <w:tcW w:w="2900" w:type="dxa"/>
            <w:vAlign w:val="bottom"/>
          </w:tcPr>
          <w:p>
            <w:pPr>
              <w:jc w:val="right"/>
              <w:ind w:right="205"/>
              <w:spacing w:after="0"/>
              <w:rPr>
                <w:sz w:val="20"/>
                <w:szCs w:val="20"/>
                <w:color w:val="auto"/>
              </w:rPr>
            </w:pPr>
            <w:r>
              <w:rPr>
                <w:rFonts w:ascii="Arial" w:cs="Arial" w:eastAsia="Arial" w:hAnsi="Arial"/>
                <w:sz w:val="20"/>
                <w:szCs w:val="20"/>
                <w:color w:val="auto"/>
              </w:rPr>
              <w:t>482</w:t>
            </w:r>
          </w:p>
        </w:tc>
        <w:tc>
          <w:tcPr>
            <w:tcW w:w="1460" w:type="dxa"/>
            <w:vAlign w:val="bottom"/>
          </w:tcPr>
          <w:p>
            <w:pPr>
              <w:jc w:val="right"/>
              <w:ind w:right="367"/>
              <w:spacing w:after="0"/>
              <w:rPr>
                <w:sz w:val="20"/>
                <w:szCs w:val="20"/>
                <w:color w:val="auto"/>
              </w:rPr>
            </w:pPr>
            <w:r>
              <w:rPr>
                <w:rFonts w:ascii="Arial" w:cs="Arial" w:eastAsia="Arial" w:hAnsi="Arial"/>
                <w:sz w:val="20"/>
                <w:szCs w:val="20"/>
                <w:color w:val="auto"/>
              </w:rPr>
              <w:t>51</w:t>
            </w:r>
          </w:p>
        </w:tc>
      </w:tr>
      <w:tr>
        <w:trPr>
          <w:trHeight w:val="279"/>
        </w:trPr>
        <w:tc>
          <w:tcPr>
            <w:tcW w:w="4740" w:type="dxa"/>
            <w:vAlign w:val="bottom"/>
          </w:tcPr>
          <w:p>
            <w:pPr>
              <w:spacing w:after="0"/>
              <w:rPr>
                <w:sz w:val="20"/>
                <w:szCs w:val="20"/>
                <w:color w:val="auto"/>
              </w:rPr>
            </w:pPr>
            <w:r>
              <w:rPr>
                <w:rFonts w:ascii="Arial" w:cs="Arial" w:eastAsia="Arial" w:hAnsi="Arial"/>
                <w:sz w:val="20"/>
                <w:szCs w:val="20"/>
                <w:color w:val="auto"/>
              </w:rPr>
              <w:t>2030</w:t>
            </w:r>
          </w:p>
        </w:tc>
        <w:tc>
          <w:tcPr>
            <w:tcW w:w="2900" w:type="dxa"/>
            <w:vAlign w:val="bottom"/>
          </w:tcPr>
          <w:p>
            <w:pPr>
              <w:jc w:val="right"/>
              <w:ind w:right="205"/>
              <w:spacing w:after="0"/>
              <w:rPr>
                <w:sz w:val="20"/>
                <w:szCs w:val="20"/>
                <w:color w:val="auto"/>
              </w:rPr>
            </w:pPr>
            <w:r>
              <w:rPr>
                <w:rFonts w:ascii="Arial" w:cs="Arial" w:eastAsia="Arial" w:hAnsi="Arial"/>
                <w:sz w:val="20"/>
                <w:szCs w:val="20"/>
                <w:color w:val="auto"/>
              </w:rPr>
              <w:t>517</w:t>
            </w:r>
          </w:p>
        </w:tc>
        <w:tc>
          <w:tcPr>
            <w:tcW w:w="1460" w:type="dxa"/>
            <w:vAlign w:val="bottom"/>
          </w:tcPr>
          <w:p>
            <w:pPr>
              <w:jc w:val="right"/>
              <w:ind w:right="367"/>
              <w:spacing w:after="0"/>
              <w:rPr>
                <w:sz w:val="20"/>
                <w:szCs w:val="20"/>
                <w:color w:val="auto"/>
              </w:rPr>
            </w:pPr>
            <w:r>
              <w:rPr>
                <w:rFonts w:ascii="Arial" w:cs="Arial" w:eastAsia="Arial" w:hAnsi="Arial"/>
                <w:sz w:val="20"/>
                <w:szCs w:val="20"/>
                <w:color w:val="auto"/>
              </w:rPr>
              <w:t>55</w:t>
            </w:r>
          </w:p>
        </w:tc>
      </w:tr>
      <w:tr>
        <w:trPr>
          <w:trHeight w:val="282"/>
        </w:trPr>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2031 to 2035</w:t>
            </w:r>
          </w:p>
        </w:tc>
        <w:tc>
          <w:tcPr>
            <w:tcW w:w="2900" w:type="dxa"/>
            <w:vAlign w:val="bottom"/>
            <w:tcBorders>
              <w:bottom w:val="single" w:sz="8" w:color="auto"/>
            </w:tcBorders>
          </w:tcPr>
          <w:p>
            <w:pPr>
              <w:jc w:val="right"/>
              <w:ind w:right="205"/>
              <w:spacing w:after="0"/>
              <w:rPr>
                <w:sz w:val="20"/>
                <w:szCs w:val="20"/>
                <w:color w:val="auto"/>
              </w:rPr>
            </w:pPr>
            <w:r>
              <w:rPr>
                <w:rFonts w:ascii="Arial" w:cs="Arial" w:eastAsia="Arial" w:hAnsi="Arial"/>
                <w:sz w:val="20"/>
                <w:szCs w:val="20"/>
                <w:color w:val="auto"/>
              </w:rPr>
              <w:t>3,054</w:t>
            </w:r>
          </w:p>
        </w:tc>
        <w:tc>
          <w:tcPr>
            <w:tcW w:w="1460" w:type="dxa"/>
            <w:vAlign w:val="bottom"/>
            <w:tcBorders>
              <w:bottom w:val="single" w:sz="8" w:color="auto"/>
            </w:tcBorders>
          </w:tcPr>
          <w:p>
            <w:pPr>
              <w:jc w:val="right"/>
              <w:ind w:right="367"/>
              <w:spacing w:after="0"/>
              <w:rPr>
                <w:sz w:val="20"/>
                <w:szCs w:val="20"/>
                <w:color w:val="auto"/>
              </w:rPr>
            </w:pPr>
            <w:r>
              <w:rPr>
                <w:rFonts w:ascii="Arial" w:cs="Arial" w:eastAsia="Arial" w:hAnsi="Arial"/>
                <w:sz w:val="20"/>
                <w:szCs w:val="20"/>
                <w:color w:val="auto"/>
              </w:rPr>
              <w:t>342</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Defined Contribution Plan</w:t>
      </w:r>
    </w:p>
    <w:p>
      <w:pPr>
        <w:spacing w:after="0" w:line="131" w:lineRule="exact"/>
        <w:rPr>
          <w:sz w:val="20"/>
          <w:szCs w:val="20"/>
          <w:color w:val="auto"/>
        </w:rPr>
      </w:pPr>
    </w:p>
    <w:p>
      <w:pPr>
        <w:ind w:right="120" w:firstLine="359"/>
        <w:spacing w:after="0" w:line="248" w:lineRule="auto"/>
        <w:rPr>
          <w:sz w:val="20"/>
          <w:szCs w:val="20"/>
          <w:color w:val="auto"/>
        </w:rPr>
      </w:pPr>
      <w:r>
        <w:rPr>
          <w:rFonts w:ascii="Arial" w:cs="Arial" w:eastAsia="Arial" w:hAnsi="Arial"/>
          <w:sz w:val="20"/>
          <w:szCs w:val="20"/>
          <w:color w:val="auto"/>
        </w:rPr>
        <w:t>AbbVie maintains defined contribution savings plans for the benefit of its eligible employees. The expense recognized for these plans was $504 million in 2025, $425 million in 2024 and $398 million in 2023. AbbVie provides certain other post-employment benefits, primarily salary continuation arrangements, to qualifying employees and accrues for the related cost over the service lives of the employees.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13 Equity</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Stock-Based Compensation</w:t>
      </w:r>
    </w:p>
    <w:p>
      <w:pPr>
        <w:spacing w:after="0" w:line="131" w:lineRule="exact"/>
        <w:rPr>
          <w:sz w:val="20"/>
          <w:szCs w:val="20"/>
          <w:color w:val="auto"/>
        </w:rPr>
      </w:pPr>
    </w:p>
    <w:p>
      <w:pPr>
        <w:ind w:firstLine="359"/>
        <w:spacing w:after="0" w:line="265" w:lineRule="auto"/>
        <w:rPr>
          <w:sz w:val="20"/>
          <w:szCs w:val="20"/>
          <w:color w:val="auto"/>
        </w:rPr>
      </w:pPr>
      <w:r>
        <w:rPr>
          <w:rFonts w:ascii="Arial" w:cs="Arial" w:eastAsia="Arial" w:hAnsi="Arial"/>
          <w:sz w:val="19"/>
          <w:szCs w:val="19"/>
          <w:color w:val="auto"/>
        </w:rPr>
        <w:t>In 2021, stockholders of the company approved the AbbVie Amended and Restated 2013 Incentive Stock Program (Amended Plan), which amends and restates the AbbVie 2013 Incentive Stock Program (2013 ISP). AbbVie grants stock-based awards to eligible employees pursuant to the Amended Plan, which provides for several different forms of benefits, including non-qualified stock options, RSUs and various performance-based awards. Under the Amended Plan, a total of 144 million shares of AbbVie common stock have been reserved for issuance as awards to AbbVie employees.</w:t>
      </w:r>
    </w:p>
    <w:p>
      <w:pPr>
        <w:sectPr>
          <w:pgSz w:w="11880" w:h="15480" w:orient="portrait"/>
          <w:cols w:equalWidth="0" w:num="1">
            <w:col w:w="9100"/>
          </w:cols>
          <w:pgMar w:left="1400" w:top="1030" w:right="1380" w:bottom="87" w:gutter="0" w:footer="0" w:header="0"/>
        </w:sectPr>
      </w:pPr>
    </w:p>
    <w:p>
      <w:pPr>
        <w:spacing w:after="0" w:line="232"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93</w:t>
      </w:r>
    </w:p>
    <w:p>
      <w:pPr>
        <w:sectPr>
          <w:pgSz w:w="11880" w:h="15480" w:orient="portrait"/>
          <w:cols w:equalWidth="0" w:num="1">
            <w:col w:w="9100"/>
          </w:cols>
          <w:pgMar w:left="1400" w:top="1030" w:right="1380" w:bottom="87" w:gutter="0" w:footer="0" w:header="0"/>
          <w:type w:val="continuous"/>
        </w:sectPr>
      </w:pPr>
    </w:p>
    <w:bookmarkStart w:id="99" w:name="page100"/>
    <w:bookmarkEnd w:id="99"/>
    <w:p>
      <w:pPr>
        <w:ind w:right="120" w:firstLine="359"/>
        <w:spacing w:after="0" w:line="255" w:lineRule="auto"/>
        <w:rPr>
          <w:sz w:val="20"/>
          <w:szCs w:val="20"/>
          <w:color w:val="auto"/>
        </w:rPr>
      </w:pPr>
      <w:r>
        <w:rPr>
          <w:rFonts w:ascii="Arial" w:cs="Arial" w:eastAsia="Arial" w:hAnsi="Arial"/>
          <w:sz w:val="20"/>
          <w:szCs w:val="20"/>
          <w:color w:val="auto"/>
        </w:rPr>
        <w:t>AbbVie measures compensation expense for stock-based awards based on the grant date fair value of the awards and the estimated number of awards that are expected to vest. Forfeitures are estimated based on historical experience at the time of grant and are revised in subsequent periods if actual forfeitures differ from those estimates. Compensation cost for stock-based awards is amortized over the service period, which could be shorter than the vesting period if an employee is retirement eligible. Retirement eligible employees generally are those who are age 55 or older and have at least 10 years of service.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Stock-based compensation expense is principally related to awards issued pursuant to the 2013</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ISP and the Amended Plan and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2025</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2024</w:t>
            </w: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60" w:type="dxa"/>
            <w:vAlign w:val="bottom"/>
          </w:tcPr>
          <w:p>
            <w:pPr>
              <w:spacing w:after="0"/>
              <w:rPr>
                <w:sz w:val="20"/>
                <w:szCs w:val="20"/>
                <w:color w:val="auto"/>
              </w:rPr>
            </w:pPr>
            <w:r>
              <w:rPr>
                <w:rFonts w:ascii="Arial" w:cs="Arial" w:eastAsia="Arial" w:hAnsi="Arial"/>
                <w:sz w:val="20"/>
                <w:szCs w:val="20"/>
                <w:color w:val="auto"/>
              </w:rPr>
              <w:t>Cost of products sold</w:t>
            </w:r>
          </w:p>
        </w:tc>
        <w:tc>
          <w:tcPr>
            <w:tcW w:w="21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40"/>
              <w:spacing w:after="0"/>
              <w:rPr>
                <w:sz w:val="20"/>
                <w:szCs w:val="20"/>
                <w:color w:val="auto"/>
              </w:rPr>
            </w:pPr>
            <w:r>
              <w:rPr>
                <w:rFonts w:ascii="Arial" w:cs="Arial" w:eastAsia="Arial" w:hAnsi="Arial"/>
                <w:sz w:val="20"/>
                <w:szCs w:val="20"/>
                <w:color w:val="auto"/>
              </w:rPr>
              <w:t>52</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60"/>
              <w:spacing w:after="0"/>
              <w:rPr>
                <w:sz w:val="20"/>
                <w:szCs w:val="20"/>
                <w:color w:val="auto"/>
              </w:rPr>
            </w:pPr>
            <w:r>
              <w:rPr>
                <w:rFonts w:ascii="Arial" w:cs="Arial" w:eastAsia="Arial" w:hAnsi="Arial"/>
                <w:sz w:val="20"/>
                <w:szCs w:val="20"/>
                <w:color w:val="auto"/>
              </w:rPr>
              <w:t>55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46</w:t>
            </w:r>
          </w:p>
        </w:tc>
        <w:tc>
          <w:tcPr>
            <w:tcW w:w="60" w:type="dxa"/>
            <w:vAlign w:val="bottom"/>
          </w:tcPr>
          <w:p>
            <w:pPr>
              <w:spacing w:after="0"/>
              <w:rPr>
                <w:sz w:val="22"/>
                <w:szCs w:val="22"/>
                <w:color w:val="auto"/>
              </w:rPr>
            </w:pP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2140" w:type="dxa"/>
            <w:vAlign w:val="bottom"/>
          </w:tcPr>
          <w:p>
            <w:pPr>
              <w:spacing w:after="0"/>
              <w:rPr>
                <w:sz w:val="24"/>
                <w:szCs w:val="24"/>
                <w:color w:val="auto"/>
              </w:rPr>
            </w:pPr>
          </w:p>
        </w:tc>
        <w:tc>
          <w:tcPr>
            <w:tcW w:w="540" w:type="dxa"/>
            <w:vAlign w:val="bottom"/>
          </w:tcPr>
          <w:p>
            <w:pPr>
              <w:jc w:val="right"/>
              <w:ind w:right="40"/>
              <w:spacing w:after="0"/>
              <w:rPr>
                <w:sz w:val="20"/>
                <w:szCs w:val="20"/>
                <w:color w:val="auto"/>
              </w:rPr>
            </w:pPr>
            <w:r>
              <w:rPr>
                <w:rFonts w:ascii="Arial" w:cs="Arial" w:eastAsia="Arial" w:hAnsi="Arial"/>
                <w:sz w:val="20"/>
                <w:szCs w:val="20"/>
                <w:color w:val="auto"/>
              </w:rPr>
              <w:t>386</w:t>
            </w:r>
          </w:p>
        </w:tc>
        <w:tc>
          <w:tcPr>
            <w:tcW w:w="200" w:type="dxa"/>
            <w:vAlign w:val="bottom"/>
          </w:tcPr>
          <w:p>
            <w:pPr>
              <w:spacing w:after="0"/>
              <w:rPr>
                <w:sz w:val="24"/>
                <w:szCs w:val="24"/>
                <w:color w:val="auto"/>
              </w:rPr>
            </w:pPr>
          </w:p>
        </w:tc>
        <w:tc>
          <w:tcPr>
            <w:tcW w:w="560" w:type="dxa"/>
            <w:vAlign w:val="bottom"/>
          </w:tcPr>
          <w:p>
            <w:pPr>
              <w:jc w:val="right"/>
              <w:ind w:right="60"/>
              <w:spacing w:after="0"/>
              <w:rPr>
                <w:sz w:val="20"/>
                <w:szCs w:val="20"/>
                <w:color w:val="auto"/>
              </w:rPr>
            </w:pPr>
            <w:r>
              <w:rPr>
                <w:rFonts w:ascii="Arial" w:cs="Arial" w:eastAsia="Arial" w:hAnsi="Arial"/>
                <w:sz w:val="20"/>
                <w:szCs w:val="20"/>
                <w:color w:val="auto"/>
              </w:rPr>
              <w:t>341</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278</w:t>
            </w:r>
          </w:p>
        </w:tc>
        <w:tc>
          <w:tcPr>
            <w:tcW w:w="60" w:type="dxa"/>
            <w:vAlign w:val="bottom"/>
          </w:tcPr>
          <w:p>
            <w:pPr>
              <w:spacing w:after="0"/>
              <w:rPr>
                <w:sz w:val="24"/>
                <w:szCs w:val="24"/>
                <w:color w:val="auto"/>
              </w:rPr>
            </w:pPr>
          </w:p>
        </w:tc>
      </w:tr>
      <w:tr>
        <w:trPr>
          <w:trHeight w:val="282"/>
        </w:trPr>
        <w:tc>
          <w:tcPr>
            <w:tcW w:w="5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Selling, general and administrative</w:t>
            </w:r>
          </w:p>
        </w:tc>
        <w:tc>
          <w:tcPr>
            <w:tcW w:w="2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517</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515</w:t>
            </w: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423</w:t>
            </w:r>
          </w:p>
        </w:tc>
        <w:tc>
          <w:tcPr>
            <w:tcW w:w="60" w:type="dxa"/>
            <w:vAlign w:val="bottom"/>
          </w:tcPr>
          <w:p>
            <w:pPr>
              <w:spacing w:after="0"/>
              <w:rPr>
                <w:sz w:val="24"/>
                <w:szCs w:val="24"/>
                <w:color w:val="auto"/>
              </w:rPr>
            </w:pPr>
          </w:p>
        </w:tc>
      </w:tr>
      <w:tr>
        <w:trPr>
          <w:trHeight w:val="266"/>
        </w:trPr>
        <w:tc>
          <w:tcPr>
            <w:tcW w:w="5060" w:type="dxa"/>
            <w:vAlign w:val="bottom"/>
          </w:tcPr>
          <w:p>
            <w:pPr>
              <w:spacing w:after="0"/>
              <w:rPr>
                <w:sz w:val="20"/>
                <w:szCs w:val="20"/>
                <w:color w:val="auto"/>
              </w:rPr>
            </w:pPr>
            <w:r>
              <w:rPr>
                <w:rFonts w:ascii="Arial" w:cs="Arial" w:eastAsia="Arial" w:hAnsi="Arial"/>
                <w:sz w:val="20"/>
                <w:szCs w:val="20"/>
                <w:color w:val="auto"/>
              </w:rPr>
              <w:t>Pre-tax compensation expense</w:t>
            </w:r>
          </w:p>
        </w:tc>
        <w:tc>
          <w:tcPr>
            <w:tcW w:w="2140" w:type="dxa"/>
            <w:vAlign w:val="bottom"/>
          </w:tcPr>
          <w:p>
            <w:pPr>
              <w:spacing w:after="0"/>
              <w:rPr>
                <w:sz w:val="23"/>
                <w:szCs w:val="23"/>
                <w:color w:val="auto"/>
              </w:rPr>
            </w:pPr>
          </w:p>
        </w:tc>
        <w:tc>
          <w:tcPr>
            <w:tcW w:w="540" w:type="dxa"/>
            <w:vAlign w:val="bottom"/>
          </w:tcPr>
          <w:p>
            <w:pPr>
              <w:jc w:val="right"/>
              <w:ind w:right="40"/>
              <w:spacing w:after="0"/>
              <w:rPr>
                <w:sz w:val="20"/>
                <w:szCs w:val="20"/>
                <w:color w:val="auto"/>
              </w:rPr>
            </w:pPr>
            <w:r>
              <w:rPr>
                <w:rFonts w:ascii="Arial" w:cs="Arial" w:eastAsia="Arial" w:hAnsi="Arial"/>
                <w:sz w:val="20"/>
                <w:szCs w:val="20"/>
                <w:color w:val="auto"/>
              </w:rPr>
              <w:t>955</w:t>
            </w:r>
          </w:p>
        </w:tc>
        <w:tc>
          <w:tcPr>
            <w:tcW w:w="200" w:type="dxa"/>
            <w:vAlign w:val="bottom"/>
          </w:tcPr>
          <w:p>
            <w:pPr>
              <w:spacing w:after="0"/>
              <w:rPr>
                <w:sz w:val="23"/>
                <w:szCs w:val="23"/>
                <w:color w:val="auto"/>
              </w:rPr>
            </w:pPr>
          </w:p>
        </w:tc>
        <w:tc>
          <w:tcPr>
            <w:tcW w:w="560" w:type="dxa"/>
            <w:vAlign w:val="bottom"/>
          </w:tcPr>
          <w:p>
            <w:pPr>
              <w:jc w:val="right"/>
              <w:ind w:right="60"/>
              <w:spacing w:after="0"/>
              <w:rPr>
                <w:sz w:val="20"/>
                <w:szCs w:val="20"/>
                <w:color w:val="auto"/>
              </w:rPr>
            </w:pPr>
            <w:r>
              <w:rPr>
                <w:rFonts w:ascii="Arial" w:cs="Arial" w:eastAsia="Arial" w:hAnsi="Arial"/>
                <w:sz w:val="20"/>
                <w:szCs w:val="20"/>
                <w:color w:val="auto"/>
              </w:rPr>
              <w:t>911</w:t>
            </w:r>
          </w:p>
        </w:tc>
        <w:tc>
          <w:tcPr>
            <w:tcW w:w="2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747</w:t>
            </w:r>
          </w:p>
        </w:tc>
        <w:tc>
          <w:tcPr>
            <w:tcW w:w="60" w:type="dxa"/>
            <w:vAlign w:val="bottom"/>
          </w:tcPr>
          <w:p>
            <w:pPr>
              <w:spacing w:after="0"/>
              <w:rPr>
                <w:sz w:val="23"/>
                <w:szCs w:val="23"/>
                <w:color w:val="auto"/>
              </w:rPr>
            </w:pPr>
          </w:p>
        </w:tc>
      </w:tr>
      <w:tr>
        <w:trPr>
          <w:trHeight w:val="282"/>
        </w:trPr>
        <w:tc>
          <w:tcPr>
            <w:tcW w:w="5060" w:type="dxa"/>
            <w:vAlign w:val="bottom"/>
          </w:tcPr>
          <w:p>
            <w:pPr>
              <w:spacing w:after="0"/>
              <w:rPr>
                <w:sz w:val="20"/>
                <w:szCs w:val="20"/>
                <w:color w:val="auto"/>
              </w:rPr>
            </w:pPr>
            <w:r>
              <w:rPr>
                <w:rFonts w:ascii="Arial" w:cs="Arial" w:eastAsia="Arial" w:hAnsi="Arial"/>
                <w:sz w:val="20"/>
                <w:szCs w:val="20"/>
                <w:color w:val="auto"/>
              </w:rPr>
              <w:t>Tax benefit</w:t>
            </w:r>
          </w:p>
        </w:tc>
        <w:tc>
          <w:tcPr>
            <w:tcW w:w="2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94"/>
              </w:rPr>
              <w:t>(170)</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w w:val="94"/>
              </w:rPr>
              <w:t>(159)</w:t>
            </w:r>
          </w:p>
        </w:tc>
        <w:tc>
          <w:tcPr>
            <w:tcW w:w="2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w w:val="94"/>
              </w:rPr>
              <w:t>(136)</w:t>
            </w:r>
          </w:p>
        </w:tc>
      </w:tr>
      <w:tr>
        <w:trPr>
          <w:trHeight w:val="269"/>
        </w:trPr>
        <w:tc>
          <w:tcPr>
            <w:tcW w:w="506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After-tax compensation expense</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20"/>
                <w:szCs w:val="20"/>
                <w:color w:val="auto"/>
              </w:rPr>
              <w:t>785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20"/>
                <w:szCs w:val="20"/>
                <w:color w:val="auto"/>
              </w:rPr>
              <w:t>752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611</w:t>
            </w:r>
          </w:p>
        </w:tc>
        <w:tc>
          <w:tcPr>
            <w:tcW w:w="60" w:type="dxa"/>
            <w:vAlign w:val="bottom"/>
          </w:tcPr>
          <w:p>
            <w:pPr>
              <w:spacing w:after="0"/>
              <w:rPr>
                <w:sz w:val="23"/>
                <w:szCs w:val="23"/>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ind w:right="560" w:firstLine="359"/>
        <w:spacing w:after="0" w:line="271" w:lineRule="auto"/>
        <w:rPr>
          <w:sz w:val="20"/>
          <w:szCs w:val="20"/>
          <w:color w:val="auto"/>
        </w:rPr>
      </w:pPr>
      <w:r>
        <w:rPr>
          <w:rFonts w:ascii="Arial" w:cs="Arial" w:eastAsia="Arial" w:hAnsi="Arial"/>
          <w:sz w:val="20"/>
          <w:szCs w:val="20"/>
          <w:color w:val="auto"/>
        </w:rPr>
        <w:t>Realized excess tax benefits associated with stock-based compensation totaled $58 million in 2025, $84 million in 2024 and $90 million in 2023.</w:t>
      </w:r>
    </w:p>
    <w:p>
      <w:pPr>
        <w:spacing w:after="0" w:line="103" w:lineRule="exact"/>
        <w:rPr>
          <w:sz w:val="20"/>
          <w:szCs w:val="20"/>
          <w:color w:val="auto"/>
        </w:rPr>
      </w:pPr>
    </w:p>
    <w:p>
      <w:pPr>
        <w:ind w:right="60" w:firstLine="359"/>
        <w:spacing w:after="0" w:line="258" w:lineRule="auto"/>
        <w:rPr>
          <w:sz w:val="20"/>
          <w:szCs w:val="20"/>
          <w:color w:val="auto"/>
        </w:rPr>
      </w:pPr>
      <w:r>
        <w:rPr>
          <w:rFonts w:ascii="Arial" w:cs="Arial" w:eastAsia="Arial" w:hAnsi="Arial"/>
          <w:sz w:val="20"/>
          <w:szCs w:val="20"/>
          <w:color w:val="auto"/>
        </w:rPr>
        <w:t>In addition to stock-based compensation expense included in the table above, in connection with the 2025 acquisition of Capstan and the 2024 acquisitions of ImmunoGen and Cerevel Therapeutics, AbbVie incurred cash-settled, post-closing expense for employee incentive awards, which is summarized in the table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760" w:type="dxa"/>
            <w:vAlign w:val="bottom"/>
          </w:tcPr>
          <w:p>
            <w:pPr>
              <w:jc w:val="right"/>
              <w:ind w:right="24"/>
              <w:spacing w:after="0"/>
              <w:rPr>
                <w:sz w:val="20"/>
                <w:szCs w:val="20"/>
                <w:color w:val="auto"/>
              </w:rPr>
            </w:pPr>
            <w:r>
              <w:rPr>
                <w:rFonts w:ascii="Arial" w:cs="Arial" w:eastAsia="Arial" w:hAnsi="Arial"/>
                <w:sz w:val="16"/>
                <w:szCs w:val="16"/>
                <w:b w:val="1"/>
                <w:bCs w:val="1"/>
                <w:color w:val="auto"/>
              </w:rPr>
              <w:t>2025</w:t>
            </w: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r>
      <w:tr>
        <w:trPr>
          <w:trHeight w:val="22"/>
        </w:trPr>
        <w:tc>
          <w:tcPr>
            <w:tcW w:w="57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5760" w:type="dxa"/>
            <w:vAlign w:val="bottom"/>
          </w:tcPr>
          <w:p>
            <w:pPr>
              <w:spacing w:after="0"/>
              <w:rPr>
                <w:sz w:val="20"/>
                <w:szCs w:val="20"/>
                <w:color w:val="auto"/>
              </w:rPr>
            </w:pPr>
            <w:r>
              <w:rPr>
                <w:rFonts w:ascii="Arial" w:cs="Arial" w:eastAsia="Arial" w:hAnsi="Arial"/>
                <w:sz w:val="20"/>
                <w:szCs w:val="20"/>
                <w:color w:val="auto"/>
              </w:rPr>
              <w:t>Cost of products sold</w:t>
            </w:r>
          </w:p>
        </w:tc>
        <w:tc>
          <w:tcPr>
            <w:tcW w:w="2760" w:type="dxa"/>
            <w:vAlign w:val="bottom"/>
          </w:tcPr>
          <w:p>
            <w:pPr>
              <w:jc w:val="right"/>
              <w:ind w:right="24"/>
              <w:spacing w:after="0"/>
              <w:rPr>
                <w:sz w:val="20"/>
                <w:szCs w:val="20"/>
                <w:color w:val="auto"/>
              </w:rPr>
            </w:pPr>
            <w:r>
              <w:rPr>
                <w:rFonts w:ascii="Arial" w:cs="Arial" w:eastAsia="Arial" w:hAnsi="Arial"/>
                <w:sz w:val="20"/>
                <w:szCs w:val="20"/>
                <w:color w:val="auto"/>
              </w:rPr>
              <w:t>$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79"/>
        </w:trPr>
        <w:tc>
          <w:tcPr>
            <w:tcW w:w="576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2760" w:type="dxa"/>
            <w:vAlign w:val="bottom"/>
          </w:tcPr>
          <w:p>
            <w:pPr>
              <w:jc w:val="right"/>
              <w:ind w:right="24"/>
              <w:spacing w:after="0"/>
              <w:rPr>
                <w:sz w:val="20"/>
                <w:szCs w:val="20"/>
                <w:color w:val="auto"/>
              </w:rPr>
            </w:pPr>
            <w:r>
              <w:rPr>
                <w:rFonts w:ascii="Arial" w:cs="Arial" w:eastAsia="Arial" w:hAnsi="Arial"/>
                <w:sz w:val="20"/>
                <w:szCs w:val="20"/>
                <w:color w:val="auto"/>
              </w:rPr>
              <w:t>28</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w w:val="95"/>
              </w:rPr>
              <w:t>184</w:t>
            </w:r>
          </w:p>
        </w:tc>
      </w:tr>
      <w:tr>
        <w:trPr>
          <w:trHeight w:val="282"/>
        </w:trPr>
        <w:tc>
          <w:tcPr>
            <w:tcW w:w="5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Selling, general and administrative</w:t>
            </w:r>
          </w:p>
        </w:tc>
        <w:tc>
          <w:tcPr>
            <w:tcW w:w="276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67</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290</w:t>
            </w:r>
          </w:p>
        </w:tc>
      </w:tr>
      <w:tr>
        <w:trPr>
          <w:trHeight w:val="269"/>
        </w:trPr>
        <w:tc>
          <w:tcPr>
            <w:tcW w:w="5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post-closing cash settled expense</w:t>
            </w:r>
          </w:p>
        </w:tc>
        <w:tc>
          <w:tcPr>
            <w:tcW w:w="276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510</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Options</w:t>
      </w:r>
    </w:p>
    <w:p>
      <w:pPr>
        <w:spacing w:after="0" w:line="131" w:lineRule="exact"/>
        <w:rPr>
          <w:sz w:val="20"/>
          <w:szCs w:val="20"/>
          <w:color w:val="auto"/>
        </w:rPr>
      </w:pPr>
    </w:p>
    <w:p>
      <w:pPr>
        <w:jc w:val="both"/>
        <w:ind w:right="160" w:firstLine="359"/>
        <w:spacing w:after="0" w:line="254" w:lineRule="auto"/>
        <w:rPr>
          <w:sz w:val="20"/>
          <w:szCs w:val="20"/>
          <w:color w:val="auto"/>
        </w:rPr>
      </w:pPr>
      <w:r>
        <w:rPr>
          <w:rFonts w:ascii="Arial" w:cs="Arial" w:eastAsia="Arial" w:hAnsi="Arial"/>
          <w:sz w:val="20"/>
          <w:szCs w:val="20"/>
          <w:color w:val="auto"/>
        </w:rPr>
        <w:t>Stock options awarded to employees typically have a contractual term of 10 years and generally vest in one-third increments over a 3-year period. The exercise price is equal to at least 100% of the market value on the date of grant. The fair value is determined using the Black-Scholes model. The weighted-average grant-date fair values of stock options granted were $38.39 in 2025, $31.53 in 2024 and $29.89 in 2023.</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AbbVie stock option activity in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920" w:type="dxa"/>
            <w:vAlign w:val="bottom"/>
          </w:tcPr>
          <w:p>
            <w:pPr>
              <w:spacing w:after="0"/>
              <w:rPr>
                <w:sz w:val="16"/>
                <w:szCs w:val="16"/>
                <w:color w:val="auto"/>
              </w:rPr>
            </w:pPr>
          </w:p>
        </w:tc>
      </w:tr>
      <w:tr>
        <w:trPr>
          <w:trHeight w:val="180"/>
        </w:trPr>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Weighted-</w:t>
            </w:r>
          </w:p>
        </w:tc>
        <w:tc>
          <w:tcPr>
            <w:tcW w:w="12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5"/>
              </w:rPr>
              <w:t>average</w:t>
            </w:r>
          </w:p>
        </w:tc>
        <w:tc>
          <w:tcPr>
            <w:tcW w:w="920" w:type="dxa"/>
            <w:vAlign w:val="bottom"/>
          </w:tcPr>
          <w:p>
            <w:pPr>
              <w:jc w:val="center"/>
              <w:ind w:left="30"/>
              <w:spacing w:after="0" w:line="180" w:lineRule="exact"/>
              <w:rPr>
                <w:sz w:val="20"/>
                <w:szCs w:val="20"/>
                <w:color w:val="auto"/>
              </w:rPr>
            </w:pPr>
            <w:r>
              <w:rPr>
                <w:rFonts w:ascii="Arial" w:cs="Arial" w:eastAsia="Arial" w:hAnsi="Arial"/>
                <w:sz w:val="16"/>
                <w:szCs w:val="16"/>
                <w:b w:val="1"/>
                <w:bCs w:val="1"/>
                <w:color w:val="auto"/>
              </w:rPr>
              <w:t>Aggregate</w:t>
            </w:r>
          </w:p>
        </w:tc>
      </w:tr>
      <w:tr>
        <w:trPr>
          <w:trHeight w:val="180"/>
        </w:trPr>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average</w:t>
            </w:r>
          </w:p>
        </w:tc>
        <w:tc>
          <w:tcPr>
            <w:tcW w:w="12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remaining</w:t>
            </w:r>
          </w:p>
        </w:tc>
        <w:tc>
          <w:tcPr>
            <w:tcW w:w="920" w:type="dxa"/>
            <w:vAlign w:val="bottom"/>
          </w:tcPr>
          <w:p>
            <w:pPr>
              <w:jc w:val="center"/>
              <w:ind w:left="10"/>
              <w:spacing w:after="0" w:line="180" w:lineRule="exact"/>
              <w:rPr>
                <w:sz w:val="20"/>
                <w:szCs w:val="20"/>
                <w:color w:val="auto"/>
              </w:rPr>
            </w:pPr>
            <w:r>
              <w:rPr>
                <w:rFonts w:ascii="Arial" w:cs="Arial" w:eastAsia="Arial" w:hAnsi="Arial"/>
                <w:sz w:val="16"/>
                <w:szCs w:val="16"/>
                <w:b w:val="1"/>
                <w:bCs w:val="1"/>
                <w:color w:val="auto"/>
                <w:w w:val="99"/>
              </w:rPr>
              <w:t>intrinsic</w:t>
            </w:r>
          </w:p>
        </w:tc>
      </w:tr>
      <w:tr>
        <w:trPr>
          <w:trHeight w:val="197"/>
        </w:trPr>
        <w:tc>
          <w:tcPr>
            <w:tcW w:w="4740" w:type="dxa"/>
            <w:vAlign w:val="bottom"/>
          </w:tcPr>
          <w:p>
            <w:pPr>
              <w:spacing w:after="0"/>
              <w:rPr>
                <w:sz w:val="20"/>
                <w:szCs w:val="20"/>
                <w:color w:val="auto"/>
              </w:rPr>
            </w:pPr>
            <w:r>
              <w:rPr>
                <w:rFonts w:ascii="Arial" w:cs="Arial" w:eastAsia="Arial" w:hAnsi="Arial"/>
                <w:sz w:val="16"/>
                <w:szCs w:val="16"/>
                <w:b w:val="1"/>
                <w:bCs w:val="1"/>
                <w:color w:val="auto"/>
              </w:rPr>
              <w:t>(options in thousands, aggregate intrinsic value in millions)</w:t>
            </w: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Options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9"/>
              </w:rPr>
              <w:t>exercise price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9"/>
              </w:rPr>
              <w:t>life (in years)</w:t>
            </w:r>
          </w:p>
        </w:tc>
        <w:tc>
          <w:tcPr>
            <w:tcW w:w="920" w:type="dxa"/>
            <w:vAlign w:val="bottom"/>
          </w:tcPr>
          <w:p>
            <w:pPr>
              <w:jc w:val="center"/>
              <w:ind w:left="30"/>
              <w:spacing w:after="0"/>
              <w:rPr>
                <w:sz w:val="20"/>
                <w:szCs w:val="20"/>
                <w:color w:val="auto"/>
              </w:rPr>
            </w:pPr>
            <w:r>
              <w:rPr>
                <w:rFonts w:ascii="Arial" w:cs="Arial" w:eastAsia="Arial" w:hAnsi="Arial"/>
                <w:sz w:val="16"/>
                <w:szCs w:val="16"/>
                <w:b w:val="1"/>
                <w:bCs w:val="1"/>
                <w:color w:val="auto"/>
                <w:w w:val="97"/>
              </w:rPr>
              <w:t>value</w:t>
            </w:r>
          </w:p>
        </w:tc>
      </w:tr>
      <w:tr>
        <w:trPr>
          <w:trHeight w:val="22"/>
        </w:trPr>
        <w:tc>
          <w:tcPr>
            <w:tcW w:w="4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64"/>
        </w:trPr>
        <w:tc>
          <w:tcPr>
            <w:tcW w:w="4740" w:type="dxa"/>
            <w:vAlign w:val="bottom"/>
          </w:tcPr>
          <w:p>
            <w:pPr>
              <w:spacing w:after="0"/>
              <w:rPr>
                <w:sz w:val="20"/>
                <w:szCs w:val="20"/>
                <w:color w:val="auto"/>
              </w:rPr>
            </w:pPr>
            <w:r>
              <w:rPr>
                <w:rFonts w:ascii="Arial" w:cs="Arial" w:eastAsia="Arial" w:hAnsi="Arial"/>
                <w:sz w:val="20"/>
                <w:szCs w:val="20"/>
                <w:color w:val="auto"/>
              </w:rPr>
              <w:t>Outstanding at December 31, 2024</w:t>
            </w:r>
          </w:p>
        </w:tc>
        <w:tc>
          <w:tcPr>
            <w:tcW w:w="960" w:type="dxa"/>
            <w:vAlign w:val="bottom"/>
          </w:tcPr>
          <w:p>
            <w:pPr>
              <w:jc w:val="right"/>
              <w:ind w:right="63"/>
              <w:spacing w:after="0"/>
              <w:rPr>
                <w:sz w:val="20"/>
                <w:szCs w:val="20"/>
                <w:color w:val="auto"/>
              </w:rPr>
            </w:pPr>
            <w:r>
              <w:rPr>
                <w:rFonts w:ascii="Arial" w:cs="Arial" w:eastAsia="Arial" w:hAnsi="Arial"/>
                <w:sz w:val="20"/>
                <w:szCs w:val="20"/>
                <w:color w:val="auto"/>
              </w:rPr>
              <w:t>5,613</w:t>
            </w:r>
          </w:p>
        </w:tc>
        <w:tc>
          <w:tcPr>
            <w:tcW w:w="1260" w:type="dxa"/>
            <w:vAlign w:val="bottom"/>
          </w:tcPr>
          <w:p>
            <w:pPr>
              <w:jc w:val="right"/>
              <w:ind w:right="187"/>
              <w:spacing w:after="0"/>
              <w:rPr>
                <w:sz w:val="20"/>
                <w:szCs w:val="20"/>
                <w:color w:val="auto"/>
              </w:rPr>
            </w:pPr>
            <w:r>
              <w:rPr>
                <w:rFonts w:ascii="Arial" w:cs="Arial" w:eastAsia="Arial" w:hAnsi="Arial"/>
                <w:sz w:val="20"/>
                <w:szCs w:val="20"/>
                <w:color w:val="auto"/>
              </w:rPr>
              <w:t>$117.48</w:t>
            </w:r>
          </w:p>
        </w:tc>
        <w:tc>
          <w:tcPr>
            <w:tcW w:w="1220" w:type="dxa"/>
            <w:vAlign w:val="bottom"/>
          </w:tcPr>
          <w:p>
            <w:pPr>
              <w:jc w:val="center"/>
              <w:spacing w:after="0"/>
              <w:rPr>
                <w:sz w:val="20"/>
                <w:szCs w:val="20"/>
                <w:color w:val="auto"/>
              </w:rPr>
            </w:pPr>
            <w:r>
              <w:rPr>
                <w:rFonts w:ascii="Arial" w:cs="Arial" w:eastAsia="Arial" w:hAnsi="Arial"/>
                <w:sz w:val="20"/>
                <w:szCs w:val="20"/>
                <w:color w:val="auto"/>
                <w:w w:val="93"/>
              </w:rPr>
              <w:t>5.6</w:t>
            </w:r>
          </w:p>
        </w:tc>
        <w:tc>
          <w:tcPr>
            <w:tcW w:w="920" w:type="dxa"/>
            <w:vAlign w:val="bottom"/>
          </w:tcPr>
          <w:p>
            <w:pPr>
              <w:jc w:val="center"/>
              <w:ind w:left="30"/>
              <w:spacing w:after="0"/>
              <w:rPr>
                <w:sz w:val="20"/>
                <w:szCs w:val="20"/>
                <w:color w:val="auto"/>
              </w:rPr>
            </w:pPr>
            <w:r>
              <w:rPr>
                <w:rFonts w:ascii="Arial" w:cs="Arial" w:eastAsia="Arial" w:hAnsi="Arial"/>
                <w:sz w:val="20"/>
                <w:szCs w:val="20"/>
                <w:color w:val="auto"/>
                <w:w w:val="98"/>
              </w:rPr>
              <w:t>$338</w:t>
            </w:r>
          </w:p>
        </w:tc>
      </w:tr>
      <w:tr>
        <w:trPr>
          <w:trHeight w:val="279"/>
        </w:trPr>
        <w:tc>
          <w:tcPr>
            <w:tcW w:w="4740" w:type="dxa"/>
            <w:vAlign w:val="bottom"/>
          </w:tcPr>
          <w:p>
            <w:pPr>
              <w:spacing w:after="0"/>
              <w:rPr>
                <w:sz w:val="20"/>
                <w:szCs w:val="20"/>
                <w:color w:val="auto"/>
              </w:rPr>
            </w:pPr>
            <w:r>
              <w:rPr>
                <w:rFonts w:ascii="Arial" w:cs="Arial" w:eastAsia="Arial" w:hAnsi="Arial"/>
                <w:sz w:val="20"/>
                <w:szCs w:val="20"/>
                <w:color w:val="auto"/>
              </w:rPr>
              <w:t>Granted</w:t>
            </w:r>
          </w:p>
        </w:tc>
        <w:tc>
          <w:tcPr>
            <w:tcW w:w="960" w:type="dxa"/>
            <w:vAlign w:val="bottom"/>
          </w:tcPr>
          <w:p>
            <w:pPr>
              <w:jc w:val="right"/>
              <w:ind w:right="63"/>
              <w:spacing w:after="0"/>
              <w:rPr>
                <w:sz w:val="20"/>
                <w:szCs w:val="20"/>
                <w:color w:val="auto"/>
              </w:rPr>
            </w:pPr>
            <w:r>
              <w:rPr>
                <w:rFonts w:ascii="Arial" w:cs="Arial" w:eastAsia="Arial" w:hAnsi="Arial"/>
                <w:sz w:val="20"/>
                <w:szCs w:val="20"/>
                <w:color w:val="auto"/>
              </w:rPr>
              <w:t>561</w:t>
            </w:r>
          </w:p>
        </w:tc>
        <w:tc>
          <w:tcPr>
            <w:tcW w:w="1260" w:type="dxa"/>
            <w:vAlign w:val="bottom"/>
          </w:tcPr>
          <w:p>
            <w:pPr>
              <w:jc w:val="right"/>
              <w:ind w:right="187"/>
              <w:spacing w:after="0"/>
              <w:rPr>
                <w:sz w:val="20"/>
                <w:szCs w:val="20"/>
                <w:color w:val="auto"/>
              </w:rPr>
            </w:pPr>
            <w:r>
              <w:rPr>
                <w:rFonts w:ascii="Arial" w:cs="Arial" w:eastAsia="Arial" w:hAnsi="Arial"/>
                <w:sz w:val="20"/>
                <w:szCs w:val="20"/>
                <w:color w:val="auto"/>
              </w:rPr>
              <w:t>192.86</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9"/>
        </w:trPr>
        <w:tc>
          <w:tcPr>
            <w:tcW w:w="4740" w:type="dxa"/>
            <w:vAlign w:val="bottom"/>
          </w:tcPr>
          <w:p>
            <w:pPr>
              <w:spacing w:after="0"/>
              <w:rPr>
                <w:sz w:val="20"/>
                <w:szCs w:val="20"/>
                <w:color w:val="auto"/>
              </w:rPr>
            </w:pPr>
            <w:r>
              <w:rPr>
                <w:rFonts w:ascii="Arial" w:cs="Arial" w:eastAsia="Arial" w:hAnsi="Arial"/>
                <w:sz w:val="20"/>
                <w:szCs w:val="20"/>
                <w:color w:val="auto"/>
              </w:rPr>
              <w:t>Exercised</w:t>
            </w:r>
          </w:p>
        </w:tc>
        <w:tc>
          <w:tcPr>
            <w:tcW w:w="960" w:type="dxa"/>
            <w:vAlign w:val="bottom"/>
          </w:tcPr>
          <w:p>
            <w:pPr>
              <w:jc w:val="right"/>
              <w:ind w:right="3"/>
              <w:spacing w:after="0"/>
              <w:rPr>
                <w:sz w:val="20"/>
                <w:szCs w:val="20"/>
                <w:color w:val="auto"/>
              </w:rPr>
            </w:pPr>
            <w:r>
              <w:rPr>
                <w:rFonts w:ascii="Arial" w:cs="Arial" w:eastAsia="Arial" w:hAnsi="Arial"/>
                <w:sz w:val="20"/>
                <w:szCs w:val="20"/>
                <w:color w:val="auto"/>
              </w:rPr>
              <w:t>(1,684)</w:t>
            </w:r>
          </w:p>
        </w:tc>
        <w:tc>
          <w:tcPr>
            <w:tcW w:w="1260" w:type="dxa"/>
            <w:vAlign w:val="bottom"/>
          </w:tcPr>
          <w:p>
            <w:pPr>
              <w:jc w:val="right"/>
              <w:ind w:right="187"/>
              <w:spacing w:after="0"/>
              <w:rPr>
                <w:sz w:val="20"/>
                <w:szCs w:val="20"/>
                <w:color w:val="auto"/>
              </w:rPr>
            </w:pPr>
            <w:r>
              <w:rPr>
                <w:rFonts w:ascii="Arial" w:cs="Arial" w:eastAsia="Arial" w:hAnsi="Arial"/>
                <w:sz w:val="20"/>
                <w:szCs w:val="20"/>
                <w:color w:val="auto"/>
              </w:rPr>
              <w:t>102.87</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2"/>
        </w:trPr>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Lapsed and forfeited</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(119)</w:t>
            </w:r>
          </w:p>
        </w:tc>
        <w:tc>
          <w:tcPr>
            <w:tcW w:w="1260" w:type="dxa"/>
            <w:vAlign w:val="bottom"/>
            <w:tcBorders>
              <w:bottom w:val="single" w:sz="8" w:color="auto"/>
            </w:tcBorders>
          </w:tcPr>
          <w:p>
            <w:pPr>
              <w:jc w:val="right"/>
              <w:ind w:right="187"/>
              <w:spacing w:after="0"/>
              <w:rPr>
                <w:sz w:val="20"/>
                <w:szCs w:val="20"/>
                <w:color w:val="auto"/>
              </w:rPr>
            </w:pPr>
            <w:r>
              <w:rPr>
                <w:rFonts w:ascii="Arial" w:cs="Arial" w:eastAsia="Arial" w:hAnsi="Arial"/>
                <w:sz w:val="20"/>
                <w:szCs w:val="20"/>
                <w:color w:val="auto"/>
              </w:rPr>
              <w:t>128.13</w:t>
            </w:r>
          </w:p>
        </w:tc>
        <w:tc>
          <w:tcPr>
            <w:tcW w:w="1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9"/>
        </w:trPr>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Outstanding at December 31, 2025</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20"/>
                <w:szCs w:val="20"/>
                <w:color w:val="auto"/>
              </w:rPr>
              <w:t>4,371</w:t>
            </w:r>
          </w:p>
        </w:tc>
        <w:tc>
          <w:tcPr>
            <w:tcW w:w="1260" w:type="dxa"/>
            <w:vAlign w:val="bottom"/>
            <w:tcBorders>
              <w:bottom w:val="single" w:sz="8" w:color="auto"/>
            </w:tcBorders>
          </w:tcPr>
          <w:p>
            <w:pPr>
              <w:jc w:val="right"/>
              <w:ind w:right="187"/>
              <w:spacing w:after="0"/>
              <w:rPr>
                <w:sz w:val="20"/>
                <w:szCs w:val="20"/>
                <w:color w:val="auto"/>
              </w:rPr>
            </w:pPr>
            <w:r>
              <w:rPr>
                <w:rFonts w:ascii="Arial" w:cs="Arial" w:eastAsia="Arial" w:hAnsi="Arial"/>
                <w:sz w:val="20"/>
                <w:szCs w:val="20"/>
                <w:color w:val="auto"/>
              </w:rPr>
              <w:t>$132.49</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5.9</w:t>
            </w:r>
          </w:p>
        </w:tc>
        <w:tc>
          <w:tcPr>
            <w:tcW w:w="920" w:type="dxa"/>
            <w:vAlign w:val="bottom"/>
            <w:tcBorders>
              <w:bottom w:val="single" w:sz="8" w:color="auto"/>
            </w:tcBorders>
          </w:tcPr>
          <w:p>
            <w:pPr>
              <w:jc w:val="center"/>
              <w:ind w:left="30"/>
              <w:spacing w:after="0"/>
              <w:rPr>
                <w:sz w:val="20"/>
                <w:szCs w:val="20"/>
                <w:color w:val="auto"/>
              </w:rPr>
            </w:pPr>
            <w:r>
              <w:rPr>
                <w:rFonts w:ascii="Arial" w:cs="Arial" w:eastAsia="Arial" w:hAnsi="Arial"/>
                <w:sz w:val="20"/>
                <w:szCs w:val="20"/>
                <w:color w:val="auto"/>
                <w:w w:val="98"/>
              </w:rPr>
              <w:t>$420</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9"/>
        </w:trPr>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Exercisable at December 31, 2025</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20"/>
                <w:szCs w:val="20"/>
                <w:color w:val="auto"/>
              </w:rPr>
              <w:t>3,175</w:t>
            </w:r>
          </w:p>
        </w:tc>
        <w:tc>
          <w:tcPr>
            <w:tcW w:w="1260" w:type="dxa"/>
            <w:vAlign w:val="bottom"/>
            <w:tcBorders>
              <w:bottom w:val="single" w:sz="8" w:color="auto"/>
            </w:tcBorders>
          </w:tcPr>
          <w:p>
            <w:pPr>
              <w:jc w:val="right"/>
              <w:ind w:right="187"/>
              <w:spacing w:after="0"/>
              <w:rPr>
                <w:sz w:val="20"/>
                <w:szCs w:val="20"/>
                <w:color w:val="auto"/>
              </w:rPr>
            </w:pPr>
            <w:r>
              <w:rPr>
                <w:rFonts w:ascii="Arial" w:cs="Arial" w:eastAsia="Arial" w:hAnsi="Arial"/>
                <w:sz w:val="20"/>
                <w:szCs w:val="20"/>
                <w:color w:val="auto"/>
              </w:rPr>
              <w:t>$114.97</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4.9</w:t>
            </w:r>
          </w:p>
        </w:tc>
        <w:tc>
          <w:tcPr>
            <w:tcW w:w="920" w:type="dxa"/>
            <w:vAlign w:val="bottom"/>
            <w:tcBorders>
              <w:bottom w:val="single" w:sz="8" w:color="auto"/>
            </w:tcBorders>
          </w:tcPr>
          <w:p>
            <w:pPr>
              <w:jc w:val="center"/>
              <w:ind w:left="30"/>
              <w:spacing w:after="0"/>
              <w:rPr>
                <w:sz w:val="20"/>
                <w:szCs w:val="20"/>
                <w:color w:val="auto"/>
              </w:rPr>
            </w:pPr>
            <w:r>
              <w:rPr>
                <w:rFonts w:ascii="Arial" w:cs="Arial" w:eastAsia="Arial" w:hAnsi="Arial"/>
                <w:sz w:val="20"/>
                <w:szCs w:val="20"/>
                <w:color w:val="auto"/>
                <w:w w:val="98"/>
              </w:rPr>
              <w:t>$360</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20" w:firstLine="359"/>
        <w:spacing w:after="0" w:line="269" w:lineRule="auto"/>
        <w:rPr>
          <w:sz w:val="20"/>
          <w:szCs w:val="20"/>
          <w:color w:val="auto"/>
        </w:rPr>
      </w:pPr>
      <w:r>
        <w:rPr>
          <w:rFonts w:ascii="Arial" w:cs="Arial" w:eastAsia="Arial" w:hAnsi="Arial"/>
          <w:sz w:val="20"/>
          <w:szCs w:val="20"/>
          <w:color w:val="auto"/>
        </w:rPr>
        <w:t>The total intrinsic value of options exercised was $177 million in 2025, $202 million in 2024 and $189 million in 2023. The total fair value of options vested during 2025 was $19 million. As of</w:t>
      </w:r>
    </w:p>
    <w:p>
      <w:pPr>
        <w:sectPr>
          <w:pgSz w:w="11880" w:h="15480" w:orient="portrait"/>
          <w:cols w:equalWidth="0" w:num="1">
            <w:col w:w="9160"/>
          </w:cols>
          <w:pgMar w:left="1400" w:top="1030" w:right="1320" w:bottom="75"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94  </w:t>
      </w:r>
      <w:r>
        <w:rPr>
          <w:sz w:val="1"/>
          <w:szCs w:val="1"/>
          <w:color w:val="auto"/>
        </w:rPr>
        <w:drawing>
          <wp:inline distT="0" distB="0" distL="0" distR="0">
            <wp:extent cx="615950" cy="12827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60"/>
          </w:cols>
          <w:pgMar w:left="1400" w:top="1030" w:right="1320" w:bottom="75" w:gutter="0" w:footer="0" w:header="0"/>
          <w:type w:val="continuous"/>
        </w:sectPr>
      </w:pPr>
    </w:p>
    <w:bookmarkStart w:id="100" w:name="page101"/>
    <w:bookmarkEnd w:id="100"/>
    <w:p>
      <w:pPr>
        <w:jc w:val="both"/>
        <w:ind w:right="20"/>
        <w:spacing w:after="0" w:line="258" w:lineRule="auto"/>
        <w:rPr>
          <w:sz w:val="20"/>
          <w:szCs w:val="20"/>
          <w:color w:val="auto"/>
        </w:rPr>
      </w:pPr>
      <w:r>
        <w:rPr>
          <w:rFonts w:ascii="Arial" w:cs="Arial" w:eastAsia="Arial" w:hAnsi="Arial"/>
          <w:sz w:val="20"/>
          <w:szCs w:val="20"/>
          <w:color w:val="auto"/>
        </w:rPr>
        <w:t>December 31, 2025, $7 million of unrecognized compensation cost related to stock options is expected to be recognized as expense over approximately the next two years.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RSUs and Performance Shares</w:t>
      </w:r>
    </w:p>
    <w:p>
      <w:pPr>
        <w:spacing w:after="0" w:line="131" w:lineRule="exact"/>
        <w:rPr>
          <w:sz w:val="20"/>
          <w:szCs w:val="20"/>
          <w:color w:val="auto"/>
        </w:rPr>
      </w:pPr>
    </w:p>
    <w:p>
      <w:pPr>
        <w:jc w:val="both"/>
        <w:ind w:firstLine="359"/>
        <w:spacing w:after="0" w:line="249" w:lineRule="auto"/>
        <w:rPr>
          <w:sz w:val="20"/>
          <w:szCs w:val="20"/>
          <w:color w:val="auto"/>
        </w:rPr>
      </w:pPr>
      <w:r>
        <w:rPr>
          <w:rFonts w:ascii="Arial" w:cs="Arial" w:eastAsia="Arial" w:hAnsi="Arial"/>
          <w:sz w:val="20"/>
          <w:szCs w:val="20"/>
          <w:color w:val="auto"/>
        </w:rPr>
        <w:t>RSUs awarded to employees other than senior executives and other key employees generally vest in ratable increments over a three-year period. Recipients of these RSUs are entitled to receive dividend equivalents as dividends are declared and paid during the RSU vesting period.</w:t>
      </w:r>
    </w:p>
    <w:p>
      <w:pPr>
        <w:spacing w:after="0" w:line="91" w:lineRule="exact"/>
        <w:rPr>
          <w:sz w:val="20"/>
          <w:szCs w:val="20"/>
          <w:color w:val="auto"/>
        </w:rPr>
      </w:pPr>
    </w:p>
    <w:p>
      <w:pPr>
        <w:ind w:firstLine="359"/>
        <w:spacing w:after="0" w:line="241" w:lineRule="auto"/>
        <w:rPr>
          <w:sz w:val="20"/>
          <w:szCs w:val="20"/>
          <w:color w:val="auto"/>
        </w:rPr>
      </w:pPr>
      <w:r>
        <w:rPr>
          <w:rFonts w:ascii="Arial" w:cs="Arial" w:eastAsia="Arial" w:hAnsi="Arial"/>
          <w:sz w:val="20"/>
          <w:szCs w:val="20"/>
          <w:color w:val="auto"/>
        </w:rPr>
        <w:t>The majority of the equity awards AbbVie grants to its senior executives and other key employees are performance-based. Equity awards granted to senior executives and other key employees consist of a combination of performance-vested RSUs and performance shares as well as non-qualified stock options described above. The performance-vested RSUs have the potential to vest in one-third increments during a three-year performance period and may be earned based on AbbVie’s return on invested capital (ROIC) performance relative to a defined peer group of pharmaceutical, biotech and life science companies. The recipient may receive one share of AbbVie common stock for each vested award. The performance shares have the potential to vest over a three-year performance period and may be earned based on AbbVie’s EPS achievement and AbbVie’s total stockholder return (TSR) (a market condition) relative to a defined peer group of pharmaceutical, biotech and life sciences companies. Dividend equivalents on performance-vested RSUs and performance shares accrue during the performance period and are payable at vesting only to the extent that shares are earned.</w:t>
      </w:r>
    </w:p>
    <w:p>
      <w:pPr>
        <w:spacing w:after="0" w:line="101" w:lineRule="exact"/>
        <w:rPr>
          <w:sz w:val="20"/>
          <w:szCs w:val="20"/>
          <w:color w:val="auto"/>
        </w:rPr>
      </w:pPr>
    </w:p>
    <w:p>
      <w:pPr>
        <w:ind w:right="160" w:firstLine="359"/>
        <w:spacing w:after="0" w:line="245" w:lineRule="auto"/>
        <w:rPr>
          <w:sz w:val="20"/>
          <w:szCs w:val="20"/>
          <w:color w:val="auto"/>
        </w:rPr>
      </w:pPr>
      <w:r>
        <w:rPr>
          <w:rFonts w:ascii="Arial" w:cs="Arial" w:eastAsia="Arial" w:hAnsi="Arial"/>
          <w:sz w:val="20"/>
          <w:szCs w:val="20"/>
          <w:color w:val="auto"/>
        </w:rPr>
        <w:t>The weighted-average grant-date fair value of RSUs and performance shares generally is determined based on the number of shares/units granted and the quoted price of AbbVie’s common stock on the date of grant. The weighted-average grant-date fair values of performance shares with a TSR market condition are determined using the Monte Carlo simulation model.</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AbbVie RSU and performance share activity for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Weighted-average</w:t>
            </w:r>
          </w:p>
        </w:tc>
      </w:tr>
      <w:tr>
        <w:trPr>
          <w:trHeight w:val="197"/>
        </w:trPr>
        <w:tc>
          <w:tcPr>
            <w:tcW w:w="4780" w:type="dxa"/>
            <w:vAlign w:val="bottom"/>
          </w:tcPr>
          <w:p>
            <w:pPr>
              <w:spacing w:after="0"/>
              <w:rPr>
                <w:sz w:val="20"/>
                <w:szCs w:val="20"/>
                <w:color w:val="auto"/>
              </w:rPr>
            </w:pPr>
            <w:r>
              <w:rPr>
                <w:rFonts w:ascii="Arial" w:cs="Arial" w:eastAsia="Arial" w:hAnsi="Arial"/>
                <w:sz w:val="16"/>
                <w:szCs w:val="16"/>
                <w:b w:val="1"/>
                <w:bCs w:val="1"/>
                <w:color w:val="auto"/>
              </w:rPr>
              <w:t>(share units in thousands)</w:t>
            </w:r>
          </w:p>
        </w:tc>
        <w:tc>
          <w:tcPr>
            <w:tcW w:w="2680" w:type="dxa"/>
            <w:vAlign w:val="bottom"/>
          </w:tcPr>
          <w:p>
            <w:pPr>
              <w:jc w:val="right"/>
              <w:ind w:right="24"/>
              <w:spacing w:after="0"/>
              <w:rPr>
                <w:sz w:val="20"/>
                <w:szCs w:val="20"/>
                <w:color w:val="auto"/>
              </w:rPr>
            </w:pPr>
            <w:r>
              <w:rPr>
                <w:rFonts w:ascii="Arial" w:cs="Arial" w:eastAsia="Arial" w:hAnsi="Arial"/>
                <w:sz w:val="16"/>
                <w:szCs w:val="16"/>
                <w:b w:val="1"/>
                <w:bCs w:val="1"/>
                <w:color w:val="auto"/>
              </w:rPr>
              <w:t>Share units</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grant date fair value</w:t>
            </w:r>
          </w:p>
        </w:tc>
      </w:tr>
      <w:tr>
        <w:trPr>
          <w:trHeight w:val="22"/>
        </w:trPr>
        <w:tc>
          <w:tcPr>
            <w:tcW w:w="47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64"/>
        </w:trPr>
        <w:tc>
          <w:tcPr>
            <w:tcW w:w="4780" w:type="dxa"/>
            <w:vAlign w:val="bottom"/>
          </w:tcPr>
          <w:p>
            <w:pPr>
              <w:spacing w:after="0"/>
              <w:rPr>
                <w:sz w:val="20"/>
                <w:szCs w:val="20"/>
                <w:color w:val="auto"/>
              </w:rPr>
            </w:pPr>
            <w:r>
              <w:rPr>
                <w:rFonts w:ascii="Arial" w:cs="Arial" w:eastAsia="Arial" w:hAnsi="Arial"/>
                <w:sz w:val="20"/>
                <w:szCs w:val="20"/>
                <w:color w:val="auto"/>
              </w:rPr>
              <w:t>Outstanding at December 31, 2024</w:t>
            </w:r>
          </w:p>
        </w:tc>
        <w:tc>
          <w:tcPr>
            <w:tcW w:w="2680" w:type="dxa"/>
            <w:vAlign w:val="bottom"/>
          </w:tcPr>
          <w:p>
            <w:pPr>
              <w:jc w:val="right"/>
              <w:ind w:right="164"/>
              <w:spacing w:after="0"/>
              <w:rPr>
                <w:sz w:val="20"/>
                <w:szCs w:val="20"/>
                <w:color w:val="auto"/>
              </w:rPr>
            </w:pPr>
            <w:r>
              <w:rPr>
                <w:rFonts w:ascii="Arial" w:cs="Arial" w:eastAsia="Arial" w:hAnsi="Arial"/>
                <w:sz w:val="20"/>
                <w:szCs w:val="20"/>
                <w:color w:val="auto"/>
              </w:rPr>
              <w:t>10,387</w:t>
            </w:r>
          </w:p>
        </w:tc>
        <w:tc>
          <w:tcPr>
            <w:tcW w:w="1640" w:type="dxa"/>
            <w:vAlign w:val="bottom"/>
          </w:tcPr>
          <w:p>
            <w:pPr>
              <w:jc w:val="right"/>
              <w:ind w:right="306"/>
              <w:spacing w:after="0"/>
              <w:rPr>
                <w:sz w:val="20"/>
                <w:szCs w:val="20"/>
                <w:color w:val="auto"/>
              </w:rPr>
            </w:pPr>
            <w:r>
              <w:rPr>
                <w:rFonts w:ascii="Arial" w:cs="Arial" w:eastAsia="Arial" w:hAnsi="Arial"/>
                <w:sz w:val="20"/>
                <w:szCs w:val="20"/>
                <w:color w:val="auto"/>
              </w:rPr>
              <w:t>$159.52</w:t>
            </w:r>
          </w:p>
        </w:tc>
      </w:tr>
      <w:tr>
        <w:trPr>
          <w:trHeight w:val="279"/>
        </w:trPr>
        <w:tc>
          <w:tcPr>
            <w:tcW w:w="4780" w:type="dxa"/>
            <w:vAlign w:val="bottom"/>
          </w:tcPr>
          <w:p>
            <w:pPr>
              <w:spacing w:after="0"/>
              <w:rPr>
                <w:sz w:val="20"/>
                <w:szCs w:val="20"/>
                <w:color w:val="auto"/>
              </w:rPr>
            </w:pPr>
            <w:r>
              <w:rPr>
                <w:rFonts w:ascii="Arial" w:cs="Arial" w:eastAsia="Arial" w:hAnsi="Arial"/>
                <w:sz w:val="20"/>
                <w:szCs w:val="20"/>
                <w:color w:val="auto"/>
              </w:rPr>
              <w:t>Granted</w:t>
            </w:r>
          </w:p>
        </w:tc>
        <w:tc>
          <w:tcPr>
            <w:tcW w:w="2680" w:type="dxa"/>
            <w:vAlign w:val="bottom"/>
          </w:tcPr>
          <w:p>
            <w:pPr>
              <w:jc w:val="right"/>
              <w:ind w:right="164"/>
              <w:spacing w:after="0"/>
              <w:rPr>
                <w:sz w:val="20"/>
                <w:szCs w:val="20"/>
                <w:color w:val="auto"/>
              </w:rPr>
            </w:pPr>
            <w:r>
              <w:rPr>
                <w:rFonts w:ascii="Arial" w:cs="Arial" w:eastAsia="Arial" w:hAnsi="Arial"/>
                <w:sz w:val="20"/>
                <w:szCs w:val="20"/>
                <w:color w:val="auto"/>
              </w:rPr>
              <w:t>4,885</w:t>
            </w:r>
          </w:p>
        </w:tc>
        <w:tc>
          <w:tcPr>
            <w:tcW w:w="1640" w:type="dxa"/>
            <w:vAlign w:val="bottom"/>
          </w:tcPr>
          <w:p>
            <w:pPr>
              <w:jc w:val="right"/>
              <w:ind w:right="306"/>
              <w:spacing w:after="0"/>
              <w:rPr>
                <w:sz w:val="20"/>
                <w:szCs w:val="20"/>
                <w:color w:val="auto"/>
              </w:rPr>
            </w:pPr>
            <w:r>
              <w:rPr>
                <w:rFonts w:ascii="Arial" w:cs="Arial" w:eastAsia="Arial" w:hAnsi="Arial"/>
                <w:sz w:val="20"/>
                <w:szCs w:val="20"/>
                <w:color w:val="auto"/>
              </w:rPr>
              <w:t>191.21</w:t>
            </w:r>
          </w:p>
        </w:tc>
      </w:tr>
      <w:tr>
        <w:trPr>
          <w:trHeight w:val="279"/>
        </w:trPr>
        <w:tc>
          <w:tcPr>
            <w:tcW w:w="4780" w:type="dxa"/>
            <w:vAlign w:val="bottom"/>
          </w:tcPr>
          <w:p>
            <w:pPr>
              <w:spacing w:after="0"/>
              <w:rPr>
                <w:sz w:val="20"/>
                <w:szCs w:val="20"/>
                <w:color w:val="auto"/>
              </w:rPr>
            </w:pPr>
            <w:r>
              <w:rPr>
                <w:rFonts w:ascii="Arial" w:cs="Arial" w:eastAsia="Arial" w:hAnsi="Arial"/>
                <w:sz w:val="20"/>
                <w:szCs w:val="20"/>
                <w:color w:val="auto"/>
              </w:rPr>
              <w:t>Vested</w:t>
            </w:r>
          </w:p>
        </w:tc>
        <w:tc>
          <w:tcPr>
            <w:tcW w:w="2680" w:type="dxa"/>
            <w:vAlign w:val="bottom"/>
          </w:tcPr>
          <w:p>
            <w:pPr>
              <w:jc w:val="right"/>
              <w:ind w:right="84"/>
              <w:spacing w:after="0"/>
              <w:rPr>
                <w:sz w:val="20"/>
                <w:szCs w:val="20"/>
                <w:color w:val="auto"/>
              </w:rPr>
            </w:pPr>
            <w:r>
              <w:rPr>
                <w:rFonts w:ascii="Arial" w:cs="Arial" w:eastAsia="Arial" w:hAnsi="Arial"/>
                <w:sz w:val="20"/>
                <w:szCs w:val="20"/>
                <w:color w:val="auto"/>
              </w:rPr>
              <w:t>(5,244)</w:t>
            </w:r>
          </w:p>
        </w:tc>
        <w:tc>
          <w:tcPr>
            <w:tcW w:w="1640" w:type="dxa"/>
            <w:vAlign w:val="bottom"/>
          </w:tcPr>
          <w:p>
            <w:pPr>
              <w:jc w:val="right"/>
              <w:ind w:right="306"/>
              <w:spacing w:after="0"/>
              <w:rPr>
                <w:sz w:val="20"/>
                <w:szCs w:val="20"/>
                <w:color w:val="auto"/>
              </w:rPr>
            </w:pPr>
            <w:r>
              <w:rPr>
                <w:rFonts w:ascii="Arial" w:cs="Arial" w:eastAsia="Arial" w:hAnsi="Arial"/>
                <w:sz w:val="20"/>
                <w:szCs w:val="20"/>
                <w:color w:val="auto"/>
              </w:rPr>
              <w:t>154.24</w:t>
            </w:r>
          </w:p>
        </w:tc>
      </w:tr>
      <w:tr>
        <w:trPr>
          <w:trHeight w:val="282"/>
        </w:trPr>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Forfeited</w:t>
            </w:r>
          </w:p>
        </w:tc>
        <w:tc>
          <w:tcPr>
            <w:tcW w:w="2680" w:type="dxa"/>
            <w:vAlign w:val="bottom"/>
            <w:tcBorders>
              <w:bottom w:val="single" w:sz="8" w:color="auto"/>
            </w:tcBorders>
          </w:tcPr>
          <w:p>
            <w:pPr>
              <w:jc w:val="right"/>
              <w:ind w:right="84"/>
              <w:spacing w:after="0"/>
              <w:rPr>
                <w:sz w:val="20"/>
                <w:szCs w:val="20"/>
                <w:color w:val="auto"/>
              </w:rPr>
            </w:pPr>
            <w:r>
              <w:rPr>
                <w:rFonts w:ascii="Arial" w:cs="Arial" w:eastAsia="Arial" w:hAnsi="Arial"/>
                <w:sz w:val="20"/>
                <w:szCs w:val="20"/>
                <w:color w:val="auto"/>
              </w:rPr>
              <w:t>(460)</w:t>
            </w:r>
          </w:p>
        </w:tc>
        <w:tc>
          <w:tcPr>
            <w:tcW w:w="1640" w:type="dxa"/>
            <w:vAlign w:val="bottom"/>
            <w:tcBorders>
              <w:bottom w:val="single" w:sz="8" w:color="auto"/>
            </w:tcBorders>
          </w:tcPr>
          <w:p>
            <w:pPr>
              <w:jc w:val="right"/>
              <w:ind w:right="306"/>
              <w:spacing w:after="0"/>
              <w:rPr>
                <w:sz w:val="20"/>
                <w:szCs w:val="20"/>
                <w:color w:val="auto"/>
              </w:rPr>
            </w:pPr>
            <w:r>
              <w:rPr>
                <w:rFonts w:ascii="Arial" w:cs="Arial" w:eastAsia="Arial" w:hAnsi="Arial"/>
                <w:sz w:val="20"/>
                <w:szCs w:val="20"/>
                <w:color w:val="auto"/>
              </w:rPr>
              <w:t>176.81</w:t>
            </w:r>
          </w:p>
        </w:tc>
      </w:tr>
      <w:tr>
        <w:trPr>
          <w:trHeight w:val="269"/>
        </w:trPr>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Outstanding at December 31, 2025</w:t>
            </w:r>
          </w:p>
        </w:tc>
        <w:tc>
          <w:tcPr>
            <w:tcW w:w="2680" w:type="dxa"/>
            <w:vAlign w:val="bottom"/>
            <w:tcBorders>
              <w:bottom w:val="single" w:sz="8" w:color="auto"/>
            </w:tcBorders>
          </w:tcPr>
          <w:p>
            <w:pPr>
              <w:jc w:val="right"/>
              <w:ind w:right="164"/>
              <w:spacing w:after="0"/>
              <w:rPr>
                <w:sz w:val="20"/>
                <w:szCs w:val="20"/>
                <w:color w:val="auto"/>
              </w:rPr>
            </w:pPr>
            <w:r>
              <w:rPr>
                <w:rFonts w:ascii="Arial" w:cs="Arial" w:eastAsia="Arial" w:hAnsi="Arial"/>
                <w:sz w:val="20"/>
                <w:szCs w:val="20"/>
                <w:color w:val="auto"/>
              </w:rPr>
              <w:t>9,568</w:t>
            </w:r>
          </w:p>
        </w:tc>
        <w:tc>
          <w:tcPr>
            <w:tcW w:w="1640" w:type="dxa"/>
            <w:vAlign w:val="bottom"/>
            <w:tcBorders>
              <w:bottom w:val="single" w:sz="8" w:color="auto"/>
            </w:tcBorders>
          </w:tcPr>
          <w:p>
            <w:pPr>
              <w:jc w:val="right"/>
              <w:ind w:right="306"/>
              <w:spacing w:after="0"/>
              <w:rPr>
                <w:sz w:val="20"/>
                <w:szCs w:val="20"/>
                <w:color w:val="auto"/>
              </w:rPr>
            </w:pPr>
            <w:r>
              <w:rPr>
                <w:rFonts w:ascii="Arial" w:cs="Arial" w:eastAsia="Arial" w:hAnsi="Arial"/>
                <w:sz w:val="20"/>
                <w:szCs w:val="20"/>
                <w:color w:val="auto"/>
              </w:rPr>
              <w:t>$177.76</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220" w:firstLine="359"/>
        <w:spacing w:after="0" w:line="258" w:lineRule="auto"/>
        <w:rPr>
          <w:sz w:val="20"/>
          <w:szCs w:val="20"/>
          <w:color w:val="auto"/>
        </w:rPr>
      </w:pPr>
      <w:r>
        <w:rPr>
          <w:rFonts w:ascii="Arial" w:cs="Arial" w:eastAsia="Arial" w:hAnsi="Arial"/>
          <w:sz w:val="20"/>
          <w:szCs w:val="20"/>
          <w:color w:val="auto"/>
        </w:rPr>
        <w:t>The fair market value of RSUs and performance shares (as applicable) vested was $1.0 billion in 2025, $1.1 billion in 2024 and $1.0 billion in 2023.</w:t>
      </w:r>
    </w:p>
    <w:p>
      <w:pPr>
        <w:spacing w:after="0" w:line="80" w:lineRule="exact"/>
        <w:rPr>
          <w:sz w:val="20"/>
          <w:szCs w:val="20"/>
          <w:color w:val="auto"/>
        </w:rPr>
      </w:pPr>
    </w:p>
    <w:p>
      <w:pPr>
        <w:ind w:firstLine="359"/>
        <w:spacing w:after="0" w:line="245" w:lineRule="auto"/>
        <w:rPr>
          <w:sz w:val="20"/>
          <w:szCs w:val="20"/>
          <w:color w:val="auto"/>
        </w:rPr>
      </w:pPr>
      <w:r>
        <w:rPr>
          <w:rFonts w:ascii="Arial" w:cs="Arial" w:eastAsia="Arial" w:hAnsi="Arial"/>
          <w:sz w:val="20"/>
          <w:szCs w:val="20"/>
          <w:color w:val="auto"/>
        </w:rPr>
        <w:t>In connection with the ImmunoGen and Cerevel Therapeutics acquisitions, AbbVie issued 0.6 million RSUs to holders of ImmunoGen and Cerevel Therapeutics equity awards based on a conversion factor described in each of the transaction agreements. See Note 5 for additional information regarding the ImmunoGen and Cerevel Therapeutics acquisitions.</w:t>
      </w:r>
    </w:p>
    <w:p>
      <w:pPr>
        <w:spacing w:after="0" w:line="95" w:lineRule="exact"/>
        <w:rPr>
          <w:sz w:val="20"/>
          <w:szCs w:val="20"/>
          <w:color w:val="auto"/>
        </w:rPr>
      </w:pPr>
    </w:p>
    <w:p>
      <w:pPr>
        <w:jc w:val="both"/>
        <w:ind w:right="220" w:firstLine="359"/>
        <w:spacing w:after="0" w:line="284" w:lineRule="auto"/>
        <w:rPr>
          <w:sz w:val="20"/>
          <w:szCs w:val="20"/>
          <w:color w:val="auto"/>
        </w:rPr>
      </w:pPr>
      <w:r>
        <w:rPr>
          <w:rFonts w:ascii="Arial" w:cs="Arial" w:eastAsia="Arial" w:hAnsi="Arial"/>
          <w:sz w:val="19"/>
          <w:szCs w:val="19"/>
          <w:color w:val="auto"/>
        </w:rPr>
        <w:t>As of December 31, 2025, $615 million of unrecognized compensation cost related to RSUs and performance shares is expected to be recognized as expense over approximately the next two years.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Cash Dividends</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Cash dividends declared per common share totaled $6.65 in 2025, $6.29 in 2024 and $5.99 in</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2023. The following table summarizes quarterly cash dividends declared during 2025,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0" w:type="dxa"/>
            <w:vAlign w:val="bottom"/>
          </w:tcPr>
          <w:p>
            <w:pPr>
              <w:spacing w:after="0"/>
              <w:rPr>
                <w:sz w:val="17"/>
                <w:szCs w:val="17"/>
                <w:color w:val="auto"/>
              </w:rPr>
            </w:pPr>
          </w:p>
        </w:tc>
        <w:tc>
          <w:tcPr>
            <w:tcW w:w="980" w:type="dxa"/>
            <w:vAlign w:val="bottom"/>
          </w:tcPr>
          <w:p>
            <w:pPr>
              <w:jc w:val="right"/>
              <w:ind w:right="149"/>
              <w:spacing w:after="0"/>
              <w:rPr>
                <w:sz w:val="20"/>
                <w:szCs w:val="20"/>
                <w:color w:val="auto"/>
              </w:rPr>
            </w:pPr>
            <w:r>
              <w:rPr>
                <w:rFonts w:ascii="Arial" w:cs="Arial" w:eastAsia="Arial" w:hAnsi="Arial"/>
                <w:sz w:val="16"/>
                <w:szCs w:val="16"/>
                <w:b w:val="1"/>
                <w:bCs w:val="1"/>
                <w:color w:val="auto"/>
              </w:rPr>
              <w:t>2025</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jc w:val="right"/>
              <w:ind w:right="109"/>
              <w:spacing w:after="0"/>
              <w:rPr>
                <w:sz w:val="20"/>
                <w:szCs w:val="20"/>
                <w:color w:val="auto"/>
              </w:rPr>
            </w:pPr>
            <w:r>
              <w:rPr>
                <w:rFonts w:ascii="Arial" w:cs="Arial" w:eastAsia="Arial" w:hAnsi="Arial"/>
                <w:sz w:val="16"/>
                <w:szCs w:val="16"/>
                <w:b w:val="1"/>
                <w:bCs w:val="1"/>
                <w:color w:val="auto"/>
              </w:rPr>
              <w:t>2024</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jc w:val="right"/>
              <w:ind w:right="109"/>
              <w:spacing w:after="0"/>
              <w:rPr>
                <w:sz w:val="20"/>
                <w:szCs w:val="20"/>
                <w:color w:val="auto"/>
              </w:rPr>
            </w:pPr>
            <w:r>
              <w:rPr>
                <w:rFonts w:ascii="Arial" w:cs="Arial" w:eastAsia="Arial" w:hAnsi="Arial"/>
                <w:sz w:val="16"/>
                <w:szCs w:val="16"/>
                <w:b w:val="1"/>
                <w:bCs w:val="1"/>
                <w:color w:val="auto"/>
              </w:rPr>
              <w:t>2023</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8"/>
              </w:rPr>
              <w:t>Payment</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Dividend Per</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8"/>
              </w:rPr>
              <w:t>Payment</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Dividend Per</w:t>
            </w:r>
          </w:p>
        </w:tc>
        <w:tc>
          <w:tcPr>
            <w:tcW w:w="880" w:type="dxa"/>
            <w:vAlign w:val="bottom"/>
          </w:tcPr>
          <w:p>
            <w:pPr>
              <w:jc w:val="center"/>
              <w:ind w:right="7"/>
              <w:spacing w:after="0"/>
              <w:rPr>
                <w:sz w:val="20"/>
                <w:szCs w:val="20"/>
                <w:color w:val="auto"/>
              </w:rPr>
            </w:pPr>
            <w:r>
              <w:rPr>
                <w:rFonts w:ascii="Arial" w:cs="Arial" w:eastAsia="Arial" w:hAnsi="Arial"/>
                <w:sz w:val="16"/>
                <w:szCs w:val="16"/>
                <w:b w:val="1"/>
                <w:bCs w:val="1"/>
                <w:color w:val="auto"/>
                <w:w w:val="97"/>
              </w:rPr>
              <w:t>Date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8"/>
              </w:rPr>
              <w:t>Payment</w:t>
            </w:r>
          </w:p>
        </w:tc>
        <w:tc>
          <w:tcPr>
            <w:tcW w:w="1080" w:type="dxa"/>
            <w:vAlign w:val="bottom"/>
            <w:gridSpan w:val="2"/>
          </w:tcPr>
          <w:p>
            <w:pPr>
              <w:jc w:val="center"/>
              <w:ind w:left="7"/>
              <w:spacing w:after="0"/>
              <w:rPr>
                <w:sz w:val="20"/>
                <w:szCs w:val="20"/>
                <w:color w:val="auto"/>
              </w:rPr>
            </w:pPr>
            <w:r>
              <w:rPr>
                <w:rFonts w:ascii="Arial" w:cs="Arial" w:eastAsia="Arial" w:hAnsi="Arial"/>
                <w:sz w:val="16"/>
                <w:szCs w:val="16"/>
                <w:b w:val="1"/>
                <w:bCs w:val="1"/>
                <w:color w:val="auto"/>
              </w:rPr>
              <w:t>Dividend Per</w:t>
            </w:r>
          </w:p>
        </w:tc>
      </w:tr>
      <w:tr>
        <w:trPr>
          <w:trHeight w:val="197"/>
        </w:trPr>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Declared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Share</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7"/>
              </w:rPr>
              <w:t>Declared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Share</w:t>
            </w:r>
          </w:p>
        </w:tc>
        <w:tc>
          <w:tcPr>
            <w:tcW w:w="880" w:type="dxa"/>
            <w:vAlign w:val="bottom"/>
          </w:tcPr>
          <w:p>
            <w:pPr>
              <w:jc w:val="center"/>
              <w:ind w:right="7"/>
              <w:spacing w:after="0"/>
              <w:rPr>
                <w:sz w:val="20"/>
                <w:szCs w:val="20"/>
                <w:color w:val="auto"/>
              </w:rPr>
            </w:pPr>
            <w:r>
              <w:rPr>
                <w:rFonts w:ascii="Arial" w:cs="Arial" w:eastAsia="Arial" w:hAnsi="Arial"/>
                <w:sz w:val="16"/>
                <w:szCs w:val="16"/>
                <w:b w:val="1"/>
                <w:bCs w:val="1"/>
                <w:color w:val="auto"/>
                <w:w w:val="97"/>
              </w:rPr>
              <w:t>Declared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Share</w:t>
            </w: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20" w:type="dxa"/>
            <w:vAlign w:val="bottom"/>
          </w:tcPr>
          <w:p>
            <w:pPr>
              <w:jc w:val="center"/>
              <w:spacing w:after="0"/>
              <w:rPr>
                <w:sz w:val="20"/>
                <w:szCs w:val="20"/>
                <w:color w:val="auto"/>
              </w:rPr>
            </w:pPr>
            <w:r>
              <w:rPr>
                <w:rFonts w:ascii="Arial" w:cs="Arial" w:eastAsia="Arial" w:hAnsi="Arial"/>
                <w:sz w:val="20"/>
                <w:szCs w:val="20"/>
                <w:color w:val="auto"/>
                <w:w w:val="97"/>
              </w:rPr>
              <w:t>10/31/25</w:t>
            </w:r>
          </w:p>
        </w:tc>
        <w:tc>
          <w:tcPr>
            <w:tcW w:w="980" w:type="dxa"/>
            <w:vAlign w:val="bottom"/>
          </w:tcPr>
          <w:p>
            <w:pPr>
              <w:jc w:val="center"/>
              <w:spacing w:after="0"/>
              <w:rPr>
                <w:sz w:val="20"/>
                <w:szCs w:val="20"/>
                <w:color w:val="auto"/>
              </w:rPr>
            </w:pPr>
            <w:r>
              <w:rPr>
                <w:rFonts w:ascii="Arial" w:cs="Arial" w:eastAsia="Arial" w:hAnsi="Arial"/>
                <w:sz w:val="20"/>
                <w:szCs w:val="20"/>
                <w:color w:val="auto"/>
              </w:rPr>
              <w:t>02/17/26</w:t>
            </w: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$1.73</w:t>
            </w:r>
          </w:p>
        </w:tc>
        <w:tc>
          <w:tcPr>
            <w:tcW w:w="80" w:type="dxa"/>
            <w:vAlign w:val="bottom"/>
          </w:tcPr>
          <w:p>
            <w:pPr>
              <w:spacing w:after="0"/>
              <w:rPr>
                <w:sz w:val="22"/>
                <w:szCs w:val="22"/>
                <w:color w:val="auto"/>
              </w:rPr>
            </w:pPr>
          </w:p>
        </w:tc>
        <w:tc>
          <w:tcPr>
            <w:tcW w:w="960" w:type="dxa"/>
            <w:vAlign w:val="bottom"/>
            <w:gridSpan w:val="2"/>
          </w:tcPr>
          <w:p>
            <w:pPr>
              <w:jc w:val="center"/>
              <w:spacing w:after="0"/>
              <w:rPr>
                <w:sz w:val="20"/>
                <w:szCs w:val="20"/>
                <w:color w:val="auto"/>
              </w:rPr>
            </w:pPr>
            <w:r>
              <w:rPr>
                <w:rFonts w:ascii="Arial" w:cs="Arial" w:eastAsia="Arial" w:hAnsi="Arial"/>
                <w:sz w:val="20"/>
                <w:szCs w:val="20"/>
                <w:color w:val="auto"/>
              </w:rPr>
              <w:t>10/30/24</w:t>
            </w:r>
          </w:p>
        </w:tc>
        <w:tc>
          <w:tcPr>
            <w:tcW w:w="960" w:type="dxa"/>
            <w:vAlign w:val="bottom"/>
          </w:tcPr>
          <w:p>
            <w:pPr>
              <w:jc w:val="center"/>
              <w:spacing w:after="0"/>
              <w:rPr>
                <w:sz w:val="20"/>
                <w:szCs w:val="20"/>
                <w:color w:val="auto"/>
              </w:rPr>
            </w:pPr>
            <w:r>
              <w:rPr>
                <w:rFonts w:ascii="Arial" w:cs="Arial" w:eastAsia="Arial" w:hAnsi="Arial"/>
                <w:sz w:val="20"/>
                <w:szCs w:val="20"/>
                <w:color w:val="auto"/>
              </w:rPr>
              <w:t>02/14/25</w:t>
            </w: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$1.64</w:t>
            </w:r>
          </w:p>
        </w:tc>
        <w:tc>
          <w:tcPr>
            <w:tcW w:w="180" w:type="dxa"/>
            <w:vAlign w:val="bottom"/>
          </w:tcPr>
          <w:p>
            <w:pPr>
              <w:spacing w:after="0"/>
              <w:rPr>
                <w:sz w:val="22"/>
                <w:szCs w:val="22"/>
                <w:color w:val="auto"/>
              </w:rPr>
            </w:pPr>
          </w:p>
        </w:tc>
        <w:tc>
          <w:tcPr>
            <w:tcW w:w="880" w:type="dxa"/>
            <w:vAlign w:val="bottom"/>
          </w:tcPr>
          <w:p>
            <w:pPr>
              <w:jc w:val="center"/>
              <w:ind w:right="7"/>
              <w:spacing w:after="0"/>
              <w:rPr>
                <w:sz w:val="20"/>
                <w:szCs w:val="20"/>
                <w:color w:val="auto"/>
              </w:rPr>
            </w:pPr>
            <w:r>
              <w:rPr>
                <w:rFonts w:ascii="Arial" w:cs="Arial" w:eastAsia="Arial" w:hAnsi="Arial"/>
                <w:sz w:val="20"/>
                <w:szCs w:val="20"/>
                <w:color w:val="auto"/>
              </w:rPr>
              <w:t>10/26/23</w:t>
            </w:r>
          </w:p>
        </w:tc>
        <w:tc>
          <w:tcPr>
            <w:tcW w:w="940" w:type="dxa"/>
            <w:vAlign w:val="bottom"/>
          </w:tcPr>
          <w:p>
            <w:pPr>
              <w:jc w:val="center"/>
              <w:spacing w:after="0"/>
              <w:rPr>
                <w:sz w:val="20"/>
                <w:szCs w:val="20"/>
                <w:color w:val="auto"/>
              </w:rPr>
            </w:pPr>
            <w:r>
              <w:rPr>
                <w:rFonts w:ascii="Arial" w:cs="Arial" w:eastAsia="Arial" w:hAnsi="Arial"/>
                <w:sz w:val="20"/>
                <w:szCs w:val="20"/>
                <w:color w:val="auto"/>
              </w:rPr>
              <w:t>02/15/24</w:t>
            </w:r>
          </w:p>
        </w:tc>
        <w:tc>
          <w:tcPr>
            <w:tcW w:w="1060" w:type="dxa"/>
            <w:vAlign w:val="bottom"/>
          </w:tcPr>
          <w:p>
            <w:pPr>
              <w:jc w:val="center"/>
              <w:ind w:left="27"/>
              <w:spacing w:after="0"/>
              <w:rPr>
                <w:sz w:val="20"/>
                <w:szCs w:val="20"/>
                <w:color w:val="auto"/>
              </w:rPr>
            </w:pPr>
            <w:r>
              <w:rPr>
                <w:rFonts w:ascii="Arial" w:cs="Arial" w:eastAsia="Arial" w:hAnsi="Arial"/>
                <w:sz w:val="20"/>
                <w:szCs w:val="20"/>
                <w:color w:val="auto"/>
                <w:w w:val="99"/>
              </w:rPr>
              <w:t>$1.55</w:t>
            </w:r>
          </w:p>
        </w:tc>
        <w:tc>
          <w:tcPr>
            <w:tcW w:w="20" w:type="dxa"/>
            <w:vAlign w:val="bottom"/>
          </w:tcPr>
          <w:p>
            <w:pPr>
              <w:spacing w:after="0"/>
              <w:rPr>
                <w:sz w:val="22"/>
                <w:szCs w:val="22"/>
                <w:color w:val="auto"/>
              </w:rPr>
            </w:pPr>
          </w:p>
        </w:tc>
      </w:tr>
      <w:tr>
        <w:trPr>
          <w:trHeight w:val="279"/>
        </w:trPr>
        <w:tc>
          <w:tcPr>
            <w:tcW w:w="920" w:type="dxa"/>
            <w:vAlign w:val="bottom"/>
          </w:tcPr>
          <w:p>
            <w:pPr>
              <w:jc w:val="center"/>
              <w:spacing w:after="0"/>
              <w:rPr>
                <w:sz w:val="20"/>
                <w:szCs w:val="20"/>
                <w:color w:val="auto"/>
              </w:rPr>
            </w:pPr>
            <w:r>
              <w:rPr>
                <w:rFonts w:ascii="Arial" w:cs="Arial" w:eastAsia="Arial" w:hAnsi="Arial"/>
                <w:sz w:val="20"/>
                <w:szCs w:val="20"/>
                <w:color w:val="auto"/>
                <w:w w:val="97"/>
              </w:rPr>
              <w:t>09/05/25</w:t>
            </w:r>
          </w:p>
        </w:tc>
        <w:tc>
          <w:tcPr>
            <w:tcW w:w="980" w:type="dxa"/>
            <w:vAlign w:val="bottom"/>
          </w:tcPr>
          <w:p>
            <w:pPr>
              <w:jc w:val="center"/>
              <w:spacing w:after="0"/>
              <w:rPr>
                <w:sz w:val="20"/>
                <w:szCs w:val="20"/>
                <w:color w:val="auto"/>
              </w:rPr>
            </w:pPr>
            <w:r>
              <w:rPr>
                <w:rFonts w:ascii="Arial" w:cs="Arial" w:eastAsia="Arial" w:hAnsi="Arial"/>
                <w:sz w:val="20"/>
                <w:szCs w:val="20"/>
                <w:color w:val="auto"/>
              </w:rPr>
              <w:t>11/14/25</w:t>
            </w: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$1.64</w:t>
            </w:r>
          </w:p>
        </w:tc>
        <w:tc>
          <w:tcPr>
            <w:tcW w:w="8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20"/>
                <w:szCs w:val="20"/>
                <w:color w:val="auto"/>
              </w:rPr>
              <w:t>09/06/24</w:t>
            </w:r>
          </w:p>
        </w:tc>
        <w:tc>
          <w:tcPr>
            <w:tcW w:w="960" w:type="dxa"/>
            <w:vAlign w:val="bottom"/>
          </w:tcPr>
          <w:p>
            <w:pPr>
              <w:jc w:val="center"/>
              <w:spacing w:after="0"/>
              <w:rPr>
                <w:sz w:val="20"/>
                <w:szCs w:val="20"/>
                <w:color w:val="auto"/>
              </w:rPr>
            </w:pPr>
            <w:r>
              <w:rPr>
                <w:rFonts w:ascii="Arial" w:cs="Arial" w:eastAsia="Arial" w:hAnsi="Arial"/>
                <w:sz w:val="20"/>
                <w:szCs w:val="20"/>
                <w:color w:val="auto"/>
              </w:rPr>
              <w:t>11/15/24</w:t>
            </w: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$1.55</w:t>
            </w:r>
          </w:p>
        </w:tc>
        <w:tc>
          <w:tcPr>
            <w:tcW w:w="180" w:type="dxa"/>
            <w:vAlign w:val="bottom"/>
          </w:tcPr>
          <w:p>
            <w:pPr>
              <w:spacing w:after="0"/>
              <w:rPr>
                <w:sz w:val="24"/>
                <w:szCs w:val="24"/>
                <w:color w:val="auto"/>
              </w:rPr>
            </w:pPr>
          </w:p>
        </w:tc>
        <w:tc>
          <w:tcPr>
            <w:tcW w:w="880" w:type="dxa"/>
            <w:vAlign w:val="bottom"/>
          </w:tcPr>
          <w:p>
            <w:pPr>
              <w:jc w:val="center"/>
              <w:ind w:right="7"/>
              <w:spacing w:after="0"/>
              <w:rPr>
                <w:sz w:val="20"/>
                <w:szCs w:val="20"/>
                <w:color w:val="auto"/>
              </w:rPr>
            </w:pPr>
            <w:r>
              <w:rPr>
                <w:rFonts w:ascii="Arial" w:cs="Arial" w:eastAsia="Arial" w:hAnsi="Arial"/>
                <w:sz w:val="20"/>
                <w:szCs w:val="20"/>
                <w:color w:val="auto"/>
              </w:rPr>
              <w:t>09/08/23</w:t>
            </w:r>
          </w:p>
        </w:tc>
        <w:tc>
          <w:tcPr>
            <w:tcW w:w="940" w:type="dxa"/>
            <w:vAlign w:val="bottom"/>
          </w:tcPr>
          <w:p>
            <w:pPr>
              <w:jc w:val="center"/>
              <w:spacing w:after="0"/>
              <w:rPr>
                <w:sz w:val="20"/>
                <w:szCs w:val="20"/>
                <w:color w:val="auto"/>
              </w:rPr>
            </w:pPr>
            <w:r>
              <w:rPr>
                <w:rFonts w:ascii="Arial" w:cs="Arial" w:eastAsia="Arial" w:hAnsi="Arial"/>
                <w:sz w:val="20"/>
                <w:szCs w:val="20"/>
                <w:color w:val="auto"/>
              </w:rPr>
              <w:t>11/15/23</w:t>
            </w:r>
          </w:p>
        </w:tc>
        <w:tc>
          <w:tcPr>
            <w:tcW w:w="1060" w:type="dxa"/>
            <w:vAlign w:val="bottom"/>
          </w:tcPr>
          <w:p>
            <w:pPr>
              <w:jc w:val="center"/>
              <w:ind w:left="27"/>
              <w:spacing w:after="0"/>
              <w:rPr>
                <w:sz w:val="20"/>
                <w:szCs w:val="20"/>
                <w:color w:val="auto"/>
              </w:rPr>
            </w:pPr>
            <w:r>
              <w:rPr>
                <w:rFonts w:ascii="Arial" w:cs="Arial" w:eastAsia="Arial" w:hAnsi="Arial"/>
                <w:sz w:val="20"/>
                <w:szCs w:val="20"/>
                <w:color w:val="auto"/>
                <w:w w:val="99"/>
              </w:rPr>
              <w:t>$1.48</w:t>
            </w:r>
          </w:p>
        </w:tc>
        <w:tc>
          <w:tcPr>
            <w:tcW w:w="20" w:type="dxa"/>
            <w:vAlign w:val="bottom"/>
          </w:tcPr>
          <w:p>
            <w:pPr>
              <w:spacing w:after="0"/>
              <w:rPr>
                <w:sz w:val="24"/>
                <w:szCs w:val="24"/>
                <w:color w:val="auto"/>
              </w:rPr>
            </w:pPr>
          </w:p>
        </w:tc>
      </w:tr>
      <w:tr>
        <w:trPr>
          <w:trHeight w:val="279"/>
        </w:trPr>
        <w:tc>
          <w:tcPr>
            <w:tcW w:w="920" w:type="dxa"/>
            <w:vAlign w:val="bottom"/>
          </w:tcPr>
          <w:p>
            <w:pPr>
              <w:jc w:val="center"/>
              <w:spacing w:after="0"/>
              <w:rPr>
                <w:sz w:val="20"/>
                <w:szCs w:val="20"/>
                <w:color w:val="auto"/>
              </w:rPr>
            </w:pPr>
            <w:r>
              <w:rPr>
                <w:rFonts w:ascii="Arial" w:cs="Arial" w:eastAsia="Arial" w:hAnsi="Arial"/>
                <w:sz w:val="20"/>
                <w:szCs w:val="20"/>
                <w:color w:val="auto"/>
                <w:w w:val="97"/>
              </w:rPr>
              <w:t>06/20/25</w:t>
            </w:r>
          </w:p>
        </w:tc>
        <w:tc>
          <w:tcPr>
            <w:tcW w:w="980" w:type="dxa"/>
            <w:vAlign w:val="bottom"/>
          </w:tcPr>
          <w:p>
            <w:pPr>
              <w:jc w:val="center"/>
              <w:spacing w:after="0"/>
              <w:rPr>
                <w:sz w:val="20"/>
                <w:szCs w:val="20"/>
                <w:color w:val="auto"/>
              </w:rPr>
            </w:pPr>
            <w:r>
              <w:rPr>
                <w:rFonts w:ascii="Arial" w:cs="Arial" w:eastAsia="Arial" w:hAnsi="Arial"/>
                <w:sz w:val="20"/>
                <w:szCs w:val="20"/>
                <w:color w:val="auto"/>
              </w:rPr>
              <w:t>08/15/25</w:t>
            </w: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$1.64</w:t>
            </w:r>
          </w:p>
        </w:tc>
        <w:tc>
          <w:tcPr>
            <w:tcW w:w="8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20"/>
                <w:szCs w:val="20"/>
                <w:color w:val="auto"/>
              </w:rPr>
              <w:t>06/21/24</w:t>
            </w:r>
          </w:p>
        </w:tc>
        <w:tc>
          <w:tcPr>
            <w:tcW w:w="960" w:type="dxa"/>
            <w:vAlign w:val="bottom"/>
          </w:tcPr>
          <w:p>
            <w:pPr>
              <w:jc w:val="center"/>
              <w:spacing w:after="0"/>
              <w:rPr>
                <w:sz w:val="20"/>
                <w:szCs w:val="20"/>
                <w:color w:val="auto"/>
              </w:rPr>
            </w:pPr>
            <w:r>
              <w:rPr>
                <w:rFonts w:ascii="Arial" w:cs="Arial" w:eastAsia="Arial" w:hAnsi="Arial"/>
                <w:sz w:val="20"/>
                <w:szCs w:val="20"/>
                <w:color w:val="auto"/>
              </w:rPr>
              <w:t>08/15/24</w:t>
            </w: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$1.55</w:t>
            </w:r>
          </w:p>
        </w:tc>
        <w:tc>
          <w:tcPr>
            <w:tcW w:w="180" w:type="dxa"/>
            <w:vAlign w:val="bottom"/>
          </w:tcPr>
          <w:p>
            <w:pPr>
              <w:spacing w:after="0"/>
              <w:rPr>
                <w:sz w:val="24"/>
                <w:szCs w:val="24"/>
                <w:color w:val="auto"/>
              </w:rPr>
            </w:pPr>
          </w:p>
        </w:tc>
        <w:tc>
          <w:tcPr>
            <w:tcW w:w="880" w:type="dxa"/>
            <w:vAlign w:val="bottom"/>
          </w:tcPr>
          <w:p>
            <w:pPr>
              <w:jc w:val="center"/>
              <w:ind w:right="7"/>
              <w:spacing w:after="0"/>
              <w:rPr>
                <w:sz w:val="20"/>
                <w:szCs w:val="20"/>
                <w:color w:val="auto"/>
              </w:rPr>
            </w:pPr>
            <w:r>
              <w:rPr>
                <w:rFonts w:ascii="Arial" w:cs="Arial" w:eastAsia="Arial" w:hAnsi="Arial"/>
                <w:sz w:val="20"/>
                <w:szCs w:val="20"/>
                <w:color w:val="auto"/>
              </w:rPr>
              <w:t>06/22/23</w:t>
            </w:r>
          </w:p>
        </w:tc>
        <w:tc>
          <w:tcPr>
            <w:tcW w:w="940" w:type="dxa"/>
            <w:vAlign w:val="bottom"/>
          </w:tcPr>
          <w:p>
            <w:pPr>
              <w:jc w:val="center"/>
              <w:spacing w:after="0"/>
              <w:rPr>
                <w:sz w:val="20"/>
                <w:szCs w:val="20"/>
                <w:color w:val="auto"/>
              </w:rPr>
            </w:pPr>
            <w:r>
              <w:rPr>
                <w:rFonts w:ascii="Arial" w:cs="Arial" w:eastAsia="Arial" w:hAnsi="Arial"/>
                <w:sz w:val="20"/>
                <w:szCs w:val="20"/>
                <w:color w:val="auto"/>
              </w:rPr>
              <w:t>08/15/23</w:t>
            </w:r>
          </w:p>
        </w:tc>
        <w:tc>
          <w:tcPr>
            <w:tcW w:w="1060" w:type="dxa"/>
            <w:vAlign w:val="bottom"/>
          </w:tcPr>
          <w:p>
            <w:pPr>
              <w:jc w:val="center"/>
              <w:ind w:left="27"/>
              <w:spacing w:after="0"/>
              <w:rPr>
                <w:sz w:val="20"/>
                <w:szCs w:val="20"/>
                <w:color w:val="auto"/>
              </w:rPr>
            </w:pPr>
            <w:r>
              <w:rPr>
                <w:rFonts w:ascii="Arial" w:cs="Arial" w:eastAsia="Arial" w:hAnsi="Arial"/>
                <w:sz w:val="20"/>
                <w:szCs w:val="20"/>
                <w:color w:val="auto"/>
                <w:w w:val="99"/>
              </w:rPr>
              <w:t>$1.48</w:t>
            </w:r>
          </w:p>
        </w:tc>
        <w:tc>
          <w:tcPr>
            <w:tcW w:w="20" w:type="dxa"/>
            <w:vAlign w:val="bottom"/>
          </w:tcPr>
          <w:p>
            <w:pPr>
              <w:spacing w:after="0"/>
              <w:rPr>
                <w:sz w:val="24"/>
                <w:szCs w:val="24"/>
                <w:color w:val="auto"/>
              </w:rPr>
            </w:pPr>
          </w:p>
        </w:tc>
      </w:tr>
      <w:tr>
        <w:trPr>
          <w:trHeight w:val="28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02/13/25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05/15/25</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$1.64</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rPr>
              <w:t>02/15/24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05/15/24</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$1.55</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7"/>
              <w:spacing w:after="0"/>
              <w:rPr>
                <w:sz w:val="20"/>
                <w:szCs w:val="20"/>
                <w:color w:val="auto"/>
              </w:rPr>
            </w:pPr>
            <w:r>
              <w:rPr>
                <w:rFonts w:ascii="Arial" w:cs="Arial" w:eastAsia="Arial" w:hAnsi="Arial"/>
                <w:sz w:val="20"/>
                <w:szCs w:val="20"/>
                <w:color w:val="auto"/>
              </w:rPr>
              <w:t>02/16/23</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05/15/23</w:t>
            </w:r>
          </w:p>
        </w:tc>
        <w:tc>
          <w:tcPr>
            <w:tcW w:w="1060" w:type="dxa"/>
            <w:vAlign w:val="bottom"/>
            <w:tcBorders>
              <w:bottom w:val="single" w:sz="8" w:color="auto"/>
            </w:tcBorders>
          </w:tcPr>
          <w:p>
            <w:pPr>
              <w:jc w:val="center"/>
              <w:ind w:left="27"/>
              <w:spacing w:after="0"/>
              <w:rPr>
                <w:sz w:val="20"/>
                <w:szCs w:val="20"/>
                <w:color w:val="auto"/>
              </w:rPr>
            </w:pPr>
            <w:r>
              <w:rPr>
                <w:rFonts w:ascii="Arial" w:cs="Arial" w:eastAsia="Arial" w:hAnsi="Arial"/>
                <w:sz w:val="20"/>
                <w:szCs w:val="20"/>
                <w:color w:val="auto"/>
                <w:w w:val="99"/>
              </w:rPr>
              <w:t>$1.48</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9100"/>
          </w:cols>
          <w:pgMar w:left="1400" w:top="1030" w:right="1380" w:bottom="87" w:gutter="0" w:footer="0" w:header="0"/>
        </w:sectPr>
      </w:pPr>
    </w:p>
    <w:p>
      <w:pPr>
        <w:spacing w:after="0" w:line="208"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95</w:t>
      </w:r>
    </w:p>
    <w:p>
      <w:pPr>
        <w:sectPr>
          <w:pgSz w:w="11880" w:h="15480" w:orient="portrait"/>
          <w:cols w:equalWidth="0" w:num="1">
            <w:col w:w="9100"/>
          </w:cols>
          <w:pgMar w:left="1400" w:top="1030" w:right="1380" w:bottom="87"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b w:val="1"/>
          <w:bCs w:val="1"/>
          <w:color w:val="000039"/>
        </w:rPr>
        <w:t>Stock Repurchase Program</w:t>
      </w:r>
    </w:p>
    <w:p>
      <w:pPr>
        <w:spacing w:after="0" w:line="131" w:lineRule="exact"/>
        <w:rPr>
          <w:sz w:val="20"/>
          <w:szCs w:val="20"/>
          <w:color w:val="auto"/>
        </w:rPr>
      </w:pPr>
    </w:p>
    <w:p>
      <w:pPr>
        <w:ind w:right="140" w:firstLine="359"/>
        <w:spacing w:after="0" w:line="266" w:lineRule="auto"/>
        <w:rPr>
          <w:sz w:val="20"/>
          <w:szCs w:val="20"/>
          <w:color w:val="auto"/>
        </w:rPr>
      </w:pPr>
      <w:r>
        <w:rPr>
          <w:rFonts w:ascii="Arial" w:cs="Arial" w:eastAsia="Arial" w:hAnsi="Arial"/>
          <w:sz w:val="20"/>
          <w:szCs w:val="20"/>
          <w:color w:val="auto"/>
        </w:rPr>
        <w:t>The company’s stock repurchase authorization permits purchases of AbbVie shares from time to time in open-market or private transactions at management’s discretion. The program has no time limit and can be discontinued at any time. Shares repurchased under this program are recorded at acquisition cost, including related expenses and are available for general corporate purposes.</w:t>
      </w:r>
    </w:p>
    <w:p>
      <w:pPr>
        <w:spacing w:after="0" w:line="132" w:lineRule="exact"/>
        <w:rPr>
          <w:sz w:val="20"/>
          <w:szCs w:val="20"/>
          <w:color w:val="auto"/>
        </w:rPr>
      </w:pPr>
    </w:p>
    <w:p>
      <w:pPr>
        <w:ind w:right="60" w:firstLine="359"/>
        <w:spacing w:after="0" w:line="266" w:lineRule="auto"/>
        <w:rPr>
          <w:sz w:val="20"/>
          <w:szCs w:val="20"/>
          <w:color w:val="auto"/>
        </w:rPr>
      </w:pPr>
      <w:r>
        <w:rPr>
          <w:rFonts w:ascii="Arial" w:cs="Arial" w:eastAsia="Arial" w:hAnsi="Arial"/>
          <w:sz w:val="20"/>
          <w:szCs w:val="20"/>
          <w:color w:val="auto"/>
        </w:rPr>
        <w:t>AbbVie repurchased 3 million shares for $606 million in 2025, 7 million shares for $1.3 billion in 2024 and 10 million shares for $1.6 billion in 2023. AbbVie’s remaining stock repurchase authorization was $2.9 billion as of December 31, 2025. On February 16, 2023, AbbVie’s board of directors authorized a $5.0 billion increase to the existing stock repurchase authorization.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Accumulated Other Comprehensive Loss</w:t>
      </w:r>
    </w:p>
    <w:p>
      <w:pPr>
        <w:spacing w:after="0" w:line="131" w:lineRule="exact"/>
        <w:rPr>
          <w:sz w:val="20"/>
          <w:szCs w:val="20"/>
          <w:color w:val="auto"/>
        </w:rPr>
      </w:pPr>
    </w:p>
    <w:p>
      <w:pPr>
        <w:ind w:right="1180" w:firstLine="359"/>
        <w:spacing w:after="0" w:line="279" w:lineRule="auto"/>
        <w:rPr>
          <w:sz w:val="20"/>
          <w:szCs w:val="20"/>
          <w:color w:val="auto"/>
        </w:rPr>
      </w:pPr>
      <w:r>
        <w:rPr>
          <w:rFonts w:ascii="Arial" w:cs="Arial" w:eastAsia="Arial" w:hAnsi="Arial"/>
          <w:sz w:val="20"/>
          <w:szCs w:val="20"/>
          <w:color w:val="auto"/>
        </w:rPr>
        <w:t>The following table summarizes the changes in each component of accumulated other comprehensive loss, net of tax, for 2025, 2024 and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Foreign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Pension</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4300" w:type="dxa"/>
            <w:vAlign w:val="bottom"/>
          </w:tcPr>
          <w:p>
            <w:pPr>
              <w:spacing w:after="0"/>
              <w:rPr>
                <w:sz w:val="15"/>
                <w:szCs w:val="15"/>
                <w:color w:val="auto"/>
              </w:rPr>
            </w:pPr>
          </w:p>
        </w:tc>
        <w:tc>
          <w:tcPr>
            <w:tcW w:w="110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rPr>
              <w:t>currency</w:t>
            </w:r>
          </w:p>
        </w:tc>
        <w:tc>
          <w:tcPr>
            <w:tcW w:w="9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investment</w:t>
            </w:r>
          </w:p>
        </w:tc>
        <w:tc>
          <w:tcPr>
            <w:tcW w:w="10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99"/>
              </w:rPr>
              <w:t>and post-</w:t>
            </w:r>
          </w:p>
        </w:tc>
        <w:tc>
          <w:tcPr>
            <w:tcW w:w="8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Cash flow</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4300" w:type="dxa"/>
            <w:vAlign w:val="bottom"/>
          </w:tcPr>
          <w:p>
            <w:pPr>
              <w:spacing w:after="0"/>
              <w:rPr>
                <w:sz w:val="15"/>
                <w:szCs w:val="15"/>
                <w:color w:val="auto"/>
              </w:rPr>
            </w:pPr>
          </w:p>
        </w:tc>
        <w:tc>
          <w:tcPr>
            <w:tcW w:w="110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rPr>
              <w:t>translation</w:t>
            </w:r>
          </w:p>
        </w:tc>
        <w:tc>
          <w:tcPr>
            <w:tcW w:w="9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hedging</w:t>
            </w:r>
          </w:p>
        </w:tc>
        <w:tc>
          <w:tcPr>
            <w:tcW w:w="10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99"/>
              </w:rPr>
              <w:t>employment</w:t>
            </w:r>
          </w:p>
        </w:tc>
        <w:tc>
          <w:tcPr>
            <w:tcW w:w="8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hedging</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0"/>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millions) (brackets denote losses)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adjustments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activities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activities</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7"/>
                <w:szCs w:val="17"/>
                <w:color w:val="auto"/>
              </w:rPr>
            </w:pPr>
          </w:p>
        </w:tc>
      </w:tr>
      <w:tr>
        <w:trPr>
          <w:trHeight w:val="243"/>
        </w:trPr>
        <w:tc>
          <w:tcPr>
            <w:tcW w:w="4300" w:type="dxa"/>
            <w:vAlign w:val="bottom"/>
          </w:tcPr>
          <w:p>
            <w:pPr>
              <w:spacing w:after="0"/>
              <w:rPr>
                <w:sz w:val="20"/>
                <w:szCs w:val="20"/>
                <w:color w:val="auto"/>
              </w:rPr>
            </w:pPr>
            <w:r>
              <w:rPr>
                <w:rFonts w:ascii="Arial" w:cs="Arial" w:eastAsia="Arial" w:hAnsi="Arial"/>
                <w:sz w:val="20"/>
                <w:szCs w:val="20"/>
                <w:color w:val="auto"/>
              </w:rPr>
              <w:t>Balance as of December 31, 2022</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40"/>
              <w:spacing w:after="0"/>
              <w:rPr>
                <w:sz w:val="20"/>
                <w:szCs w:val="20"/>
                <w:color w:val="auto"/>
              </w:rPr>
            </w:pPr>
            <w:r>
              <w:rPr>
                <w:rFonts w:ascii="Arial" w:cs="Arial" w:eastAsia="Arial" w:hAnsi="Arial"/>
                <w:sz w:val="20"/>
                <w:szCs w:val="20"/>
                <w:color w:val="auto"/>
                <w:w w:val="97"/>
              </w:rPr>
              <w:t>(1,513)</w:t>
            </w:r>
          </w:p>
        </w:tc>
        <w:tc>
          <w:tcPr>
            <w:tcW w:w="980" w:type="dxa"/>
            <w:vAlign w:val="bottom"/>
          </w:tcPr>
          <w:p>
            <w:pPr>
              <w:jc w:val="right"/>
              <w:ind w:right="145"/>
              <w:spacing w:after="0"/>
              <w:rPr>
                <w:sz w:val="20"/>
                <w:szCs w:val="20"/>
                <w:color w:val="auto"/>
              </w:rPr>
            </w:pPr>
            <w:r>
              <w:rPr>
                <w:rFonts w:ascii="Arial" w:cs="Arial" w:eastAsia="Arial" w:hAnsi="Arial"/>
                <w:sz w:val="20"/>
                <w:szCs w:val="20"/>
                <w:color w:val="auto"/>
              </w:rPr>
              <w:t>$ 464</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40"/>
              <w:spacing w:after="0"/>
              <w:rPr>
                <w:sz w:val="20"/>
                <w:szCs w:val="20"/>
                <w:color w:val="auto"/>
              </w:rPr>
            </w:pPr>
            <w:r>
              <w:rPr>
                <w:rFonts w:ascii="Arial" w:cs="Arial" w:eastAsia="Arial" w:hAnsi="Arial"/>
                <w:sz w:val="20"/>
                <w:szCs w:val="20"/>
                <w:color w:val="auto"/>
                <w:w w:val="97"/>
              </w:rPr>
              <w:t>(1,458)</w:t>
            </w:r>
          </w:p>
        </w:tc>
        <w:tc>
          <w:tcPr>
            <w:tcW w:w="880" w:type="dxa"/>
            <w:vAlign w:val="bottom"/>
          </w:tcPr>
          <w:p>
            <w:pPr>
              <w:jc w:val="right"/>
              <w:ind w:right="84"/>
              <w:spacing w:after="0"/>
              <w:rPr>
                <w:sz w:val="20"/>
                <w:szCs w:val="20"/>
                <w:color w:val="auto"/>
              </w:rPr>
            </w:pPr>
            <w:r>
              <w:rPr>
                <w:rFonts w:ascii="Arial" w:cs="Arial" w:eastAsia="Arial" w:hAnsi="Arial"/>
                <w:sz w:val="20"/>
                <w:szCs w:val="20"/>
                <w:color w:val="auto"/>
              </w:rPr>
              <w:t>$ 308</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$(2,199)</w:t>
            </w:r>
          </w:p>
        </w:tc>
      </w:tr>
      <w:tr>
        <w:trPr>
          <w:trHeight w:val="240"/>
        </w:trPr>
        <w:tc>
          <w:tcPr>
            <w:tcW w:w="43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Other comprehensive income (loss) before</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300" w:type="dxa"/>
            <w:vAlign w:val="bottom"/>
          </w:tcPr>
          <w:p>
            <w:pPr>
              <w:ind w:left="180"/>
              <w:spacing w:after="0"/>
              <w:rPr>
                <w:sz w:val="20"/>
                <w:szCs w:val="20"/>
                <w:color w:val="auto"/>
              </w:rPr>
            </w:pPr>
            <w:r>
              <w:rPr>
                <w:rFonts w:ascii="Arial" w:cs="Arial" w:eastAsia="Arial" w:hAnsi="Arial"/>
                <w:sz w:val="20"/>
                <w:szCs w:val="20"/>
                <w:color w:val="auto"/>
              </w:rPr>
              <w:t>reclassifications</w:t>
            </w:r>
          </w:p>
        </w:tc>
        <w:tc>
          <w:tcPr>
            <w:tcW w:w="32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Arial" w:cs="Arial" w:eastAsia="Arial" w:hAnsi="Arial"/>
                <w:sz w:val="20"/>
                <w:szCs w:val="20"/>
                <w:color w:val="auto"/>
              </w:rPr>
              <w:t>407</w:t>
            </w:r>
          </w:p>
        </w:tc>
        <w:tc>
          <w:tcPr>
            <w:tcW w:w="980" w:type="dxa"/>
            <w:vAlign w:val="bottom"/>
          </w:tcPr>
          <w:p>
            <w:pPr>
              <w:jc w:val="right"/>
              <w:ind w:right="85"/>
              <w:spacing w:after="0"/>
              <w:rPr>
                <w:sz w:val="20"/>
                <w:szCs w:val="20"/>
                <w:color w:val="auto"/>
              </w:rPr>
            </w:pPr>
            <w:r>
              <w:rPr>
                <w:rFonts w:ascii="Arial" w:cs="Arial" w:eastAsia="Arial" w:hAnsi="Arial"/>
                <w:sz w:val="20"/>
                <w:szCs w:val="20"/>
                <w:color w:val="auto"/>
              </w:rPr>
              <w:t>(311)</w:t>
            </w:r>
          </w:p>
        </w:tc>
        <w:tc>
          <w:tcPr>
            <w:tcW w:w="30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(23)</w:t>
            </w:r>
          </w:p>
        </w:tc>
        <w:tc>
          <w:tcPr>
            <w:tcW w:w="880" w:type="dxa"/>
            <w:vAlign w:val="bottom"/>
          </w:tcPr>
          <w:p>
            <w:pPr>
              <w:jc w:val="right"/>
              <w:ind w:right="24"/>
              <w:spacing w:after="0"/>
              <w:rPr>
                <w:sz w:val="20"/>
                <w:szCs w:val="20"/>
                <w:color w:val="auto"/>
              </w:rPr>
            </w:pPr>
            <w:r>
              <w:rPr>
                <w:rFonts w:ascii="Arial" w:cs="Arial" w:eastAsia="Arial" w:hAnsi="Arial"/>
                <w:sz w:val="20"/>
                <w:szCs w:val="20"/>
                <w:color w:val="auto"/>
              </w:rPr>
              <w:t>(10)</w:t>
            </w:r>
          </w:p>
        </w:tc>
        <w:tc>
          <w:tcPr>
            <w:tcW w:w="760" w:type="dxa"/>
            <w:vAlign w:val="bottom"/>
          </w:tcPr>
          <w:p>
            <w:pPr>
              <w:jc w:val="right"/>
              <w:spacing w:after="0"/>
              <w:rPr>
                <w:sz w:val="20"/>
                <w:szCs w:val="20"/>
                <w:color w:val="auto"/>
              </w:rPr>
            </w:pPr>
            <w:r>
              <w:rPr>
                <w:rFonts w:ascii="Arial" w:cs="Arial" w:eastAsia="Arial" w:hAnsi="Arial"/>
                <w:sz w:val="20"/>
                <w:szCs w:val="20"/>
                <w:color w:val="auto"/>
              </w:rPr>
              <w:t>63</w:t>
            </w:r>
          </w:p>
        </w:tc>
        <w:tc>
          <w:tcPr>
            <w:tcW w:w="60" w:type="dxa"/>
            <w:vAlign w:val="bottom"/>
          </w:tcPr>
          <w:p>
            <w:pPr>
              <w:spacing w:after="0"/>
              <w:rPr>
                <w:sz w:val="21"/>
                <w:szCs w:val="21"/>
                <w:color w:val="auto"/>
              </w:rPr>
            </w:pPr>
          </w:p>
        </w:tc>
      </w:tr>
      <w:tr>
        <w:trPr>
          <w:trHeight w:val="241"/>
        </w:trPr>
        <w:tc>
          <w:tcPr>
            <w:tcW w:w="4300" w:type="dxa"/>
            <w:vAlign w:val="bottom"/>
          </w:tcPr>
          <w:p>
            <w:pPr>
              <w:spacing w:after="0"/>
              <w:rPr>
                <w:sz w:val="20"/>
                <w:szCs w:val="20"/>
                <w:color w:val="auto"/>
              </w:rPr>
            </w:pPr>
            <w:r>
              <w:rPr>
                <w:rFonts w:ascii="Arial" w:cs="Arial" w:eastAsia="Arial" w:hAnsi="Arial"/>
                <w:sz w:val="20"/>
                <w:szCs w:val="20"/>
                <w:color w:val="auto"/>
              </w:rPr>
              <w:t>Net gains reclassified from accumulated other</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00" w:type="dxa"/>
            <w:vAlign w:val="bottom"/>
          </w:tcPr>
          <w:p>
            <w:pPr>
              <w:ind w:left="180"/>
              <w:spacing w:after="0"/>
              <w:rPr>
                <w:sz w:val="20"/>
                <w:szCs w:val="20"/>
                <w:color w:val="auto"/>
              </w:rPr>
            </w:pPr>
            <w:r>
              <w:rPr>
                <w:rFonts w:ascii="Arial" w:cs="Arial" w:eastAsia="Arial" w:hAnsi="Arial"/>
                <w:sz w:val="20"/>
                <w:szCs w:val="20"/>
                <w:color w:val="auto"/>
              </w:rPr>
              <w:t>comprehensive loss</w:t>
            </w:r>
          </w:p>
        </w:tc>
        <w:tc>
          <w:tcPr>
            <w:tcW w:w="320" w:type="dxa"/>
            <w:vAlign w:val="bottom"/>
          </w:tcPr>
          <w:p>
            <w:pPr>
              <w:spacing w:after="0"/>
              <w:rPr>
                <w:sz w:val="20"/>
                <w:szCs w:val="20"/>
                <w:color w:val="auto"/>
              </w:rPr>
            </w:pPr>
          </w:p>
        </w:tc>
        <w:tc>
          <w:tcPr>
            <w:tcW w:w="78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85"/>
              <w:spacing w:after="0"/>
              <w:rPr>
                <w:sz w:val="20"/>
                <w:szCs w:val="20"/>
                <w:color w:val="auto"/>
              </w:rPr>
            </w:pPr>
            <w:r>
              <w:rPr>
                <w:rFonts w:ascii="Arial" w:cs="Arial" w:eastAsia="Arial" w:hAnsi="Arial"/>
                <w:sz w:val="20"/>
                <w:szCs w:val="20"/>
                <w:color w:val="auto"/>
              </w:rPr>
              <w:t>(88)</w:t>
            </w:r>
          </w:p>
        </w:tc>
        <w:tc>
          <w:tcPr>
            <w:tcW w:w="3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(7)</w:t>
            </w:r>
          </w:p>
        </w:tc>
        <w:tc>
          <w:tcPr>
            <w:tcW w:w="880" w:type="dxa"/>
            <w:vAlign w:val="bottom"/>
          </w:tcPr>
          <w:p>
            <w:pPr>
              <w:jc w:val="right"/>
              <w:ind w:right="24"/>
              <w:spacing w:after="0"/>
              <w:rPr>
                <w:sz w:val="20"/>
                <w:szCs w:val="20"/>
                <w:color w:val="auto"/>
              </w:rPr>
            </w:pPr>
            <w:r>
              <w:rPr>
                <w:rFonts w:ascii="Arial" w:cs="Arial" w:eastAsia="Arial" w:hAnsi="Arial"/>
                <w:sz w:val="20"/>
                <w:szCs w:val="20"/>
                <w:color w:val="auto"/>
              </w:rPr>
              <w:t>(74)</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(169)</w:t>
            </w:r>
          </w:p>
        </w:tc>
      </w:tr>
      <w:tr>
        <w:trPr>
          <w:trHeight w:val="240"/>
        </w:trPr>
        <w:tc>
          <w:tcPr>
            <w:tcW w:w="43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Net current-period other comprehensive income</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00" w:type="dxa"/>
            <w:vAlign w:val="bottom"/>
          </w:tcPr>
          <w:p>
            <w:pPr>
              <w:ind w:left="180"/>
              <w:spacing w:after="0"/>
              <w:rPr>
                <w:sz w:val="20"/>
                <w:szCs w:val="20"/>
                <w:color w:val="auto"/>
              </w:rPr>
            </w:pPr>
            <w:r>
              <w:rPr>
                <w:rFonts w:ascii="Arial" w:cs="Arial" w:eastAsia="Arial" w:hAnsi="Arial"/>
                <w:sz w:val="20"/>
                <w:szCs w:val="20"/>
                <w:color w:val="auto"/>
              </w:rPr>
              <w:t>(loss)</w:t>
            </w:r>
          </w:p>
        </w:tc>
        <w:tc>
          <w:tcPr>
            <w:tcW w:w="320" w:type="dxa"/>
            <w:vAlign w:val="bottom"/>
          </w:tcPr>
          <w:p>
            <w:pPr>
              <w:spacing w:after="0"/>
              <w:rPr>
                <w:sz w:val="20"/>
                <w:szCs w:val="20"/>
                <w:color w:val="auto"/>
              </w:rPr>
            </w:pPr>
          </w:p>
        </w:tc>
        <w:tc>
          <w:tcPr>
            <w:tcW w:w="780" w:type="dxa"/>
            <w:vAlign w:val="bottom"/>
          </w:tcPr>
          <w:p>
            <w:pPr>
              <w:jc w:val="right"/>
              <w:ind w:right="100"/>
              <w:spacing w:after="0"/>
              <w:rPr>
                <w:sz w:val="20"/>
                <w:szCs w:val="20"/>
                <w:color w:val="auto"/>
              </w:rPr>
            </w:pPr>
            <w:r>
              <w:rPr>
                <w:rFonts w:ascii="Arial" w:cs="Arial" w:eastAsia="Arial" w:hAnsi="Arial"/>
                <w:sz w:val="20"/>
                <w:szCs w:val="20"/>
                <w:color w:val="auto"/>
              </w:rPr>
              <w:t>407</w:t>
            </w:r>
          </w:p>
        </w:tc>
        <w:tc>
          <w:tcPr>
            <w:tcW w:w="980" w:type="dxa"/>
            <w:vAlign w:val="bottom"/>
          </w:tcPr>
          <w:p>
            <w:pPr>
              <w:jc w:val="right"/>
              <w:ind w:right="85"/>
              <w:spacing w:after="0"/>
              <w:rPr>
                <w:sz w:val="20"/>
                <w:szCs w:val="20"/>
                <w:color w:val="auto"/>
              </w:rPr>
            </w:pPr>
            <w:r>
              <w:rPr>
                <w:rFonts w:ascii="Arial" w:cs="Arial" w:eastAsia="Arial" w:hAnsi="Arial"/>
                <w:sz w:val="20"/>
                <w:szCs w:val="20"/>
                <w:color w:val="auto"/>
              </w:rPr>
              <w:t>(399)</w:t>
            </w:r>
          </w:p>
        </w:tc>
        <w:tc>
          <w:tcPr>
            <w:tcW w:w="3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(30)</w:t>
            </w:r>
          </w:p>
        </w:tc>
        <w:tc>
          <w:tcPr>
            <w:tcW w:w="880" w:type="dxa"/>
            <w:vAlign w:val="bottom"/>
          </w:tcPr>
          <w:p>
            <w:pPr>
              <w:jc w:val="right"/>
              <w:ind w:right="24"/>
              <w:spacing w:after="0"/>
              <w:rPr>
                <w:sz w:val="20"/>
                <w:szCs w:val="20"/>
                <w:color w:val="auto"/>
              </w:rPr>
            </w:pPr>
            <w:r>
              <w:rPr>
                <w:rFonts w:ascii="Arial" w:cs="Arial" w:eastAsia="Arial" w:hAnsi="Arial"/>
                <w:sz w:val="20"/>
                <w:szCs w:val="20"/>
                <w:color w:val="auto"/>
              </w:rPr>
              <w:t>(84)</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(106)</w:t>
            </w:r>
          </w:p>
        </w:tc>
      </w:tr>
      <w:tr>
        <w:trPr>
          <w:trHeight w:val="20"/>
        </w:trPr>
        <w:tc>
          <w:tcPr>
            <w:tcW w:w="4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4300" w:type="dxa"/>
            <w:vAlign w:val="bottom"/>
          </w:tcPr>
          <w:p>
            <w:pPr>
              <w:spacing w:after="0"/>
              <w:rPr>
                <w:sz w:val="20"/>
                <w:szCs w:val="20"/>
                <w:color w:val="auto"/>
              </w:rPr>
            </w:pPr>
            <w:r>
              <w:rPr>
                <w:rFonts w:ascii="Arial" w:cs="Arial" w:eastAsia="Arial" w:hAnsi="Arial"/>
                <w:sz w:val="20"/>
                <w:szCs w:val="20"/>
                <w:color w:val="auto"/>
              </w:rPr>
              <w:t>Balance as of December 31, 2023</w:t>
            </w:r>
          </w:p>
        </w:tc>
        <w:tc>
          <w:tcPr>
            <w:tcW w:w="3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w w:val="97"/>
              </w:rPr>
              <w:t>(1,106)</w:t>
            </w:r>
          </w:p>
        </w:tc>
        <w:tc>
          <w:tcPr>
            <w:tcW w:w="980" w:type="dxa"/>
            <w:vAlign w:val="bottom"/>
          </w:tcPr>
          <w:p>
            <w:pPr>
              <w:jc w:val="right"/>
              <w:ind w:right="145"/>
              <w:spacing w:after="0"/>
              <w:rPr>
                <w:sz w:val="20"/>
                <w:szCs w:val="20"/>
                <w:color w:val="auto"/>
              </w:rPr>
            </w:pPr>
            <w:r>
              <w:rPr>
                <w:rFonts w:ascii="Arial" w:cs="Arial" w:eastAsia="Arial" w:hAnsi="Arial"/>
                <w:sz w:val="20"/>
                <w:szCs w:val="20"/>
                <w:color w:val="auto"/>
              </w:rPr>
              <w:t>65</w:t>
            </w:r>
          </w:p>
        </w:tc>
        <w:tc>
          <w:tcPr>
            <w:tcW w:w="3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w w:val="97"/>
              </w:rPr>
              <w:t>(1,488)</w:t>
            </w:r>
          </w:p>
        </w:tc>
        <w:tc>
          <w:tcPr>
            <w:tcW w:w="880" w:type="dxa"/>
            <w:vAlign w:val="bottom"/>
          </w:tcPr>
          <w:p>
            <w:pPr>
              <w:jc w:val="right"/>
              <w:ind w:right="84"/>
              <w:spacing w:after="0"/>
              <w:rPr>
                <w:sz w:val="20"/>
                <w:szCs w:val="20"/>
                <w:color w:val="auto"/>
              </w:rPr>
            </w:pPr>
            <w:r>
              <w:rPr>
                <w:rFonts w:ascii="Arial" w:cs="Arial" w:eastAsia="Arial" w:hAnsi="Arial"/>
                <w:sz w:val="20"/>
                <w:szCs w:val="20"/>
                <w:color w:val="auto"/>
              </w:rPr>
              <w:t>224</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(2,305)</w:t>
            </w:r>
          </w:p>
        </w:tc>
      </w:tr>
      <w:tr>
        <w:trPr>
          <w:trHeight w:val="240"/>
        </w:trPr>
        <w:tc>
          <w:tcPr>
            <w:tcW w:w="43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Other comprehensive income (loss) before</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300" w:type="dxa"/>
            <w:vAlign w:val="bottom"/>
          </w:tcPr>
          <w:p>
            <w:pPr>
              <w:ind w:left="180"/>
              <w:spacing w:after="0"/>
              <w:rPr>
                <w:sz w:val="20"/>
                <w:szCs w:val="20"/>
                <w:color w:val="auto"/>
              </w:rPr>
            </w:pPr>
            <w:r>
              <w:rPr>
                <w:rFonts w:ascii="Arial" w:cs="Arial" w:eastAsia="Arial" w:hAnsi="Arial"/>
                <w:sz w:val="20"/>
                <w:szCs w:val="20"/>
                <w:color w:val="auto"/>
              </w:rPr>
              <w:t>reclassifications</w:t>
            </w:r>
          </w:p>
        </w:tc>
        <w:tc>
          <w:tcPr>
            <w:tcW w:w="32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w w:val="97"/>
              </w:rPr>
              <w:t>(1,008)</w:t>
            </w:r>
          </w:p>
        </w:tc>
        <w:tc>
          <w:tcPr>
            <w:tcW w:w="980" w:type="dxa"/>
            <w:vAlign w:val="bottom"/>
          </w:tcPr>
          <w:p>
            <w:pPr>
              <w:jc w:val="right"/>
              <w:ind w:right="145"/>
              <w:spacing w:after="0"/>
              <w:rPr>
                <w:sz w:val="20"/>
                <w:szCs w:val="20"/>
                <w:color w:val="auto"/>
              </w:rPr>
            </w:pPr>
            <w:r>
              <w:rPr>
                <w:rFonts w:ascii="Arial" w:cs="Arial" w:eastAsia="Arial" w:hAnsi="Arial"/>
                <w:sz w:val="20"/>
                <w:szCs w:val="20"/>
                <w:color w:val="auto"/>
              </w:rPr>
              <w:t>580</w:t>
            </w:r>
          </w:p>
        </w:tc>
        <w:tc>
          <w:tcPr>
            <w:tcW w:w="300" w:type="dxa"/>
            <w:vAlign w:val="bottom"/>
          </w:tcPr>
          <w:p>
            <w:pPr>
              <w:spacing w:after="0"/>
              <w:rPr>
                <w:sz w:val="21"/>
                <w:szCs w:val="21"/>
                <w:color w:val="auto"/>
              </w:rPr>
            </w:pPr>
          </w:p>
        </w:tc>
        <w:tc>
          <w:tcPr>
            <w:tcW w:w="780" w:type="dxa"/>
            <w:vAlign w:val="bottom"/>
          </w:tcPr>
          <w:p>
            <w:pPr>
              <w:jc w:val="right"/>
              <w:ind w:right="120"/>
              <w:spacing w:after="0"/>
              <w:rPr>
                <w:sz w:val="20"/>
                <w:szCs w:val="20"/>
                <w:color w:val="auto"/>
              </w:rPr>
            </w:pPr>
            <w:r>
              <w:rPr>
                <w:rFonts w:ascii="Arial" w:cs="Arial" w:eastAsia="Arial" w:hAnsi="Arial"/>
                <w:sz w:val="20"/>
                <w:szCs w:val="20"/>
                <w:color w:val="auto"/>
              </w:rPr>
              <w:t>799</w:t>
            </w:r>
          </w:p>
        </w:tc>
        <w:tc>
          <w:tcPr>
            <w:tcW w:w="880" w:type="dxa"/>
            <w:vAlign w:val="bottom"/>
          </w:tcPr>
          <w:p>
            <w:pPr>
              <w:jc w:val="right"/>
              <w:ind w:right="84"/>
              <w:spacing w:after="0"/>
              <w:rPr>
                <w:sz w:val="20"/>
                <w:szCs w:val="20"/>
                <w:color w:val="auto"/>
              </w:rPr>
            </w:pPr>
            <w:r>
              <w:rPr>
                <w:rFonts w:ascii="Arial" w:cs="Arial" w:eastAsia="Arial" w:hAnsi="Arial"/>
                <w:sz w:val="20"/>
                <w:szCs w:val="20"/>
                <w:color w:val="auto"/>
              </w:rPr>
              <w:t>155</w:t>
            </w:r>
          </w:p>
        </w:tc>
        <w:tc>
          <w:tcPr>
            <w:tcW w:w="760" w:type="dxa"/>
            <w:vAlign w:val="bottom"/>
          </w:tcPr>
          <w:p>
            <w:pPr>
              <w:jc w:val="right"/>
              <w:spacing w:after="0"/>
              <w:rPr>
                <w:sz w:val="20"/>
                <w:szCs w:val="20"/>
                <w:color w:val="auto"/>
              </w:rPr>
            </w:pPr>
            <w:r>
              <w:rPr>
                <w:rFonts w:ascii="Arial" w:cs="Arial" w:eastAsia="Arial" w:hAnsi="Arial"/>
                <w:sz w:val="20"/>
                <w:szCs w:val="20"/>
                <w:color w:val="auto"/>
              </w:rPr>
              <w:t>526</w:t>
            </w:r>
          </w:p>
        </w:tc>
        <w:tc>
          <w:tcPr>
            <w:tcW w:w="60" w:type="dxa"/>
            <w:vAlign w:val="bottom"/>
          </w:tcPr>
          <w:p>
            <w:pPr>
              <w:spacing w:after="0"/>
              <w:rPr>
                <w:sz w:val="21"/>
                <w:szCs w:val="21"/>
                <w:color w:val="auto"/>
              </w:rPr>
            </w:pPr>
          </w:p>
        </w:tc>
      </w:tr>
      <w:tr>
        <w:trPr>
          <w:trHeight w:val="241"/>
        </w:trPr>
        <w:tc>
          <w:tcPr>
            <w:tcW w:w="4300" w:type="dxa"/>
            <w:vAlign w:val="bottom"/>
          </w:tcPr>
          <w:p>
            <w:pPr>
              <w:spacing w:after="0"/>
              <w:rPr>
                <w:sz w:val="20"/>
                <w:szCs w:val="20"/>
                <w:color w:val="auto"/>
              </w:rPr>
            </w:pPr>
            <w:r>
              <w:rPr>
                <w:rFonts w:ascii="Arial" w:cs="Arial" w:eastAsia="Arial" w:hAnsi="Arial"/>
                <w:sz w:val="20"/>
                <w:szCs w:val="20"/>
                <w:color w:val="auto"/>
              </w:rPr>
              <w:t>Net losses (gains) reclassified from</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00" w:type="dxa"/>
            <w:vAlign w:val="bottom"/>
          </w:tcPr>
          <w:p>
            <w:pPr>
              <w:ind w:left="180"/>
              <w:spacing w:after="0"/>
              <w:rPr>
                <w:sz w:val="20"/>
                <w:szCs w:val="20"/>
                <w:color w:val="auto"/>
              </w:rPr>
            </w:pPr>
            <w:r>
              <w:rPr>
                <w:rFonts w:ascii="Arial" w:cs="Arial" w:eastAsia="Arial" w:hAnsi="Arial"/>
                <w:sz w:val="20"/>
                <w:szCs w:val="20"/>
                <w:color w:val="auto"/>
              </w:rPr>
              <w:t>accumulated other comprehensive loss</w:t>
            </w:r>
          </w:p>
        </w:tc>
        <w:tc>
          <w:tcPr>
            <w:tcW w:w="320" w:type="dxa"/>
            <w:vAlign w:val="bottom"/>
          </w:tcPr>
          <w:p>
            <w:pPr>
              <w:spacing w:after="0"/>
              <w:rPr>
                <w:sz w:val="20"/>
                <w:szCs w:val="20"/>
                <w:color w:val="auto"/>
              </w:rPr>
            </w:pPr>
          </w:p>
        </w:tc>
        <w:tc>
          <w:tcPr>
            <w:tcW w:w="78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85"/>
              <w:spacing w:after="0"/>
              <w:rPr>
                <w:sz w:val="20"/>
                <w:szCs w:val="20"/>
                <w:color w:val="auto"/>
              </w:rPr>
            </w:pPr>
            <w:r>
              <w:rPr>
                <w:rFonts w:ascii="Arial" w:cs="Arial" w:eastAsia="Arial" w:hAnsi="Arial"/>
                <w:sz w:val="20"/>
                <w:szCs w:val="20"/>
                <w:color w:val="auto"/>
              </w:rPr>
              <w:t>(96)</w:t>
            </w:r>
          </w:p>
        </w:tc>
        <w:tc>
          <w:tcPr>
            <w:tcW w:w="300" w:type="dxa"/>
            <w:vAlign w:val="bottom"/>
          </w:tcPr>
          <w:p>
            <w:pPr>
              <w:spacing w:after="0"/>
              <w:rPr>
                <w:sz w:val="20"/>
                <w:szCs w:val="20"/>
                <w:color w:val="auto"/>
              </w:rPr>
            </w:pPr>
          </w:p>
        </w:tc>
        <w:tc>
          <w:tcPr>
            <w:tcW w:w="780" w:type="dxa"/>
            <w:vAlign w:val="bottom"/>
          </w:tcPr>
          <w:p>
            <w:pPr>
              <w:jc w:val="right"/>
              <w:ind w:right="120"/>
              <w:spacing w:after="0"/>
              <w:rPr>
                <w:sz w:val="20"/>
                <w:szCs w:val="20"/>
                <w:color w:val="auto"/>
              </w:rPr>
            </w:pPr>
            <w:r>
              <w:rPr>
                <w:rFonts w:ascii="Arial" w:cs="Arial" w:eastAsia="Arial" w:hAnsi="Arial"/>
                <w:sz w:val="20"/>
                <w:szCs w:val="20"/>
                <w:color w:val="auto"/>
              </w:rPr>
              <w:t>25</w:t>
            </w:r>
          </w:p>
        </w:tc>
        <w:tc>
          <w:tcPr>
            <w:tcW w:w="880" w:type="dxa"/>
            <w:vAlign w:val="bottom"/>
          </w:tcPr>
          <w:p>
            <w:pPr>
              <w:jc w:val="right"/>
              <w:ind w:right="24"/>
              <w:spacing w:after="0"/>
              <w:rPr>
                <w:sz w:val="20"/>
                <w:szCs w:val="20"/>
                <w:color w:val="auto"/>
              </w:rPr>
            </w:pPr>
            <w:r>
              <w:rPr>
                <w:rFonts w:ascii="Arial" w:cs="Arial" w:eastAsia="Arial" w:hAnsi="Arial"/>
                <w:sz w:val="20"/>
                <w:szCs w:val="20"/>
                <w:color w:val="auto"/>
              </w:rPr>
              <w:t>(75)</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(146)</w:t>
            </w:r>
          </w:p>
        </w:tc>
      </w:tr>
      <w:tr>
        <w:trPr>
          <w:trHeight w:val="240"/>
        </w:trPr>
        <w:tc>
          <w:tcPr>
            <w:tcW w:w="43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Net current-period other comprehensive income</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0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(loss)</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w w:val="97"/>
              </w:rPr>
              <w:t>(1,008)</w:t>
            </w:r>
          </w:p>
        </w:tc>
        <w:tc>
          <w:tcPr>
            <w:tcW w:w="980" w:type="dxa"/>
            <w:vAlign w:val="bottom"/>
            <w:tcBorders>
              <w:bottom w:val="single" w:sz="8" w:color="auto"/>
            </w:tcBorders>
          </w:tcPr>
          <w:p>
            <w:pPr>
              <w:jc w:val="right"/>
              <w:ind w:right="145"/>
              <w:spacing w:after="0"/>
              <w:rPr>
                <w:sz w:val="20"/>
                <w:szCs w:val="20"/>
                <w:color w:val="auto"/>
              </w:rPr>
            </w:pPr>
            <w:r>
              <w:rPr>
                <w:rFonts w:ascii="Arial" w:cs="Arial" w:eastAsia="Arial" w:hAnsi="Arial"/>
                <w:sz w:val="20"/>
                <w:szCs w:val="20"/>
                <w:color w:val="auto"/>
              </w:rPr>
              <w:t>484</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824</w:t>
            </w: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20"/>
                <w:szCs w:val="20"/>
                <w:color w:val="auto"/>
              </w:rPr>
              <w:t>80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w:t>
            </w:r>
          </w:p>
        </w:tc>
        <w:tc>
          <w:tcPr>
            <w:tcW w:w="60" w:type="dxa"/>
            <w:vAlign w:val="bottom"/>
          </w:tcPr>
          <w:p>
            <w:pPr>
              <w:spacing w:after="0"/>
              <w:rPr>
                <w:sz w:val="20"/>
                <w:szCs w:val="20"/>
                <w:color w:val="auto"/>
              </w:rPr>
            </w:pPr>
          </w:p>
        </w:tc>
      </w:tr>
      <w:tr>
        <w:trPr>
          <w:trHeight w:val="239"/>
        </w:trPr>
        <w:tc>
          <w:tcPr>
            <w:tcW w:w="4300" w:type="dxa"/>
            <w:vAlign w:val="bottom"/>
          </w:tcPr>
          <w:p>
            <w:pPr>
              <w:spacing w:after="0"/>
              <w:rPr>
                <w:sz w:val="20"/>
                <w:szCs w:val="20"/>
                <w:color w:val="auto"/>
              </w:rPr>
            </w:pPr>
            <w:r>
              <w:rPr>
                <w:rFonts w:ascii="Arial" w:cs="Arial" w:eastAsia="Arial" w:hAnsi="Arial"/>
                <w:sz w:val="20"/>
                <w:szCs w:val="20"/>
                <w:color w:val="auto"/>
              </w:rPr>
              <w:t>Balance as of December 31, 2024</w:t>
            </w:r>
          </w:p>
        </w:tc>
        <w:tc>
          <w:tcPr>
            <w:tcW w:w="3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w w:val="97"/>
              </w:rPr>
              <w:t>(2,114)</w:t>
            </w:r>
          </w:p>
        </w:tc>
        <w:tc>
          <w:tcPr>
            <w:tcW w:w="980" w:type="dxa"/>
            <w:vAlign w:val="bottom"/>
          </w:tcPr>
          <w:p>
            <w:pPr>
              <w:jc w:val="right"/>
              <w:ind w:right="145"/>
              <w:spacing w:after="0"/>
              <w:rPr>
                <w:sz w:val="20"/>
                <w:szCs w:val="20"/>
                <w:color w:val="auto"/>
              </w:rPr>
            </w:pPr>
            <w:r>
              <w:rPr>
                <w:rFonts w:ascii="Arial" w:cs="Arial" w:eastAsia="Arial" w:hAnsi="Arial"/>
                <w:sz w:val="20"/>
                <w:szCs w:val="20"/>
                <w:color w:val="auto"/>
              </w:rPr>
              <w:t>549</w:t>
            </w:r>
          </w:p>
        </w:tc>
        <w:tc>
          <w:tcPr>
            <w:tcW w:w="3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(664)</w:t>
            </w:r>
          </w:p>
        </w:tc>
        <w:tc>
          <w:tcPr>
            <w:tcW w:w="880" w:type="dxa"/>
            <w:vAlign w:val="bottom"/>
          </w:tcPr>
          <w:p>
            <w:pPr>
              <w:jc w:val="right"/>
              <w:ind w:right="84"/>
              <w:spacing w:after="0"/>
              <w:rPr>
                <w:sz w:val="20"/>
                <w:szCs w:val="20"/>
                <w:color w:val="auto"/>
              </w:rPr>
            </w:pPr>
            <w:r>
              <w:rPr>
                <w:rFonts w:ascii="Arial" w:cs="Arial" w:eastAsia="Arial" w:hAnsi="Arial"/>
                <w:sz w:val="20"/>
                <w:szCs w:val="20"/>
                <w:color w:val="auto"/>
              </w:rPr>
              <w:t>304</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(1,925)</w:t>
            </w:r>
          </w:p>
        </w:tc>
      </w:tr>
      <w:tr>
        <w:trPr>
          <w:trHeight w:val="240"/>
        </w:trPr>
        <w:tc>
          <w:tcPr>
            <w:tcW w:w="43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Other comprehensive income (loss) before</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300" w:type="dxa"/>
            <w:vAlign w:val="bottom"/>
          </w:tcPr>
          <w:p>
            <w:pPr>
              <w:ind w:left="180"/>
              <w:spacing w:after="0"/>
              <w:rPr>
                <w:sz w:val="20"/>
                <w:szCs w:val="20"/>
                <w:color w:val="auto"/>
              </w:rPr>
            </w:pPr>
            <w:r>
              <w:rPr>
                <w:rFonts w:ascii="Arial" w:cs="Arial" w:eastAsia="Arial" w:hAnsi="Arial"/>
                <w:sz w:val="20"/>
                <w:szCs w:val="20"/>
                <w:color w:val="auto"/>
              </w:rPr>
              <w:t>reclassifications</w:t>
            </w:r>
          </w:p>
        </w:tc>
        <w:tc>
          <w:tcPr>
            <w:tcW w:w="32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Arial" w:cs="Arial" w:eastAsia="Arial" w:hAnsi="Arial"/>
                <w:sz w:val="20"/>
                <w:szCs w:val="20"/>
                <w:color w:val="auto"/>
              </w:rPr>
              <w:t>1,481</w:t>
            </w:r>
          </w:p>
        </w:tc>
        <w:tc>
          <w:tcPr>
            <w:tcW w:w="980" w:type="dxa"/>
            <w:vAlign w:val="bottom"/>
          </w:tcPr>
          <w:p>
            <w:pPr>
              <w:jc w:val="right"/>
              <w:ind w:right="85"/>
              <w:spacing w:after="0"/>
              <w:rPr>
                <w:sz w:val="20"/>
                <w:szCs w:val="20"/>
                <w:color w:val="auto"/>
              </w:rPr>
            </w:pPr>
            <w:r>
              <w:rPr>
                <w:rFonts w:ascii="Arial" w:cs="Arial" w:eastAsia="Arial" w:hAnsi="Arial"/>
                <w:sz w:val="20"/>
                <w:szCs w:val="20"/>
                <w:color w:val="auto"/>
              </w:rPr>
              <w:t>(857)</w:t>
            </w:r>
          </w:p>
        </w:tc>
        <w:tc>
          <w:tcPr>
            <w:tcW w:w="300" w:type="dxa"/>
            <w:vAlign w:val="bottom"/>
          </w:tcPr>
          <w:p>
            <w:pPr>
              <w:spacing w:after="0"/>
              <w:rPr>
                <w:sz w:val="21"/>
                <w:szCs w:val="21"/>
                <w:color w:val="auto"/>
              </w:rPr>
            </w:pPr>
          </w:p>
        </w:tc>
        <w:tc>
          <w:tcPr>
            <w:tcW w:w="780" w:type="dxa"/>
            <w:vAlign w:val="bottom"/>
          </w:tcPr>
          <w:p>
            <w:pPr>
              <w:jc w:val="right"/>
              <w:ind w:right="120"/>
              <w:spacing w:after="0"/>
              <w:rPr>
                <w:sz w:val="20"/>
                <w:szCs w:val="20"/>
                <w:color w:val="auto"/>
              </w:rPr>
            </w:pPr>
            <w:r>
              <w:rPr>
                <w:rFonts w:ascii="Arial" w:cs="Arial" w:eastAsia="Arial" w:hAnsi="Arial"/>
                <w:sz w:val="20"/>
                <w:szCs w:val="20"/>
                <w:color w:val="auto"/>
              </w:rPr>
              <w:t>419</w:t>
            </w:r>
          </w:p>
        </w:tc>
        <w:tc>
          <w:tcPr>
            <w:tcW w:w="880" w:type="dxa"/>
            <w:vAlign w:val="bottom"/>
          </w:tcPr>
          <w:p>
            <w:pPr>
              <w:jc w:val="right"/>
              <w:ind w:right="24"/>
              <w:spacing w:after="0"/>
              <w:rPr>
                <w:sz w:val="20"/>
                <w:szCs w:val="20"/>
                <w:color w:val="auto"/>
              </w:rPr>
            </w:pPr>
            <w:r>
              <w:rPr>
                <w:rFonts w:ascii="Arial" w:cs="Arial" w:eastAsia="Arial" w:hAnsi="Arial"/>
                <w:sz w:val="20"/>
                <w:szCs w:val="20"/>
                <w:color w:val="auto"/>
              </w:rPr>
              <w:t>(83)</w:t>
            </w:r>
          </w:p>
        </w:tc>
        <w:tc>
          <w:tcPr>
            <w:tcW w:w="760" w:type="dxa"/>
            <w:vAlign w:val="bottom"/>
          </w:tcPr>
          <w:p>
            <w:pPr>
              <w:jc w:val="right"/>
              <w:spacing w:after="0"/>
              <w:rPr>
                <w:sz w:val="20"/>
                <w:szCs w:val="20"/>
                <w:color w:val="auto"/>
              </w:rPr>
            </w:pPr>
            <w:r>
              <w:rPr>
                <w:rFonts w:ascii="Arial" w:cs="Arial" w:eastAsia="Arial" w:hAnsi="Arial"/>
                <w:sz w:val="20"/>
                <w:szCs w:val="20"/>
                <w:color w:val="auto"/>
              </w:rPr>
              <w:t>960</w:t>
            </w:r>
          </w:p>
        </w:tc>
        <w:tc>
          <w:tcPr>
            <w:tcW w:w="60" w:type="dxa"/>
            <w:vAlign w:val="bottom"/>
          </w:tcPr>
          <w:p>
            <w:pPr>
              <w:spacing w:after="0"/>
              <w:rPr>
                <w:sz w:val="21"/>
                <w:szCs w:val="21"/>
                <w:color w:val="auto"/>
              </w:rPr>
            </w:pPr>
          </w:p>
        </w:tc>
      </w:tr>
      <w:tr>
        <w:trPr>
          <w:trHeight w:val="241"/>
        </w:trPr>
        <w:tc>
          <w:tcPr>
            <w:tcW w:w="4300" w:type="dxa"/>
            <w:vAlign w:val="bottom"/>
          </w:tcPr>
          <w:p>
            <w:pPr>
              <w:spacing w:after="0"/>
              <w:rPr>
                <w:sz w:val="20"/>
                <w:szCs w:val="20"/>
                <w:color w:val="auto"/>
              </w:rPr>
            </w:pPr>
            <w:r>
              <w:rPr>
                <w:rFonts w:ascii="Arial" w:cs="Arial" w:eastAsia="Arial" w:hAnsi="Arial"/>
                <w:sz w:val="20"/>
                <w:szCs w:val="20"/>
                <w:color w:val="auto"/>
              </w:rPr>
              <w:t>Net losses (gains) reclassified from</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00" w:type="dxa"/>
            <w:vAlign w:val="bottom"/>
          </w:tcPr>
          <w:p>
            <w:pPr>
              <w:ind w:left="180"/>
              <w:spacing w:after="0"/>
              <w:rPr>
                <w:sz w:val="20"/>
                <w:szCs w:val="20"/>
                <w:color w:val="auto"/>
              </w:rPr>
            </w:pPr>
            <w:r>
              <w:rPr>
                <w:rFonts w:ascii="Arial" w:cs="Arial" w:eastAsia="Arial" w:hAnsi="Arial"/>
                <w:sz w:val="20"/>
                <w:szCs w:val="20"/>
                <w:color w:val="auto"/>
              </w:rPr>
              <w:t>accumulated other comprehensive loss</w:t>
            </w:r>
          </w:p>
        </w:tc>
        <w:tc>
          <w:tcPr>
            <w:tcW w:w="320" w:type="dxa"/>
            <w:vAlign w:val="bottom"/>
          </w:tcPr>
          <w:p>
            <w:pPr>
              <w:spacing w:after="0"/>
              <w:rPr>
                <w:sz w:val="20"/>
                <w:szCs w:val="20"/>
                <w:color w:val="auto"/>
              </w:rPr>
            </w:pPr>
          </w:p>
        </w:tc>
        <w:tc>
          <w:tcPr>
            <w:tcW w:w="78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85"/>
              <w:spacing w:after="0"/>
              <w:rPr>
                <w:sz w:val="20"/>
                <w:szCs w:val="20"/>
                <w:color w:val="auto"/>
              </w:rPr>
            </w:pPr>
            <w:r>
              <w:rPr>
                <w:rFonts w:ascii="Arial" w:cs="Arial" w:eastAsia="Arial" w:hAnsi="Arial"/>
                <w:sz w:val="20"/>
                <w:szCs w:val="20"/>
                <w:color w:val="auto"/>
              </w:rPr>
              <w:t>(114)</w:t>
            </w:r>
          </w:p>
        </w:tc>
        <w:tc>
          <w:tcPr>
            <w:tcW w:w="300" w:type="dxa"/>
            <w:vAlign w:val="bottom"/>
          </w:tcPr>
          <w:p>
            <w:pPr>
              <w:spacing w:after="0"/>
              <w:rPr>
                <w:sz w:val="20"/>
                <w:szCs w:val="20"/>
                <w:color w:val="auto"/>
              </w:rPr>
            </w:pPr>
          </w:p>
        </w:tc>
        <w:tc>
          <w:tcPr>
            <w:tcW w:w="780" w:type="dxa"/>
            <w:vAlign w:val="bottom"/>
          </w:tcPr>
          <w:p>
            <w:pPr>
              <w:jc w:val="right"/>
              <w:ind w:right="120"/>
              <w:spacing w:after="0"/>
              <w:rPr>
                <w:sz w:val="20"/>
                <w:szCs w:val="20"/>
                <w:color w:val="auto"/>
              </w:rPr>
            </w:pPr>
            <w:r>
              <w:rPr>
                <w:rFonts w:ascii="Arial" w:cs="Arial" w:eastAsia="Arial" w:hAnsi="Arial"/>
                <w:sz w:val="20"/>
                <w:szCs w:val="20"/>
                <w:color w:val="auto"/>
              </w:rPr>
              <w:t>2</w:t>
            </w:r>
          </w:p>
        </w:tc>
        <w:tc>
          <w:tcPr>
            <w:tcW w:w="880" w:type="dxa"/>
            <w:vAlign w:val="bottom"/>
          </w:tcPr>
          <w:p>
            <w:pPr>
              <w:jc w:val="right"/>
              <w:ind w:right="24"/>
              <w:spacing w:after="0"/>
              <w:rPr>
                <w:sz w:val="20"/>
                <w:szCs w:val="20"/>
                <w:color w:val="auto"/>
              </w:rPr>
            </w:pPr>
            <w:r>
              <w:rPr>
                <w:rFonts w:ascii="Arial" w:cs="Arial" w:eastAsia="Arial" w:hAnsi="Arial"/>
                <w:sz w:val="20"/>
                <w:szCs w:val="20"/>
                <w:color w:val="auto"/>
              </w:rPr>
              <w:t>(67)</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(179)</w:t>
            </w:r>
          </w:p>
        </w:tc>
      </w:tr>
      <w:tr>
        <w:trPr>
          <w:trHeight w:val="240"/>
        </w:trPr>
        <w:tc>
          <w:tcPr>
            <w:tcW w:w="43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Net current-period other comprehensive income</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0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(loss)</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color w:val="auto"/>
              </w:rPr>
              <w:t>1,481</w:t>
            </w:r>
          </w:p>
        </w:tc>
        <w:tc>
          <w:tcPr>
            <w:tcW w:w="980" w:type="dxa"/>
            <w:vAlign w:val="bottom"/>
            <w:tcBorders>
              <w:bottom w:val="single" w:sz="8" w:color="auto"/>
            </w:tcBorders>
          </w:tcPr>
          <w:p>
            <w:pPr>
              <w:jc w:val="right"/>
              <w:ind w:right="85"/>
              <w:spacing w:after="0"/>
              <w:rPr>
                <w:sz w:val="20"/>
                <w:szCs w:val="20"/>
                <w:color w:val="auto"/>
              </w:rPr>
            </w:pPr>
            <w:r>
              <w:rPr>
                <w:rFonts w:ascii="Arial" w:cs="Arial" w:eastAsia="Arial" w:hAnsi="Arial"/>
                <w:sz w:val="20"/>
                <w:szCs w:val="20"/>
                <w:color w:val="auto"/>
              </w:rPr>
              <w:t>(971)</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421</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(150)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781</w:t>
            </w:r>
          </w:p>
        </w:tc>
        <w:tc>
          <w:tcPr>
            <w:tcW w:w="60" w:type="dxa"/>
            <w:vAlign w:val="bottom"/>
          </w:tcPr>
          <w:p>
            <w:pPr>
              <w:spacing w:after="0"/>
              <w:rPr>
                <w:sz w:val="20"/>
                <w:szCs w:val="20"/>
                <w:color w:val="auto"/>
              </w:rPr>
            </w:pPr>
          </w:p>
        </w:tc>
      </w:tr>
      <w:tr>
        <w:trPr>
          <w:trHeight w:val="239"/>
        </w:trPr>
        <w:tc>
          <w:tcPr>
            <w:tcW w:w="4300" w:type="dxa"/>
            <w:vAlign w:val="bottom"/>
          </w:tcPr>
          <w:p>
            <w:pPr>
              <w:spacing w:after="0"/>
              <w:rPr>
                <w:sz w:val="20"/>
                <w:szCs w:val="20"/>
                <w:color w:val="auto"/>
              </w:rPr>
            </w:pPr>
            <w:r>
              <w:rPr>
                <w:rFonts w:ascii="Arial" w:cs="Arial" w:eastAsia="Arial" w:hAnsi="Arial"/>
                <w:sz w:val="20"/>
                <w:szCs w:val="20"/>
                <w:color w:val="auto"/>
              </w:rPr>
              <w:t>Balance as of December 31, 2025</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(633)</w:t>
            </w:r>
          </w:p>
        </w:tc>
        <w:tc>
          <w:tcPr>
            <w:tcW w:w="980" w:type="dxa"/>
            <w:vAlign w:val="bottom"/>
          </w:tcPr>
          <w:p>
            <w:pPr>
              <w:jc w:val="right"/>
              <w:ind w:right="85"/>
              <w:spacing w:after="0"/>
              <w:rPr>
                <w:sz w:val="20"/>
                <w:szCs w:val="20"/>
                <w:color w:val="auto"/>
              </w:rPr>
            </w:pPr>
            <w:r>
              <w:rPr>
                <w:rFonts w:ascii="Arial" w:cs="Arial" w:eastAsia="Arial" w:hAnsi="Arial"/>
                <w:sz w:val="20"/>
                <w:szCs w:val="20"/>
                <w:color w:val="auto"/>
              </w:rPr>
              <w:t>$(422)</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(243)</w:t>
            </w:r>
          </w:p>
        </w:tc>
        <w:tc>
          <w:tcPr>
            <w:tcW w:w="880" w:type="dxa"/>
            <w:vAlign w:val="bottom"/>
          </w:tcPr>
          <w:p>
            <w:pPr>
              <w:jc w:val="right"/>
              <w:ind w:right="84"/>
              <w:spacing w:after="0"/>
              <w:rPr>
                <w:sz w:val="20"/>
                <w:szCs w:val="20"/>
                <w:color w:val="auto"/>
              </w:rPr>
            </w:pPr>
            <w:r>
              <w:rPr>
                <w:rFonts w:ascii="Arial" w:cs="Arial" w:eastAsia="Arial" w:hAnsi="Arial"/>
                <w:sz w:val="20"/>
                <w:szCs w:val="20"/>
                <w:color w:val="auto"/>
              </w:rPr>
              <w:t>$ 154</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$(1,144)</w:t>
            </w:r>
          </w:p>
        </w:tc>
      </w:tr>
      <w:tr>
        <w:trPr>
          <w:trHeight w:val="20"/>
        </w:trPr>
        <w:tc>
          <w:tcPr>
            <w:tcW w:w="4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right="60" w:firstLine="359"/>
        <w:spacing w:after="0" w:line="276" w:lineRule="auto"/>
        <w:rPr>
          <w:sz w:val="20"/>
          <w:szCs w:val="20"/>
          <w:color w:val="auto"/>
        </w:rPr>
      </w:pPr>
      <w:r>
        <w:rPr>
          <w:rFonts w:ascii="Arial" w:cs="Arial" w:eastAsia="Arial" w:hAnsi="Arial"/>
          <w:sz w:val="19"/>
          <w:szCs w:val="19"/>
          <w:color w:val="auto"/>
        </w:rPr>
        <w:t>Other comprehensive income (loss) for 2025 included pension and post-employment benefit plan gains of $421 million primarily due to gains on plan assets and higher discount rates partially offset by experience losses. Other comprehensive income (loss) also included foreign currency translation adjustments totaling gains of $1.5 billion principally due to the impact of the strengthening of the Euro on the translation of the company’s Euro-denominated assets and the offsetting impact of net investment hedging activities totaling losses of $971 million. Other comprehensive income (loss) for 2024 included pension and post-employment benefit plan gains of $824 million primarily due to actuarial gains driven by higher discount rates. Other comprehensive income (loss) for 2024 also included foreign currency translation adjustments totaling losses of $1.0 billion principally due to the impact of the weakening of the Euro on the translation of the company’s Euro-denominated assets and the offsetting impact of net investment hedging activities totaling gains of $484 million. Other comprehensive income (loss) for 2023 included foreign currency translation adjustments totaling gains of $407 million</w:t>
      </w:r>
    </w:p>
    <w:p>
      <w:pPr>
        <w:sectPr>
          <w:pgSz w:w="11880" w:h="15480" w:orient="portrait"/>
          <w:cols w:equalWidth="0" w:num="1">
            <w:col w:w="9160"/>
          </w:cols>
          <w:pgMar w:left="1400" w:top="1028" w:right="1320" w:bottom="75"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96  </w:t>
      </w:r>
      <w:r>
        <w:rPr>
          <w:sz w:val="1"/>
          <w:szCs w:val="1"/>
          <w:color w:val="auto"/>
        </w:rPr>
        <w:drawing>
          <wp:inline distT="0" distB="0" distL="0" distR="0">
            <wp:extent cx="615950" cy="12827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60"/>
          </w:cols>
          <w:pgMar w:left="1400" w:top="1028" w:right="1320" w:bottom="75" w:gutter="0" w:footer="0" w:header="0"/>
          <w:type w:val="continuous"/>
        </w:sectPr>
      </w:pPr>
    </w:p>
    <w:bookmarkStart w:id="102" w:name="page103"/>
    <w:bookmarkEnd w:id="102"/>
    <w:p>
      <w:pPr>
        <w:ind w:left="10" w:right="80"/>
        <w:spacing w:after="0" w:line="259" w:lineRule="auto"/>
        <w:rPr>
          <w:sz w:val="20"/>
          <w:szCs w:val="20"/>
          <w:color w:val="auto"/>
        </w:rPr>
      </w:pPr>
      <w:r>
        <w:rPr>
          <w:rFonts w:ascii="Arial" w:cs="Arial" w:eastAsia="Arial" w:hAnsi="Arial"/>
          <w:sz w:val="20"/>
          <w:szCs w:val="20"/>
          <w:color w:val="auto"/>
        </w:rPr>
        <w:t>principally due to the impact of the strengthening of the Euro on the translation of the company’s Euro-denominated assets and the offsetting impact of net investment hedging activities totaling losses of $399 million.</w:t>
      </w:r>
    </w:p>
    <w:p>
      <w:pPr>
        <w:spacing w:after="0" w:line="114" w:lineRule="exact"/>
        <w:rPr>
          <w:sz w:val="20"/>
          <w:szCs w:val="20"/>
          <w:color w:val="auto"/>
        </w:rPr>
      </w:pPr>
    </w:p>
    <w:p>
      <w:pPr>
        <w:ind w:left="10" w:right="60" w:firstLine="359"/>
        <w:spacing w:after="0" w:line="269" w:lineRule="auto"/>
        <w:rPr>
          <w:sz w:val="20"/>
          <w:szCs w:val="20"/>
          <w:color w:val="auto"/>
        </w:rPr>
      </w:pPr>
      <w:r>
        <w:rPr>
          <w:rFonts w:ascii="Arial" w:cs="Arial" w:eastAsia="Arial" w:hAnsi="Arial"/>
          <w:sz w:val="20"/>
          <w:szCs w:val="20"/>
          <w:color w:val="auto"/>
        </w:rPr>
        <w:t>The table below presents the impact on AbbVie’s consolidated statements of earnings for significant amounts reclassified out of each component of accumulated other comprehensive loss:</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642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 (brackets denote gains)</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2025</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2024</w:t>
            </w: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6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6420" w:type="dxa"/>
            <w:vAlign w:val="bottom"/>
          </w:tcPr>
          <w:p>
            <w:pPr>
              <w:spacing w:after="0"/>
              <w:rPr>
                <w:sz w:val="20"/>
                <w:szCs w:val="20"/>
                <w:color w:val="auto"/>
              </w:rPr>
            </w:pPr>
            <w:r>
              <w:rPr>
                <w:rFonts w:ascii="Arial" w:cs="Arial" w:eastAsia="Arial" w:hAnsi="Arial"/>
                <w:sz w:val="20"/>
                <w:szCs w:val="20"/>
                <w:b w:val="1"/>
                <w:bCs w:val="1"/>
                <w:color w:val="auto"/>
              </w:rPr>
              <w:t>Net investment hedging activities</w:t>
            </w: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09"/>
        </w:trPr>
        <w:tc>
          <w:tcPr>
            <w:tcW w:w="6420" w:type="dxa"/>
            <w:vAlign w:val="bottom"/>
          </w:tcPr>
          <w:p>
            <w:pPr>
              <w:spacing w:after="0"/>
              <w:rPr>
                <w:sz w:val="20"/>
                <w:szCs w:val="20"/>
                <w:color w:val="auto"/>
              </w:rPr>
            </w:pPr>
            <w:r>
              <w:rPr>
                <w:rFonts w:ascii="Arial" w:cs="Arial" w:eastAsia="Arial" w:hAnsi="Arial"/>
                <w:sz w:val="20"/>
                <w:szCs w:val="20"/>
                <w:color w:val="auto"/>
              </w:rPr>
              <w:t>Gains on derivative amount excluded from effectiveness testing</w:t>
            </w:r>
            <w:r>
              <w:rPr>
                <w:rFonts w:ascii="Arial" w:cs="Arial" w:eastAsia="Arial" w:hAnsi="Arial"/>
                <w:sz w:val="25"/>
                <w:szCs w:val="25"/>
                <w:color w:val="auto"/>
                <w:vertAlign w:val="superscript"/>
              </w:rPr>
              <w:t>(a)</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w w:val="94"/>
              </w:rPr>
              <w:t>(145)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w w:val="94"/>
              </w:rPr>
              <w:t>(123)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w w:val="94"/>
              </w:rPr>
              <w:t>(112)</w:t>
            </w:r>
          </w:p>
        </w:tc>
      </w:tr>
      <w:tr>
        <w:trPr>
          <w:trHeight w:val="256"/>
        </w:trPr>
        <w:tc>
          <w:tcPr>
            <w:tcW w:w="6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Tax expense</w:t>
            </w:r>
          </w:p>
        </w:tc>
        <w:tc>
          <w:tcPr>
            <w:tcW w:w="7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31</w:t>
            </w: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27</w:t>
            </w:r>
          </w:p>
        </w:tc>
        <w:tc>
          <w:tcPr>
            <w:tcW w:w="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60" w:type="dxa"/>
            <w:vAlign w:val="bottom"/>
          </w:tcPr>
          <w:p>
            <w:pPr>
              <w:spacing w:after="0"/>
              <w:rPr>
                <w:sz w:val="22"/>
                <w:szCs w:val="22"/>
                <w:color w:val="auto"/>
              </w:rPr>
            </w:pPr>
          </w:p>
        </w:tc>
      </w:tr>
      <w:tr>
        <w:trPr>
          <w:trHeight w:val="269"/>
        </w:trPr>
        <w:tc>
          <w:tcPr>
            <w:tcW w:w="6420" w:type="dxa"/>
            <w:vAlign w:val="bottom"/>
          </w:tcPr>
          <w:p>
            <w:pPr>
              <w:spacing w:after="0"/>
              <w:rPr>
                <w:sz w:val="20"/>
                <w:szCs w:val="20"/>
                <w:color w:val="auto"/>
              </w:rPr>
            </w:pPr>
            <w:r>
              <w:rPr>
                <w:rFonts w:ascii="Arial" w:cs="Arial" w:eastAsia="Arial" w:hAnsi="Arial"/>
                <w:sz w:val="20"/>
                <w:szCs w:val="20"/>
                <w:color w:val="auto"/>
              </w:rPr>
              <w:t>Total reclassifications, net of tax</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w w:val="94"/>
              </w:rPr>
              <w:t>(114)</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(96)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(88)</w:t>
            </w: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2"/>
        </w:trPr>
        <w:tc>
          <w:tcPr>
            <w:tcW w:w="6420" w:type="dxa"/>
            <w:vAlign w:val="bottom"/>
          </w:tcPr>
          <w:p>
            <w:pPr>
              <w:spacing w:after="0"/>
              <w:rPr>
                <w:sz w:val="20"/>
                <w:szCs w:val="20"/>
                <w:color w:val="auto"/>
              </w:rPr>
            </w:pPr>
            <w:r>
              <w:rPr>
                <w:rFonts w:ascii="Arial" w:cs="Arial" w:eastAsia="Arial" w:hAnsi="Arial"/>
                <w:sz w:val="20"/>
                <w:szCs w:val="20"/>
                <w:b w:val="1"/>
                <w:bCs w:val="1"/>
                <w:color w:val="auto"/>
              </w:rPr>
              <w:t>Pension and post-employment benefits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09"/>
        </w:trPr>
        <w:tc>
          <w:tcPr>
            <w:tcW w:w="6420" w:type="dxa"/>
            <w:vAlign w:val="bottom"/>
          </w:tcPr>
          <w:p>
            <w:pPr>
              <w:spacing w:after="0"/>
              <w:rPr>
                <w:sz w:val="20"/>
                <w:szCs w:val="20"/>
                <w:color w:val="auto"/>
              </w:rPr>
            </w:pPr>
            <w:r>
              <w:rPr>
                <w:rFonts w:ascii="Arial" w:cs="Arial" w:eastAsia="Arial" w:hAnsi="Arial"/>
                <w:sz w:val="20"/>
                <w:szCs w:val="20"/>
                <w:color w:val="auto"/>
              </w:rPr>
              <w:t>Amortization of actuarial losses (gains) and other</w:t>
            </w:r>
            <w:r>
              <w:rPr>
                <w:rFonts w:ascii="Arial" w:cs="Arial" w:eastAsia="Arial" w:hAnsi="Arial"/>
                <w:sz w:val="25"/>
                <w:szCs w:val="25"/>
                <w:color w:val="auto"/>
                <w:vertAlign w:val="superscript"/>
              </w:rPr>
              <w:t>(b)</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40"/>
              <w:spacing w:after="0"/>
              <w:rPr>
                <w:sz w:val="20"/>
                <w:szCs w:val="20"/>
                <w:color w:val="auto"/>
              </w:rPr>
            </w:pPr>
            <w:r>
              <w:rPr>
                <w:rFonts w:ascii="Arial" w:cs="Arial" w:eastAsia="Arial" w:hAnsi="Arial"/>
                <w:sz w:val="20"/>
                <w:szCs w:val="20"/>
                <w:color w:val="auto"/>
              </w:rPr>
              <w:t>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60"/>
              <w:spacing w:after="0"/>
              <w:rPr>
                <w:sz w:val="20"/>
                <w:szCs w:val="20"/>
                <w:color w:val="auto"/>
              </w:rPr>
            </w:pPr>
            <w:r>
              <w:rPr>
                <w:rFonts w:ascii="Arial" w:cs="Arial" w:eastAsia="Arial" w:hAnsi="Arial"/>
                <w:sz w:val="20"/>
                <w:szCs w:val="20"/>
                <w:color w:val="auto"/>
              </w:rPr>
              <w:t>33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56"/>
        </w:trPr>
        <w:tc>
          <w:tcPr>
            <w:tcW w:w="6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Tax benefit</w:t>
            </w:r>
          </w:p>
        </w:tc>
        <w:tc>
          <w:tcPr>
            <w:tcW w:w="7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r>
      <w:tr>
        <w:trPr>
          <w:trHeight w:val="269"/>
        </w:trPr>
        <w:tc>
          <w:tcPr>
            <w:tcW w:w="6420" w:type="dxa"/>
            <w:vAlign w:val="bottom"/>
          </w:tcPr>
          <w:p>
            <w:pPr>
              <w:spacing w:after="0"/>
              <w:rPr>
                <w:sz w:val="20"/>
                <w:szCs w:val="20"/>
                <w:color w:val="auto"/>
              </w:rPr>
            </w:pPr>
            <w:r>
              <w:rPr>
                <w:rFonts w:ascii="Arial" w:cs="Arial" w:eastAsia="Arial" w:hAnsi="Arial"/>
                <w:sz w:val="20"/>
                <w:szCs w:val="20"/>
                <w:color w:val="auto"/>
              </w:rPr>
              <w:t>Total reclassifications, net of tax</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60"/>
              <w:spacing w:after="0"/>
              <w:rPr>
                <w:sz w:val="20"/>
                <w:szCs w:val="20"/>
                <w:color w:val="auto"/>
              </w:rPr>
            </w:pPr>
            <w:r>
              <w:rPr>
                <w:rFonts w:ascii="Arial" w:cs="Arial" w:eastAsia="Arial" w:hAnsi="Arial"/>
                <w:sz w:val="20"/>
                <w:szCs w:val="20"/>
                <w:color w:val="auto"/>
              </w:rPr>
              <w:t>25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2"/>
        </w:trPr>
        <w:tc>
          <w:tcPr>
            <w:tcW w:w="6420" w:type="dxa"/>
            <w:vAlign w:val="bottom"/>
          </w:tcPr>
          <w:p>
            <w:pPr>
              <w:spacing w:after="0"/>
              <w:rPr>
                <w:sz w:val="20"/>
                <w:szCs w:val="20"/>
                <w:color w:val="auto"/>
              </w:rPr>
            </w:pPr>
            <w:r>
              <w:rPr>
                <w:rFonts w:ascii="Arial" w:cs="Arial" w:eastAsia="Arial" w:hAnsi="Arial"/>
                <w:sz w:val="20"/>
                <w:szCs w:val="20"/>
                <w:b w:val="1"/>
                <w:bCs w:val="1"/>
                <w:color w:val="auto"/>
              </w:rPr>
              <w:t>Cash flow hedging activities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96"/>
        </w:trPr>
        <w:tc>
          <w:tcPr>
            <w:tcW w:w="6420" w:type="dxa"/>
            <w:vAlign w:val="bottom"/>
          </w:tcPr>
          <w:p>
            <w:pPr>
              <w:spacing w:after="0"/>
              <w:rPr>
                <w:sz w:val="20"/>
                <w:szCs w:val="20"/>
                <w:color w:val="auto"/>
              </w:rPr>
            </w:pPr>
            <w:r>
              <w:rPr>
                <w:rFonts w:ascii="Arial" w:cs="Arial" w:eastAsia="Arial" w:hAnsi="Arial"/>
                <w:sz w:val="20"/>
                <w:szCs w:val="20"/>
                <w:color w:val="auto"/>
              </w:rPr>
              <w:t>Gains on foreign currency forward exchange contracts</w:t>
            </w:r>
            <w:r>
              <w:rPr>
                <w:rFonts w:ascii="Arial" w:cs="Arial" w:eastAsia="Arial" w:hAnsi="Arial"/>
                <w:sz w:val="25"/>
                <w:szCs w:val="25"/>
                <w:color w:val="auto"/>
                <w:vertAlign w:val="superscript"/>
              </w:rPr>
              <w:t>(c)</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(66)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(73)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(77)</w:t>
            </w:r>
          </w:p>
        </w:tc>
      </w:tr>
      <w:tr>
        <w:trPr>
          <w:trHeight w:val="293"/>
        </w:trPr>
        <w:tc>
          <w:tcPr>
            <w:tcW w:w="6420" w:type="dxa"/>
            <w:vAlign w:val="bottom"/>
          </w:tcPr>
          <w:p>
            <w:pPr>
              <w:spacing w:after="0"/>
              <w:rPr>
                <w:sz w:val="20"/>
                <w:szCs w:val="20"/>
                <w:color w:val="auto"/>
              </w:rPr>
            </w:pPr>
            <w:r>
              <w:rPr>
                <w:rFonts w:ascii="Arial" w:cs="Arial" w:eastAsia="Arial" w:hAnsi="Arial"/>
                <w:sz w:val="20"/>
                <w:szCs w:val="20"/>
                <w:color w:val="auto"/>
              </w:rPr>
              <w:t>Other</w:t>
            </w:r>
            <w:r>
              <w:rPr>
                <w:rFonts w:ascii="Arial" w:cs="Arial" w:eastAsia="Arial" w:hAnsi="Arial"/>
                <w:sz w:val="25"/>
                <w:szCs w:val="25"/>
                <w:color w:val="auto"/>
                <w:vertAlign w:val="superscript"/>
              </w:rPr>
              <w:t>(d)</w:t>
            </w:r>
          </w:p>
        </w:tc>
        <w:tc>
          <w:tcPr>
            <w:tcW w:w="7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(21)</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(23)</w:t>
            </w:r>
          </w:p>
        </w:tc>
        <w:tc>
          <w:tcPr>
            <w:tcW w:w="2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(18)</w:t>
            </w:r>
          </w:p>
        </w:tc>
      </w:tr>
      <w:tr>
        <w:trPr>
          <w:trHeight w:val="256"/>
        </w:trPr>
        <w:tc>
          <w:tcPr>
            <w:tcW w:w="6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Tax expense</w:t>
            </w:r>
          </w:p>
        </w:tc>
        <w:tc>
          <w:tcPr>
            <w:tcW w:w="7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20</w:t>
            </w: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21</w:t>
            </w:r>
          </w:p>
        </w:tc>
        <w:tc>
          <w:tcPr>
            <w:tcW w:w="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2"/>
                <w:szCs w:val="22"/>
                <w:color w:val="auto"/>
              </w:rPr>
            </w:pPr>
          </w:p>
        </w:tc>
      </w:tr>
      <w:tr>
        <w:trPr>
          <w:trHeight w:val="269"/>
        </w:trPr>
        <w:tc>
          <w:tcPr>
            <w:tcW w:w="6420" w:type="dxa"/>
            <w:vAlign w:val="bottom"/>
          </w:tcPr>
          <w:p>
            <w:pPr>
              <w:spacing w:after="0"/>
              <w:rPr>
                <w:sz w:val="20"/>
                <w:szCs w:val="20"/>
                <w:color w:val="auto"/>
              </w:rPr>
            </w:pPr>
            <w:r>
              <w:rPr>
                <w:rFonts w:ascii="Arial" w:cs="Arial" w:eastAsia="Arial" w:hAnsi="Arial"/>
                <w:sz w:val="20"/>
                <w:szCs w:val="20"/>
                <w:color w:val="auto"/>
              </w:rPr>
              <w:t>Total reclassifications, net of tax</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(67)</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(75)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(74)</w:t>
            </w: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left="350" w:hanging="350"/>
        <w:spacing w:after="0"/>
        <w:tabs>
          <w:tab w:leader="none" w:pos="35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Amounts are included in interest expense, net (see Note 11).</w:t>
      </w:r>
    </w:p>
    <w:p>
      <w:pPr>
        <w:spacing w:after="0" w:line="129" w:lineRule="exact"/>
        <w:rPr>
          <w:rFonts w:ascii="Arial" w:cs="Arial" w:eastAsia="Arial" w:hAnsi="Arial"/>
          <w:sz w:val="20"/>
          <w:szCs w:val="20"/>
          <w:color w:val="auto"/>
        </w:rPr>
      </w:pPr>
    </w:p>
    <w:p>
      <w:pPr>
        <w:ind w:left="350" w:hanging="350"/>
        <w:spacing w:after="0"/>
        <w:tabs>
          <w:tab w:leader="none" w:pos="35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Amounts are included in the computation of net periodic benefit cost (see Note 12).</w:t>
      </w:r>
    </w:p>
    <w:p>
      <w:pPr>
        <w:spacing w:after="0" w:line="129" w:lineRule="exact"/>
        <w:rPr>
          <w:rFonts w:ascii="Arial" w:cs="Arial" w:eastAsia="Arial" w:hAnsi="Arial"/>
          <w:sz w:val="20"/>
          <w:szCs w:val="20"/>
          <w:color w:val="auto"/>
        </w:rPr>
      </w:pPr>
    </w:p>
    <w:p>
      <w:pPr>
        <w:ind w:left="350" w:hanging="350"/>
        <w:spacing w:after="0"/>
        <w:tabs>
          <w:tab w:leader="none" w:pos="35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Amounts are included in cost of products sold (see Note 11).</w:t>
      </w:r>
    </w:p>
    <w:p>
      <w:pPr>
        <w:spacing w:after="0" w:line="129" w:lineRule="exact"/>
        <w:rPr>
          <w:rFonts w:ascii="Arial" w:cs="Arial" w:eastAsia="Arial" w:hAnsi="Arial"/>
          <w:sz w:val="20"/>
          <w:szCs w:val="20"/>
          <w:color w:val="auto"/>
        </w:rPr>
      </w:pPr>
    </w:p>
    <w:p>
      <w:pPr>
        <w:ind w:left="350" w:hanging="350"/>
        <w:spacing w:after="0"/>
        <w:tabs>
          <w:tab w:leader="none" w:pos="35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Amounts are included in net foreign exchange loss and interest expense, net (see Note 11).</w:t>
      </w:r>
    </w:p>
    <w:p>
      <w:pPr>
        <w:spacing w:after="0" w:line="24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Other</w:t>
      </w:r>
    </w:p>
    <w:p>
      <w:pPr>
        <w:spacing w:after="0" w:line="131" w:lineRule="exact"/>
        <w:rPr>
          <w:sz w:val="20"/>
          <w:szCs w:val="20"/>
          <w:color w:val="auto"/>
        </w:rPr>
      </w:pPr>
    </w:p>
    <w:p>
      <w:pPr>
        <w:ind w:left="10" w:right="240" w:firstLine="359"/>
        <w:spacing w:after="0" w:line="259" w:lineRule="auto"/>
        <w:rPr>
          <w:sz w:val="20"/>
          <w:szCs w:val="20"/>
          <w:color w:val="auto"/>
        </w:rPr>
      </w:pPr>
      <w:r>
        <w:rPr>
          <w:rFonts w:ascii="Arial" w:cs="Arial" w:eastAsia="Arial" w:hAnsi="Arial"/>
          <w:sz w:val="20"/>
          <w:szCs w:val="20"/>
          <w:color w:val="auto"/>
        </w:rPr>
        <w:t>In addition to common stock, AbbVie’s authorized capital includes 200 million shares of preferred stock, par value $0.01. As of December 31, 2025, no shares of preferred stock were issued or outstanding.</w:t>
      </w:r>
    </w:p>
    <w:p>
      <w:pPr>
        <w:spacing w:after="0" w:line="153"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000039"/>
        </w:rPr>
        <w:t>Note 14 Income Taxes</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4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Earnings Before Income Tax Expense</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478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560" w:type="dxa"/>
            <w:vAlign w:val="bottom"/>
          </w:tcPr>
          <w:p>
            <w:pPr>
              <w:jc w:val="right"/>
              <w:ind w:right="220"/>
              <w:spacing w:after="0"/>
              <w:rPr>
                <w:sz w:val="20"/>
                <w:szCs w:val="20"/>
                <w:color w:val="auto"/>
              </w:rPr>
            </w:pPr>
            <w:r>
              <w:rPr>
                <w:rFonts w:ascii="Arial" w:cs="Arial" w:eastAsia="Arial" w:hAnsi="Arial"/>
                <w:sz w:val="16"/>
                <w:szCs w:val="16"/>
                <w:b w:val="1"/>
                <w:bCs w:val="1"/>
                <w:color w:val="auto"/>
              </w:rPr>
              <w:t>2025</w:t>
            </w:r>
          </w:p>
        </w:tc>
        <w:tc>
          <w:tcPr>
            <w:tcW w:w="940" w:type="dxa"/>
            <w:vAlign w:val="bottom"/>
          </w:tcPr>
          <w:p>
            <w:pPr>
              <w:jc w:val="right"/>
              <w:ind w:right="200"/>
              <w:spacing w:after="0"/>
              <w:rPr>
                <w:sz w:val="20"/>
                <w:szCs w:val="20"/>
                <w:color w:val="auto"/>
              </w:rPr>
            </w:pPr>
            <w:r>
              <w:rPr>
                <w:rFonts w:ascii="Arial" w:cs="Arial" w:eastAsia="Arial" w:hAnsi="Arial"/>
                <w:sz w:val="16"/>
                <w:szCs w:val="16"/>
                <w:b w:val="1"/>
                <w:bCs w:val="1"/>
                <w:color w:val="auto"/>
              </w:rPr>
              <w:t>2024</w:t>
            </w:r>
          </w:p>
        </w:tc>
        <w:tc>
          <w:tcPr>
            <w:tcW w:w="820" w:type="dxa"/>
            <w:vAlign w:val="bottom"/>
          </w:tcPr>
          <w:p>
            <w:pPr>
              <w:jc w:val="right"/>
              <w:ind w:right="100"/>
              <w:spacing w:after="0"/>
              <w:rPr>
                <w:sz w:val="20"/>
                <w:szCs w:val="20"/>
                <w:color w:val="auto"/>
              </w:rPr>
            </w:pPr>
            <w:r>
              <w:rPr>
                <w:rFonts w:ascii="Arial" w:cs="Arial" w:eastAsia="Arial" w:hAnsi="Arial"/>
                <w:sz w:val="16"/>
                <w:szCs w:val="16"/>
                <w:b w:val="1"/>
                <w:bCs w:val="1"/>
                <w:color w:val="auto"/>
              </w:rPr>
              <w:t>2023</w:t>
            </w:r>
          </w:p>
        </w:tc>
      </w:tr>
      <w:tr>
        <w:trPr>
          <w:trHeight w:val="22"/>
        </w:trPr>
        <w:tc>
          <w:tcPr>
            <w:tcW w:w="47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080" w:type="dxa"/>
            <w:vAlign w:val="bottom"/>
          </w:tcPr>
          <w:p>
            <w:pPr>
              <w:spacing w:after="0"/>
              <w:rPr>
                <w:sz w:val="20"/>
                <w:szCs w:val="20"/>
                <w:color w:val="auto"/>
              </w:rPr>
            </w:pPr>
            <w:r>
              <w:rPr>
                <w:rFonts w:ascii="Arial" w:cs="Arial" w:eastAsia="Arial" w:hAnsi="Arial"/>
                <w:sz w:val="20"/>
                <w:szCs w:val="20"/>
                <w:color w:val="auto"/>
              </w:rPr>
              <w:t>Domestic</w:t>
            </w:r>
          </w:p>
        </w:tc>
        <w:tc>
          <w:tcPr>
            <w:tcW w:w="2340" w:type="dxa"/>
            <w:vAlign w:val="bottom"/>
          </w:tcPr>
          <w:p>
            <w:pPr>
              <w:jc w:val="right"/>
              <w:ind w:right="43"/>
              <w:spacing w:after="0"/>
              <w:rPr>
                <w:sz w:val="20"/>
                <w:szCs w:val="20"/>
                <w:color w:val="auto"/>
              </w:rPr>
            </w:pPr>
            <w:r>
              <w:rPr>
                <w:rFonts w:ascii="Arial" w:cs="Arial" w:eastAsia="Arial" w:hAnsi="Arial"/>
                <w:sz w:val="20"/>
                <w:szCs w:val="20"/>
                <w:color w:val="auto"/>
              </w:rPr>
              <w:t>$ (3,540)</w:t>
            </w:r>
          </w:p>
        </w:tc>
        <w:tc>
          <w:tcPr>
            <w:tcW w:w="940" w:type="dxa"/>
            <w:vAlign w:val="bottom"/>
          </w:tcPr>
          <w:p>
            <w:pPr>
              <w:jc w:val="right"/>
              <w:ind w:right="23"/>
              <w:spacing w:after="0"/>
              <w:rPr>
                <w:sz w:val="20"/>
                <w:szCs w:val="20"/>
                <w:color w:val="auto"/>
              </w:rPr>
            </w:pPr>
            <w:r>
              <w:rPr>
                <w:rFonts w:ascii="Arial" w:cs="Arial" w:eastAsia="Arial" w:hAnsi="Arial"/>
                <w:sz w:val="20"/>
                <w:szCs w:val="20"/>
                <w:color w:val="auto"/>
                <w:w w:val="99"/>
              </w:rPr>
              <w:t>$ (7,743)</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$(3,475)</w:t>
            </w:r>
          </w:p>
        </w:tc>
      </w:tr>
      <w:tr>
        <w:trPr>
          <w:trHeight w:val="282"/>
        </w:trPr>
        <w:tc>
          <w:tcPr>
            <w:tcW w:w="5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Foreign</w:t>
            </w:r>
          </w:p>
        </w:tc>
        <w:tc>
          <w:tcPr>
            <w:tcW w:w="2340" w:type="dxa"/>
            <w:vAlign w:val="bottom"/>
            <w:tcBorders>
              <w:bottom w:val="single" w:sz="8" w:color="auto"/>
            </w:tcBorders>
          </w:tcPr>
          <w:p>
            <w:pPr>
              <w:jc w:val="right"/>
              <w:ind w:right="103"/>
              <w:spacing w:after="0"/>
              <w:rPr>
                <w:sz w:val="20"/>
                <w:szCs w:val="20"/>
                <w:color w:val="auto"/>
              </w:rPr>
            </w:pPr>
            <w:r>
              <w:rPr>
                <w:rFonts w:ascii="Arial" w:cs="Arial" w:eastAsia="Arial" w:hAnsi="Arial"/>
                <w:sz w:val="20"/>
                <w:szCs w:val="20"/>
                <w:color w:val="auto"/>
              </w:rPr>
              <w:t>10,137</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20"/>
                <w:szCs w:val="20"/>
                <w:color w:val="auto"/>
              </w:rPr>
              <w:t>11,459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9,725</w:t>
            </w:r>
          </w:p>
        </w:tc>
        <w:tc>
          <w:tcPr>
            <w:tcW w:w="60" w:type="dxa"/>
            <w:vAlign w:val="bottom"/>
          </w:tcPr>
          <w:p>
            <w:pPr>
              <w:spacing w:after="0"/>
              <w:rPr>
                <w:sz w:val="24"/>
                <w:szCs w:val="24"/>
                <w:color w:val="auto"/>
              </w:rPr>
            </w:pPr>
          </w:p>
        </w:tc>
      </w:tr>
      <w:tr>
        <w:trPr>
          <w:trHeight w:val="269"/>
        </w:trPr>
        <w:tc>
          <w:tcPr>
            <w:tcW w:w="5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earnings before income tax expense</w:t>
            </w:r>
          </w:p>
        </w:tc>
        <w:tc>
          <w:tcPr>
            <w:tcW w:w="2340" w:type="dxa"/>
            <w:vAlign w:val="bottom"/>
            <w:tcBorders>
              <w:bottom w:val="single" w:sz="8" w:color="auto"/>
            </w:tcBorders>
          </w:tcPr>
          <w:p>
            <w:pPr>
              <w:jc w:val="right"/>
              <w:ind w:right="103"/>
              <w:spacing w:after="0"/>
              <w:rPr>
                <w:sz w:val="20"/>
                <w:szCs w:val="20"/>
                <w:color w:val="auto"/>
              </w:rPr>
            </w:pPr>
            <w:r>
              <w:rPr>
                <w:rFonts w:ascii="Arial" w:cs="Arial" w:eastAsia="Arial" w:hAnsi="Arial"/>
                <w:sz w:val="20"/>
                <w:szCs w:val="20"/>
                <w:color w:val="auto"/>
              </w:rPr>
              <w:t>$ 6,597</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20"/>
                <w:szCs w:val="20"/>
                <w:color w:val="auto"/>
              </w:rPr>
              <w:t>$ 3,716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$ 6,250</w:t>
            </w:r>
          </w:p>
        </w:tc>
        <w:tc>
          <w:tcPr>
            <w:tcW w:w="60" w:type="dxa"/>
            <w:vAlign w:val="bottom"/>
          </w:tcPr>
          <w:p>
            <w:pPr>
              <w:spacing w:after="0"/>
              <w:rPr>
                <w:sz w:val="23"/>
                <w:szCs w:val="23"/>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2"/>
        </w:trPr>
        <w:tc>
          <w:tcPr>
            <w:tcW w:w="5080" w:type="dxa"/>
            <w:vAlign w:val="bottom"/>
          </w:tcPr>
          <w:p>
            <w:pPr>
              <w:spacing w:after="0"/>
              <w:rPr>
                <w:sz w:val="20"/>
                <w:szCs w:val="20"/>
                <w:color w:val="auto"/>
              </w:rPr>
            </w:pPr>
            <w:r>
              <w:rPr>
                <w:rFonts w:ascii="Arial" w:cs="Arial" w:eastAsia="Arial" w:hAnsi="Arial"/>
                <w:sz w:val="20"/>
                <w:szCs w:val="20"/>
                <w:b w:val="1"/>
                <w:bCs w:val="1"/>
                <w:color w:val="000039"/>
              </w:rPr>
              <w:t>Income Tax Expense</w:t>
            </w: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7"/>
        </w:trPr>
        <w:tc>
          <w:tcPr>
            <w:tcW w:w="508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340" w:type="dxa"/>
            <w:vAlign w:val="bottom"/>
          </w:tcPr>
          <w:p>
            <w:pPr>
              <w:jc w:val="right"/>
              <w:ind w:right="63"/>
              <w:spacing w:after="0"/>
              <w:rPr>
                <w:sz w:val="20"/>
                <w:szCs w:val="20"/>
                <w:color w:val="auto"/>
              </w:rPr>
            </w:pPr>
            <w:r>
              <w:rPr>
                <w:rFonts w:ascii="Arial" w:cs="Arial" w:eastAsia="Arial" w:hAnsi="Arial"/>
                <w:sz w:val="16"/>
                <w:szCs w:val="16"/>
                <w:b w:val="1"/>
                <w:bCs w:val="1"/>
                <w:color w:val="auto"/>
              </w:rPr>
              <w:t>2025</w:t>
            </w:r>
          </w:p>
        </w:tc>
        <w:tc>
          <w:tcPr>
            <w:tcW w:w="940" w:type="dxa"/>
            <w:vAlign w:val="bottom"/>
          </w:tcPr>
          <w:p>
            <w:pPr>
              <w:jc w:val="right"/>
              <w:ind w:right="143"/>
              <w:spacing w:after="0"/>
              <w:rPr>
                <w:sz w:val="20"/>
                <w:szCs w:val="20"/>
                <w:color w:val="auto"/>
              </w:rPr>
            </w:pPr>
            <w:r>
              <w:rPr>
                <w:rFonts w:ascii="Arial" w:cs="Arial" w:eastAsia="Arial" w:hAnsi="Arial"/>
                <w:sz w:val="16"/>
                <w:szCs w:val="16"/>
                <w:b w:val="1"/>
                <w:bCs w:val="1"/>
                <w:color w:val="auto"/>
              </w:rPr>
              <w:t>2024</w:t>
            </w:r>
          </w:p>
        </w:tc>
        <w:tc>
          <w:tcPr>
            <w:tcW w:w="740" w:type="dxa"/>
            <w:vAlign w:val="bottom"/>
          </w:tcPr>
          <w:p>
            <w:pPr>
              <w:jc w:val="right"/>
              <w:ind w:right="4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4"/>
                <w:szCs w:val="24"/>
                <w:color w:val="auto"/>
              </w:rPr>
            </w:pPr>
          </w:p>
        </w:tc>
      </w:tr>
      <w:tr>
        <w:trPr>
          <w:trHeight w:val="22"/>
        </w:trPr>
        <w:tc>
          <w:tcPr>
            <w:tcW w:w="50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5080" w:type="dxa"/>
            <w:vAlign w:val="bottom"/>
          </w:tcPr>
          <w:p>
            <w:pPr>
              <w:spacing w:after="0"/>
              <w:rPr>
                <w:sz w:val="20"/>
                <w:szCs w:val="20"/>
                <w:color w:val="auto"/>
              </w:rPr>
            </w:pPr>
            <w:r>
              <w:rPr>
                <w:rFonts w:ascii="Arial" w:cs="Arial" w:eastAsia="Arial" w:hAnsi="Arial"/>
                <w:sz w:val="20"/>
                <w:szCs w:val="20"/>
                <w:b w:val="1"/>
                <w:bCs w:val="1"/>
                <w:color w:val="auto"/>
              </w:rPr>
              <w:t>Current</w:t>
            </w:r>
          </w:p>
        </w:tc>
        <w:tc>
          <w:tcPr>
            <w:tcW w:w="2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3"/>
        </w:trPr>
        <w:tc>
          <w:tcPr>
            <w:tcW w:w="5080" w:type="dxa"/>
            <w:vAlign w:val="bottom"/>
          </w:tcPr>
          <w:p>
            <w:pPr>
              <w:spacing w:after="0"/>
              <w:rPr>
                <w:sz w:val="20"/>
                <w:szCs w:val="20"/>
                <w:color w:val="auto"/>
              </w:rPr>
            </w:pPr>
            <w:r>
              <w:rPr>
                <w:rFonts w:ascii="Arial" w:cs="Arial" w:eastAsia="Arial" w:hAnsi="Arial"/>
                <w:sz w:val="20"/>
                <w:szCs w:val="20"/>
                <w:color w:val="auto"/>
              </w:rPr>
              <w:t>Domestic</w:t>
            </w:r>
          </w:p>
        </w:tc>
        <w:tc>
          <w:tcPr>
            <w:tcW w:w="2340" w:type="dxa"/>
            <w:vAlign w:val="bottom"/>
          </w:tcPr>
          <w:p>
            <w:pPr>
              <w:jc w:val="right"/>
              <w:spacing w:after="0"/>
              <w:rPr>
                <w:sz w:val="20"/>
                <w:szCs w:val="20"/>
                <w:color w:val="auto"/>
              </w:rPr>
            </w:pPr>
            <w:r>
              <w:rPr>
                <w:rFonts w:ascii="Arial" w:cs="Arial" w:eastAsia="Arial" w:hAnsi="Arial"/>
                <w:sz w:val="20"/>
                <w:szCs w:val="20"/>
                <w:color w:val="auto"/>
              </w:rPr>
              <w:t>$1,230</w:t>
            </w:r>
          </w:p>
        </w:tc>
        <w:tc>
          <w:tcPr>
            <w:tcW w:w="940" w:type="dxa"/>
            <w:vAlign w:val="bottom"/>
          </w:tcPr>
          <w:p>
            <w:pPr>
              <w:jc w:val="right"/>
              <w:spacing w:after="0"/>
              <w:rPr>
                <w:sz w:val="20"/>
                <w:szCs w:val="20"/>
                <w:color w:val="auto"/>
              </w:rPr>
            </w:pPr>
            <w:r>
              <w:rPr>
                <w:rFonts w:ascii="Arial" w:cs="Arial" w:eastAsia="Arial" w:hAnsi="Arial"/>
                <w:sz w:val="20"/>
                <w:szCs w:val="20"/>
                <w:color w:val="auto"/>
              </w:rPr>
              <w:t>$ (331)</w:t>
            </w:r>
          </w:p>
        </w:tc>
        <w:tc>
          <w:tcPr>
            <w:tcW w:w="740" w:type="dxa"/>
            <w:vAlign w:val="bottom"/>
          </w:tcPr>
          <w:p>
            <w:pPr>
              <w:jc w:val="right"/>
              <w:spacing w:after="0"/>
              <w:rPr>
                <w:sz w:val="20"/>
                <w:szCs w:val="20"/>
                <w:color w:val="auto"/>
              </w:rPr>
            </w:pPr>
            <w:r>
              <w:rPr>
                <w:rFonts w:ascii="Arial" w:cs="Arial" w:eastAsia="Arial" w:hAnsi="Arial"/>
                <w:sz w:val="20"/>
                <w:szCs w:val="20"/>
                <w:color w:val="auto"/>
              </w:rPr>
              <w:t>$3,272</w:t>
            </w:r>
          </w:p>
        </w:tc>
        <w:tc>
          <w:tcPr>
            <w:tcW w:w="60" w:type="dxa"/>
            <w:vAlign w:val="bottom"/>
          </w:tcPr>
          <w:p>
            <w:pPr>
              <w:spacing w:after="0"/>
              <w:rPr>
                <w:sz w:val="24"/>
                <w:szCs w:val="24"/>
                <w:color w:val="auto"/>
              </w:rPr>
            </w:pPr>
          </w:p>
        </w:tc>
      </w:tr>
      <w:tr>
        <w:trPr>
          <w:trHeight w:val="282"/>
        </w:trPr>
        <w:tc>
          <w:tcPr>
            <w:tcW w:w="5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Foreign</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1,626</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1,210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994</w:t>
            </w:r>
          </w:p>
        </w:tc>
        <w:tc>
          <w:tcPr>
            <w:tcW w:w="60" w:type="dxa"/>
            <w:vAlign w:val="bottom"/>
          </w:tcPr>
          <w:p>
            <w:pPr>
              <w:spacing w:after="0"/>
              <w:rPr>
                <w:sz w:val="24"/>
                <w:szCs w:val="24"/>
                <w:color w:val="auto"/>
              </w:rPr>
            </w:pPr>
          </w:p>
        </w:tc>
      </w:tr>
      <w:tr>
        <w:trPr>
          <w:trHeight w:val="269"/>
        </w:trPr>
        <w:tc>
          <w:tcPr>
            <w:tcW w:w="5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current taxes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$2,856</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  879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$4,266</w:t>
            </w:r>
          </w:p>
        </w:tc>
        <w:tc>
          <w:tcPr>
            <w:tcW w:w="60" w:type="dxa"/>
            <w:vAlign w:val="bottom"/>
          </w:tcPr>
          <w:p>
            <w:pPr>
              <w:spacing w:after="0"/>
              <w:rPr>
                <w:sz w:val="23"/>
                <w:szCs w:val="23"/>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70"/>
          </w:cols>
          <w:pgMar w:left="1390" w:top="1030" w:right="132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3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97</w:t>
      </w:r>
    </w:p>
    <w:p>
      <w:pPr>
        <w:sectPr>
          <w:pgSz w:w="11880" w:h="15480" w:orient="portrait"/>
          <w:cols w:equalWidth="0" w:num="1">
            <w:col w:w="9170"/>
          </w:cols>
          <w:pgMar w:left="1390" w:top="1030" w:right="1320" w:bottom="87" w:gutter="0" w:footer="0" w:header="0"/>
          <w:type w:val="continuous"/>
        </w:sectPr>
      </w:pPr>
    </w:p>
    <w:bookmarkStart w:id="103" w:name="page104"/>
    <w:bookmarkEnd w:id="103"/>
    <w:tbl>
      <w:tblPr>
        <w:tblLayout w:type="fixed"/>
        <w:tblInd w:w="20" w:type="dxa"/>
        <w:tblCellMar>
          <w:top w:w="0" w:type="dxa"/>
          <w:left w:w="0" w:type="dxa"/>
          <w:bottom w:w="0" w:type="dxa"/>
          <w:right w:w="0" w:type="dxa"/>
        </w:tblCellMar>
      </w:tblPr>
      <w:tr>
        <w:trPr>
          <w:trHeight w:val="197"/>
        </w:trPr>
        <w:tc>
          <w:tcPr>
            <w:tcW w:w="490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000" w:type="dxa"/>
            <w:vAlign w:val="bottom"/>
          </w:tcPr>
          <w:p>
            <w:pPr>
              <w:spacing w:after="0"/>
              <w:rPr>
                <w:sz w:val="17"/>
                <w:szCs w:val="17"/>
                <w:color w:val="auto"/>
              </w:rPr>
            </w:pPr>
          </w:p>
        </w:tc>
        <w:tc>
          <w:tcPr>
            <w:tcW w:w="620" w:type="dxa"/>
            <w:vAlign w:val="bottom"/>
          </w:tcPr>
          <w:p>
            <w:pPr>
              <w:jc w:val="right"/>
              <w:ind w:right="164"/>
              <w:spacing w:after="0"/>
              <w:rPr>
                <w:sz w:val="20"/>
                <w:szCs w:val="20"/>
                <w:color w:val="auto"/>
              </w:rPr>
            </w:pPr>
            <w:r>
              <w:rPr>
                <w:rFonts w:ascii="Arial" w:cs="Arial" w:eastAsia="Arial" w:hAnsi="Arial"/>
                <w:sz w:val="16"/>
                <w:szCs w:val="16"/>
                <w:b w:val="1"/>
                <w:bCs w:val="1"/>
                <w:color w:val="auto"/>
                <w:w w:val="95"/>
              </w:rPr>
              <w:t>2025</w:t>
            </w:r>
          </w:p>
        </w:tc>
        <w:tc>
          <w:tcPr>
            <w:tcW w:w="160" w:type="dxa"/>
            <w:vAlign w:val="bottom"/>
          </w:tcPr>
          <w:p>
            <w:pPr>
              <w:spacing w:after="0"/>
              <w:rPr>
                <w:sz w:val="17"/>
                <w:szCs w:val="17"/>
                <w:color w:val="auto"/>
              </w:rPr>
            </w:pPr>
          </w:p>
        </w:tc>
        <w:tc>
          <w:tcPr>
            <w:tcW w:w="680" w:type="dxa"/>
            <w:vAlign w:val="bottom"/>
          </w:tcPr>
          <w:p>
            <w:pPr>
              <w:jc w:val="right"/>
              <w:ind w:right="144"/>
              <w:spacing w:after="0"/>
              <w:rPr>
                <w:sz w:val="20"/>
                <w:szCs w:val="20"/>
                <w:color w:val="auto"/>
              </w:rPr>
            </w:pPr>
            <w:r>
              <w:rPr>
                <w:rFonts w:ascii="Arial" w:cs="Arial" w:eastAsia="Arial" w:hAnsi="Arial"/>
                <w:sz w:val="16"/>
                <w:szCs w:val="16"/>
                <w:b w:val="1"/>
                <w:bCs w:val="1"/>
                <w:color w:val="auto"/>
              </w:rPr>
              <w:t>2024</w:t>
            </w:r>
          </w:p>
        </w:tc>
        <w:tc>
          <w:tcPr>
            <w:tcW w:w="740" w:type="dxa"/>
            <w:vAlign w:val="bottom"/>
          </w:tcPr>
          <w:p>
            <w:pPr>
              <w:jc w:val="right"/>
              <w:ind w:right="44"/>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4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4900" w:type="dxa"/>
            <w:vAlign w:val="bottom"/>
          </w:tcPr>
          <w:p>
            <w:pPr>
              <w:spacing w:after="0"/>
              <w:rPr>
                <w:sz w:val="20"/>
                <w:szCs w:val="20"/>
                <w:color w:val="auto"/>
              </w:rPr>
            </w:pPr>
            <w:r>
              <w:rPr>
                <w:rFonts w:ascii="Arial" w:cs="Arial" w:eastAsia="Arial" w:hAnsi="Arial"/>
                <w:sz w:val="20"/>
                <w:szCs w:val="20"/>
                <w:b w:val="1"/>
                <w:bCs w:val="1"/>
                <w:color w:val="auto"/>
              </w:rPr>
              <w:t>Deferred</w:t>
            </w:r>
          </w:p>
        </w:tc>
        <w:tc>
          <w:tcPr>
            <w:tcW w:w="2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3"/>
        </w:trPr>
        <w:tc>
          <w:tcPr>
            <w:tcW w:w="4900" w:type="dxa"/>
            <w:vAlign w:val="bottom"/>
          </w:tcPr>
          <w:p>
            <w:pPr>
              <w:spacing w:after="0"/>
              <w:rPr>
                <w:sz w:val="20"/>
                <w:szCs w:val="20"/>
                <w:color w:val="auto"/>
              </w:rPr>
            </w:pPr>
            <w:r>
              <w:rPr>
                <w:rFonts w:ascii="Arial" w:cs="Arial" w:eastAsia="Arial" w:hAnsi="Arial"/>
                <w:sz w:val="20"/>
                <w:szCs w:val="20"/>
                <w:color w:val="auto"/>
              </w:rPr>
              <w:t>Domestic</w:t>
            </w:r>
          </w:p>
        </w:tc>
        <w:tc>
          <w:tcPr>
            <w:tcW w:w="20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(61)</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w w:val="94"/>
              </w:rPr>
              <w:t>(1,303)</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$(2,324)</w:t>
            </w:r>
          </w:p>
        </w:tc>
      </w:tr>
      <w:tr>
        <w:trPr>
          <w:trHeight w:val="282"/>
        </w:trPr>
        <w:tc>
          <w:tcPr>
            <w:tcW w:w="4900" w:type="dxa"/>
            <w:vAlign w:val="bottom"/>
          </w:tcPr>
          <w:p>
            <w:pPr>
              <w:spacing w:after="0"/>
              <w:rPr>
                <w:sz w:val="20"/>
                <w:szCs w:val="20"/>
                <w:color w:val="auto"/>
              </w:rPr>
            </w:pPr>
            <w:r>
              <w:rPr>
                <w:rFonts w:ascii="Arial" w:cs="Arial" w:eastAsia="Arial" w:hAnsi="Arial"/>
                <w:sz w:val="20"/>
                <w:szCs w:val="20"/>
                <w:color w:val="auto"/>
              </w:rPr>
              <w:t>Foreign</w:t>
            </w:r>
          </w:p>
        </w:tc>
        <w:tc>
          <w:tcPr>
            <w:tcW w:w="20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(431)</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(146)</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(565)</w:t>
            </w:r>
          </w:p>
        </w:tc>
      </w:tr>
      <w:tr>
        <w:trPr>
          <w:trHeight w:val="20"/>
        </w:trPr>
        <w:tc>
          <w:tcPr>
            <w:tcW w:w="49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4900" w:type="dxa"/>
            <w:vAlign w:val="bottom"/>
          </w:tcPr>
          <w:p>
            <w:pPr>
              <w:spacing w:after="0"/>
              <w:rPr>
                <w:sz w:val="20"/>
                <w:szCs w:val="20"/>
                <w:color w:val="auto"/>
              </w:rPr>
            </w:pPr>
            <w:r>
              <w:rPr>
                <w:rFonts w:ascii="Arial" w:cs="Arial" w:eastAsia="Arial" w:hAnsi="Arial"/>
                <w:sz w:val="20"/>
                <w:szCs w:val="20"/>
                <w:color w:val="auto"/>
              </w:rPr>
              <w:t>Total deferred taxes</w:t>
            </w:r>
          </w:p>
        </w:tc>
        <w:tc>
          <w:tcPr>
            <w:tcW w:w="20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(492)</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w w:val="94"/>
              </w:rPr>
              <w:t>(1,449)</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$(2,889)</w:t>
            </w:r>
          </w:p>
        </w:tc>
      </w:tr>
      <w:tr>
        <w:trPr>
          <w:trHeight w:val="20"/>
        </w:trPr>
        <w:tc>
          <w:tcPr>
            <w:tcW w:w="49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9"/>
        </w:trPr>
        <w:tc>
          <w:tcPr>
            <w:tcW w:w="4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income tax expense (benefit)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w w:val="95"/>
              </w:rPr>
              <w:t>2,364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$ 1,377</w:t>
            </w:r>
          </w:p>
        </w:tc>
        <w:tc>
          <w:tcPr>
            <w:tcW w:w="60" w:type="dxa"/>
            <w:vAlign w:val="bottom"/>
          </w:tcPr>
          <w:p>
            <w:pPr>
              <w:spacing w:after="0"/>
              <w:rPr>
                <w:sz w:val="22"/>
                <w:szCs w:val="22"/>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0039"/>
        </w:rPr>
        <w:t>Effective Tax Rate Reconciliation</w:t>
      </w:r>
    </w:p>
    <w:p>
      <w:pPr>
        <w:spacing w:after="0" w:line="131" w:lineRule="exact"/>
        <w:rPr>
          <w:sz w:val="20"/>
          <w:szCs w:val="20"/>
          <w:color w:val="auto"/>
        </w:rPr>
      </w:pPr>
    </w:p>
    <w:p>
      <w:pPr>
        <w:ind w:left="20" w:right="340" w:firstLine="359"/>
        <w:spacing w:after="0" w:line="269" w:lineRule="auto"/>
        <w:rPr>
          <w:sz w:val="20"/>
          <w:szCs w:val="20"/>
          <w:color w:val="auto"/>
        </w:rPr>
      </w:pPr>
      <w:r>
        <w:rPr>
          <w:rFonts w:ascii="Arial" w:cs="Arial" w:eastAsia="Arial" w:hAnsi="Arial"/>
          <w:sz w:val="20"/>
          <w:szCs w:val="20"/>
          <w:color w:val="auto"/>
        </w:rPr>
        <w:t>ASU 2023-09 was adopted on a prospective basis for the year ended December 31, 2025, accordingly the following table has been included which reconciles the U.S. federal statutory tax rate and expense to the effective tax rate: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b w:val="1"/>
                <w:bCs w:val="1"/>
                <w:color w:val="auto"/>
              </w:rPr>
              <w:t>year ended December 31 (dollars in millions, except for percentages)</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0"/>
                <w:szCs w:val="20"/>
                <w:color w:val="auto"/>
              </w:rPr>
            </w:pPr>
            <w:r>
              <w:rPr>
                <w:rFonts w:ascii="Arial" w:cs="Arial" w:eastAsia="Arial" w:hAnsi="Arial"/>
                <w:sz w:val="20"/>
                <w:szCs w:val="20"/>
                <w:color w:val="auto"/>
              </w:rPr>
              <w:t>Statutory tax rate</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$ 1,385</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21.0%</w:t>
            </w:r>
          </w:p>
        </w:tc>
      </w:tr>
      <w:tr>
        <w:trPr>
          <w:trHeight w:val="279"/>
        </w:trPr>
        <w:tc>
          <w:tcPr>
            <w:tcW w:w="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20"/>
                <w:szCs w:val="20"/>
                <w:color w:val="auto"/>
              </w:rPr>
              <w:t>Foreign tax effects</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20"/>
                <w:szCs w:val="20"/>
                <w:color w:val="auto"/>
              </w:rPr>
              <w:t>Puerto Rico</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Tax rate differential</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1,426</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21.6</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Impact from industrial development income</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(2,989)</w:t>
            </w:r>
          </w:p>
        </w:tc>
        <w:tc>
          <w:tcPr>
            <w:tcW w:w="640" w:type="dxa"/>
            <w:vAlign w:val="bottom"/>
          </w:tcPr>
          <w:p>
            <w:pPr>
              <w:jc w:val="right"/>
              <w:spacing w:after="0"/>
              <w:rPr>
                <w:sz w:val="20"/>
                <w:szCs w:val="20"/>
                <w:color w:val="auto"/>
              </w:rPr>
            </w:pPr>
            <w:r>
              <w:rPr>
                <w:rFonts w:ascii="Arial" w:cs="Arial" w:eastAsia="Arial" w:hAnsi="Arial"/>
                <w:sz w:val="20"/>
                <w:szCs w:val="20"/>
                <w:color w:val="auto"/>
              </w:rPr>
              <w:t>(45.3)</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Other</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(23)</w:t>
            </w:r>
          </w:p>
        </w:tc>
        <w:tc>
          <w:tcPr>
            <w:tcW w:w="640" w:type="dxa"/>
            <w:vAlign w:val="bottom"/>
          </w:tcPr>
          <w:p>
            <w:pPr>
              <w:jc w:val="right"/>
              <w:spacing w:after="0"/>
              <w:rPr>
                <w:sz w:val="20"/>
                <w:szCs w:val="20"/>
                <w:color w:val="auto"/>
              </w:rPr>
            </w:pPr>
            <w:r>
              <w:rPr>
                <w:rFonts w:ascii="Arial" w:cs="Arial" w:eastAsia="Arial" w:hAnsi="Arial"/>
                <w:sz w:val="20"/>
                <w:szCs w:val="20"/>
                <w:color w:val="auto"/>
              </w:rPr>
              <w:t>(0.3)</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20"/>
                <w:szCs w:val="20"/>
                <w:color w:val="auto"/>
              </w:rPr>
              <w:t>Bermuda</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Tax rate differential</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104</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1.6</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Valuation allowances</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286</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4.3</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Other</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(14)</w:t>
            </w:r>
          </w:p>
        </w:tc>
        <w:tc>
          <w:tcPr>
            <w:tcW w:w="640" w:type="dxa"/>
            <w:vAlign w:val="bottom"/>
          </w:tcPr>
          <w:p>
            <w:pPr>
              <w:jc w:val="right"/>
              <w:spacing w:after="0"/>
              <w:rPr>
                <w:sz w:val="20"/>
                <w:szCs w:val="20"/>
                <w:color w:val="auto"/>
              </w:rPr>
            </w:pPr>
            <w:r>
              <w:rPr>
                <w:rFonts w:ascii="Arial" w:cs="Arial" w:eastAsia="Arial" w:hAnsi="Arial"/>
                <w:sz w:val="20"/>
                <w:szCs w:val="20"/>
                <w:color w:val="auto"/>
              </w:rPr>
              <w:t>(0.2)</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20"/>
                <w:szCs w:val="20"/>
                <w:color w:val="auto"/>
              </w:rPr>
              <w:t>Ireland</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Tax rate differential</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(115)</w:t>
            </w:r>
          </w:p>
        </w:tc>
        <w:tc>
          <w:tcPr>
            <w:tcW w:w="640" w:type="dxa"/>
            <w:vAlign w:val="bottom"/>
          </w:tcPr>
          <w:p>
            <w:pPr>
              <w:jc w:val="right"/>
              <w:spacing w:after="0"/>
              <w:rPr>
                <w:sz w:val="20"/>
                <w:szCs w:val="20"/>
                <w:color w:val="auto"/>
              </w:rPr>
            </w:pPr>
            <w:r>
              <w:rPr>
                <w:rFonts w:ascii="Arial" w:cs="Arial" w:eastAsia="Arial" w:hAnsi="Arial"/>
                <w:sz w:val="20"/>
                <w:szCs w:val="20"/>
                <w:color w:val="auto"/>
              </w:rPr>
              <w:t>(1.7)</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Net operating loss utilization</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101</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1.5</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Other</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(7)</w:t>
            </w:r>
          </w:p>
        </w:tc>
        <w:tc>
          <w:tcPr>
            <w:tcW w:w="640" w:type="dxa"/>
            <w:vAlign w:val="bottom"/>
          </w:tcPr>
          <w:p>
            <w:pPr>
              <w:jc w:val="right"/>
              <w:spacing w:after="0"/>
              <w:rPr>
                <w:sz w:val="20"/>
                <w:szCs w:val="20"/>
                <w:color w:val="auto"/>
              </w:rPr>
            </w:pPr>
            <w:r>
              <w:rPr>
                <w:rFonts w:ascii="Arial" w:cs="Arial" w:eastAsia="Arial" w:hAnsi="Arial"/>
                <w:sz w:val="20"/>
                <w:szCs w:val="20"/>
                <w:color w:val="auto"/>
              </w:rPr>
              <w:t>(0.1)</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20"/>
                <w:szCs w:val="20"/>
                <w:color w:val="auto"/>
              </w:rPr>
              <w:t>Malta</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Tax rate differential</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(118)</w:t>
            </w:r>
          </w:p>
        </w:tc>
        <w:tc>
          <w:tcPr>
            <w:tcW w:w="640" w:type="dxa"/>
            <w:vAlign w:val="bottom"/>
          </w:tcPr>
          <w:p>
            <w:pPr>
              <w:jc w:val="right"/>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Deduction on equity</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(128)</w:t>
            </w:r>
          </w:p>
        </w:tc>
        <w:tc>
          <w:tcPr>
            <w:tcW w:w="640" w:type="dxa"/>
            <w:vAlign w:val="bottom"/>
          </w:tcPr>
          <w:p>
            <w:pPr>
              <w:jc w:val="right"/>
              <w:spacing w:after="0"/>
              <w:rPr>
                <w:sz w:val="20"/>
                <w:szCs w:val="20"/>
                <w:color w:val="auto"/>
              </w:rPr>
            </w:pPr>
            <w:r>
              <w:rPr>
                <w:rFonts w:ascii="Arial" w:cs="Arial" w:eastAsia="Arial" w:hAnsi="Arial"/>
                <w:sz w:val="20"/>
                <w:szCs w:val="20"/>
                <w:color w:val="auto"/>
              </w:rPr>
              <w:t>(1.9)</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Non-deductible items</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241</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3.7</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0"/>
                <w:szCs w:val="20"/>
                <w:color w:val="auto"/>
              </w:rPr>
              <w:t>Other</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35</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0.5</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20"/>
                <w:szCs w:val="20"/>
                <w:color w:val="auto"/>
              </w:rPr>
              <w:t>All other, net</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94</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1.4</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20"/>
                <w:szCs w:val="20"/>
                <w:color w:val="auto"/>
              </w:rPr>
              <w:t>Effect of cross-border tax laws</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20"/>
                <w:szCs w:val="20"/>
                <w:color w:val="auto"/>
              </w:rPr>
              <w:t>Global intangible low-taxed income, net of foreign tax credit (FTC)</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1,114</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16.9</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20"/>
                <w:szCs w:val="20"/>
                <w:color w:val="auto"/>
              </w:rPr>
              <w:t>U.S. tax impact of branch accounting, net of FTC</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(149)</w:t>
            </w:r>
          </w:p>
        </w:tc>
        <w:tc>
          <w:tcPr>
            <w:tcW w:w="640" w:type="dxa"/>
            <w:vAlign w:val="bottom"/>
          </w:tcPr>
          <w:p>
            <w:pPr>
              <w:jc w:val="right"/>
              <w:spacing w:after="0"/>
              <w:rPr>
                <w:sz w:val="20"/>
                <w:szCs w:val="20"/>
                <w:color w:val="auto"/>
              </w:rPr>
            </w:pPr>
            <w:r>
              <w:rPr>
                <w:rFonts w:ascii="Arial" w:cs="Arial" w:eastAsia="Arial" w:hAnsi="Arial"/>
                <w:sz w:val="20"/>
                <w:szCs w:val="20"/>
                <w:color w:val="auto"/>
              </w:rPr>
              <w:t>(2.3)</w:t>
            </w:r>
          </w:p>
        </w:tc>
        <w:tc>
          <w:tcPr>
            <w:tcW w:w="4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20"/>
                <w:szCs w:val="20"/>
                <w:color w:val="auto"/>
              </w:rPr>
              <w:t>Other</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99</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1.5</w:t>
            </w:r>
          </w:p>
        </w:tc>
        <w:tc>
          <w:tcPr>
            <w:tcW w:w="40" w:type="dxa"/>
            <w:vAlign w:val="bottom"/>
          </w:tcPr>
          <w:p>
            <w:pPr>
              <w:spacing w:after="0"/>
              <w:rPr>
                <w:sz w:val="24"/>
                <w:szCs w:val="24"/>
                <w:color w:val="auto"/>
              </w:rPr>
            </w:pPr>
          </w:p>
        </w:tc>
      </w:tr>
      <w:tr>
        <w:trPr>
          <w:trHeight w:val="279"/>
        </w:trPr>
        <w:tc>
          <w:tcPr>
            <w:tcW w:w="6740" w:type="dxa"/>
            <w:vAlign w:val="bottom"/>
            <w:gridSpan w:val="2"/>
          </w:tcPr>
          <w:p>
            <w:pPr>
              <w:ind w:left="20"/>
              <w:spacing w:after="0"/>
              <w:rPr>
                <w:sz w:val="20"/>
                <w:szCs w:val="20"/>
                <w:color w:val="auto"/>
              </w:rPr>
            </w:pPr>
            <w:r>
              <w:rPr>
                <w:rFonts w:ascii="Arial" w:cs="Arial" w:eastAsia="Arial" w:hAnsi="Arial"/>
                <w:sz w:val="20"/>
                <w:szCs w:val="20"/>
                <w:color w:val="auto"/>
              </w:rPr>
              <w:t>Tax credits</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(142)</w:t>
            </w:r>
          </w:p>
        </w:tc>
        <w:tc>
          <w:tcPr>
            <w:tcW w:w="640" w:type="dxa"/>
            <w:vAlign w:val="bottom"/>
          </w:tcPr>
          <w:p>
            <w:pPr>
              <w:jc w:val="right"/>
              <w:spacing w:after="0"/>
              <w:rPr>
                <w:sz w:val="20"/>
                <w:szCs w:val="20"/>
                <w:color w:val="auto"/>
              </w:rPr>
            </w:pPr>
            <w:r>
              <w:rPr>
                <w:rFonts w:ascii="Arial" w:cs="Arial" w:eastAsia="Arial" w:hAnsi="Arial"/>
                <w:sz w:val="20"/>
                <w:szCs w:val="20"/>
                <w:color w:val="auto"/>
              </w:rPr>
              <w:t>(2.2)</w:t>
            </w:r>
          </w:p>
        </w:tc>
        <w:tc>
          <w:tcPr>
            <w:tcW w:w="40" w:type="dxa"/>
            <w:vAlign w:val="bottom"/>
          </w:tcPr>
          <w:p>
            <w:pPr>
              <w:spacing w:after="0"/>
              <w:rPr>
                <w:sz w:val="24"/>
                <w:szCs w:val="24"/>
                <w:color w:val="auto"/>
              </w:rPr>
            </w:pPr>
          </w:p>
        </w:tc>
      </w:tr>
      <w:tr>
        <w:trPr>
          <w:trHeight w:val="279"/>
        </w:trPr>
        <w:tc>
          <w:tcPr>
            <w:tcW w:w="6740" w:type="dxa"/>
            <w:vAlign w:val="bottom"/>
            <w:gridSpan w:val="2"/>
          </w:tcPr>
          <w:p>
            <w:pPr>
              <w:ind w:left="20"/>
              <w:spacing w:after="0"/>
              <w:rPr>
                <w:sz w:val="20"/>
                <w:szCs w:val="20"/>
                <w:color w:val="auto"/>
              </w:rPr>
            </w:pPr>
            <w:r>
              <w:rPr>
                <w:rFonts w:ascii="Arial" w:cs="Arial" w:eastAsia="Arial" w:hAnsi="Arial"/>
                <w:sz w:val="20"/>
                <w:szCs w:val="20"/>
                <w:color w:val="auto"/>
              </w:rPr>
              <w:t>Unrecognized tax benefits</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654</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9.9</w:t>
            </w:r>
          </w:p>
        </w:tc>
        <w:tc>
          <w:tcPr>
            <w:tcW w:w="40" w:type="dxa"/>
            <w:vAlign w:val="bottom"/>
          </w:tcPr>
          <w:p>
            <w:pPr>
              <w:spacing w:after="0"/>
              <w:rPr>
                <w:sz w:val="24"/>
                <w:szCs w:val="24"/>
                <w:color w:val="auto"/>
              </w:rPr>
            </w:pPr>
          </w:p>
        </w:tc>
      </w:tr>
      <w:tr>
        <w:trPr>
          <w:trHeight w:val="279"/>
        </w:trPr>
        <w:tc>
          <w:tcPr>
            <w:tcW w:w="6740" w:type="dxa"/>
            <w:vAlign w:val="bottom"/>
            <w:gridSpan w:val="2"/>
          </w:tcPr>
          <w:p>
            <w:pPr>
              <w:spacing w:after="0"/>
              <w:rPr>
                <w:sz w:val="20"/>
                <w:szCs w:val="20"/>
                <w:color w:val="auto"/>
              </w:rPr>
            </w:pPr>
            <w:r>
              <w:rPr>
                <w:rFonts w:ascii="Arial" w:cs="Arial" w:eastAsia="Arial" w:hAnsi="Arial"/>
                <w:sz w:val="20"/>
                <w:szCs w:val="20"/>
                <w:color w:val="auto"/>
              </w:rPr>
              <w:t>Change in valuation allowances</w:t>
            </w:r>
          </w:p>
        </w:tc>
        <w:tc>
          <w:tcPr>
            <w:tcW w:w="1740" w:type="dxa"/>
            <w:vAlign w:val="bottom"/>
          </w:tcPr>
          <w:p>
            <w:pPr>
              <w:jc w:val="right"/>
              <w:ind w:right="181"/>
              <w:spacing w:after="0"/>
              <w:rPr>
                <w:sz w:val="20"/>
                <w:szCs w:val="20"/>
                <w:color w:val="auto"/>
              </w:rPr>
            </w:pPr>
            <w:r>
              <w:rPr>
                <w:rFonts w:ascii="Arial" w:cs="Arial" w:eastAsia="Arial" w:hAnsi="Arial"/>
                <w:sz w:val="20"/>
                <w:szCs w:val="20"/>
                <w:color w:val="auto"/>
              </w:rPr>
              <w:t>(94)</w:t>
            </w:r>
          </w:p>
        </w:tc>
        <w:tc>
          <w:tcPr>
            <w:tcW w:w="640" w:type="dxa"/>
            <w:vAlign w:val="bottom"/>
          </w:tcPr>
          <w:p>
            <w:pPr>
              <w:jc w:val="right"/>
              <w:spacing w:after="0"/>
              <w:rPr>
                <w:sz w:val="20"/>
                <w:szCs w:val="20"/>
                <w:color w:val="auto"/>
              </w:rPr>
            </w:pPr>
            <w:r>
              <w:rPr>
                <w:rFonts w:ascii="Arial" w:cs="Arial" w:eastAsia="Arial" w:hAnsi="Arial"/>
                <w:sz w:val="20"/>
                <w:szCs w:val="20"/>
                <w:color w:val="auto"/>
              </w:rPr>
              <w:t>(1.4)</w:t>
            </w:r>
          </w:p>
        </w:tc>
        <w:tc>
          <w:tcPr>
            <w:tcW w:w="40" w:type="dxa"/>
            <w:vAlign w:val="bottom"/>
          </w:tcPr>
          <w:p>
            <w:pPr>
              <w:spacing w:after="0"/>
              <w:rPr>
                <w:sz w:val="24"/>
                <w:szCs w:val="24"/>
                <w:color w:val="auto"/>
              </w:rPr>
            </w:pPr>
          </w:p>
        </w:tc>
      </w:tr>
      <w:tr>
        <w:trPr>
          <w:trHeight w:val="279"/>
        </w:trPr>
        <w:tc>
          <w:tcPr>
            <w:tcW w:w="6740" w:type="dxa"/>
            <w:vAlign w:val="bottom"/>
            <w:gridSpan w:val="2"/>
          </w:tcPr>
          <w:p>
            <w:pPr>
              <w:spacing w:after="0"/>
              <w:rPr>
                <w:sz w:val="20"/>
                <w:szCs w:val="20"/>
                <w:color w:val="auto"/>
              </w:rPr>
            </w:pPr>
            <w:r>
              <w:rPr>
                <w:rFonts w:ascii="Arial" w:cs="Arial" w:eastAsia="Arial" w:hAnsi="Arial"/>
                <w:sz w:val="20"/>
                <w:szCs w:val="20"/>
                <w:color w:val="auto"/>
              </w:rPr>
              <w:t>Non-taxable and non-deductible acquisition costs</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649</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9.8</w:t>
            </w:r>
          </w:p>
        </w:tc>
        <w:tc>
          <w:tcPr>
            <w:tcW w:w="40" w:type="dxa"/>
            <w:vAlign w:val="bottom"/>
          </w:tcPr>
          <w:p>
            <w:pPr>
              <w:spacing w:after="0"/>
              <w:rPr>
                <w:sz w:val="24"/>
                <w:szCs w:val="24"/>
                <w:color w:val="auto"/>
              </w:rPr>
            </w:pPr>
          </w:p>
        </w:tc>
      </w:tr>
      <w:tr>
        <w:trPr>
          <w:trHeight w:val="282"/>
        </w:trPr>
        <w:tc>
          <w:tcPr>
            <w:tcW w:w="67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All other, net</w:t>
            </w:r>
          </w:p>
        </w:tc>
        <w:tc>
          <w:tcPr>
            <w:tcW w:w="174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(45)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c>
          <w:tcPr>
            <w:tcW w:w="40" w:type="dxa"/>
            <w:vAlign w:val="bottom"/>
          </w:tcPr>
          <w:p>
            <w:pPr>
              <w:spacing w:after="0"/>
              <w:rPr>
                <w:sz w:val="24"/>
                <w:szCs w:val="24"/>
                <w:color w:val="auto"/>
              </w:rPr>
            </w:pPr>
          </w:p>
        </w:tc>
      </w:tr>
      <w:tr>
        <w:trPr>
          <w:trHeight w:val="269"/>
        </w:trPr>
        <w:tc>
          <w:tcPr>
            <w:tcW w:w="6740" w:type="dxa"/>
            <w:vAlign w:val="bottom"/>
            <w:gridSpan w:val="2"/>
          </w:tcPr>
          <w:p>
            <w:pPr>
              <w:spacing w:after="0"/>
              <w:rPr>
                <w:sz w:val="20"/>
                <w:szCs w:val="20"/>
                <w:color w:val="auto"/>
              </w:rPr>
            </w:pPr>
            <w:r>
              <w:rPr>
                <w:rFonts w:ascii="Arial" w:cs="Arial" w:eastAsia="Arial" w:hAnsi="Arial"/>
                <w:sz w:val="20"/>
                <w:szCs w:val="20"/>
                <w:color w:val="auto"/>
              </w:rPr>
              <w:t>Effective tax rate</w:t>
            </w:r>
          </w:p>
        </w:tc>
        <w:tc>
          <w:tcPr>
            <w:tcW w:w="1740" w:type="dxa"/>
            <w:vAlign w:val="bottom"/>
          </w:tcPr>
          <w:p>
            <w:pPr>
              <w:jc w:val="right"/>
              <w:ind w:right="241"/>
              <w:spacing w:after="0"/>
              <w:rPr>
                <w:sz w:val="20"/>
                <w:szCs w:val="20"/>
                <w:color w:val="auto"/>
              </w:rPr>
            </w:pPr>
            <w:r>
              <w:rPr>
                <w:rFonts w:ascii="Arial" w:cs="Arial" w:eastAsia="Arial" w:hAnsi="Arial"/>
                <w:sz w:val="20"/>
                <w:szCs w:val="20"/>
                <w:color w:val="auto"/>
              </w:rPr>
              <w:t>$ 2,364</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35.8%</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7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025" w:right="132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98  </w:t>
      </w:r>
      <w:r>
        <w:rPr>
          <w:sz w:val="1"/>
          <w:szCs w:val="1"/>
          <w:color w:val="auto"/>
        </w:rPr>
        <w:drawing>
          <wp:inline distT="0" distB="0" distL="0" distR="0">
            <wp:extent cx="615950" cy="12827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80"/>
          </w:cols>
          <w:pgMar w:left="1380" w:top="1025" w:right="1320" w:bottom="75" w:gutter="0" w:footer="0" w:header="0"/>
          <w:type w:val="continuous"/>
        </w:sectPr>
      </w:pPr>
    </w:p>
    <w:bookmarkStart w:id="104" w:name="page105"/>
    <w:bookmarkEnd w:id="104"/>
    <w:p>
      <w:pPr>
        <w:ind w:left="340"/>
        <w:spacing w:after="0"/>
        <w:rPr>
          <w:sz w:val="20"/>
          <w:szCs w:val="20"/>
          <w:color w:val="auto"/>
        </w:rPr>
      </w:pPr>
      <w:r>
        <w:rPr>
          <w:rFonts w:ascii="Arial" w:cs="Arial" w:eastAsia="Arial" w:hAnsi="Arial"/>
          <w:sz w:val="20"/>
          <w:szCs w:val="20"/>
          <w:color w:val="auto"/>
        </w:rPr>
        <w:t>As previously disclosed for the years ended December 31, 2024 and 2023, prior to the adoption of</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ASU 2023-09, the effective income tax rate differs from the statutory federal income tax rate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Pr>
          <w:p>
            <w:pPr>
              <w:spacing w:after="0"/>
              <w:rPr>
                <w:sz w:val="20"/>
                <w:szCs w:val="20"/>
                <w:color w:val="auto"/>
              </w:rPr>
            </w:pPr>
            <w:r>
              <w:rPr>
                <w:rFonts w:ascii="Arial" w:cs="Arial" w:eastAsia="Arial" w:hAnsi="Arial"/>
                <w:sz w:val="16"/>
                <w:szCs w:val="16"/>
                <w:b w:val="1"/>
                <w:bCs w:val="1"/>
                <w:color w:val="auto"/>
              </w:rPr>
              <w:t>years ended December 31</w:t>
            </w:r>
          </w:p>
        </w:tc>
        <w:tc>
          <w:tcPr>
            <w:tcW w:w="2860" w:type="dxa"/>
            <w:vAlign w:val="bottom"/>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700" w:type="dxa"/>
            <w:vAlign w:val="bottom"/>
          </w:tcPr>
          <w:p>
            <w:pPr>
              <w:jc w:val="right"/>
              <w:ind w:right="102"/>
              <w:spacing w:after="0"/>
              <w:rPr>
                <w:sz w:val="20"/>
                <w:szCs w:val="20"/>
                <w:color w:val="auto"/>
              </w:rPr>
            </w:pPr>
            <w:r>
              <w:rPr>
                <w:rFonts w:ascii="Arial" w:cs="Arial" w:eastAsia="Arial" w:hAnsi="Arial"/>
                <w:sz w:val="16"/>
                <w:szCs w:val="16"/>
                <w:b w:val="1"/>
                <w:bCs w:val="1"/>
                <w:color w:val="auto"/>
              </w:rPr>
              <w:t>2023</w:t>
            </w:r>
          </w:p>
        </w:tc>
      </w:tr>
      <w:tr>
        <w:trPr>
          <w:trHeight w:val="22"/>
        </w:trPr>
        <w:tc>
          <w:tcPr>
            <w:tcW w:w="55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64"/>
        </w:trPr>
        <w:tc>
          <w:tcPr>
            <w:tcW w:w="5540" w:type="dxa"/>
            <w:vAlign w:val="bottom"/>
          </w:tcPr>
          <w:p>
            <w:pPr>
              <w:spacing w:after="0"/>
              <w:rPr>
                <w:sz w:val="20"/>
                <w:szCs w:val="20"/>
                <w:color w:val="auto"/>
              </w:rPr>
            </w:pPr>
            <w:r>
              <w:rPr>
                <w:rFonts w:ascii="Arial" w:cs="Arial" w:eastAsia="Arial" w:hAnsi="Arial"/>
                <w:sz w:val="20"/>
                <w:szCs w:val="20"/>
                <w:color w:val="auto"/>
              </w:rPr>
              <w:t>Statutory tax rate</w:t>
            </w:r>
          </w:p>
        </w:tc>
        <w:tc>
          <w:tcPr>
            <w:tcW w:w="2860" w:type="dxa"/>
            <w:vAlign w:val="bottom"/>
          </w:tcPr>
          <w:p>
            <w:pPr>
              <w:jc w:val="right"/>
              <w:ind w:right="122"/>
              <w:spacing w:after="0"/>
              <w:rPr>
                <w:sz w:val="20"/>
                <w:szCs w:val="20"/>
                <w:color w:val="auto"/>
              </w:rPr>
            </w:pPr>
            <w:r>
              <w:rPr>
                <w:rFonts w:ascii="Arial" w:cs="Arial" w:eastAsia="Arial" w:hAnsi="Arial"/>
                <w:sz w:val="20"/>
                <w:szCs w:val="20"/>
                <w:color w:val="auto"/>
              </w:rPr>
              <w:t>21.0%</w:t>
            </w:r>
          </w:p>
        </w:tc>
        <w:tc>
          <w:tcPr>
            <w:tcW w:w="700" w:type="dxa"/>
            <w:vAlign w:val="bottom"/>
          </w:tcPr>
          <w:p>
            <w:pPr>
              <w:jc w:val="right"/>
              <w:spacing w:after="0"/>
              <w:rPr>
                <w:sz w:val="20"/>
                <w:szCs w:val="20"/>
                <w:color w:val="auto"/>
              </w:rPr>
            </w:pPr>
            <w:r>
              <w:rPr>
                <w:rFonts w:ascii="Arial" w:cs="Arial" w:eastAsia="Arial" w:hAnsi="Arial"/>
                <w:sz w:val="20"/>
                <w:szCs w:val="20"/>
                <w:color w:val="auto"/>
              </w:rPr>
              <w:t>21.0%</w:t>
            </w:r>
          </w:p>
        </w:tc>
      </w:tr>
      <w:tr>
        <w:trPr>
          <w:trHeight w:val="279"/>
        </w:trPr>
        <w:tc>
          <w:tcPr>
            <w:tcW w:w="5540" w:type="dxa"/>
            <w:vAlign w:val="bottom"/>
          </w:tcPr>
          <w:p>
            <w:pPr>
              <w:spacing w:after="0"/>
              <w:rPr>
                <w:sz w:val="20"/>
                <w:szCs w:val="20"/>
                <w:color w:val="auto"/>
              </w:rPr>
            </w:pPr>
            <w:r>
              <w:rPr>
                <w:rFonts w:ascii="Arial" w:cs="Arial" w:eastAsia="Arial" w:hAnsi="Arial"/>
                <w:sz w:val="20"/>
                <w:szCs w:val="20"/>
                <w:color w:val="auto"/>
              </w:rPr>
              <w:t>Effect of foreign operations</w:t>
            </w:r>
          </w:p>
        </w:tc>
        <w:tc>
          <w:tcPr>
            <w:tcW w:w="2860" w:type="dxa"/>
            <w:vAlign w:val="bottom"/>
          </w:tcPr>
          <w:p>
            <w:pPr>
              <w:jc w:val="right"/>
              <w:ind w:right="302"/>
              <w:spacing w:after="0"/>
              <w:rPr>
                <w:sz w:val="20"/>
                <w:szCs w:val="20"/>
                <w:color w:val="auto"/>
              </w:rPr>
            </w:pPr>
            <w:r>
              <w:rPr>
                <w:rFonts w:ascii="Arial" w:cs="Arial" w:eastAsia="Arial" w:hAnsi="Arial"/>
                <w:sz w:val="20"/>
                <w:szCs w:val="20"/>
                <w:color w:val="auto"/>
              </w:rPr>
              <w:t>7.6</w:t>
            </w:r>
          </w:p>
        </w:tc>
        <w:tc>
          <w:tcPr>
            <w:tcW w:w="700" w:type="dxa"/>
            <w:vAlign w:val="bottom"/>
          </w:tcPr>
          <w:p>
            <w:pPr>
              <w:jc w:val="right"/>
              <w:ind w:right="82"/>
              <w:spacing w:after="0"/>
              <w:rPr>
                <w:sz w:val="20"/>
                <w:szCs w:val="20"/>
                <w:color w:val="auto"/>
              </w:rPr>
            </w:pPr>
            <w:r>
              <w:rPr>
                <w:rFonts w:ascii="Arial" w:cs="Arial" w:eastAsia="Arial" w:hAnsi="Arial"/>
                <w:sz w:val="20"/>
                <w:szCs w:val="20"/>
                <w:color w:val="auto"/>
              </w:rPr>
              <w:t>8.0</w:t>
            </w:r>
          </w:p>
        </w:tc>
      </w:tr>
      <w:tr>
        <w:trPr>
          <w:trHeight w:val="279"/>
        </w:trPr>
        <w:tc>
          <w:tcPr>
            <w:tcW w:w="5540" w:type="dxa"/>
            <w:vAlign w:val="bottom"/>
          </w:tcPr>
          <w:p>
            <w:pPr>
              <w:spacing w:after="0"/>
              <w:rPr>
                <w:sz w:val="20"/>
                <w:szCs w:val="20"/>
                <w:color w:val="auto"/>
              </w:rPr>
            </w:pPr>
            <w:r>
              <w:rPr>
                <w:rFonts w:ascii="Arial" w:cs="Arial" w:eastAsia="Arial" w:hAnsi="Arial"/>
                <w:sz w:val="20"/>
                <w:szCs w:val="20"/>
                <w:color w:val="auto"/>
              </w:rPr>
              <w:t>U.S. tax credits</w:t>
            </w:r>
          </w:p>
        </w:tc>
        <w:tc>
          <w:tcPr>
            <w:tcW w:w="2860" w:type="dxa"/>
            <w:vAlign w:val="bottom"/>
          </w:tcPr>
          <w:p>
            <w:pPr>
              <w:jc w:val="right"/>
              <w:ind w:right="242"/>
              <w:spacing w:after="0"/>
              <w:rPr>
                <w:sz w:val="20"/>
                <w:szCs w:val="20"/>
                <w:color w:val="auto"/>
              </w:rPr>
            </w:pPr>
            <w:r>
              <w:rPr>
                <w:rFonts w:ascii="Arial" w:cs="Arial" w:eastAsia="Arial" w:hAnsi="Arial"/>
                <w:sz w:val="20"/>
                <w:szCs w:val="20"/>
                <w:color w:val="auto"/>
              </w:rPr>
              <w:t>(5.4)</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rPr>
              <w:t>(3.1)</w:t>
            </w:r>
          </w:p>
        </w:tc>
      </w:tr>
      <w:tr>
        <w:trPr>
          <w:trHeight w:val="279"/>
        </w:trPr>
        <w:tc>
          <w:tcPr>
            <w:tcW w:w="5540" w:type="dxa"/>
            <w:vAlign w:val="bottom"/>
          </w:tcPr>
          <w:p>
            <w:pPr>
              <w:spacing w:after="0"/>
              <w:rPr>
                <w:sz w:val="20"/>
                <w:szCs w:val="20"/>
                <w:color w:val="auto"/>
              </w:rPr>
            </w:pPr>
            <w:r>
              <w:rPr>
                <w:rFonts w:ascii="Arial" w:cs="Arial" w:eastAsia="Arial" w:hAnsi="Arial"/>
                <w:sz w:val="20"/>
                <w:szCs w:val="20"/>
                <w:color w:val="auto"/>
              </w:rPr>
              <w:t>Stock-based compensation</w:t>
            </w:r>
          </w:p>
        </w:tc>
        <w:tc>
          <w:tcPr>
            <w:tcW w:w="2860" w:type="dxa"/>
            <w:vAlign w:val="bottom"/>
          </w:tcPr>
          <w:p>
            <w:pPr>
              <w:jc w:val="right"/>
              <w:ind w:right="242"/>
              <w:spacing w:after="0"/>
              <w:rPr>
                <w:sz w:val="20"/>
                <w:szCs w:val="20"/>
                <w:color w:val="auto"/>
              </w:rPr>
            </w:pPr>
            <w:r>
              <w:rPr>
                <w:rFonts w:ascii="Arial" w:cs="Arial" w:eastAsia="Arial" w:hAnsi="Arial"/>
                <w:sz w:val="20"/>
                <w:szCs w:val="20"/>
                <w:color w:val="auto"/>
              </w:rPr>
              <w:t>(1.2)</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rPr>
              <w:t>(1.0)</w:t>
            </w:r>
          </w:p>
        </w:tc>
      </w:tr>
      <w:tr>
        <w:trPr>
          <w:trHeight w:val="279"/>
        </w:trPr>
        <w:tc>
          <w:tcPr>
            <w:tcW w:w="5540" w:type="dxa"/>
            <w:vAlign w:val="bottom"/>
          </w:tcPr>
          <w:p>
            <w:pPr>
              <w:spacing w:after="0"/>
              <w:rPr>
                <w:sz w:val="20"/>
                <w:szCs w:val="20"/>
                <w:color w:val="auto"/>
              </w:rPr>
            </w:pPr>
            <w:r>
              <w:rPr>
                <w:rFonts w:ascii="Arial" w:cs="Arial" w:eastAsia="Arial" w:hAnsi="Arial"/>
                <w:sz w:val="20"/>
                <w:szCs w:val="20"/>
                <w:color w:val="auto"/>
              </w:rPr>
              <w:t>Non-deductible expenses</w:t>
            </w:r>
          </w:p>
        </w:tc>
        <w:tc>
          <w:tcPr>
            <w:tcW w:w="2860" w:type="dxa"/>
            <w:vAlign w:val="bottom"/>
          </w:tcPr>
          <w:p>
            <w:pPr>
              <w:jc w:val="right"/>
              <w:ind w:right="302"/>
              <w:spacing w:after="0"/>
              <w:rPr>
                <w:sz w:val="20"/>
                <w:szCs w:val="20"/>
                <w:color w:val="auto"/>
              </w:rPr>
            </w:pPr>
            <w:r>
              <w:rPr>
                <w:rFonts w:ascii="Arial" w:cs="Arial" w:eastAsia="Arial" w:hAnsi="Arial"/>
                <w:sz w:val="20"/>
                <w:szCs w:val="20"/>
                <w:color w:val="auto"/>
              </w:rPr>
              <w:t>1.1</w:t>
            </w:r>
          </w:p>
        </w:tc>
        <w:tc>
          <w:tcPr>
            <w:tcW w:w="700" w:type="dxa"/>
            <w:vAlign w:val="bottom"/>
          </w:tcPr>
          <w:p>
            <w:pPr>
              <w:jc w:val="right"/>
              <w:ind w:right="82"/>
              <w:spacing w:after="0"/>
              <w:rPr>
                <w:sz w:val="20"/>
                <w:szCs w:val="20"/>
                <w:color w:val="auto"/>
              </w:rPr>
            </w:pPr>
            <w:r>
              <w:rPr>
                <w:rFonts w:ascii="Arial" w:cs="Arial" w:eastAsia="Arial" w:hAnsi="Arial"/>
                <w:sz w:val="20"/>
                <w:szCs w:val="20"/>
                <w:color w:val="auto"/>
              </w:rPr>
              <w:t>0.7</w:t>
            </w:r>
          </w:p>
        </w:tc>
      </w:tr>
      <w:tr>
        <w:trPr>
          <w:trHeight w:val="279"/>
        </w:trPr>
        <w:tc>
          <w:tcPr>
            <w:tcW w:w="5540" w:type="dxa"/>
            <w:vAlign w:val="bottom"/>
          </w:tcPr>
          <w:p>
            <w:pPr>
              <w:spacing w:after="0"/>
              <w:rPr>
                <w:sz w:val="20"/>
                <w:szCs w:val="20"/>
                <w:color w:val="auto"/>
              </w:rPr>
            </w:pPr>
            <w:r>
              <w:rPr>
                <w:rFonts w:ascii="Arial" w:cs="Arial" w:eastAsia="Arial" w:hAnsi="Arial"/>
                <w:sz w:val="20"/>
                <w:szCs w:val="20"/>
                <w:color w:val="auto"/>
              </w:rPr>
              <w:t>Tax law changes and related structuring</w:t>
            </w:r>
          </w:p>
        </w:tc>
        <w:tc>
          <w:tcPr>
            <w:tcW w:w="2860" w:type="dxa"/>
            <w:vAlign w:val="bottom"/>
          </w:tcPr>
          <w:p>
            <w:pPr>
              <w:jc w:val="right"/>
              <w:ind w:right="242"/>
              <w:spacing w:after="0"/>
              <w:rPr>
                <w:sz w:val="20"/>
                <w:szCs w:val="20"/>
                <w:color w:val="auto"/>
              </w:rPr>
            </w:pPr>
            <w:r>
              <w:rPr>
                <w:rFonts w:ascii="Arial" w:cs="Arial" w:eastAsia="Arial" w:hAnsi="Arial"/>
                <w:sz w:val="20"/>
                <w:szCs w:val="20"/>
                <w:color w:val="auto"/>
              </w:rPr>
              <w:t>(0.3)</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rPr>
              <w:t>(3.8)</w:t>
            </w:r>
          </w:p>
        </w:tc>
      </w:tr>
      <w:tr>
        <w:trPr>
          <w:trHeight w:val="279"/>
        </w:trPr>
        <w:tc>
          <w:tcPr>
            <w:tcW w:w="5540" w:type="dxa"/>
            <w:vAlign w:val="bottom"/>
          </w:tcPr>
          <w:p>
            <w:pPr>
              <w:spacing w:after="0"/>
              <w:rPr>
                <w:sz w:val="20"/>
                <w:szCs w:val="20"/>
                <w:color w:val="auto"/>
              </w:rPr>
            </w:pPr>
            <w:r>
              <w:rPr>
                <w:rFonts w:ascii="Arial" w:cs="Arial" w:eastAsia="Arial" w:hAnsi="Arial"/>
                <w:sz w:val="20"/>
                <w:szCs w:val="20"/>
                <w:color w:val="auto"/>
              </w:rPr>
              <w:t>Tax audits, settlements and reserves</w:t>
            </w:r>
          </w:p>
        </w:tc>
        <w:tc>
          <w:tcPr>
            <w:tcW w:w="2860" w:type="dxa"/>
            <w:vAlign w:val="bottom"/>
          </w:tcPr>
          <w:p>
            <w:pPr>
              <w:jc w:val="right"/>
              <w:ind w:right="242"/>
              <w:spacing w:after="0"/>
              <w:rPr>
                <w:sz w:val="20"/>
                <w:szCs w:val="20"/>
                <w:color w:val="auto"/>
              </w:rPr>
            </w:pPr>
            <w:r>
              <w:rPr>
                <w:rFonts w:ascii="Arial" w:cs="Arial" w:eastAsia="Arial" w:hAnsi="Arial"/>
                <w:sz w:val="20"/>
                <w:szCs w:val="20"/>
                <w:color w:val="auto"/>
              </w:rPr>
              <w:t>(51.4)</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rPr>
              <w:t>(1.1)</w:t>
            </w:r>
          </w:p>
        </w:tc>
      </w:tr>
      <w:tr>
        <w:trPr>
          <w:trHeight w:val="279"/>
        </w:trPr>
        <w:tc>
          <w:tcPr>
            <w:tcW w:w="5540" w:type="dxa"/>
            <w:vAlign w:val="bottom"/>
          </w:tcPr>
          <w:p>
            <w:pPr>
              <w:spacing w:after="0"/>
              <w:rPr>
                <w:sz w:val="20"/>
                <w:szCs w:val="20"/>
                <w:color w:val="auto"/>
              </w:rPr>
            </w:pPr>
            <w:r>
              <w:rPr>
                <w:rFonts w:ascii="Arial" w:cs="Arial" w:eastAsia="Arial" w:hAnsi="Arial"/>
                <w:sz w:val="20"/>
                <w:szCs w:val="20"/>
                <w:color w:val="auto"/>
              </w:rPr>
              <w:t>Acquisition costs</w:t>
            </w:r>
          </w:p>
        </w:tc>
        <w:tc>
          <w:tcPr>
            <w:tcW w:w="2860" w:type="dxa"/>
            <w:vAlign w:val="bottom"/>
          </w:tcPr>
          <w:p>
            <w:pPr>
              <w:jc w:val="right"/>
              <w:ind w:right="302"/>
              <w:spacing w:after="0"/>
              <w:rPr>
                <w:sz w:val="20"/>
                <w:szCs w:val="20"/>
                <w:color w:val="auto"/>
              </w:rPr>
            </w:pPr>
            <w:r>
              <w:rPr>
                <w:rFonts w:ascii="Arial" w:cs="Arial" w:eastAsia="Arial" w:hAnsi="Arial"/>
                <w:sz w:val="20"/>
                <w:szCs w:val="20"/>
                <w:color w:val="auto"/>
              </w:rPr>
              <w:t>13.4</w:t>
            </w:r>
          </w:p>
        </w:tc>
        <w:tc>
          <w:tcPr>
            <w:tcW w:w="700" w:type="dxa"/>
            <w:vAlign w:val="bottom"/>
          </w:tcPr>
          <w:p>
            <w:pPr>
              <w:jc w:val="right"/>
              <w:ind w:right="82"/>
              <w:spacing w:after="0"/>
              <w:rPr>
                <w:sz w:val="20"/>
                <w:szCs w:val="20"/>
                <w:color w:val="auto"/>
              </w:rPr>
            </w:pPr>
            <w:r>
              <w:rPr>
                <w:rFonts w:ascii="Arial" w:cs="Arial" w:eastAsia="Arial" w:hAnsi="Arial"/>
                <w:sz w:val="20"/>
                <w:szCs w:val="20"/>
                <w:color w:val="auto"/>
              </w:rPr>
              <w:t>0.2</w:t>
            </w:r>
          </w:p>
        </w:tc>
      </w:tr>
      <w:tr>
        <w:trPr>
          <w:trHeight w:val="282"/>
        </w:trPr>
        <w:tc>
          <w:tcPr>
            <w:tcW w:w="5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All other, net</w:t>
            </w:r>
          </w:p>
        </w:tc>
        <w:tc>
          <w:tcPr>
            <w:tcW w:w="286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(0.1)</w:t>
            </w: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1.1</w:t>
            </w:r>
          </w:p>
        </w:tc>
      </w:tr>
      <w:tr>
        <w:trPr>
          <w:trHeight w:val="269"/>
        </w:trPr>
        <w:tc>
          <w:tcPr>
            <w:tcW w:w="5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Effective tax rate</w:t>
            </w:r>
          </w:p>
        </w:tc>
        <w:tc>
          <w:tcPr>
            <w:tcW w:w="28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(15.3)%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22.0%</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firstLine="359"/>
        <w:spacing w:after="0" w:line="261" w:lineRule="auto"/>
        <w:rPr>
          <w:sz w:val="20"/>
          <w:szCs w:val="20"/>
          <w:color w:val="auto"/>
        </w:rPr>
      </w:pPr>
      <w:r>
        <w:rPr>
          <w:rFonts w:ascii="Arial" w:cs="Arial" w:eastAsia="Arial" w:hAnsi="Arial"/>
          <w:sz w:val="20"/>
          <w:szCs w:val="20"/>
          <w:color w:val="auto"/>
        </w:rPr>
        <w:t>The effective income tax rate fluctuates year to year due to the allocation of the company’s taxable earnings among jurisdictions, as well as certain discrete factors and events in each year, including changes in tax law and business development activities. The effective income tax rates in 2025, 2024 and 2023 differed from the statutory tax rate principally due to the impact of foreign operations with lower income tax rates in locations outside the United States, the U.S. global minimum tax, changes in fair value of contingent consideration, tax audits and settlements, tax credits and incentives in the United States, Puerto Rico and other foreign tax jurisdictions, and business development activities. The effective income tax rate in 2025 was higher than 2024 primarily due to a one-time tax benefit associated with the closing of a three-year U.S. IRS examination in 2024, partially offset by decreases in unrecognized tax benefits, a decrease in the impact of acquisition costs related to certain business development activities and a decrease related to the impact of changes in fair value of contingent consideration. The effective income tax rate in 2024 was lower than 2023 due to the closing of the U.S. IRS examination, partially offset by increases in unrecognized tax benefits pertaining to prior years.</w:t>
      </w:r>
    </w:p>
    <w:p>
      <w:pPr>
        <w:spacing w:after="0" w:line="145" w:lineRule="exact"/>
        <w:rPr>
          <w:sz w:val="20"/>
          <w:szCs w:val="20"/>
          <w:color w:val="auto"/>
        </w:rPr>
      </w:pPr>
    </w:p>
    <w:p>
      <w:pPr>
        <w:ind w:firstLine="359"/>
        <w:spacing w:after="0" w:line="280" w:lineRule="auto"/>
        <w:rPr>
          <w:sz w:val="20"/>
          <w:szCs w:val="20"/>
          <w:color w:val="auto"/>
        </w:rPr>
      </w:pPr>
      <w:r>
        <w:rPr>
          <w:rFonts w:ascii="Arial" w:cs="Arial" w:eastAsia="Arial" w:hAnsi="Arial"/>
          <w:sz w:val="19"/>
          <w:szCs w:val="19"/>
          <w:color w:val="auto"/>
        </w:rPr>
        <w:t>The Tax Cuts and Jobs Act (2017 Act) was signed into law in December 2017, resulting in significant changes to the U.S. corporate tax system, including a one-time transition tax on a mandatory deemed repatriation of earnings of certain foreign subsidiaries that were previously untaxed. The 2017 Act also created a U.S. global minimum tax on certain foreign sourced earnings. The company’s accounting policy for the minimum tax on foreign sourced earnings is to report the tax effects on the basis that the minimum tax will be recognized in tax expense in the year it is incurred as a period expense.</w:t>
      </w:r>
    </w:p>
    <w:p>
      <w:pPr>
        <w:spacing w:after="0" w:line="121" w:lineRule="exact"/>
        <w:rPr>
          <w:sz w:val="20"/>
          <w:szCs w:val="20"/>
          <w:color w:val="auto"/>
        </w:rPr>
      </w:pPr>
    </w:p>
    <w:p>
      <w:pPr>
        <w:ind w:right="60" w:firstLine="359"/>
        <w:spacing w:after="0" w:line="263" w:lineRule="auto"/>
        <w:rPr>
          <w:sz w:val="20"/>
          <w:szCs w:val="20"/>
          <w:color w:val="auto"/>
        </w:rPr>
      </w:pPr>
      <w:r>
        <w:rPr>
          <w:rFonts w:ascii="Arial" w:cs="Arial" w:eastAsia="Arial" w:hAnsi="Arial"/>
          <w:sz w:val="20"/>
          <w:szCs w:val="20"/>
          <w:color w:val="auto"/>
        </w:rPr>
        <w:t>On July 4, 2025, the United States government signed into law the One Big Beautiful Bill Act of 2025 (2025 Act). Included within the 2025 Act are provisions that permanently extend certain expiring provisions of the 2017 Act, modify the international tax framework to reduce the tax rate on certain foreign earned income, restore the tax treatment of expensing for domestic research and development costs and bonus depreciation, and allow for full expensing of qualified production property. In addition, the legislation contains multiple effective dates and transition elections, with certain provisions effective in 2025 and others implemented through 2027. The new legislation had a favorable impact on cash tax payments in the current year.</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Income Taxes Paid</w:t>
      </w:r>
    </w:p>
    <w:p>
      <w:pPr>
        <w:spacing w:after="0" w:line="131" w:lineRule="exact"/>
        <w:rPr>
          <w:sz w:val="20"/>
          <w:szCs w:val="20"/>
          <w:color w:val="auto"/>
        </w:rPr>
      </w:pPr>
    </w:p>
    <w:p>
      <w:pPr>
        <w:ind w:right="360" w:firstLine="359"/>
        <w:spacing w:after="0" w:line="269" w:lineRule="auto"/>
        <w:rPr>
          <w:sz w:val="20"/>
          <w:szCs w:val="20"/>
          <w:color w:val="auto"/>
        </w:rPr>
      </w:pPr>
      <w:r>
        <w:rPr>
          <w:rFonts w:ascii="Arial" w:cs="Arial" w:eastAsia="Arial" w:hAnsi="Arial"/>
          <w:sz w:val="20"/>
          <w:szCs w:val="20"/>
          <w:color w:val="auto"/>
        </w:rPr>
        <w:t>ASU 2023-09 was adopted on a prospective basis for the year ended December 31, 2025, accordingly the following table has been included which discloses the amount of income taxes paid (net of refunds) disaggregated by jurisdiction:</w:t>
      </w:r>
    </w:p>
    <w:p>
      <w:pPr>
        <w:sectPr>
          <w:pgSz w:w="11880" w:h="15480" w:orient="portrait"/>
          <w:cols w:equalWidth="0" w:num="1">
            <w:col w:w="9100"/>
          </w:cols>
          <w:pgMar w:left="1400" w:top="1030"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99</w:t>
      </w:r>
    </w:p>
    <w:p>
      <w:pPr>
        <w:sectPr>
          <w:pgSz w:w="11880" w:h="15480" w:orient="portrait"/>
          <w:cols w:equalWidth="0" w:num="1">
            <w:col w:w="9100"/>
          </w:cols>
          <w:pgMar w:left="1400" w:top="1030" w:right="1380" w:bottom="87"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20"/>
                <w:szCs w:val="20"/>
                <w:color w:val="auto"/>
              </w:rPr>
            </w:pPr>
            <w:r>
              <w:rPr>
                <w:rFonts w:ascii="Arial" w:cs="Arial" w:eastAsia="Arial" w:hAnsi="Arial"/>
                <w:sz w:val="16"/>
                <w:szCs w:val="16"/>
                <w:b w:val="1"/>
                <w:bCs w:val="1"/>
                <w:color w:val="auto"/>
              </w:rPr>
              <w:t>year ended December 31 (in millions)</w:t>
            </w:r>
          </w:p>
        </w:tc>
        <w:tc>
          <w:tcPr>
            <w:tcW w:w="3460" w:type="dxa"/>
            <w:vAlign w:val="bottom"/>
          </w:tcPr>
          <w:p>
            <w:pPr>
              <w:jc w:val="right"/>
              <w:ind w:right="43"/>
              <w:spacing w:after="0"/>
              <w:rPr>
                <w:sz w:val="20"/>
                <w:szCs w:val="20"/>
                <w:color w:val="auto"/>
              </w:rPr>
            </w:pPr>
            <w:r>
              <w:rPr>
                <w:rFonts w:ascii="Arial" w:cs="Arial" w:eastAsia="Arial" w:hAnsi="Arial"/>
                <w:sz w:val="16"/>
                <w:szCs w:val="16"/>
                <w:b w:val="1"/>
                <w:bCs w:val="1"/>
                <w:color w:val="auto"/>
              </w:rPr>
              <w:t>2025</w:t>
            </w:r>
          </w:p>
        </w:tc>
      </w:tr>
      <w:tr>
        <w:trPr>
          <w:trHeight w:val="22"/>
        </w:trPr>
        <w:tc>
          <w:tcPr>
            <w:tcW w:w="56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r>
      <w:tr>
        <w:trPr>
          <w:trHeight w:val="264"/>
        </w:trPr>
        <w:tc>
          <w:tcPr>
            <w:tcW w:w="5640" w:type="dxa"/>
            <w:vAlign w:val="bottom"/>
          </w:tcPr>
          <w:p>
            <w:pPr>
              <w:spacing w:after="0"/>
              <w:rPr>
                <w:sz w:val="20"/>
                <w:szCs w:val="20"/>
                <w:color w:val="auto"/>
              </w:rPr>
            </w:pPr>
            <w:r>
              <w:rPr>
                <w:rFonts w:ascii="Arial" w:cs="Arial" w:eastAsia="Arial" w:hAnsi="Arial"/>
                <w:sz w:val="20"/>
                <w:szCs w:val="20"/>
                <w:color w:val="auto"/>
              </w:rPr>
              <w:t>Domestic</w:t>
            </w:r>
          </w:p>
        </w:tc>
        <w:tc>
          <w:tcPr>
            <w:tcW w:w="3460" w:type="dxa"/>
            <w:vAlign w:val="bottom"/>
          </w:tcPr>
          <w:p>
            <w:pPr>
              <w:jc w:val="right"/>
              <w:spacing w:after="0"/>
              <w:rPr>
                <w:sz w:val="20"/>
                <w:szCs w:val="20"/>
                <w:color w:val="auto"/>
              </w:rPr>
            </w:pPr>
            <w:r>
              <w:rPr>
                <w:rFonts w:ascii="Arial" w:cs="Arial" w:eastAsia="Arial" w:hAnsi="Arial"/>
                <w:sz w:val="20"/>
                <w:szCs w:val="20"/>
                <w:color w:val="auto"/>
              </w:rPr>
              <w:t>$2,185</w:t>
            </w:r>
          </w:p>
        </w:tc>
      </w:tr>
      <w:tr>
        <w:trPr>
          <w:trHeight w:val="279"/>
        </w:trPr>
        <w:tc>
          <w:tcPr>
            <w:tcW w:w="5640" w:type="dxa"/>
            <w:vAlign w:val="bottom"/>
          </w:tcPr>
          <w:p>
            <w:pPr>
              <w:spacing w:after="0"/>
              <w:rPr>
                <w:sz w:val="20"/>
                <w:szCs w:val="20"/>
                <w:color w:val="auto"/>
              </w:rPr>
            </w:pPr>
            <w:r>
              <w:rPr>
                <w:rFonts w:ascii="Arial" w:cs="Arial" w:eastAsia="Arial" w:hAnsi="Arial"/>
                <w:sz w:val="20"/>
                <w:szCs w:val="20"/>
                <w:color w:val="auto"/>
              </w:rPr>
              <w:t>Foreign</w:t>
            </w:r>
          </w:p>
        </w:tc>
        <w:tc>
          <w:tcPr>
            <w:tcW w:w="3460" w:type="dxa"/>
            <w:vAlign w:val="bottom"/>
          </w:tcPr>
          <w:p>
            <w:pPr>
              <w:spacing w:after="0"/>
              <w:rPr>
                <w:sz w:val="24"/>
                <w:szCs w:val="24"/>
                <w:color w:val="auto"/>
              </w:rPr>
            </w:pPr>
          </w:p>
        </w:tc>
      </w:tr>
      <w:tr>
        <w:trPr>
          <w:trHeight w:val="279"/>
        </w:trPr>
        <w:tc>
          <w:tcPr>
            <w:tcW w:w="5640" w:type="dxa"/>
            <w:vAlign w:val="bottom"/>
          </w:tcPr>
          <w:p>
            <w:pPr>
              <w:ind w:left="180"/>
              <w:spacing w:after="0"/>
              <w:rPr>
                <w:sz w:val="20"/>
                <w:szCs w:val="20"/>
                <w:color w:val="auto"/>
              </w:rPr>
            </w:pPr>
            <w:r>
              <w:rPr>
                <w:rFonts w:ascii="Arial" w:cs="Arial" w:eastAsia="Arial" w:hAnsi="Arial"/>
                <w:sz w:val="20"/>
                <w:szCs w:val="20"/>
                <w:color w:val="auto"/>
              </w:rPr>
              <w:t>Ireland</w:t>
            </w:r>
          </w:p>
        </w:tc>
        <w:tc>
          <w:tcPr>
            <w:tcW w:w="3460" w:type="dxa"/>
            <w:vAlign w:val="bottom"/>
          </w:tcPr>
          <w:p>
            <w:pPr>
              <w:jc w:val="right"/>
              <w:spacing w:after="0"/>
              <w:rPr>
                <w:sz w:val="20"/>
                <w:szCs w:val="20"/>
                <w:color w:val="auto"/>
              </w:rPr>
            </w:pPr>
            <w:r>
              <w:rPr>
                <w:rFonts w:ascii="Arial" w:cs="Arial" w:eastAsia="Arial" w:hAnsi="Arial"/>
                <w:sz w:val="20"/>
                <w:szCs w:val="20"/>
                <w:color w:val="auto"/>
              </w:rPr>
              <w:t>431</w:t>
            </w:r>
          </w:p>
        </w:tc>
      </w:tr>
      <w:tr>
        <w:trPr>
          <w:trHeight w:val="279"/>
        </w:trPr>
        <w:tc>
          <w:tcPr>
            <w:tcW w:w="5640" w:type="dxa"/>
            <w:vAlign w:val="bottom"/>
          </w:tcPr>
          <w:p>
            <w:pPr>
              <w:ind w:left="180"/>
              <w:spacing w:after="0"/>
              <w:rPr>
                <w:sz w:val="20"/>
                <w:szCs w:val="20"/>
                <w:color w:val="auto"/>
              </w:rPr>
            </w:pPr>
            <w:r>
              <w:rPr>
                <w:rFonts w:ascii="Arial" w:cs="Arial" w:eastAsia="Arial" w:hAnsi="Arial"/>
                <w:sz w:val="20"/>
                <w:szCs w:val="20"/>
                <w:color w:val="auto"/>
              </w:rPr>
              <w:t>Puerto Rico</w:t>
            </w:r>
          </w:p>
        </w:tc>
        <w:tc>
          <w:tcPr>
            <w:tcW w:w="3460" w:type="dxa"/>
            <w:vAlign w:val="bottom"/>
          </w:tcPr>
          <w:p>
            <w:pPr>
              <w:jc w:val="right"/>
              <w:spacing w:after="0"/>
              <w:rPr>
                <w:sz w:val="20"/>
                <w:szCs w:val="20"/>
                <w:color w:val="auto"/>
              </w:rPr>
            </w:pPr>
            <w:r>
              <w:rPr>
                <w:rFonts w:ascii="Arial" w:cs="Arial" w:eastAsia="Arial" w:hAnsi="Arial"/>
                <w:sz w:val="20"/>
                <w:szCs w:val="20"/>
                <w:color w:val="auto"/>
              </w:rPr>
              <w:t>297</w:t>
            </w:r>
          </w:p>
        </w:tc>
      </w:tr>
      <w:tr>
        <w:trPr>
          <w:trHeight w:val="282"/>
        </w:trPr>
        <w:tc>
          <w:tcPr>
            <w:tcW w:w="56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Other</w:t>
            </w: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713</w:t>
            </w:r>
          </w:p>
        </w:tc>
      </w:tr>
      <w:tr>
        <w:trPr>
          <w:trHeight w:val="269"/>
        </w:trPr>
        <w:tc>
          <w:tcPr>
            <w:tcW w:w="5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foreign</w:t>
            </w: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1,441</w:t>
            </w:r>
          </w:p>
        </w:tc>
      </w:tr>
      <w:tr>
        <w:trPr>
          <w:trHeight w:val="269"/>
        </w:trPr>
        <w:tc>
          <w:tcPr>
            <w:tcW w:w="5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Income taxes paid</w:t>
            </w: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$3,626</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660" w:firstLine="359"/>
        <w:spacing w:after="0" w:line="279" w:lineRule="auto"/>
        <w:rPr>
          <w:sz w:val="20"/>
          <w:szCs w:val="20"/>
          <w:color w:val="auto"/>
        </w:rPr>
      </w:pPr>
      <w:r>
        <w:rPr>
          <w:rFonts w:ascii="Arial" w:cs="Arial" w:eastAsia="Arial" w:hAnsi="Arial"/>
          <w:sz w:val="20"/>
          <w:szCs w:val="20"/>
          <w:color w:val="auto"/>
        </w:rPr>
        <w:t>As previously disclosed and prior to the adoption of ASU 2023-09, income taxes paid totaled $4.1 billion and $4.7 billion for the years ended December 31, 2024 and 2023.</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Deferred Tax Assets and Liabilities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1280" w:type="dxa"/>
            <w:vAlign w:val="bottom"/>
          </w:tcPr>
          <w:p>
            <w:pPr>
              <w:spacing w:after="0"/>
              <w:rPr>
                <w:sz w:val="17"/>
                <w:szCs w:val="17"/>
                <w:color w:val="auto"/>
              </w:rPr>
            </w:pPr>
          </w:p>
        </w:tc>
        <w:tc>
          <w:tcPr>
            <w:tcW w:w="840" w:type="dxa"/>
            <w:vAlign w:val="bottom"/>
          </w:tcPr>
          <w:p>
            <w:pPr>
              <w:jc w:val="right"/>
              <w:ind w:right="282"/>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680" w:type="dxa"/>
            <w:vAlign w:val="bottom"/>
          </w:tcPr>
          <w:p>
            <w:pPr>
              <w:jc w:val="right"/>
              <w:ind w:right="12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r>
      <w:tr>
        <w:trPr>
          <w:trHeight w:val="22"/>
        </w:trPr>
        <w:tc>
          <w:tcPr>
            <w:tcW w:w="6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6100" w:type="dxa"/>
            <w:vAlign w:val="bottom"/>
          </w:tcPr>
          <w:p>
            <w:pPr>
              <w:spacing w:after="0"/>
              <w:rPr>
                <w:sz w:val="20"/>
                <w:szCs w:val="20"/>
                <w:color w:val="auto"/>
              </w:rPr>
            </w:pPr>
            <w:r>
              <w:rPr>
                <w:rFonts w:ascii="Arial" w:cs="Arial" w:eastAsia="Arial" w:hAnsi="Arial"/>
                <w:sz w:val="20"/>
                <w:szCs w:val="20"/>
                <w:b w:val="1"/>
                <w:bCs w:val="1"/>
                <w:color w:val="auto"/>
              </w:rPr>
              <w:t>Deferred tax assets</w:t>
            </w: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3"/>
        </w:trPr>
        <w:tc>
          <w:tcPr>
            <w:tcW w:w="6100" w:type="dxa"/>
            <w:vAlign w:val="bottom"/>
          </w:tcPr>
          <w:p>
            <w:pPr>
              <w:spacing w:after="0"/>
              <w:rPr>
                <w:sz w:val="20"/>
                <w:szCs w:val="20"/>
                <w:color w:val="auto"/>
              </w:rPr>
            </w:pPr>
            <w:r>
              <w:rPr>
                <w:rFonts w:ascii="Arial" w:cs="Arial" w:eastAsia="Arial" w:hAnsi="Arial"/>
                <w:sz w:val="20"/>
                <w:szCs w:val="20"/>
                <w:color w:val="auto"/>
              </w:rPr>
              <w:t>Compensation and employee benefits</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74</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215</w:t>
            </w:r>
          </w:p>
        </w:tc>
        <w:tc>
          <w:tcPr>
            <w:tcW w:w="60" w:type="dxa"/>
            <w:vAlign w:val="bottom"/>
          </w:tcPr>
          <w:p>
            <w:pPr>
              <w:spacing w:after="0"/>
              <w:rPr>
                <w:sz w:val="24"/>
                <w:szCs w:val="24"/>
                <w:color w:val="auto"/>
              </w:rPr>
            </w:pPr>
          </w:p>
        </w:tc>
      </w:tr>
      <w:tr>
        <w:trPr>
          <w:trHeight w:val="279"/>
        </w:trPr>
        <w:tc>
          <w:tcPr>
            <w:tcW w:w="6100" w:type="dxa"/>
            <w:vAlign w:val="bottom"/>
          </w:tcPr>
          <w:p>
            <w:pPr>
              <w:spacing w:after="0"/>
              <w:rPr>
                <w:sz w:val="20"/>
                <w:szCs w:val="20"/>
                <w:color w:val="auto"/>
              </w:rPr>
            </w:pPr>
            <w:r>
              <w:rPr>
                <w:rFonts w:ascii="Arial" w:cs="Arial" w:eastAsia="Arial" w:hAnsi="Arial"/>
                <w:sz w:val="20"/>
                <w:szCs w:val="20"/>
                <w:color w:val="auto"/>
              </w:rPr>
              <w:t>Accruals and reserves</w:t>
            </w:r>
          </w:p>
        </w:tc>
        <w:tc>
          <w:tcPr>
            <w:tcW w:w="128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1,133</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1,253</w:t>
            </w:r>
          </w:p>
        </w:tc>
        <w:tc>
          <w:tcPr>
            <w:tcW w:w="60" w:type="dxa"/>
            <w:vAlign w:val="bottom"/>
          </w:tcPr>
          <w:p>
            <w:pPr>
              <w:spacing w:after="0"/>
              <w:rPr>
                <w:sz w:val="24"/>
                <w:szCs w:val="24"/>
                <w:color w:val="auto"/>
              </w:rPr>
            </w:pPr>
          </w:p>
        </w:tc>
      </w:tr>
      <w:tr>
        <w:trPr>
          <w:trHeight w:val="279"/>
        </w:trPr>
        <w:tc>
          <w:tcPr>
            <w:tcW w:w="6100" w:type="dxa"/>
            <w:vAlign w:val="bottom"/>
          </w:tcPr>
          <w:p>
            <w:pPr>
              <w:spacing w:after="0"/>
              <w:rPr>
                <w:sz w:val="20"/>
                <w:szCs w:val="20"/>
                <w:color w:val="auto"/>
              </w:rPr>
            </w:pPr>
            <w:r>
              <w:rPr>
                <w:rFonts w:ascii="Arial" w:cs="Arial" w:eastAsia="Arial" w:hAnsi="Arial"/>
                <w:sz w:val="20"/>
                <w:szCs w:val="20"/>
                <w:color w:val="auto"/>
              </w:rPr>
              <w:t>Chargebacks and rebates</w:t>
            </w:r>
          </w:p>
        </w:tc>
        <w:tc>
          <w:tcPr>
            <w:tcW w:w="128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1,482</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1,354</w:t>
            </w:r>
          </w:p>
        </w:tc>
        <w:tc>
          <w:tcPr>
            <w:tcW w:w="60" w:type="dxa"/>
            <w:vAlign w:val="bottom"/>
          </w:tcPr>
          <w:p>
            <w:pPr>
              <w:spacing w:after="0"/>
              <w:rPr>
                <w:sz w:val="24"/>
                <w:szCs w:val="24"/>
                <w:color w:val="auto"/>
              </w:rPr>
            </w:pPr>
          </w:p>
        </w:tc>
      </w:tr>
      <w:tr>
        <w:trPr>
          <w:trHeight w:val="279"/>
        </w:trPr>
        <w:tc>
          <w:tcPr>
            <w:tcW w:w="6100" w:type="dxa"/>
            <w:vAlign w:val="bottom"/>
          </w:tcPr>
          <w:p>
            <w:pPr>
              <w:spacing w:after="0"/>
              <w:rPr>
                <w:sz w:val="20"/>
                <w:szCs w:val="20"/>
                <w:color w:val="auto"/>
              </w:rPr>
            </w:pPr>
            <w:r>
              <w:rPr>
                <w:rFonts w:ascii="Arial" w:cs="Arial" w:eastAsia="Arial" w:hAnsi="Arial"/>
                <w:sz w:val="20"/>
                <w:szCs w:val="20"/>
                <w:color w:val="auto"/>
              </w:rPr>
              <w:t>Net operating losses and other carryforwards</w:t>
            </w:r>
          </w:p>
        </w:tc>
        <w:tc>
          <w:tcPr>
            <w:tcW w:w="128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16,022</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15,815</w:t>
            </w:r>
          </w:p>
        </w:tc>
        <w:tc>
          <w:tcPr>
            <w:tcW w:w="60" w:type="dxa"/>
            <w:vAlign w:val="bottom"/>
          </w:tcPr>
          <w:p>
            <w:pPr>
              <w:spacing w:after="0"/>
              <w:rPr>
                <w:sz w:val="24"/>
                <w:szCs w:val="24"/>
                <w:color w:val="auto"/>
              </w:rPr>
            </w:pPr>
          </w:p>
        </w:tc>
      </w:tr>
      <w:tr>
        <w:trPr>
          <w:trHeight w:val="282"/>
        </w:trPr>
        <w:tc>
          <w:tcPr>
            <w:tcW w:w="6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w:t>
            </w:r>
          </w:p>
        </w:tc>
        <w:tc>
          <w:tcPr>
            <w:tcW w:w="1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2,504</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2,222</w:t>
            </w:r>
          </w:p>
        </w:tc>
        <w:tc>
          <w:tcPr>
            <w:tcW w:w="60" w:type="dxa"/>
            <w:vAlign w:val="bottom"/>
          </w:tcPr>
          <w:p>
            <w:pPr>
              <w:spacing w:after="0"/>
              <w:rPr>
                <w:sz w:val="24"/>
                <w:szCs w:val="24"/>
                <w:color w:val="auto"/>
              </w:rPr>
            </w:pPr>
          </w:p>
        </w:tc>
      </w:tr>
      <w:tr>
        <w:trPr>
          <w:trHeight w:val="266"/>
        </w:trPr>
        <w:tc>
          <w:tcPr>
            <w:tcW w:w="6100" w:type="dxa"/>
            <w:vAlign w:val="bottom"/>
          </w:tcPr>
          <w:p>
            <w:pPr>
              <w:spacing w:after="0"/>
              <w:rPr>
                <w:sz w:val="20"/>
                <w:szCs w:val="20"/>
                <w:color w:val="auto"/>
              </w:rPr>
            </w:pPr>
            <w:r>
              <w:rPr>
                <w:rFonts w:ascii="Arial" w:cs="Arial" w:eastAsia="Arial" w:hAnsi="Arial"/>
                <w:sz w:val="20"/>
                <w:szCs w:val="20"/>
                <w:color w:val="auto"/>
              </w:rPr>
              <w:t>Total deferred tax assets</w:t>
            </w:r>
          </w:p>
        </w:tc>
        <w:tc>
          <w:tcPr>
            <w:tcW w:w="1280" w:type="dxa"/>
            <w:vAlign w:val="bottom"/>
          </w:tcPr>
          <w:p>
            <w:pPr>
              <w:spacing w:after="0"/>
              <w:rPr>
                <w:sz w:val="23"/>
                <w:szCs w:val="23"/>
                <w:color w:val="auto"/>
              </w:rPr>
            </w:pPr>
          </w:p>
        </w:tc>
        <w:tc>
          <w:tcPr>
            <w:tcW w:w="840" w:type="dxa"/>
            <w:vAlign w:val="bottom"/>
          </w:tcPr>
          <w:p>
            <w:pPr>
              <w:jc w:val="right"/>
              <w:ind w:right="62"/>
              <w:spacing w:after="0"/>
              <w:rPr>
                <w:sz w:val="20"/>
                <w:szCs w:val="20"/>
                <w:color w:val="auto"/>
              </w:rPr>
            </w:pPr>
            <w:r>
              <w:rPr>
                <w:rFonts w:ascii="Arial" w:cs="Arial" w:eastAsia="Arial" w:hAnsi="Arial"/>
                <w:sz w:val="20"/>
                <w:szCs w:val="20"/>
                <w:color w:val="auto"/>
              </w:rPr>
              <w:t>21,215</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20,859</w:t>
            </w:r>
          </w:p>
        </w:tc>
        <w:tc>
          <w:tcPr>
            <w:tcW w:w="60" w:type="dxa"/>
            <w:vAlign w:val="bottom"/>
          </w:tcPr>
          <w:p>
            <w:pPr>
              <w:spacing w:after="0"/>
              <w:rPr>
                <w:sz w:val="23"/>
                <w:szCs w:val="23"/>
                <w:color w:val="auto"/>
              </w:rPr>
            </w:pPr>
          </w:p>
        </w:tc>
      </w:tr>
      <w:tr>
        <w:trPr>
          <w:trHeight w:val="282"/>
        </w:trPr>
        <w:tc>
          <w:tcPr>
            <w:tcW w:w="6100" w:type="dxa"/>
            <w:vAlign w:val="bottom"/>
          </w:tcPr>
          <w:p>
            <w:pPr>
              <w:spacing w:after="0"/>
              <w:rPr>
                <w:sz w:val="20"/>
                <w:szCs w:val="20"/>
                <w:color w:val="auto"/>
              </w:rPr>
            </w:pPr>
            <w:r>
              <w:rPr>
                <w:rFonts w:ascii="Arial" w:cs="Arial" w:eastAsia="Arial" w:hAnsi="Arial"/>
                <w:sz w:val="20"/>
                <w:szCs w:val="20"/>
                <w:color w:val="auto"/>
              </w:rPr>
              <w:t>Valuation allowances</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w w:val="99"/>
              </w:rPr>
              <w:t>(15,018)</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w w:val="96"/>
              </w:rPr>
              <w:t>(14,823)</w:t>
            </w:r>
          </w:p>
        </w:tc>
      </w:tr>
      <w:tr>
        <w:trPr>
          <w:trHeight w:val="269"/>
        </w:trPr>
        <w:tc>
          <w:tcPr>
            <w:tcW w:w="6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Total net deferred tax assets</w:t>
            </w:r>
          </w:p>
        </w:tc>
        <w:tc>
          <w:tcPr>
            <w:tcW w:w="128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20"/>
                <w:szCs w:val="20"/>
                <w:color w:val="auto"/>
              </w:rPr>
              <w:t>6,197</w:t>
            </w:r>
          </w:p>
        </w:tc>
        <w:tc>
          <w:tcPr>
            <w:tcW w:w="20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6,036</w:t>
            </w:r>
          </w:p>
        </w:tc>
        <w:tc>
          <w:tcPr>
            <w:tcW w:w="60" w:type="dxa"/>
            <w:vAlign w:val="bottom"/>
          </w:tcPr>
          <w:p>
            <w:pPr>
              <w:spacing w:after="0"/>
              <w:rPr>
                <w:sz w:val="23"/>
                <w:szCs w:val="23"/>
                <w:color w:val="auto"/>
              </w:rPr>
            </w:pPr>
          </w:p>
        </w:tc>
      </w:tr>
      <w:tr>
        <w:trPr>
          <w:trHeight w:val="262"/>
        </w:trPr>
        <w:tc>
          <w:tcPr>
            <w:tcW w:w="6100" w:type="dxa"/>
            <w:vAlign w:val="bottom"/>
          </w:tcPr>
          <w:p>
            <w:pPr>
              <w:spacing w:after="0"/>
              <w:rPr>
                <w:sz w:val="20"/>
                <w:szCs w:val="20"/>
                <w:color w:val="auto"/>
              </w:rPr>
            </w:pPr>
            <w:r>
              <w:rPr>
                <w:rFonts w:ascii="Arial" w:cs="Arial" w:eastAsia="Arial" w:hAnsi="Arial"/>
                <w:sz w:val="20"/>
                <w:szCs w:val="20"/>
                <w:b w:val="1"/>
                <w:bCs w:val="1"/>
                <w:color w:val="auto"/>
              </w:rPr>
              <w:t>Deferred tax liabilities</w:t>
            </w: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3"/>
        </w:trPr>
        <w:tc>
          <w:tcPr>
            <w:tcW w:w="6100" w:type="dxa"/>
            <w:vAlign w:val="bottom"/>
          </w:tcPr>
          <w:p>
            <w:pPr>
              <w:spacing w:after="0"/>
              <w:rPr>
                <w:sz w:val="20"/>
                <w:szCs w:val="20"/>
                <w:color w:val="auto"/>
              </w:rPr>
            </w:pPr>
            <w:r>
              <w:rPr>
                <w:rFonts w:ascii="Arial" w:cs="Arial" w:eastAsia="Arial" w:hAnsi="Arial"/>
                <w:sz w:val="20"/>
                <w:szCs w:val="20"/>
                <w:color w:val="auto"/>
              </w:rPr>
              <w:t>Excess of book basis over tax basis of intangible assets</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(1,530)</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(1,969)</w:t>
            </w:r>
          </w:p>
        </w:tc>
      </w:tr>
      <w:tr>
        <w:trPr>
          <w:trHeight w:val="279"/>
        </w:trPr>
        <w:tc>
          <w:tcPr>
            <w:tcW w:w="6100" w:type="dxa"/>
            <w:vAlign w:val="bottom"/>
          </w:tcPr>
          <w:p>
            <w:pPr>
              <w:spacing w:after="0"/>
              <w:rPr>
                <w:sz w:val="20"/>
                <w:szCs w:val="20"/>
                <w:color w:val="auto"/>
              </w:rPr>
            </w:pPr>
            <w:r>
              <w:rPr>
                <w:rFonts w:ascii="Arial" w:cs="Arial" w:eastAsia="Arial" w:hAnsi="Arial"/>
                <w:sz w:val="20"/>
                <w:szCs w:val="20"/>
                <w:color w:val="auto"/>
              </w:rPr>
              <w:t>Excess of book basis over tax basis in investments</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(322)</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(302)</w:t>
            </w:r>
          </w:p>
        </w:tc>
      </w:tr>
      <w:tr>
        <w:trPr>
          <w:trHeight w:val="282"/>
        </w:trPr>
        <w:tc>
          <w:tcPr>
            <w:tcW w:w="6100" w:type="dxa"/>
            <w:vAlign w:val="bottom"/>
          </w:tcPr>
          <w:p>
            <w:pPr>
              <w:spacing w:after="0"/>
              <w:rPr>
                <w:sz w:val="20"/>
                <w:szCs w:val="20"/>
                <w:color w:val="auto"/>
              </w:rPr>
            </w:pPr>
            <w:r>
              <w:rPr>
                <w:rFonts w:ascii="Arial" w:cs="Arial" w:eastAsia="Arial" w:hAnsi="Arial"/>
                <w:sz w:val="20"/>
                <w:szCs w:val="20"/>
                <w:color w:val="auto"/>
              </w:rPr>
              <w:t>Other</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(630)</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(718)</w:t>
            </w:r>
          </w:p>
        </w:tc>
      </w:tr>
      <w:tr>
        <w:trPr>
          <w:trHeight w:val="20"/>
        </w:trPr>
        <w:tc>
          <w:tcPr>
            <w:tcW w:w="6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6100" w:type="dxa"/>
            <w:vAlign w:val="bottom"/>
          </w:tcPr>
          <w:p>
            <w:pPr>
              <w:spacing w:after="0"/>
              <w:rPr>
                <w:sz w:val="20"/>
                <w:szCs w:val="20"/>
                <w:color w:val="auto"/>
              </w:rPr>
            </w:pPr>
            <w:r>
              <w:rPr>
                <w:rFonts w:ascii="Arial" w:cs="Arial" w:eastAsia="Arial" w:hAnsi="Arial"/>
                <w:sz w:val="20"/>
                <w:szCs w:val="20"/>
                <w:color w:val="auto"/>
              </w:rPr>
              <w:t>Total deferred tax liabilities</w:t>
            </w:r>
          </w:p>
        </w:tc>
        <w:tc>
          <w:tcPr>
            <w:tcW w:w="1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(2,482)</w:t>
            </w:r>
          </w:p>
        </w:tc>
        <w:tc>
          <w:tcPr>
            <w:tcW w:w="2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(2,989)</w:t>
            </w:r>
          </w:p>
        </w:tc>
      </w:tr>
      <w:tr>
        <w:trPr>
          <w:trHeight w:val="269"/>
        </w:trPr>
        <w:tc>
          <w:tcPr>
            <w:tcW w:w="6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Net deferred tax assets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20"/>
                <w:szCs w:val="20"/>
                <w:color w:val="auto"/>
              </w:rPr>
              <w:t>3,715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3,047</w:t>
            </w:r>
          </w:p>
        </w:tc>
        <w:tc>
          <w:tcPr>
            <w:tcW w:w="60" w:type="dxa"/>
            <w:vAlign w:val="bottom"/>
          </w:tcPr>
          <w:p>
            <w:pPr>
              <w:spacing w:after="0"/>
              <w:rPr>
                <w:sz w:val="23"/>
                <w:szCs w:val="23"/>
                <w:color w:val="auto"/>
              </w:rPr>
            </w:pP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firstLine="359"/>
        <w:spacing w:after="0" w:line="269" w:lineRule="auto"/>
        <w:rPr>
          <w:sz w:val="20"/>
          <w:szCs w:val="20"/>
          <w:color w:val="auto"/>
        </w:rPr>
      </w:pPr>
      <w:r>
        <w:rPr>
          <w:rFonts w:ascii="Arial" w:cs="Arial" w:eastAsia="Arial" w:hAnsi="Arial"/>
          <w:sz w:val="20"/>
          <w:szCs w:val="20"/>
          <w:color w:val="auto"/>
        </w:rPr>
        <w:t>The increase in deferred tax assets is primarily due to losses in other comprehensive income related to net investment hedges. The decrease in deferred tax liabilities is due to the amortization and impairment of intangible assets.</w:t>
      </w:r>
    </w:p>
    <w:p>
      <w:pPr>
        <w:spacing w:after="0" w:line="129" w:lineRule="exact"/>
        <w:rPr>
          <w:sz w:val="20"/>
          <w:szCs w:val="20"/>
          <w:color w:val="auto"/>
        </w:rPr>
      </w:pPr>
    </w:p>
    <w:p>
      <w:pPr>
        <w:jc w:val="both"/>
        <w:ind w:right="120" w:firstLine="359"/>
        <w:spacing w:after="0" w:line="269" w:lineRule="auto"/>
        <w:rPr>
          <w:sz w:val="20"/>
          <w:szCs w:val="20"/>
          <w:color w:val="auto"/>
        </w:rPr>
      </w:pPr>
      <w:r>
        <w:rPr>
          <w:rFonts w:ascii="Arial" w:cs="Arial" w:eastAsia="Arial" w:hAnsi="Arial"/>
          <w:sz w:val="20"/>
          <w:szCs w:val="20"/>
          <w:color w:val="auto"/>
        </w:rPr>
        <w:t>The company had valuation allowances of $15.0 billion as of December 31, 2025 and $14.8 billion as of December 31, 2024. These were principally related to foreign and state net operating losses and other credit carryforwards that are not expected to be realized.</w:t>
      </w:r>
    </w:p>
    <w:p>
      <w:pPr>
        <w:spacing w:after="0" w:line="129" w:lineRule="exact"/>
        <w:rPr>
          <w:sz w:val="20"/>
          <w:szCs w:val="20"/>
          <w:color w:val="auto"/>
        </w:rPr>
      </w:pPr>
    </w:p>
    <w:p>
      <w:pPr>
        <w:jc w:val="both"/>
        <w:ind w:right="80" w:firstLine="359"/>
        <w:spacing w:after="0" w:line="266" w:lineRule="auto"/>
        <w:rPr>
          <w:sz w:val="20"/>
          <w:szCs w:val="20"/>
          <w:color w:val="auto"/>
        </w:rPr>
      </w:pPr>
      <w:r>
        <w:rPr>
          <w:rFonts w:ascii="Arial" w:cs="Arial" w:eastAsia="Arial" w:hAnsi="Arial"/>
          <w:sz w:val="20"/>
          <w:szCs w:val="20"/>
          <w:color w:val="auto"/>
        </w:rPr>
        <w:t>As of December 31, 2025, the company had U.S. federal, state and foreign credit carryforwards of $614 million as well as U.S. federal, state and foreign net operating loss carryforwards of $38.4 billion, which will expire at various times through 2045. The company also had foreign loss carryforwards of $35.1 billion that have no expiration.</w:t>
      </w:r>
    </w:p>
    <w:p>
      <w:pPr>
        <w:spacing w:after="0" w:line="132" w:lineRule="exact"/>
        <w:rPr>
          <w:sz w:val="20"/>
          <w:szCs w:val="20"/>
          <w:color w:val="auto"/>
        </w:rPr>
      </w:pPr>
    </w:p>
    <w:p>
      <w:pPr>
        <w:ind w:right="140" w:firstLine="359"/>
        <w:spacing w:after="0" w:line="280" w:lineRule="auto"/>
        <w:rPr>
          <w:sz w:val="20"/>
          <w:szCs w:val="20"/>
          <w:color w:val="auto"/>
        </w:rPr>
      </w:pPr>
      <w:r>
        <w:rPr>
          <w:rFonts w:ascii="Arial" w:cs="Arial" w:eastAsia="Arial" w:hAnsi="Arial"/>
          <w:sz w:val="19"/>
          <w:szCs w:val="19"/>
          <w:color w:val="auto"/>
        </w:rPr>
        <w:t>Unremitted foreign earnings subject to the 2017 Act’s transition tax are not considered indefinitely reinvested. Post-2017 earnings subject to the U.S. minimum tax on foreign sourced earnings or eligible for the 100% foreign dividends received deduction are also not considered indefinitely reinvested earnings. However, the company generally considers instances of outside basis differences in foreign subsidiaries that would incur additional U.S. tax upon reversal (e.g., capital gain distributions) to be permanent in duration. The unrecognized tax liability is not practicable to determine.</w:t>
      </w:r>
    </w:p>
    <w:p>
      <w:pPr>
        <w:sectPr>
          <w:pgSz w:w="11880" w:h="15480" w:orient="portrait"/>
          <w:cols w:equalWidth="0" w:num="1">
            <w:col w:w="9160"/>
          </w:cols>
          <w:pgMar w:left="1400" w:top="1025" w:right="132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  </w:t>
      </w:r>
      <w:r>
        <w:rPr>
          <w:sz w:val="1"/>
          <w:szCs w:val="1"/>
          <w:color w:val="auto"/>
        </w:rPr>
        <w:drawing>
          <wp:inline distT="0" distB="0" distL="0" distR="0">
            <wp:extent cx="615950" cy="12827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60"/>
          </w:cols>
          <w:pgMar w:left="1400" w:top="1025" w:right="1320" w:bottom="75"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color w:val="000039"/>
        </w:rPr>
        <w:t>Unrecognized Tax Benefits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300" w:type="dxa"/>
            <w:vAlign w:val="bottom"/>
          </w:tcPr>
          <w:p>
            <w:pPr>
              <w:jc w:val="right"/>
              <w:ind w:right="182"/>
              <w:spacing w:after="0"/>
              <w:rPr>
                <w:sz w:val="20"/>
                <w:szCs w:val="20"/>
                <w:color w:val="auto"/>
              </w:rPr>
            </w:pPr>
            <w:r>
              <w:rPr>
                <w:rFonts w:ascii="Arial" w:cs="Arial" w:eastAsia="Arial" w:hAnsi="Arial"/>
                <w:sz w:val="16"/>
                <w:szCs w:val="16"/>
                <w:b w:val="1"/>
                <w:bCs w:val="1"/>
                <w:color w:val="auto"/>
              </w:rPr>
              <w:t>2025</w:t>
            </w:r>
          </w:p>
        </w:tc>
        <w:tc>
          <w:tcPr>
            <w:tcW w:w="920" w:type="dxa"/>
            <w:vAlign w:val="bottom"/>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700" w:type="dxa"/>
            <w:vAlign w:val="bottom"/>
          </w:tcPr>
          <w:p>
            <w:pPr>
              <w:jc w:val="right"/>
              <w:ind w:right="4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22"/>
        </w:trPr>
        <w:tc>
          <w:tcPr>
            <w:tcW w:w="51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180" w:type="dxa"/>
            <w:vAlign w:val="bottom"/>
          </w:tcPr>
          <w:p>
            <w:pPr>
              <w:spacing w:after="0"/>
              <w:rPr>
                <w:sz w:val="20"/>
                <w:szCs w:val="20"/>
                <w:color w:val="auto"/>
              </w:rPr>
            </w:pPr>
            <w:r>
              <w:rPr>
                <w:rFonts w:ascii="Arial" w:cs="Arial" w:eastAsia="Arial" w:hAnsi="Arial"/>
                <w:sz w:val="20"/>
                <w:szCs w:val="20"/>
                <w:color w:val="auto"/>
              </w:rPr>
              <w:t>Beginning balance</w:t>
            </w:r>
          </w:p>
        </w:tc>
        <w:tc>
          <w:tcPr>
            <w:tcW w:w="2300" w:type="dxa"/>
            <w:vAlign w:val="bottom"/>
          </w:tcPr>
          <w:p>
            <w:pPr>
              <w:jc w:val="right"/>
              <w:ind w:right="62"/>
              <w:spacing w:after="0"/>
              <w:rPr>
                <w:sz w:val="20"/>
                <w:szCs w:val="20"/>
                <w:color w:val="auto"/>
              </w:rPr>
            </w:pPr>
            <w:r>
              <w:rPr>
                <w:rFonts w:ascii="Arial" w:cs="Arial" w:eastAsia="Arial" w:hAnsi="Arial"/>
                <w:sz w:val="20"/>
                <w:szCs w:val="20"/>
                <w:color w:val="auto"/>
              </w:rPr>
              <w:t>$4,401</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rPr>
              <w:t>$ 5,762</w:t>
            </w:r>
          </w:p>
        </w:tc>
        <w:tc>
          <w:tcPr>
            <w:tcW w:w="700" w:type="dxa"/>
            <w:vAlign w:val="bottom"/>
          </w:tcPr>
          <w:p>
            <w:pPr>
              <w:jc w:val="right"/>
              <w:spacing w:after="0"/>
              <w:rPr>
                <w:sz w:val="20"/>
                <w:szCs w:val="20"/>
                <w:color w:val="auto"/>
              </w:rPr>
            </w:pPr>
            <w:r>
              <w:rPr>
                <w:rFonts w:ascii="Arial" w:cs="Arial" w:eastAsia="Arial" w:hAnsi="Arial"/>
                <w:sz w:val="20"/>
                <w:szCs w:val="20"/>
                <w:color w:val="auto"/>
              </w:rPr>
              <w:t>$5,670</w:t>
            </w:r>
          </w:p>
        </w:tc>
        <w:tc>
          <w:tcPr>
            <w:tcW w:w="60" w:type="dxa"/>
            <w:vAlign w:val="bottom"/>
          </w:tcPr>
          <w:p>
            <w:pPr>
              <w:spacing w:after="0"/>
              <w:rPr>
                <w:sz w:val="22"/>
                <w:szCs w:val="22"/>
                <w:color w:val="auto"/>
              </w:rPr>
            </w:pP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Increase due to current year tax positions</w:t>
            </w:r>
          </w:p>
        </w:tc>
        <w:tc>
          <w:tcPr>
            <w:tcW w:w="2300" w:type="dxa"/>
            <w:vAlign w:val="bottom"/>
          </w:tcPr>
          <w:p>
            <w:pPr>
              <w:jc w:val="right"/>
              <w:ind w:right="62"/>
              <w:spacing w:after="0"/>
              <w:rPr>
                <w:sz w:val="20"/>
                <w:szCs w:val="20"/>
                <w:color w:val="auto"/>
              </w:rPr>
            </w:pPr>
            <w:r>
              <w:rPr>
                <w:rFonts w:ascii="Arial" w:cs="Arial" w:eastAsia="Arial" w:hAnsi="Arial"/>
                <w:sz w:val="20"/>
                <w:szCs w:val="20"/>
                <w:color w:val="auto"/>
              </w:rPr>
              <w:t>337</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rPr>
              <w:t>173</w:t>
            </w:r>
          </w:p>
        </w:tc>
        <w:tc>
          <w:tcPr>
            <w:tcW w:w="700" w:type="dxa"/>
            <w:vAlign w:val="bottom"/>
          </w:tcPr>
          <w:p>
            <w:pPr>
              <w:jc w:val="right"/>
              <w:spacing w:after="0"/>
              <w:rPr>
                <w:sz w:val="20"/>
                <w:szCs w:val="20"/>
                <w:color w:val="auto"/>
              </w:rPr>
            </w:pPr>
            <w:r>
              <w:rPr>
                <w:rFonts w:ascii="Arial" w:cs="Arial" w:eastAsia="Arial" w:hAnsi="Arial"/>
                <w:sz w:val="20"/>
                <w:szCs w:val="20"/>
                <w:color w:val="auto"/>
              </w:rPr>
              <w:t>129</w:t>
            </w:r>
          </w:p>
        </w:tc>
        <w:tc>
          <w:tcPr>
            <w:tcW w:w="60" w:type="dxa"/>
            <w:vAlign w:val="bottom"/>
          </w:tcPr>
          <w:p>
            <w:pPr>
              <w:spacing w:after="0"/>
              <w:rPr>
                <w:sz w:val="24"/>
                <w:szCs w:val="24"/>
                <w:color w:val="auto"/>
              </w:rPr>
            </w:pP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Increase due to prior year tax positions</w:t>
            </w:r>
          </w:p>
        </w:tc>
        <w:tc>
          <w:tcPr>
            <w:tcW w:w="2300" w:type="dxa"/>
            <w:vAlign w:val="bottom"/>
          </w:tcPr>
          <w:p>
            <w:pPr>
              <w:jc w:val="right"/>
              <w:ind w:right="62"/>
              <w:spacing w:after="0"/>
              <w:rPr>
                <w:sz w:val="20"/>
                <w:szCs w:val="20"/>
                <w:color w:val="auto"/>
              </w:rPr>
            </w:pPr>
            <w:r>
              <w:rPr>
                <w:rFonts w:ascii="Arial" w:cs="Arial" w:eastAsia="Arial" w:hAnsi="Arial"/>
                <w:sz w:val="20"/>
                <w:szCs w:val="20"/>
                <w:color w:val="auto"/>
              </w:rPr>
              <w:t>20</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rPr>
              <w:t>454</w:t>
            </w:r>
          </w:p>
        </w:tc>
        <w:tc>
          <w:tcPr>
            <w:tcW w:w="700" w:type="dxa"/>
            <w:vAlign w:val="bottom"/>
          </w:tcPr>
          <w:p>
            <w:pPr>
              <w:jc w:val="right"/>
              <w:spacing w:after="0"/>
              <w:rPr>
                <w:sz w:val="20"/>
                <w:szCs w:val="20"/>
                <w:color w:val="auto"/>
              </w:rPr>
            </w:pPr>
            <w:r>
              <w:rPr>
                <w:rFonts w:ascii="Arial" w:cs="Arial" w:eastAsia="Arial" w:hAnsi="Arial"/>
                <w:sz w:val="20"/>
                <w:szCs w:val="20"/>
                <w:color w:val="auto"/>
              </w:rPr>
              <w:t>109</w:t>
            </w:r>
          </w:p>
        </w:tc>
        <w:tc>
          <w:tcPr>
            <w:tcW w:w="60" w:type="dxa"/>
            <w:vAlign w:val="bottom"/>
          </w:tcPr>
          <w:p>
            <w:pPr>
              <w:spacing w:after="0"/>
              <w:rPr>
                <w:sz w:val="24"/>
                <w:szCs w:val="24"/>
                <w:color w:val="auto"/>
              </w:rPr>
            </w:pP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Decrease due to prior year tax positions</w:t>
            </w:r>
          </w:p>
        </w:tc>
        <w:tc>
          <w:tcPr>
            <w:tcW w:w="2300" w:type="dxa"/>
            <w:vAlign w:val="bottom"/>
          </w:tcPr>
          <w:p>
            <w:pPr>
              <w:jc w:val="right"/>
              <w:spacing w:after="0"/>
              <w:rPr>
                <w:sz w:val="20"/>
                <w:szCs w:val="20"/>
                <w:color w:val="auto"/>
              </w:rPr>
            </w:pPr>
            <w:r>
              <w:rPr>
                <w:rFonts w:ascii="Arial" w:cs="Arial" w:eastAsia="Arial" w:hAnsi="Arial"/>
                <w:sz w:val="20"/>
                <w:szCs w:val="20"/>
                <w:color w:val="auto"/>
              </w:rPr>
              <w:t>(18)</w:t>
            </w: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(1,741)</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Settlements</w:t>
            </w:r>
          </w:p>
        </w:tc>
        <w:tc>
          <w:tcPr>
            <w:tcW w:w="2300" w:type="dxa"/>
            <w:vAlign w:val="bottom"/>
          </w:tcPr>
          <w:p>
            <w:pPr>
              <w:jc w:val="right"/>
              <w:spacing w:after="0"/>
              <w:rPr>
                <w:sz w:val="20"/>
                <w:szCs w:val="20"/>
                <w:color w:val="auto"/>
              </w:rPr>
            </w:pPr>
            <w:r>
              <w:rPr>
                <w:rFonts w:ascii="Arial" w:cs="Arial" w:eastAsia="Arial" w:hAnsi="Arial"/>
                <w:sz w:val="20"/>
                <w:szCs w:val="20"/>
                <w:color w:val="auto"/>
              </w:rPr>
              <w:t>(222)</w:t>
            </w: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(284)</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(86)</w:t>
            </w: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Increase due to acquisitions</w:t>
            </w:r>
          </w:p>
        </w:tc>
        <w:tc>
          <w:tcPr>
            <w:tcW w:w="2300" w:type="dxa"/>
            <w:vAlign w:val="bottom"/>
          </w:tcPr>
          <w:p>
            <w:pPr>
              <w:jc w:val="right"/>
              <w:ind w:right="62"/>
              <w:spacing w:after="0"/>
              <w:rPr>
                <w:sz w:val="20"/>
                <w:szCs w:val="20"/>
                <w:color w:val="auto"/>
              </w:rPr>
            </w:pPr>
            <w:r>
              <w:rPr>
                <w:rFonts w:ascii="Arial" w:cs="Arial" w:eastAsia="Arial" w:hAnsi="Arial"/>
                <w:sz w:val="20"/>
                <w:szCs w:val="20"/>
                <w:color w:val="auto"/>
              </w:rPr>
              <w:t>12</w:t>
            </w:r>
          </w:p>
        </w:tc>
        <w:tc>
          <w:tcPr>
            <w:tcW w:w="920" w:type="dxa"/>
            <w:vAlign w:val="bottom"/>
          </w:tcPr>
          <w:p>
            <w:pPr>
              <w:jc w:val="right"/>
              <w:ind w:right="62"/>
              <w:spacing w:after="0"/>
              <w:rPr>
                <w:sz w:val="20"/>
                <w:szCs w:val="20"/>
                <w:color w:val="auto"/>
              </w:rPr>
            </w:pPr>
            <w:r>
              <w:rPr>
                <w:rFonts w:ascii="Arial" w:cs="Arial" w:eastAsia="Arial" w:hAnsi="Arial"/>
                <w:sz w:val="20"/>
                <w:szCs w:val="20"/>
                <w:color w:val="auto"/>
              </w:rPr>
              <w:t>82</w:t>
            </w: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282"/>
        </w:trPr>
        <w:tc>
          <w:tcPr>
            <w:tcW w:w="5180" w:type="dxa"/>
            <w:vAlign w:val="bottom"/>
          </w:tcPr>
          <w:p>
            <w:pPr>
              <w:spacing w:after="0"/>
              <w:rPr>
                <w:sz w:val="20"/>
                <w:szCs w:val="20"/>
                <w:color w:val="auto"/>
              </w:rPr>
            </w:pPr>
            <w:r>
              <w:rPr>
                <w:rFonts w:ascii="Arial" w:cs="Arial" w:eastAsia="Arial" w:hAnsi="Arial"/>
                <w:sz w:val="20"/>
                <w:szCs w:val="20"/>
                <w:color w:val="auto"/>
              </w:rPr>
              <w:t>Lapse of statutes of limitations</w:t>
            </w:r>
          </w:p>
        </w:tc>
        <w:tc>
          <w:tcPr>
            <w:tcW w:w="2300" w:type="dxa"/>
            <w:vAlign w:val="bottom"/>
          </w:tcPr>
          <w:p>
            <w:pPr>
              <w:jc w:val="right"/>
              <w:spacing w:after="0"/>
              <w:rPr>
                <w:sz w:val="20"/>
                <w:szCs w:val="20"/>
                <w:color w:val="auto"/>
              </w:rPr>
            </w:pPr>
            <w:r>
              <w:rPr>
                <w:rFonts w:ascii="Arial" w:cs="Arial" w:eastAsia="Arial" w:hAnsi="Arial"/>
                <w:sz w:val="20"/>
                <w:szCs w:val="20"/>
                <w:color w:val="auto"/>
              </w:rPr>
              <w:t>(25)</w:t>
            </w: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(45)</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(39)</w:t>
            </w:r>
          </w:p>
        </w:tc>
      </w:tr>
      <w:tr>
        <w:trPr>
          <w:trHeight w:val="269"/>
        </w:trPr>
        <w:tc>
          <w:tcPr>
            <w:tcW w:w="51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Ending balance</w:t>
            </w:r>
          </w:p>
        </w:tc>
        <w:tc>
          <w:tcPr>
            <w:tcW w:w="23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20"/>
                <w:szCs w:val="20"/>
                <w:color w:val="auto"/>
              </w:rPr>
              <w:t>$4,505</w:t>
            </w:r>
          </w:p>
        </w:tc>
        <w:tc>
          <w:tcPr>
            <w:tcW w:w="9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20"/>
                <w:szCs w:val="20"/>
                <w:color w:val="auto"/>
              </w:rPr>
              <w:t>$ 4,401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$5,762</w:t>
            </w:r>
          </w:p>
        </w:tc>
        <w:tc>
          <w:tcPr>
            <w:tcW w:w="60" w:type="dxa"/>
            <w:vAlign w:val="bottom"/>
          </w:tcPr>
          <w:p>
            <w:pPr>
              <w:spacing w:after="0"/>
              <w:rPr>
                <w:sz w:val="23"/>
                <w:szCs w:val="23"/>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firstLine="359"/>
        <w:spacing w:after="0" w:line="250" w:lineRule="auto"/>
        <w:rPr>
          <w:sz w:val="20"/>
          <w:szCs w:val="20"/>
          <w:color w:val="auto"/>
        </w:rPr>
      </w:pPr>
      <w:r>
        <w:rPr>
          <w:rFonts w:ascii="Arial" w:cs="Arial" w:eastAsia="Arial" w:hAnsi="Arial"/>
          <w:sz w:val="20"/>
          <w:szCs w:val="20"/>
          <w:color w:val="auto"/>
        </w:rPr>
        <w:t>If recognized, the net amount of potential tax benefits that would impact the company’s effective tax rate is $4.4 billion in 2025 and $4.3 billion in 2024. The “Increase due to current year tax positions” and “Increase due to prior year tax positions” in the table above include amounts related to federal, state and international tax items.</w:t>
      </w:r>
    </w:p>
    <w:p>
      <w:pPr>
        <w:spacing w:after="0" w:line="115" w:lineRule="exact"/>
        <w:rPr>
          <w:sz w:val="20"/>
          <w:szCs w:val="20"/>
          <w:color w:val="auto"/>
        </w:rPr>
      </w:pPr>
    </w:p>
    <w:p>
      <w:pPr>
        <w:ind w:right="60" w:firstLine="359"/>
        <w:spacing w:after="0" w:line="248" w:lineRule="auto"/>
        <w:rPr>
          <w:sz w:val="20"/>
          <w:szCs w:val="20"/>
          <w:color w:val="auto"/>
        </w:rPr>
      </w:pPr>
      <w:r>
        <w:rPr>
          <w:rFonts w:ascii="Arial" w:cs="Arial" w:eastAsia="Arial" w:hAnsi="Arial"/>
          <w:sz w:val="20"/>
          <w:szCs w:val="20"/>
          <w:color w:val="auto"/>
        </w:rPr>
        <w:t>AbbVie recognizes interest and penalties related to income tax matters in income tax expense in the consolidated statements of earnings. AbbVie recognized a gross income tax expense of $315 million in 2025, a gross income tax benefit of $179 million in 2024 and a gross income tax expense of</w:t>
      </w:r>
    </w:p>
    <w:p>
      <w:pPr>
        <w:spacing w:after="0" w:line="2"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auto"/>
        </w:rPr>
        <w:t>$430 million in 2023 for interest and penalties related to income tax matters. AbbVie had an accrual for the payment of gross interest and penalties of $1.7 billion at December 31, 2025, $1.4 billion at December 31, 2024 and $1.6 billion at December 31, 2023.</w:t>
      </w:r>
    </w:p>
    <w:p>
      <w:pPr>
        <w:spacing w:after="0" w:line="121" w:lineRule="exact"/>
        <w:rPr>
          <w:sz w:val="20"/>
          <w:szCs w:val="20"/>
          <w:color w:val="auto"/>
        </w:rPr>
      </w:pPr>
    </w:p>
    <w:p>
      <w:pPr>
        <w:ind w:right="140" w:firstLine="359"/>
        <w:spacing w:after="0" w:line="250" w:lineRule="auto"/>
        <w:rPr>
          <w:sz w:val="20"/>
          <w:szCs w:val="20"/>
          <w:color w:val="auto"/>
        </w:rPr>
      </w:pPr>
      <w:r>
        <w:rPr>
          <w:rFonts w:ascii="Arial" w:cs="Arial" w:eastAsia="Arial" w:hAnsi="Arial"/>
          <w:sz w:val="20"/>
          <w:szCs w:val="20"/>
          <w:color w:val="auto"/>
        </w:rPr>
        <w:t>The company is routinely audited by the tax authorities in significant jurisdictions and various federal, state and foreign examinations are currently ongoing. All significant federal, state and international tax matters have been concluded for years before 2010. The company believes adequate provision has been made for all income tax uncertainties.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15 Legal Proceedings and Contingencies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50" w:lineRule="exact"/>
        <w:rPr>
          <w:sz w:val="20"/>
          <w:szCs w:val="20"/>
          <w:color w:val="auto"/>
        </w:rPr>
      </w:pPr>
    </w:p>
    <w:p>
      <w:pPr>
        <w:ind w:right="80" w:firstLine="359"/>
        <w:spacing w:after="0" w:line="259" w:lineRule="auto"/>
        <w:rPr>
          <w:sz w:val="20"/>
          <w:szCs w:val="20"/>
          <w:color w:val="auto"/>
        </w:rPr>
      </w:pPr>
      <w:r>
        <w:rPr>
          <w:rFonts w:ascii="Arial" w:cs="Arial" w:eastAsia="Arial" w:hAnsi="Arial"/>
          <w:sz w:val="19"/>
          <w:szCs w:val="19"/>
          <w:color w:val="auto"/>
        </w:rPr>
        <w:t>AbbVie is subject to contingencies, such as various claims, legal proceedings and investigations regarding product liability, intellectual property, commercial, securities and other matters that arise in the normal course of business. Loss contingency provisions are recorded for probable losses at management’s best estimate of a loss, or when a best estimate cannot be made, a minimum loss contingency amount within a probable range is recorded. The recorded accrual balance for litigation was approximately $1.6 billion as of December 31, 2025 and $2.5 billion as of December 31, 2024. For litigation matters discussed below for which a loss is probable or reasonably possible, the company is unable to estimate the possible loss or range of loss, if any, beyond the amounts accrued. Initiation of new legal proceedings or a change in the status of existing proceedings may result in a change in</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the estimated loss accrued by AbbVie. While it is not feasible to predict the outcome of all proceedings and exposures with certainty, management believes that their ultimate disposition should not have a material adverse effect on AbbVie’s consolidated financial position, results of operations or cash flows.</w:t>
      </w:r>
    </w:p>
    <w:p>
      <w:pPr>
        <w:spacing w:after="0" w:line="101" w:lineRule="exact"/>
        <w:rPr>
          <w:sz w:val="20"/>
          <w:szCs w:val="20"/>
          <w:color w:val="auto"/>
        </w:rPr>
      </w:pPr>
    </w:p>
    <w:p>
      <w:pPr>
        <w:ind w:right="60" w:firstLine="359"/>
        <w:spacing w:after="0" w:line="249" w:lineRule="auto"/>
        <w:rPr>
          <w:sz w:val="20"/>
          <w:szCs w:val="20"/>
          <w:color w:val="auto"/>
        </w:rPr>
      </w:pPr>
      <w:r>
        <w:rPr>
          <w:rFonts w:ascii="Arial" w:cs="Arial" w:eastAsia="Arial" w:hAnsi="Arial"/>
          <w:sz w:val="20"/>
          <w:szCs w:val="20"/>
          <w:color w:val="auto"/>
        </w:rPr>
        <w:t>Subject to certain exceptions specified in the separation agreement by and between Abbott and AbbVie, AbbVie assumed the liability for, and control of, all pending and threatened legal matters related to its business, including liabilities for any claims or legal proceedings related to products that had been part of its business, but were discontinued prior to the distribution, as well as assumed or retained liabilities, and will indemnify Abbott for any liability arising out of or resulting from such assumed legal matters.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Antitrust Litigation</w:t>
      </w:r>
    </w:p>
    <w:p>
      <w:pPr>
        <w:spacing w:after="0" w:line="131" w:lineRule="exact"/>
        <w:rPr>
          <w:sz w:val="20"/>
          <w:szCs w:val="20"/>
          <w:color w:val="auto"/>
        </w:rPr>
      </w:pPr>
    </w:p>
    <w:p>
      <w:pPr>
        <w:ind w:right="80" w:firstLine="359"/>
        <w:spacing w:after="0" w:line="269" w:lineRule="auto"/>
        <w:rPr>
          <w:sz w:val="20"/>
          <w:szCs w:val="20"/>
          <w:color w:val="auto"/>
        </w:rPr>
      </w:pPr>
      <w:r>
        <w:rPr>
          <w:rFonts w:ascii="Arial" w:cs="Arial" w:eastAsia="Arial" w:hAnsi="Arial"/>
          <w:sz w:val="19"/>
          <w:szCs w:val="19"/>
          <w:color w:val="auto"/>
        </w:rPr>
        <w:t>Lawsuits are pending against AbbVie and others generally alleging that the 2005 patent litigation settlement involving Niaspan entered into between Kos Pharmaceuticals, Inc. (a company acquired by Abbott in 2006 and presently a subsidiary of AbbVie) and a generic company violated federal and state antitrust laws and state unfair and deceptive trade practices and unjust enrichment laws. Plaintiffs</w:t>
      </w:r>
    </w:p>
    <w:p>
      <w:pPr>
        <w:sectPr>
          <w:pgSz w:w="11880" w:h="15480" w:orient="portrait"/>
          <w:cols w:equalWidth="0" w:num="1">
            <w:col w:w="9160"/>
          </w:cols>
          <w:pgMar w:left="1400" w:top="1028" w:right="1320" w:bottom="87" w:gutter="0" w:footer="0" w:header="0"/>
        </w:sectPr>
      </w:pPr>
    </w:p>
    <w:p>
      <w:pPr>
        <w:spacing w:after="0" w:line="230"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101</w:t>
      </w:r>
    </w:p>
    <w:p>
      <w:pPr>
        <w:sectPr>
          <w:pgSz w:w="11880" w:h="15480" w:orient="portrait"/>
          <w:cols w:equalWidth="0" w:num="1">
            <w:col w:w="9160"/>
          </w:cols>
          <w:pgMar w:left="1400" w:top="1028" w:right="1320" w:bottom="87" w:gutter="0" w:footer="0" w:header="0"/>
          <w:type w:val="continuous"/>
        </w:sectPr>
      </w:pPr>
    </w:p>
    <w:bookmarkStart w:id="107" w:name="page108"/>
    <w:bookmarkEnd w:id="107"/>
    <w:p>
      <w:pPr>
        <w:spacing w:after="0" w:line="266" w:lineRule="auto"/>
        <w:rPr>
          <w:sz w:val="20"/>
          <w:szCs w:val="20"/>
          <w:color w:val="auto"/>
        </w:rPr>
      </w:pPr>
      <w:r>
        <w:rPr>
          <w:rFonts w:ascii="Arial" w:cs="Arial" w:eastAsia="Arial" w:hAnsi="Arial"/>
          <w:sz w:val="19"/>
          <w:szCs w:val="19"/>
          <w:color w:val="auto"/>
        </w:rPr>
        <w:t>generally seek monetary damages and/or injunctive relief and attorneys’ fees. The lawsuits pending in federal court consist of six individual plaintiff lawsuits and a certified class action by Niaspan direct purchasers. The cases are pending in the United States District Court for the Eastern District of Pennsylvania for coordinated or consolidated pre-trial proceedings under the federal multi-district litigation (MDL) Rules as In re: Niaspan Antitrust Litigation, MDL No. 2460. In October 2016, the Orange County, California District Attorney’s Office filed a lawsuit on behalf of the State of California regarding the Niaspan patent litigation settlement in Orange County Superior Court, asserting a claim under</w:t>
      </w:r>
    </w:p>
    <w:p>
      <w:pPr>
        <w:spacing w:after="0" w:line="2" w:lineRule="exact"/>
        <w:rPr>
          <w:sz w:val="20"/>
          <w:szCs w:val="20"/>
          <w:color w:val="auto"/>
        </w:rPr>
      </w:pPr>
    </w:p>
    <w:p>
      <w:pPr>
        <w:ind w:right="360"/>
        <w:spacing w:after="0" w:line="263" w:lineRule="auto"/>
        <w:rPr>
          <w:sz w:val="20"/>
          <w:szCs w:val="20"/>
          <w:color w:val="auto"/>
        </w:rPr>
      </w:pPr>
      <w:r>
        <w:rPr>
          <w:rFonts w:ascii="Arial" w:cs="Arial" w:eastAsia="Arial" w:hAnsi="Arial"/>
          <w:sz w:val="20"/>
          <w:szCs w:val="20"/>
          <w:color w:val="auto"/>
        </w:rPr>
        <w:t>the unfair competition provision of the California Business and Professions Code seeking injunctive relief, restitution, civil penalties and attorneys’ fees.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Government Proceedings</w:t>
      </w:r>
    </w:p>
    <w:p>
      <w:pPr>
        <w:spacing w:after="0" w:line="131"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Lawsuits are pending against Allergan and several other manufacturers generally alleging that they improperly promoted and sold prescription opioid products. Approximately 335 lawsuits are pending against Allergan in federal and state courts. Most of the federal court lawsuits are consolidated for pre-trial purposes in the United States District Court for the Northern District of Ohio under the MDL rules as In re: National Prescription Opiate Litigation, MDL No. 2804. Approximately 25 of the lawsuits are pending in various state courts. The plaintiffs in these lawsuits, which include counties, cities, other municipal entities, Native American tribes, union trust funds and other third-party payors, private hospitals and personal injury claimants, generally seek compensatory and punitive damages. Of these approximately 335 lawsuits, approximately 20 of them are brought by counties, cities and other municipal entities, approximately 5 of which are in the process of being dismissed pursuant to the previously announced settlement.</w:t>
      </w:r>
    </w:p>
    <w:p>
      <w:pPr>
        <w:spacing w:after="0" w:line="129" w:lineRule="exact"/>
        <w:rPr>
          <w:sz w:val="20"/>
          <w:szCs w:val="20"/>
          <w:color w:val="auto"/>
        </w:rPr>
      </w:pPr>
    </w:p>
    <w:p>
      <w:pPr>
        <w:ind w:right="100" w:firstLine="359"/>
        <w:spacing w:after="0" w:line="254" w:lineRule="auto"/>
        <w:rPr>
          <w:sz w:val="20"/>
          <w:szCs w:val="20"/>
          <w:color w:val="auto"/>
        </w:rPr>
      </w:pPr>
      <w:r>
        <w:rPr>
          <w:rFonts w:ascii="Arial" w:cs="Arial" w:eastAsia="Arial" w:hAnsi="Arial"/>
          <w:sz w:val="20"/>
          <w:szCs w:val="20"/>
          <w:color w:val="auto"/>
        </w:rPr>
        <w:t>In March 2023, AbbVie Inc. filed a petition in the United States Tax Court, AbbVie Inc. and Subsidiaries v. Commissioner of Internal Revenue. The petition disputed the Commissioner of Internal Revenue determination concerning a $572 million income tax benefit recorded in 2014 related to a payment made to a third party for the termination of a proposed business combination. In June 2025, the United States Tax Court granted AbbVie’s motion for summary judgment and denied the Commissioner of Internal Revenue’s cross-motion for summary judgment. The United States Tax Court ordered and decided that there is no deficiency in income tax due from AbbVie for the tax year 2014. In September 2025, the Commissioner of Internal Revenue appealed this decision. In February 2026, the Commissioner of Internal Revenue withdrew its appeal. As a result, the United States Tax Court’s decision stands and the matter is resolved.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Product Liability and General Litigation</w:t>
      </w:r>
    </w:p>
    <w:p>
      <w:pPr>
        <w:spacing w:after="0" w:line="131"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In April 2023, a putative class action lawsuit, Camargo v. AbbVie Inc., was filed in the United States District Court for the Northern District of Illinois on behalf of Humira patients who paid for Humira based on its list price or who, after losing insurance coverage, discontinued Humira because they could not pay based on its list price, alleging that Humira’s list price is excessive in violation of multiple states’ unfair and deceptive trade practices statutes. The plaintiff generally seeks monetary damages, injunctive relief, and attorneys’ fees. In January 2026, the court granted AbbVie’s motion to dismiss, without prejudice.</w:t>
      </w:r>
    </w:p>
    <w:p>
      <w:pPr>
        <w:spacing w:after="0" w:line="119"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color w:val="auto"/>
        </w:rPr>
        <w:t>Lawsuits are pending against various Allergan entities in the United States and other countries including Australia, Brazil, Canada and South Korea, in which plaintiffs generally allege that they developed, or may develop, breast implant-associated anaplastic large cell lymphoma (ALCL) or other injuries from Allergan’s Biocell textured breast implants, which were voluntarily withdrawn from worldwide markets in 2019. Approximately 150 ALCL lawsuits and 1,320 other lawsuits are coordinated for pre-trial purposes in the United States District Court for the District of New Jersey under the MDL rules as In re: Allergan Biocell Textured Breast Implant Product Liability Litigation, MDL No. 2921. Approximately 75 ALCL lawsuits and 470 other lawsuits are pending in various state courts. Approximately 70 ALCL and 1,080 other lawsuits are pending in other countries. In December 2025, the Amsterdam District Court dismissed all claims pending against Allergan and affiliated entities in the Netherlands, which dismissal is subject to appeal. Plaintiffs generally seek monetary damages, medical monitoring and attorneys’ fees.</w:t>
      </w:r>
    </w:p>
    <w:p>
      <w:pPr>
        <w:sectPr>
          <w:pgSz w:w="11880" w:h="15480" w:orient="portrait"/>
          <w:cols w:equalWidth="0" w:num="1">
            <w:col w:w="9100"/>
          </w:cols>
          <w:pgMar w:left="1400" w:top="1030" w:right="1380" w:bottom="75"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sz w:val="1"/>
          <w:szCs w:val="1"/>
          <w:color w:val="auto"/>
        </w:rPr>
        <w:drawing>
          <wp:inline distT="0" distB="0" distL="0" distR="0">
            <wp:extent cx="615950" cy="12827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108" w:name="page109"/>
    <w:bookmarkEnd w:id="108"/>
    <w:p>
      <w:pPr>
        <w:ind w:firstLine="359"/>
        <w:spacing w:after="0" w:line="254" w:lineRule="auto"/>
        <w:rPr>
          <w:sz w:val="20"/>
          <w:szCs w:val="20"/>
          <w:color w:val="auto"/>
        </w:rPr>
      </w:pPr>
      <w:r>
        <w:rPr>
          <w:rFonts w:ascii="Arial" w:cs="Arial" w:eastAsia="Arial" w:hAnsi="Arial"/>
          <w:sz w:val="20"/>
          <w:szCs w:val="20"/>
          <w:color w:val="auto"/>
        </w:rPr>
        <w:t>In January 2025, a putative class action lawsuit, Sheet Metal Workers’ Health Plan of Southern California, Arizona and Nevada v. AbbVie Inc., was filed in the United States District Court for the Northern District of Illinois on behalf of third-party payors of Humira, alleging that AbbVie’s rebating practices are impairing biosimilar competition with Humira in violation of federal and state antitrust laws. The plaintiff generally seeks monetary damages, injunctive relief and attorneys’ fees.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Intellectual Property Litigation</w:t>
      </w:r>
    </w:p>
    <w:p>
      <w:pPr>
        <w:spacing w:after="0" w:line="131" w:lineRule="exact"/>
        <w:rPr>
          <w:sz w:val="20"/>
          <w:szCs w:val="20"/>
          <w:color w:val="auto"/>
        </w:rPr>
      </w:pPr>
    </w:p>
    <w:p>
      <w:pPr>
        <w:ind w:right="40" w:firstLine="359"/>
        <w:spacing w:after="0" w:line="252" w:lineRule="auto"/>
        <w:rPr>
          <w:sz w:val="20"/>
          <w:szCs w:val="20"/>
          <w:color w:val="auto"/>
        </w:rPr>
      </w:pPr>
      <w:r>
        <w:rPr>
          <w:rFonts w:ascii="Arial" w:cs="Arial" w:eastAsia="Arial" w:hAnsi="Arial"/>
          <w:sz w:val="20"/>
          <w:szCs w:val="20"/>
          <w:color w:val="auto"/>
        </w:rPr>
        <w:t>AbbVie Inc. is seeking to enforce patent rights related to ubrogepant (a drug sold under the trademark Ubrelvy). Litigation was filed in the United States District Court for the District of New Jersey in March 2024 against Aurobindo Pharma U.S.A., Inc., Aurobindo Pharma Limited, and Apitoria Pharma Private Limited; Zydus Pharmaceuticals (USA) Inc. and Zydus Lifesciences Limited; and Hetero USA Inc., Hetero Labs Limited Unit-III, and Hetero Labs Limited. AbbVie alleges defendants’ proposed generic ubrogepant products infringe certain patents and seeks declaratory and injunctive relief. Merck Sharp &amp; Dohme LLC, which exclusively licenses certain patents to AbbVie, is a co-plaintiff in the litigation.</w:t>
      </w:r>
    </w:p>
    <w:p>
      <w:pPr>
        <w:spacing w:after="0" w:line="124"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AbbVie is seeking to enforce patent rights related to atogepant (a drug sold under the trademark Qulipta). Litigation was filed in the United States District Court for the District of New Jersey in December 2025 and January 2026 against Apotex Inc.; Macleods Pharmaceuticals Ltd. and Macleods Pharma USA, Inc.; and Dr. Reddy’s Laboratories, Ltd. and Dr. Reddy’s Laboratories, Inc. AbbVie alleges defendants’ proposed generic atogepant products infringe certain patents and seeks declaratory and injunctive relief.</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16 Segment and Geographic Area Information</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50"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color w:val="auto"/>
        </w:rPr>
        <w:t>AbbVie operates as a single global business segment dedicated to the research and development, manufacturing, commercialization and sale of innovative medicines and therapies. This operating structure enables the Chief Executive Officer, as Chief Operating Decision Maker (CODM), to allocate resources and assess business performance on a global basis in order to achieve established long-term strategic goals. Consistent with this structure, a global research and development and supply chain organization is responsible for the discovery, manufacturing and supply of products. Commercial efforts that coordinate the marketing, sales and distribution of these products are organized by geographic region or therapeutic area. All of these activities are supported by a global corporate administrative staff. The determination of a single business segment is consistent with the consolidated financial information regularly reviewed by the CODM for purposes of assessing performance, allocating resources and planning and forecasting future periods.</w:t>
      </w:r>
    </w:p>
    <w:p>
      <w:pPr>
        <w:spacing w:after="0" w:line="128" w:lineRule="exact"/>
        <w:rPr>
          <w:sz w:val="20"/>
          <w:szCs w:val="20"/>
          <w:color w:val="auto"/>
        </w:rPr>
      </w:pPr>
    </w:p>
    <w:p>
      <w:pPr>
        <w:ind w:right="20" w:firstLine="359"/>
        <w:spacing w:after="0" w:line="253" w:lineRule="auto"/>
        <w:rPr>
          <w:sz w:val="20"/>
          <w:szCs w:val="20"/>
          <w:color w:val="auto"/>
        </w:rPr>
      </w:pPr>
      <w:r>
        <w:rPr>
          <w:rFonts w:ascii="Arial" w:cs="Arial" w:eastAsia="Arial" w:hAnsi="Arial"/>
          <w:sz w:val="20"/>
          <w:szCs w:val="20"/>
          <w:color w:val="auto"/>
        </w:rPr>
        <w:t>The CODM regularly reviews net revenues, net earnings and significant segment expenses and uses net earnings as its principal measure of segment profit or loss. Net earnings and significant segment expenses reviewed by CODM are reported on the consolidated statement of earnings for the years ended December 31, 2025, 2024 and 2023. The CODM uses net earnings as its principal measure of segment profit or loss to compare past financial performance with current performance and analyze underlying business performance and trends. The CODM does not use segment assets to make decisions regarding resources; therefore, the total asset disclosure has not been included.</w:t>
      </w:r>
    </w:p>
    <w:p>
      <w:pPr>
        <w:spacing w:after="0" w:line="119" w:lineRule="exact"/>
        <w:rPr>
          <w:sz w:val="20"/>
          <w:szCs w:val="20"/>
          <w:color w:val="auto"/>
        </w:rPr>
      </w:pPr>
    </w:p>
    <w:p>
      <w:pPr>
        <w:ind w:right="60" w:firstLine="359"/>
        <w:spacing w:after="0" w:line="256" w:lineRule="auto"/>
        <w:rPr>
          <w:sz w:val="20"/>
          <w:szCs w:val="20"/>
          <w:color w:val="auto"/>
        </w:rPr>
      </w:pPr>
      <w:r>
        <w:rPr>
          <w:rFonts w:ascii="Arial" w:cs="Arial" w:eastAsia="Arial" w:hAnsi="Arial"/>
          <w:sz w:val="20"/>
          <w:szCs w:val="20"/>
          <w:color w:val="auto"/>
        </w:rPr>
        <w:t>Substantially all of AbbVie’s pharmaceutical product net revenues in the United States are to three wholesalers. Outside the United States, products are sold primarily to health care providers or through distributors, depending on the market served. The following tables detail AbbVie’s worldwide net revenues:</w:t>
      </w:r>
    </w:p>
    <w:p>
      <w:pPr>
        <w:sectPr>
          <w:pgSz w:w="11880" w:h="15480" w:orient="portrait"/>
          <w:cols w:equalWidth="0" w:num="1">
            <w:col w:w="9100"/>
          </w:cols>
          <w:pgMar w:left="1400" w:top="1030"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103</w:t>
      </w:r>
    </w:p>
    <w:p>
      <w:pPr>
        <w:sectPr>
          <w:pgSz w:w="11880" w:h="15480" w:orient="portrait"/>
          <w:cols w:equalWidth="0" w:num="1">
            <w:col w:w="9100"/>
          </w:cols>
          <w:pgMar w:left="1400" w:top="1030" w:right="1380" w:bottom="87"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97"/>
        </w:trPr>
        <w:tc>
          <w:tcPr>
            <w:tcW w:w="296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jc w:val="right"/>
              <w:ind w:right="281"/>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7"/>
                <w:szCs w:val="17"/>
                <w:color w:val="auto"/>
              </w:rPr>
            </w:pPr>
          </w:p>
        </w:tc>
        <w:tc>
          <w:tcPr>
            <w:tcW w:w="820" w:type="dxa"/>
            <w:vAlign w:val="bottom"/>
          </w:tcPr>
          <w:p>
            <w:pPr>
              <w:jc w:val="right"/>
              <w:ind w:right="301"/>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7"/>
                <w:szCs w:val="17"/>
                <w:color w:val="auto"/>
              </w:rPr>
            </w:pPr>
          </w:p>
        </w:tc>
        <w:tc>
          <w:tcPr>
            <w:tcW w:w="620" w:type="dxa"/>
            <w:vAlign w:val="bottom"/>
          </w:tcPr>
          <w:p>
            <w:pPr>
              <w:jc w:val="right"/>
              <w:ind w:right="101"/>
              <w:spacing w:after="0"/>
              <w:rPr>
                <w:sz w:val="20"/>
                <w:szCs w:val="20"/>
                <w:color w:val="auto"/>
              </w:rPr>
            </w:pPr>
            <w:r>
              <w:rPr>
                <w:rFonts w:ascii="Arial" w:cs="Arial" w:eastAsia="Arial" w:hAnsi="Arial"/>
                <w:sz w:val="16"/>
                <w:szCs w:val="16"/>
                <w:b w:val="1"/>
                <w:bCs w:val="1"/>
                <w:color w:val="auto"/>
              </w:rPr>
              <w:t>2023</w:t>
            </w:r>
          </w:p>
        </w:tc>
      </w:tr>
      <w:tr>
        <w:trPr>
          <w:trHeight w:val="22"/>
        </w:trPr>
        <w:tc>
          <w:tcPr>
            <w:tcW w:w="29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line="225" w:lineRule="exact"/>
              <w:rPr>
                <w:sz w:val="20"/>
                <w:szCs w:val="20"/>
                <w:color w:val="auto"/>
              </w:rPr>
            </w:pPr>
            <w:r>
              <w:rPr>
                <w:rFonts w:ascii="Arial" w:cs="Arial" w:eastAsia="Arial" w:hAnsi="Arial"/>
                <w:sz w:val="20"/>
                <w:szCs w:val="20"/>
                <w:b w:val="1"/>
                <w:bCs w:val="1"/>
                <w:color w:val="auto"/>
              </w:rPr>
              <w:t>Immunology</w:t>
            </w:r>
          </w:p>
        </w:tc>
        <w:tc>
          <w:tcPr>
            <w:tcW w:w="2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0"/>
        </w:trPr>
        <w:tc>
          <w:tcPr>
            <w:tcW w:w="2960" w:type="dxa"/>
            <w:vAlign w:val="bottom"/>
          </w:tcPr>
          <w:p>
            <w:pPr>
              <w:spacing w:after="0" w:line="209" w:lineRule="exact"/>
              <w:rPr>
                <w:sz w:val="20"/>
                <w:szCs w:val="20"/>
                <w:color w:val="auto"/>
              </w:rPr>
            </w:pPr>
            <w:r>
              <w:rPr>
                <w:rFonts w:ascii="Arial" w:cs="Arial" w:eastAsia="Arial" w:hAnsi="Arial"/>
                <w:sz w:val="20"/>
                <w:szCs w:val="20"/>
                <w:color w:val="auto"/>
              </w:rPr>
              <w:t>Skyrizi</w:t>
            </w:r>
          </w:p>
        </w:tc>
        <w:tc>
          <w:tcPr>
            <w:tcW w:w="2620" w:type="dxa"/>
            <w:vAlign w:val="bottom"/>
          </w:tcPr>
          <w:p>
            <w:pPr>
              <w:ind w:left="80"/>
              <w:spacing w:after="0" w:line="209"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w w:val="98"/>
              </w:rPr>
              <w:t>15,202</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w w:val="98"/>
              </w:rPr>
              <w:t>10,086</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auto"/>
              </w:rPr>
              <w:t>6,753</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2,360</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1,632</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1,010</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98"/>
              </w:rPr>
              <w:t>17,562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98"/>
              </w:rPr>
              <w:t>11,718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7,763</w:t>
            </w:r>
          </w:p>
        </w:tc>
      </w:tr>
      <w:tr>
        <w:trPr>
          <w:trHeight w:val="266"/>
        </w:trPr>
        <w:tc>
          <w:tcPr>
            <w:tcW w:w="2960" w:type="dxa"/>
            <w:vAlign w:val="bottom"/>
          </w:tcPr>
          <w:p>
            <w:pPr>
              <w:spacing w:after="0"/>
              <w:rPr>
                <w:sz w:val="20"/>
                <w:szCs w:val="20"/>
                <w:color w:val="auto"/>
              </w:rPr>
            </w:pPr>
            <w:r>
              <w:rPr>
                <w:rFonts w:ascii="Arial" w:cs="Arial" w:eastAsia="Arial" w:hAnsi="Arial"/>
                <w:sz w:val="20"/>
                <w:szCs w:val="20"/>
                <w:color w:val="auto"/>
              </w:rPr>
              <w:t>Rinvoq</w:t>
            </w:r>
          </w:p>
        </w:tc>
        <w:tc>
          <w:tcPr>
            <w:tcW w:w="2620" w:type="dxa"/>
            <w:vAlign w:val="bottom"/>
          </w:tcPr>
          <w:p>
            <w:pPr>
              <w:ind w:left="80"/>
              <w:spacing w:after="0"/>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rPr>
                <w:sz w:val="20"/>
                <w:szCs w:val="20"/>
                <w:color w:val="auto"/>
              </w:rPr>
            </w:pPr>
            <w:r>
              <w:rPr>
                <w:rFonts w:ascii="Arial" w:cs="Arial" w:eastAsia="Arial" w:hAnsi="Arial"/>
                <w:sz w:val="20"/>
                <w:szCs w:val="20"/>
                <w:color w:val="auto"/>
              </w:rPr>
              <w:t>5,940</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rPr>
                <w:sz w:val="20"/>
                <w:szCs w:val="20"/>
                <w:color w:val="auto"/>
              </w:rPr>
            </w:pPr>
            <w:r>
              <w:rPr>
                <w:rFonts w:ascii="Arial" w:cs="Arial" w:eastAsia="Arial" w:hAnsi="Arial"/>
                <w:sz w:val="20"/>
                <w:szCs w:val="20"/>
                <w:color w:val="auto"/>
              </w:rPr>
              <w:t>4,259</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2,824</w:t>
            </w:r>
          </w:p>
        </w:tc>
      </w:tr>
      <w:tr>
        <w:trPr>
          <w:trHeight w:val="282"/>
        </w:trPr>
        <w:tc>
          <w:tcPr>
            <w:tcW w:w="29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2,364</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1,712</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1,145</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8,304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5,971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3,969</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Humira</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3,062</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7,142</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w w:val="98"/>
              </w:rPr>
              <w:t>12,160</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1,478</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1,851</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2,244</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4,540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8,993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14,404</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b w:val="1"/>
                <w:bCs w:val="1"/>
                <w:color w:val="auto"/>
              </w:rPr>
              <w:t>Neuroscience</w:t>
            </w:r>
          </w:p>
        </w:tc>
        <w:tc>
          <w:tcPr>
            <w:tcW w:w="2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0"/>
        </w:trPr>
        <w:tc>
          <w:tcPr>
            <w:tcW w:w="2960" w:type="dxa"/>
            <w:vAlign w:val="bottom"/>
          </w:tcPr>
          <w:p>
            <w:pPr>
              <w:spacing w:after="0" w:line="209" w:lineRule="exact"/>
              <w:rPr>
                <w:sz w:val="20"/>
                <w:szCs w:val="20"/>
                <w:color w:val="auto"/>
              </w:rPr>
            </w:pPr>
            <w:r>
              <w:rPr>
                <w:rFonts w:ascii="Arial" w:cs="Arial" w:eastAsia="Arial" w:hAnsi="Arial"/>
                <w:sz w:val="20"/>
                <w:szCs w:val="20"/>
                <w:color w:val="auto"/>
              </w:rPr>
              <w:t>Vraylar</w:t>
            </w:r>
          </w:p>
        </w:tc>
        <w:tc>
          <w:tcPr>
            <w:tcW w:w="2620" w:type="dxa"/>
            <w:vAlign w:val="bottom"/>
          </w:tcPr>
          <w:p>
            <w:pPr>
              <w:ind w:left="80"/>
              <w:spacing w:after="0" w:line="209"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3,612</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3,260</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auto"/>
              </w:rPr>
              <w:t>2,755</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9</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7</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3,621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3,267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2,759</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Botox Therapeutic</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3,151</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2,718</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2,476</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618</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565</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3,769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3,283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2,991</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Ubrelvy</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1,239</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981</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803</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32</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25</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1,271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1,006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815</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Qulipta</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906</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628</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405</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130</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30</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1,036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658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Vyalev</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167</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315</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98</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482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99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Duodopa</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73</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96</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97</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308</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351</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381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447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468</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Other Neuroscience</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192</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223</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254</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15</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16</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207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239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b w:val="1"/>
                <w:bCs w:val="1"/>
                <w:color w:val="auto"/>
              </w:rPr>
              <w:t>Oncology</w:t>
            </w:r>
          </w:p>
        </w:tc>
        <w:tc>
          <w:tcPr>
            <w:tcW w:w="2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0"/>
        </w:trPr>
        <w:tc>
          <w:tcPr>
            <w:tcW w:w="2960" w:type="dxa"/>
            <w:vAlign w:val="bottom"/>
          </w:tcPr>
          <w:p>
            <w:pPr>
              <w:spacing w:after="0" w:line="209" w:lineRule="exact"/>
              <w:rPr>
                <w:sz w:val="20"/>
                <w:szCs w:val="20"/>
                <w:color w:val="auto"/>
              </w:rPr>
            </w:pPr>
            <w:r>
              <w:rPr>
                <w:rFonts w:ascii="Arial" w:cs="Arial" w:eastAsia="Arial" w:hAnsi="Arial"/>
                <w:sz w:val="20"/>
                <w:szCs w:val="20"/>
                <w:color w:val="auto"/>
              </w:rPr>
              <w:t>Imbruvica</w:t>
            </w:r>
          </w:p>
        </w:tc>
        <w:tc>
          <w:tcPr>
            <w:tcW w:w="2620" w:type="dxa"/>
            <w:vAlign w:val="bottom"/>
          </w:tcPr>
          <w:p>
            <w:pPr>
              <w:ind w:left="80"/>
              <w:spacing w:after="0" w:line="209"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2,048</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2,448</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auto"/>
              </w:rPr>
              <w:t>2,665</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Collaboration revenues</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821</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899</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931</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2,869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3,347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3,596</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Venclexta</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1,306</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1,234</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1,087</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1,486</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1,349</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1,201</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2,792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2,583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2,288</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Elahere</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607</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477</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83</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690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479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Epkinly</w:t>
            </w:r>
          </w:p>
        </w:tc>
        <w:tc>
          <w:tcPr>
            <w:tcW w:w="2620" w:type="dxa"/>
            <w:vAlign w:val="bottom"/>
          </w:tcPr>
          <w:p>
            <w:pPr>
              <w:ind w:left="80"/>
              <w:spacing w:after="0" w:line="228" w:lineRule="exact"/>
              <w:rPr>
                <w:sz w:val="20"/>
                <w:szCs w:val="20"/>
                <w:color w:val="auto"/>
              </w:rPr>
            </w:pPr>
            <w:r>
              <w:rPr>
                <w:rFonts w:ascii="Arial" w:cs="Arial" w:eastAsia="Arial" w:hAnsi="Arial"/>
                <w:sz w:val="20"/>
                <w:szCs w:val="20"/>
                <w:color w:val="auto"/>
              </w:rPr>
              <w:t>Collaboration revenues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181</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118</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28</w:t>
            </w:r>
          </w:p>
        </w:tc>
      </w:tr>
      <w:tr>
        <w:trPr>
          <w:trHeight w:val="251"/>
        </w:trPr>
        <w:tc>
          <w:tcPr>
            <w:tcW w:w="2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90</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28</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69"/>
        </w:trPr>
        <w:tc>
          <w:tcPr>
            <w:tcW w:w="29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271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146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w:t>
            </w:r>
          </w:p>
        </w:tc>
      </w:tr>
      <w:tr>
        <w:trPr>
          <w:trHeight w:val="269"/>
        </w:trPr>
        <w:tc>
          <w:tcPr>
            <w:tcW w:w="2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Other Oncology</w:t>
            </w:r>
          </w:p>
        </w:tc>
        <w:tc>
          <w:tcPr>
            <w:tcW w:w="26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United States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880" w:h="15480" w:orient="portrait"/>
          <w:cols w:equalWidth="0" w:num="1">
            <w:col w:w="9100"/>
          </w:cols>
          <w:pgMar w:left="1400" w:top="1025"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104  </w:t>
      </w:r>
      <w:r>
        <w:rPr>
          <w:sz w:val="1"/>
          <w:szCs w:val="1"/>
          <w:color w:val="auto"/>
        </w:rPr>
        <w:drawing>
          <wp:inline distT="0" distB="0" distL="0" distR="0">
            <wp:extent cx="615950" cy="12827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25" w:right="1380" w:bottom="75"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97"/>
        </w:trPr>
        <w:tc>
          <w:tcPr>
            <w:tcW w:w="2960" w:type="dxa"/>
            <w:vAlign w:val="bottom"/>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jc w:val="right"/>
              <w:ind w:right="281"/>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7"/>
                <w:szCs w:val="17"/>
                <w:color w:val="auto"/>
              </w:rPr>
            </w:pPr>
          </w:p>
        </w:tc>
        <w:tc>
          <w:tcPr>
            <w:tcW w:w="820" w:type="dxa"/>
            <w:vAlign w:val="bottom"/>
          </w:tcPr>
          <w:p>
            <w:pPr>
              <w:jc w:val="right"/>
              <w:ind w:right="301"/>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7"/>
                <w:szCs w:val="17"/>
                <w:color w:val="auto"/>
              </w:rPr>
            </w:pPr>
          </w:p>
        </w:tc>
        <w:tc>
          <w:tcPr>
            <w:tcW w:w="620" w:type="dxa"/>
            <w:vAlign w:val="bottom"/>
          </w:tcPr>
          <w:p>
            <w:pPr>
              <w:jc w:val="right"/>
              <w:ind w:right="101"/>
              <w:spacing w:after="0"/>
              <w:rPr>
                <w:sz w:val="20"/>
                <w:szCs w:val="20"/>
                <w:color w:val="auto"/>
              </w:rPr>
            </w:pPr>
            <w:r>
              <w:rPr>
                <w:rFonts w:ascii="Arial" w:cs="Arial" w:eastAsia="Arial" w:hAnsi="Arial"/>
                <w:sz w:val="16"/>
                <w:szCs w:val="16"/>
                <w:b w:val="1"/>
                <w:bCs w:val="1"/>
                <w:color w:val="auto"/>
              </w:rPr>
              <w:t>2023</w:t>
            </w:r>
          </w:p>
        </w:tc>
      </w:tr>
      <w:tr>
        <w:trPr>
          <w:trHeight w:val="22"/>
        </w:trPr>
        <w:tc>
          <w:tcPr>
            <w:tcW w:w="29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line="225" w:lineRule="exact"/>
              <w:rPr>
                <w:sz w:val="20"/>
                <w:szCs w:val="20"/>
                <w:color w:val="auto"/>
              </w:rPr>
            </w:pPr>
            <w:r>
              <w:rPr>
                <w:rFonts w:ascii="Arial" w:cs="Arial" w:eastAsia="Arial" w:hAnsi="Arial"/>
                <w:sz w:val="20"/>
                <w:szCs w:val="20"/>
                <w:b w:val="1"/>
                <w:bCs w:val="1"/>
                <w:color w:val="auto"/>
              </w:rPr>
              <w:t>Aesthetics</w:t>
            </w: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0"/>
        </w:trPr>
        <w:tc>
          <w:tcPr>
            <w:tcW w:w="2960" w:type="dxa"/>
            <w:vAlign w:val="bottom"/>
          </w:tcPr>
          <w:p>
            <w:pPr>
              <w:spacing w:after="0" w:line="209" w:lineRule="exact"/>
              <w:rPr>
                <w:sz w:val="20"/>
                <w:szCs w:val="20"/>
                <w:color w:val="auto"/>
              </w:rPr>
            </w:pPr>
            <w:r>
              <w:rPr>
                <w:rFonts w:ascii="Arial" w:cs="Arial" w:eastAsia="Arial" w:hAnsi="Arial"/>
                <w:sz w:val="20"/>
                <w:szCs w:val="20"/>
                <w:color w:val="auto"/>
              </w:rPr>
              <w:t>Botox Cosmetic</w:t>
            </w:r>
          </w:p>
        </w:tc>
        <w:tc>
          <w:tcPr>
            <w:tcW w:w="2200" w:type="dxa"/>
            <w:vAlign w:val="bottom"/>
          </w:tcPr>
          <w:p>
            <w:pPr>
              <w:ind w:left="80"/>
              <w:spacing w:after="0" w:line="209" w:lineRule="exact"/>
              <w:rPr>
                <w:sz w:val="20"/>
                <w:szCs w:val="20"/>
                <w:color w:val="auto"/>
              </w:rPr>
            </w:pPr>
            <w:r>
              <w:rPr>
                <w:rFonts w:ascii="Arial" w:cs="Arial" w:eastAsia="Arial" w:hAnsi="Arial"/>
                <w:sz w:val="20"/>
                <w:szCs w:val="20"/>
                <w:color w:val="auto"/>
              </w:rPr>
              <w:t>United States</w:t>
            </w:r>
          </w:p>
        </w:tc>
        <w:tc>
          <w:tcPr>
            <w:tcW w:w="104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1,504</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1,682</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auto"/>
              </w:rPr>
              <w:t>1,670</w:t>
            </w:r>
          </w:p>
        </w:tc>
      </w:tr>
      <w:tr>
        <w:trPr>
          <w:trHeight w:val="251"/>
        </w:trPr>
        <w:tc>
          <w:tcPr>
            <w:tcW w:w="2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10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1,098</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1,038</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1,012</w:t>
            </w:r>
          </w:p>
        </w:tc>
      </w:tr>
      <w:tr>
        <w:trPr>
          <w:trHeight w:val="269"/>
        </w:trPr>
        <w:tc>
          <w:tcPr>
            <w:tcW w:w="29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2,602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2,720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2,682</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Juvederm Collection</w:t>
            </w:r>
          </w:p>
        </w:tc>
        <w:tc>
          <w:tcPr>
            <w:tcW w:w="220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104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385</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469</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519</w:t>
            </w:r>
          </w:p>
        </w:tc>
      </w:tr>
      <w:tr>
        <w:trPr>
          <w:trHeight w:val="251"/>
        </w:trPr>
        <w:tc>
          <w:tcPr>
            <w:tcW w:w="2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10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608</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708</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859</w:t>
            </w:r>
          </w:p>
        </w:tc>
      </w:tr>
      <w:tr>
        <w:trPr>
          <w:trHeight w:val="269"/>
        </w:trPr>
        <w:tc>
          <w:tcPr>
            <w:tcW w:w="29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993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1,177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1,378</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Other Aesthetics</w:t>
            </w:r>
          </w:p>
        </w:tc>
        <w:tc>
          <w:tcPr>
            <w:tcW w:w="220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104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1,101</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1,118</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1,060</w:t>
            </w:r>
          </w:p>
        </w:tc>
      </w:tr>
      <w:tr>
        <w:trPr>
          <w:trHeight w:val="251"/>
        </w:trPr>
        <w:tc>
          <w:tcPr>
            <w:tcW w:w="2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10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164</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161</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w:t>
            </w:r>
          </w:p>
        </w:tc>
      </w:tr>
      <w:tr>
        <w:trPr>
          <w:trHeight w:val="269"/>
        </w:trPr>
        <w:tc>
          <w:tcPr>
            <w:tcW w:w="29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1,265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1,279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1,234</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b w:val="1"/>
                <w:bCs w:val="1"/>
                <w:color w:val="auto"/>
              </w:rPr>
              <w:t>Eye Care</w:t>
            </w: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0"/>
        </w:trPr>
        <w:tc>
          <w:tcPr>
            <w:tcW w:w="2960" w:type="dxa"/>
            <w:vAlign w:val="bottom"/>
          </w:tcPr>
          <w:p>
            <w:pPr>
              <w:spacing w:after="0" w:line="209" w:lineRule="exact"/>
              <w:rPr>
                <w:sz w:val="20"/>
                <w:szCs w:val="20"/>
                <w:color w:val="auto"/>
              </w:rPr>
            </w:pPr>
            <w:r>
              <w:rPr>
                <w:rFonts w:ascii="Arial" w:cs="Arial" w:eastAsia="Arial" w:hAnsi="Arial"/>
                <w:sz w:val="20"/>
                <w:szCs w:val="20"/>
                <w:color w:val="auto"/>
              </w:rPr>
              <w:t>Ozurdex</w:t>
            </w:r>
          </w:p>
        </w:tc>
        <w:tc>
          <w:tcPr>
            <w:tcW w:w="2200" w:type="dxa"/>
            <w:vAlign w:val="bottom"/>
          </w:tcPr>
          <w:p>
            <w:pPr>
              <w:ind w:left="80"/>
              <w:spacing w:after="0" w:line="209" w:lineRule="exact"/>
              <w:rPr>
                <w:sz w:val="20"/>
                <w:szCs w:val="20"/>
                <w:color w:val="auto"/>
              </w:rPr>
            </w:pPr>
            <w:r>
              <w:rPr>
                <w:rFonts w:ascii="Arial" w:cs="Arial" w:eastAsia="Arial" w:hAnsi="Arial"/>
                <w:sz w:val="20"/>
                <w:szCs w:val="20"/>
                <w:color w:val="auto"/>
              </w:rPr>
              <w:t>United States</w:t>
            </w:r>
          </w:p>
        </w:tc>
        <w:tc>
          <w:tcPr>
            <w:tcW w:w="104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124</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138</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auto"/>
              </w:rPr>
              <w:t>143</w:t>
            </w:r>
          </w:p>
        </w:tc>
      </w:tr>
      <w:tr>
        <w:trPr>
          <w:trHeight w:val="251"/>
        </w:trPr>
        <w:tc>
          <w:tcPr>
            <w:tcW w:w="2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10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369</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356</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w:t>
            </w:r>
          </w:p>
        </w:tc>
      </w:tr>
      <w:tr>
        <w:trPr>
          <w:trHeight w:val="269"/>
        </w:trPr>
        <w:tc>
          <w:tcPr>
            <w:tcW w:w="29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494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Lumigan/Ganfort</w:t>
            </w:r>
          </w:p>
        </w:tc>
        <w:tc>
          <w:tcPr>
            <w:tcW w:w="220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104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189</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187</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173</w:t>
            </w:r>
          </w:p>
        </w:tc>
      </w:tr>
      <w:tr>
        <w:trPr>
          <w:trHeight w:val="251"/>
        </w:trPr>
        <w:tc>
          <w:tcPr>
            <w:tcW w:w="2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10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221</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242</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w:t>
            </w:r>
          </w:p>
        </w:tc>
      </w:tr>
      <w:tr>
        <w:trPr>
          <w:trHeight w:val="269"/>
        </w:trPr>
        <w:tc>
          <w:tcPr>
            <w:tcW w:w="29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410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432</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Alphagan/Combigan</w:t>
            </w:r>
          </w:p>
        </w:tc>
        <w:tc>
          <w:tcPr>
            <w:tcW w:w="220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104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53</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95</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121</w:t>
            </w:r>
          </w:p>
        </w:tc>
      </w:tr>
      <w:tr>
        <w:trPr>
          <w:trHeight w:val="251"/>
        </w:trPr>
        <w:tc>
          <w:tcPr>
            <w:tcW w:w="2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10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144</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153</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w:t>
            </w:r>
          </w:p>
        </w:tc>
      </w:tr>
      <w:tr>
        <w:trPr>
          <w:trHeight w:val="269"/>
        </w:trPr>
        <w:tc>
          <w:tcPr>
            <w:tcW w:w="29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197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248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Other Eye Care</w:t>
            </w:r>
          </w:p>
        </w:tc>
        <w:tc>
          <w:tcPr>
            <w:tcW w:w="220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104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588</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644</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815</w:t>
            </w:r>
          </w:p>
        </w:tc>
      </w:tr>
      <w:tr>
        <w:trPr>
          <w:trHeight w:val="251"/>
        </w:trPr>
        <w:tc>
          <w:tcPr>
            <w:tcW w:w="2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10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421</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427</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424</w:t>
            </w:r>
          </w:p>
        </w:tc>
      </w:tr>
      <w:tr>
        <w:trPr>
          <w:trHeight w:val="269"/>
        </w:trPr>
        <w:tc>
          <w:tcPr>
            <w:tcW w:w="29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1,009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1,071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1,239</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b w:val="1"/>
                <w:bCs w:val="1"/>
                <w:color w:val="auto"/>
              </w:rPr>
              <w:t>Other Key Products</w:t>
            </w: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0"/>
        </w:trPr>
        <w:tc>
          <w:tcPr>
            <w:tcW w:w="2960" w:type="dxa"/>
            <w:vAlign w:val="bottom"/>
          </w:tcPr>
          <w:p>
            <w:pPr>
              <w:spacing w:after="0" w:line="209" w:lineRule="exact"/>
              <w:rPr>
                <w:sz w:val="20"/>
                <w:szCs w:val="20"/>
                <w:color w:val="auto"/>
              </w:rPr>
            </w:pPr>
            <w:r>
              <w:rPr>
                <w:rFonts w:ascii="Arial" w:cs="Arial" w:eastAsia="Arial" w:hAnsi="Arial"/>
                <w:sz w:val="20"/>
                <w:szCs w:val="20"/>
                <w:color w:val="auto"/>
              </w:rPr>
              <w:t>Mavyret</w:t>
            </w:r>
          </w:p>
        </w:tc>
        <w:tc>
          <w:tcPr>
            <w:tcW w:w="2200" w:type="dxa"/>
            <w:vAlign w:val="bottom"/>
          </w:tcPr>
          <w:p>
            <w:pPr>
              <w:ind w:left="80"/>
              <w:spacing w:after="0" w:line="209" w:lineRule="exact"/>
              <w:rPr>
                <w:sz w:val="20"/>
                <w:szCs w:val="20"/>
                <w:color w:val="auto"/>
              </w:rPr>
            </w:pPr>
            <w:r>
              <w:rPr>
                <w:rFonts w:ascii="Arial" w:cs="Arial" w:eastAsia="Arial" w:hAnsi="Arial"/>
                <w:sz w:val="20"/>
                <w:szCs w:val="20"/>
                <w:color w:val="auto"/>
              </w:rPr>
              <w:t>United States</w:t>
            </w:r>
          </w:p>
        </w:tc>
        <w:tc>
          <w:tcPr>
            <w:tcW w:w="104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635</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595</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auto"/>
              </w:rPr>
              <w:t>659</w:t>
            </w:r>
          </w:p>
        </w:tc>
      </w:tr>
      <w:tr>
        <w:trPr>
          <w:trHeight w:val="251"/>
        </w:trPr>
        <w:tc>
          <w:tcPr>
            <w:tcW w:w="2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10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682</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716</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771</w:t>
            </w:r>
          </w:p>
        </w:tc>
      </w:tr>
      <w:tr>
        <w:trPr>
          <w:trHeight w:val="269"/>
        </w:trPr>
        <w:tc>
          <w:tcPr>
            <w:tcW w:w="29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1,317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1,311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1,430</w:t>
            </w:r>
          </w:p>
        </w:tc>
      </w:tr>
      <w:tr>
        <w:trPr>
          <w:trHeight w:val="269"/>
        </w:trPr>
        <w:tc>
          <w:tcPr>
            <w:tcW w:w="2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Creon</w:t>
            </w: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United States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1,512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1,383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1,268</w:t>
            </w:r>
          </w:p>
        </w:tc>
      </w:tr>
      <w:tr>
        <w:trPr>
          <w:trHeight w:val="228"/>
        </w:trPr>
        <w:tc>
          <w:tcPr>
            <w:tcW w:w="2960" w:type="dxa"/>
            <w:vAlign w:val="bottom"/>
          </w:tcPr>
          <w:p>
            <w:pPr>
              <w:spacing w:after="0" w:line="228" w:lineRule="exact"/>
              <w:rPr>
                <w:sz w:val="20"/>
                <w:szCs w:val="20"/>
                <w:color w:val="auto"/>
              </w:rPr>
            </w:pPr>
            <w:r>
              <w:rPr>
                <w:rFonts w:ascii="Arial" w:cs="Arial" w:eastAsia="Arial" w:hAnsi="Arial"/>
                <w:sz w:val="20"/>
                <w:szCs w:val="20"/>
                <w:color w:val="auto"/>
              </w:rPr>
              <w:t>Linzess/Constella</w:t>
            </w:r>
          </w:p>
        </w:tc>
        <w:tc>
          <w:tcPr>
            <w:tcW w:w="2200" w:type="dxa"/>
            <w:vAlign w:val="bottom"/>
          </w:tcPr>
          <w:p>
            <w:pPr>
              <w:ind w:left="80"/>
              <w:spacing w:after="0" w:line="228" w:lineRule="exact"/>
              <w:rPr>
                <w:sz w:val="20"/>
                <w:szCs w:val="20"/>
                <w:color w:val="auto"/>
              </w:rPr>
            </w:pPr>
            <w:r>
              <w:rPr>
                <w:rFonts w:ascii="Arial" w:cs="Arial" w:eastAsia="Arial" w:hAnsi="Arial"/>
                <w:sz w:val="20"/>
                <w:szCs w:val="20"/>
                <w:color w:val="auto"/>
              </w:rPr>
              <w:t>United States</w:t>
            </w:r>
          </w:p>
        </w:tc>
        <w:tc>
          <w:tcPr>
            <w:tcW w:w="104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864</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820" w:type="dxa"/>
            <w:vAlign w:val="bottom"/>
          </w:tcPr>
          <w:p>
            <w:pPr>
              <w:jc w:val="right"/>
              <w:ind w:right="101"/>
              <w:spacing w:after="0" w:line="228" w:lineRule="exact"/>
              <w:rPr>
                <w:sz w:val="20"/>
                <w:szCs w:val="20"/>
                <w:color w:val="auto"/>
              </w:rPr>
            </w:pPr>
            <w:r>
              <w:rPr>
                <w:rFonts w:ascii="Arial" w:cs="Arial" w:eastAsia="Arial" w:hAnsi="Arial"/>
                <w:sz w:val="20"/>
                <w:szCs w:val="20"/>
                <w:color w:val="auto"/>
              </w:rPr>
              <w:t>916</w:t>
            </w:r>
          </w:p>
        </w:tc>
        <w:tc>
          <w:tcPr>
            <w:tcW w:w="320" w:type="dxa"/>
            <w:vAlign w:val="bottom"/>
          </w:tcPr>
          <w:p>
            <w:pPr>
              <w:jc w:val="right"/>
              <w:spacing w:after="0" w:line="228"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auto"/>
              </w:rPr>
              <w:t>1,073</w:t>
            </w:r>
          </w:p>
        </w:tc>
      </w:tr>
      <w:tr>
        <w:trPr>
          <w:trHeight w:val="251"/>
        </w:trPr>
        <w:tc>
          <w:tcPr>
            <w:tcW w:w="2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International</w:t>
            </w:r>
          </w:p>
        </w:tc>
        <w:tc>
          <w:tcPr>
            <w:tcW w:w="10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43</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38</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r>
      <w:tr>
        <w:trPr>
          <w:trHeight w:val="269"/>
        </w:trPr>
        <w:tc>
          <w:tcPr>
            <w:tcW w:w="29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907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954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1,108</w:t>
            </w:r>
          </w:p>
        </w:tc>
      </w:tr>
      <w:tr>
        <w:trPr>
          <w:trHeight w:val="269"/>
        </w:trPr>
        <w:tc>
          <w:tcPr>
            <w:tcW w:w="2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All other</w:t>
            </w:r>
          </w:p>
        </w:tc>
        <w:tc>
          <w:tcPr>
            <w:tcW w:w="2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2,627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3,032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3,035</w:t>
            </w:r>
          </w:p>
        </w:tc>
      </w:tr>
      <w:tr>
        <w:trPr>
          <w:trHeight w:val="269"/>
        </w:trPr>
        <w:tc>
          <w:tcPr>
            <w:tcW w:w="2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net revenues</w:t>
            </w:r>
          </w:p>
        </w:tc>
        <w:tc>
          <w:tcPr>
            <w:tcW w:w="2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98"/>
              </w:rPr>
              <w:t>61,160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98"/>
              </w:rPr>
              <w:t>56,334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54,318</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40" w:firstLine="359"/>
        <w:spacing w:after="0" w:line="258" w:lineRule="auto"/>
        <w:rPr>
          <w:sz w:val="20"/>
          <w:szCs w:val="20"/>
          <w:color w:val="auto"/>
        </w:rPr>
      </w:pPr>
      <w:r>
        <w:rPr>
          <w:rFonts w:ascii="Arial" w:cs="Arial" w:eastAsia="Arial" w:hAnsi="Arial"/>
          <w:sz w:val="20"/>
          <w:szCs w:val="20"/>
          <w:color w:val="auto"/>
        </w:rPr>
        <w:t>Net revenues to external customers by geographic area, based on product shipment destination,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ended December 31 (in millions)</w:t>
            </w:r>
          </w:p>
        </w:tc>
        <w:tc>
          <w:tcPr>
            <w:tcW w:w="26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2024</w:t>
            </w: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2023</w:t>
            </w:r>
          </w:p>
        </w:tc>
      </w:tr>
      <w:tr>
        <w:trPr>
          <w:trHeight w:val="252"/>
        </w:trPr>
        <w:tc>
          <w:tcPr>
            <w:tcW w:w="4680" w:type="dxa"/>
            <w:vAlign w:val="bottom"/>
          </w:tcPr>
          <w:p>
            <w:pPr>
              <w:spacing w:after="0"/>
              <w:rPr>
                <w:sz w:val="20"/>
                <w:szCs w:val="20"/>
                <w:color w:val="auto"/>
              </w:rPr>
            </w:pPr>
            <w:r>
              <w:rPr>
                <w:rFonts w:ascii="Arial" w:cs="Arial" w:eastAsia="Arial" w:hAnsi="Arial"/>
                <w:sz w:val="20"/>
                <w:szCs w:val="20"/>
                <w:color w:val="auto"/>
              </w:rPr>
              <w:t>United States</w:t>
            </w:r>
          </w:p>
        </w:tc>
        <w:tc>
          <w:tcPr>
            <w:tcW w:w="2600" w:type="dxa"/>
            <w:vAlign w:val="bottom"/>
          </w:tcPr>
          <w:p>
            <w:pPr>
              <w:jc w:val="right"/>
              <w:ind w:right="22"/>
              <w:spacing w:after="0"/>
              <w:rPr>
                <w:sz w:val="20"/>
                <w:szCs w:val="20"/>
                <w:color w:val="auto"/>
              </w:rPr>
            </w:pPr>
            <w:r>
              <w:rPr>
                <w:rFonts w:ascii="Arial" w:cs="Arial" w:eastAsia="Arial" w:hAnsi="Arial"/>
                <w:sz w:val="20"/>
                <w:szCs w:val="20"/>
                <w:color w:val="auto"/>
              </w:rPr>
              <w:t>$46,603</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$43,029</w:t>
            </w:r>
          </w:p>
        </w:tc>
        <w:tc>
          <w:tcPr>
            <w:tcW w:w="860" w:type="dxa"/>
            <w:vAlign w:val="bottom"/>
          </w:tcPr>
          <w:p>
            <w:pPr>
              <w:jc w:val="right"/>
              <w:spacing w:after="0"/>
              <w:rPr>
                <w:sz w:val="20"/>
                <w:szCs w:val="20"/>
                <w:color w:val="auto"/>
              </w:rPr>
            </w:pPr>
            <w:r>
              <w:rPr>
                <w:rFonts w:ascii="Arial" w:cs="Arial" w:eastAsia="Arial" w:hAnsi="Arial"/>
                <w:sz w:val="20"/>
                <w:szCs w:val="20"/>
                <w:color w:val="auto"/>
              </w:rPr>
              <w:t>$41,883</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Germany</w:t>
            </w:r>
          </w:p>
        </w:tc>
        <w:tc>
          <w:tcPr>
            <w:tcW w:w="2600" w:type="dxa"/>
            <w:vAlign w:val="bottom"/>
          </w:tcPr>
          <w:p>
            <w:pPr>
              <w:jc w:val="right"/>
              <w:ind w:right="22"/>
              <w:spacing w:after="0"/>
              <w:rPr>
                <w:sz w:val="20"/>
                <w:szCs w:val="20"/>
                <w:color w:val="auto"/>
              </w:rPr>
            </w:pPr>
            <w:r>
              <w:rPr>
                <w:rFonts w:ascii="Arial" w:cs="Arial" w:eastAsia="Arial" w:hAnsi="Arial"/>
                <w:sz w:val="20"/>
                <w:szCs w:val="20"/>
                <w:color w:val="auto"/>
              </w:rPr>
              <w:t>1,738</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1,465</w:t>
            </w:r>
          </w:p>
        </w:tc>
        <w:tc>
          <w:tcPr>
            <w:tcW w:w="860" w:type="dxa"/>
            <w:vAlign w:val="bottom"/>
          </w:tcPr>
          <w:p>
            <w:pPr>
              <w:jc w:val="right"/>
              <w:spacing w:after="0"/>
              <w:rPr>
                <w:sz w:val="20"/>
                <w:szCs w:val="20"/>
                <w:color w:val="auto"/>
              </w:rPr>
            </w:pPr>
            <w:r>
              <w:rPr>
                <w:rFonts w:ascii="Arial" w:cs="Arial" w:eastAsia="Arial" w:hAnsi="Arial"/>
                <w:sz w:val="20"/>
                <w:szCs w:val="20"/>
                <w:color w:val="auto"/>
              </w:rPr>
              <w:t>1,266</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Japan</w:t>
            </w:r>
          </w:p>
        </w:tc>
        <w:tc>
          <w:tcPr>
            <w:tcW w:w="2600" w:type="dxa"/>
            <w:vAlign w:val="bottom"/>
          </w:tcPr>
          <w:p>
            <w:pPr>
              <w:jc w:val="right"/>
              <w:ind w:right="22"/>
              <w:spacing w:after="0"/>
              <w:rPr>
                <w:sz w:val="20"/>
                <w:szCs w:val="20"/>
                <w:color w:val="auto"/>
              </w:rPr>
            </w:pPr>
            <w:r>
              <w:rPr>
                <w:rFonts w:ascii="Arial" w:cs="Arial" w:eastAsia="Arial" w:hAnsi="Arial"/>
                <w:sz w:val="20"/>
                <w:szCs w:val="20"/>
                <w:color w:val="auto"/>
              </w:rPr>
              <w:t>1,274</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1,122</w:t>
            </w:r>
          </w:p>
        </w:tc>
        <w:tc>
          <w:tcPr>
            <w:tcW w:w="860" w:type="dxa"/>
            <w:vAlign w:val="bottom"/>
          </w:tcPr>
          <w:p>
            <w:pPr>
              <w:jc w:val="right"/>
              <w:spacing w:after="0"/>
              <w:rPr>
                <w:sz w:val="20"/>
                <w:szCs w:val="20"/>
                <w:color w:val="auto"/>
              </w:rPr>
            </w:pPr>
            <w:r>
              <w:rPr>
                <w:rFonts w:ascii="Arial" w:cs="Arial" w:eastAsia="Arial" w:hAnsi="Arial"/>
                <w:sz w:val="20"/>
                <w:szCs w:val="20"/>
                <w:color w:val="auto"/>
              </w:rPr>
              <w:t>1,008</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Canada</w:t>
            </w:r>
          </w:p>
        </w:tc>
        <w:tc>
          <w:tcPr>
            <w:tcW w:w="2600" w:type="dxa"/>
            <w:vAlign w:val="bottom"/>
          </w:tcPr>
          <w:p>
            <w:pPr>
              <w:jc w:val="right"/>
              <w:ind w:right="2"/>
              <w:spacing w:after="0"/>
              <w:rPr>
                <w:sz w:val="20"/>
                <w:szCs w:val="20"/>
                <w:color w:val="auto"/>
              </w:rPr>
            </w:pPr>
            <w:r>
              <w:rPr>
                <w:rFonts w:ascii="Arial" w:cs="Arial" w:eastAsia="Arial" w:hAnsi="Arial"/>
                <w:sz w:val="20"/>
                <w:szCs w:val="20"/>
                <w:color w:val="auto"/>
              </w:rPr>
              <w:t>1,222</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1,088</w:t>
            </w:r>
          </w:p>
        </w:tc>
        <w:tc>
          <w:tcPr>
            <w:tcW w:w="860" w:type="dxa"/>
            <w:vAlign w:val="bottom"/>
          </w:tcPr>
          <w:p>
            <w:pPr>
              <w:jc w:val="right"/>
              <w:spacing w:after="0"/>
              <w:rPr>
                <w:sz w:val="20"/>
                <w:szCs w:val="20"/>
                <w:color w:val="auto"/>
              </w:rPr>
            </w:pPr>
            <w:r>
              <w:rPr>
                <w:rFonts w:ascii="Arial" w:cs="Arial" w:eastAsia="Arial" w:hAnsi="Arial"/>
                <w:sz w:val="20"/>
                <w:szCs w:val="20"/>
                <w:color w:val="auto"/>
              </w:rPr>
              <w:t>1,076</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China</w:t>
            </w:r>
          </w:p>
        </w:tc>
        <w:tc>
          <w:tcPr>
            <w:tcW w:w="2600" w:type="dxa"/>
            <w:vAlign w:val="bottom"/>
          </w:tcPr>
          <w:p>
            <w:pPr>
              <w:jc w:val="right"/>
              <w:ind w:right="2"/>
              <w:spacing w:after="0"/>
              <w:rPr>
                <w:sz w:val="20"/>
                <w:szCs w:val="20"/>
                <w:color w:val="auto"/>
              </w:rPr>
            </w:pPr>
            <w:r>
              <w:rPr>
                <w:rFonts w:ascii="Arial" w:cs="Arial" w:eastAsia="Arial" w:hAnsi="Arial"/>
                <w:sz w:val="20"/>
                <w:szCs w:val="20"/>
                <w:color w:val="auto"/>
              </w:rPr>
              <w:t>1,006</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917</w:t>
            </w:r>
          </w:p>
        </w:tc>
        <w:tc>
          <w:tcPr>
            <w:tcW w:w="860" w:type="dxa"/>
            <w:vAlign w:val="bottom"/>
          </w:tcPr>
          <w:p>
            <w:pPr>
              <w:jc w:val="right"/>
              <w:spacing w:after="0"/>
              <w:rPr>
                <w:sz w:val="20"/>
                <w:szCs w:val="20"/>
                <w:color w:val="auto"/>
              </w:rPr>
            </w:pPr>
            <w:r>
              <w:rPr>
                <w:rFonts w:ascii="Arial" w:cs="Arial" w:eastAsia="Arial" w:hAnsi="Arial"/>
                <w:sz w:val="20"/>
                <w:szCs w:val="20"/>
                <w:color w:val="auto"/>
              </w:rPr>
              <w:t>950</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France</w:t>
            </w:r>
          </w:p>
        </w:tc>
        <w:tc>
          <w:tcPr>
            <w:tcW w:w="2600" w:type="dxa"/>
            <w:vAlign w:val="bottom"/>
          </w:tcPr>
          <w:p>
            <w:pPr>
              <w:jc w:val="right"/>
              <w:ind w:right="22"/>
              <w:spacing w:after="0"/>
              <w:rPr>
                <w:sz w:val="20"/>
                <w:szCs w:val="20"/>
                <w:color w:val="auto"/>
              </w:rPr>
            </w:pPr>
            <w:r>
              <w:rPr>
                <w:rFonts w:ascii="Arial" w:cs="Arial" w:eastAsia="Arial" w:hAnsi="Arial"/>
                <w:sz w:val="20"/>
                <w:szCs w:val="20"/>
                <w:color w:val="auto"/>
              </w:rPr>
              <w:t>806</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776</w:t>
            </w:r>
          </w:p>
        </w:tc>
        <w:tc>
          <w:tcPr>
            <w:tcW w:w="860" w:type="dxa"/>
            <w:vAlign w:val="bottom"/>
          </w:tcPr>
          <w:p>
            <w:pPr>
              <w:jc w:val="right"/>
              <w:spacing w:after="0"/>
              <w:rPr>
                <w:sz w:val="20"/>
                <w:szCs w:val="20"/>
                <w:color w:val="auto"/>
              </w:rPr>
            </w:pPr>
            <w:r>
              <w:rPr>
                <w:rFonts w:ascii="Arial" w:cs="Arial" w:eastAsia="Arial" w:hAnsi="Arial"/>
                <w:sz w:val="20"/>
                <w:szCs w:val="20"/>
                <w:color w:val="auto"/>
              </w:rPr>
              <w:t>780</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United Kingdom</w:t>
            </w:r>
          </w:p>
        </w:tc>
        <w:tc>
          <w:tcPr>
            <w:tcW w:w="2600" w:type="dxa"/>
            <w:vAlign w:val="bottom"/>
          </w:tcPr>
          <w:p>
            <w:pPr>
              <w:jc w:val="right"/>
              <w:ind w:right="22"/>
              <w:spacing w:after="0"/>
              <w:rPr>
                <w:sz w:val="20"/>
                <w:szCs w:val="20"/>
                <w:color w:val="auto"/>
              </w:rPr>
            </w:pPr>
            <w:r>
              <w:rPr>
                <w:rFonts w:ascii="Arial" w:cs="Arial" w:eastAsia="Arial" w:hAnsi="Arial"/>
                <w:sz w:val="20"/>
                <w:szCs w:val="20"/>
                <w:color w:val="auto"/>
              </w:rPr>
              <w:t>626</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522</w:t>
            </w:r>
          </w:p>
        </w:tc>
        <w:tc>
          <w:tcPr>
            <w:tcW w:w="860" w:type="dxa"/>
            <w:vAlign w:val="bottom"/>
          </w:tcPr>
          <w:p>
            <w:pPr>
              <w:jc w:val="right"/>
              <w:spacing w:after="0"/>
              <w:rPr>
                <w:sz w:val="20"/>
                <w:szCs w:val="20"/>
                <w:color w:val="auto"/>
              </w:rPr>
            </w:pPr>
            <w:r>
              <w:rPr>
                <w:rFonts w:ascii="Arial" w:cs="Arial" w:eastAsia="Arial" w:hAnsi="Arial"/>
                <w:sz w:val="20"/>
                <w:szCs w:val="20"/>
                <w:color w:val="auto"/>
              </w:rPr>
              <w:t>417</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Spain</w:t>
            </w:r>
          </w:p>
        </w:tc>
        <w:tc>
          <w:tcPr>
            <w:tcW w:w="2600" w:type="dxa"/>
            <w:vAlign w:val="bottom"/>
          </w:tcPr>
          <w:p>
            <w:pPr>
              <w:jc w:val="right"/>
              <w:ind w:right="22"/>
              <w:spacing w:after="0"/>
              <w:rPr>
                <w:sz w:val="20"/>
                <w:szCs w:val="20"/>
                <w:color w:val="auto"/>
              </w:rPr>
            </w:pPr>
            <w:r>
              <w:rPr>
                <w:rFonts w:ascii="Arial" w:cs="Arial" w:eastAsia="Arial" w:hAnsi="Arial"/>
                <w:sz w:val="20"/>
                <w:szCs w:val="20"/>
                <w:color w:val="auto"/>
              </w:rPr>
              <w:t>609</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528</w:t>
            </w:r>
          </w:p>
        </w:tc>
        <w:tc>
          <w:tcPr>
            <w:tcW w:w="860" w:type="dxa"/>
            <w:vAlign w:val="bottom"/>
          </w:tcPr>
          <w:p>
            <w:pPr>
              <w:jc w:val="right"/>
              <w:spacing w:after="0"/>
              <w:rPr>
                <w:sz w:val="20"/>
                <w:szCs w:val="20"/>
                <w:color w:val="auto"/>
              </w:rPr>
            </w:pPr>
            <w:r>
              <w:rPr>
                <w:rFonts w:ascii="Arial" w:cs="Arial" w:eastAsia="Arial" w:hAnsi="Arial"/>
                <w:sz w:val="20"/>
                <w:szCs w:val="20"/>
                <w:color w:val="auto"/>
              </w:rPr>
              <w:t>501</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Italy</w:t>
            </w:r>
          </w:p>
        </w:tc>
        <w:tc>
          <w:tcPr>
            <w:tcW w:w="2600" w:type="dxa"/>
            <w:vAlign w:val="bottom"/>
          </w:tcPr>
          <w:p>
            <w:pPr>
              <w:jc w:val="right"/>
              <w:ind w:right="22"/>
              <w:spacing w:after="0"/>
              <w:rPr>
                <w:sz w:val="20"/>
                <w:szCs w:val="20"/>
                <w:color w:val="auto"/>
              </w:rPr>
            </w:pPr>
            <w:r>
              <w:rPr>
                <w:rFonts w:ascii="Arial" w:cs="Arial" w:eastAsia="Arial" w:hAnsi="Arial"/>
                <w:sz w:val="20"/>
                <w:szCs w:val="20"/>
                <w:color w:val="auto"/>
              </w:rPr>
              <w:t>580</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511</w:t>
            </w:r>
          </w:p>
        </w:tc>
        <w:tc>
          <w:tcPr>
            <w:tcW w:w="860" w:type="dxa"/>
            <w:vAlign w:val="bottom"/>
          </w:tcPr>
          <w:p>
            <w:pPr>
              <w:jc w:val="right"/>
              <w:spacing w:after="0"/>
              <w:rPr>
                <w:sz w:val="20"/>
                <w:szCs w:val="20"/>
                <w:color w:val="auto"/>
              </w:rPr>
            </w:pPr>
            <w:r>
              <w:rPr>
                <w:rFonts w:ascii="Arial" w:cs="Arial" w:eastAsia="Arial" w:hAnsi="Arial"/>
                <w:sz w:val="20"/>
                <w:szCs w:val="20"/>
                <w:color w:val="auto"/>
              </w:rPr>
              <w:t>484</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Brazil</w:t>
            </w:r>
          </w:p>
        </w:tc>
        <w:tc>
          <w:tcPr>
            <w:tcW w:w="2600" w:type="dxa"/>
            <w:vAlign w:val="bottom"/>
          </w:tcPr>
          <w:p>
            <w:pPr>
              <w:jc w:val="right"/>
              <w:ind w:right="22"/>
              <w:spacing w:after="0"/>
              <w:rPr>
                <w:sz w:val="20"/>
                <w:szCs w:val="20"/>
                <w:color w:val="auto"/>
              </w:rPr>
            </w:pPr>
            <w:r>
              <w:rPr>
                <w:rFonts w:ascii="Arial" w:cs="Arial" w:eastAsia="Arial" w:hAnsi="Arial"/>
                <w:sz w:val="20"/>
                <w:szCs w:val="20"/>
                <w:color w:val="auto"/>
              </w:rPr>
              <w:t>478</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464</w:t>
            </w:r>
          </w:p>
        </w:tc>
        <w:tc>
          <w:tcPr>
            <w:tcW w:w="860" w:type="dxa"/>
            <w:vAlign w:val="bottom"/>
          </w:tcPr>
          <w:p>
            <w:pPr>
              <w:jc w:val="right"/>
              <w:spacing w:after="0"/>
              <w:rPr>
                <w:sz w:val="20"/>
                <w:szCs w:val="20"/>
                <w:color w:val="auto"/>
              </w:rPr>
            </w:pPr>
            <w:r>
              <w:rPr>
                <w:rFonts w:ascii="Arial" w:cs="Arial" w:eastAsia="Arial" w:hAnsi="Arial"/>
                <w:sz w:val="20"/>
                <w:szCs w:val="20"/>
                <w:color w:val="auto"/>
              </w:rPr>
              <w:t>439</w:t>
            </w:r>
          </w:p>
        </w:tc>
      </w:tr>
      <w:tr>
        <w:trPr>
          <w:trHeight w:val="249"/>
        </w:trPr>
        <w:tc>
          <w:tcPr>
            <w:tcW w:w="4680" w:type="dxa"/>
            <w:vAlign w:val="bottom"/>
          </w:tcPr>
          <w:p>
            <w:pPr>
              <w:spacing w:after="0"/>
              <w:rPr>
                <w:sz w:val="20"/>
                <w:szCs w:val="20"/>
                <w:color w:val="auto"/>
              </w:rPr>
            </w:pPr>
            <w:r>
              <w:rPr>
                <w:rFonts w:ascii="Arial" w:cs="Arial" w:eastAsia="Arial" w:hAnsi="Arial"/>
                <w:sz w:val="20"/>
                <w:szCs w:val="20"/>
                <w:color w:val="auto"/>
              </w:rPr>
              <w:t>Australia</w:t>
            </w:r>
          </w:p>
        </w:tc>
        <w:tc>
          <w:tcPr>
            <w:tcW w:w="2600" w:type="dxa"/>
            <w:vAlign w:val="bottom"/>
          </w:tcPr>
          <w:p>
            <w:pPr>
              <w:jc w:val="right"/>
              <w:ind w:right="22"/>
              <w:spacing w:after="0"/>
              <w:rPr>
                <w:sz w:val="20"/>
                <w:szCs w:val="20"/>
                <w:color w:val="auto"/>
              </w:rPr>
            </w:pPr>
            <w:r>
              <w:rPr>
                <w:rFonts w:ascii="Arial" w:cs="Arial" w:eastAsia="Arial" w:hAnsi="Arial"/>
                <w:sz w:val="20"/>
                <w:szCs w:val="20"/>
                <w:color w:val="auto"/>
              </w:rPr>
              <w:t>459</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463</w:t>
            </w:r>
          </w:p>
        </w:tc>
        <w:tc>
          <w:tcPr>
            <w:tcW w:w="860" w:type="dxa"/>
            <w:vAlign w:val="bottom"/>
          </w:tcPr>
          <w:p>
            <w:pPr>
              <w:jc w:val="right"/>
              <w:spacing w:after="0"/>
              <w:rPr>
                <w:sz w:val="20"/>
                <w:szCs w:val="20"/>
                <w:color w:val="auto"/>
              </w:rPr>
            </w:pPr>
            <w:r>
              <w:rPr>
                <w:rFonts w:ascii="Arial" w:cs="Arial" w:eastAsia="Arial" w:hAnsi="Arial"/>
                <w:sz w:val="20"/>
                <w:szCs w:val="20"/>
                <w:color w:val="auto"/>
              </w:rPr>
              <w:t>472</w:t>
            </w:r>
          </w:p>
        </w:tc>
      </w:tr>
      <w:tr>
        <w:trPr>
          <w:trHeight w:val="240"/>
        </w:trPr>
        <w:tc>
          <w:tcPr>
            <w:tcW w:w="4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All other countries</w:t>
            </w:r>
          </w:p>
        </w:tc>
        <w:tc>
          <w:tcPr>
            <w:tcW w:w="26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5,759</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5,449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5,042</w:t>
            </w:r>
          </w:p>
        </w:tc>
      </w:tr>
      <w:tr>
        <w:trPr>
          <w:trHeight w:val="239"/>
        </w:trPr>
        <w:tc>
          <w:tcPr>
            <w:tcW w:w="4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net revenues</w:t>
            </w:r>
          </w:p>
        </w:tc>
        <w:tc>
          <w:tcPr>
            <w:tcW w:w="26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$61,160</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$56,334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$54,318</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00"/>
          </w:cols>
          <w:pgMar w:left="1400" w:top="1025" w:right="1380" w:bottom="87" w:gutter="0" w:footer="0" w:header="0"/>
        </w:sectPr>
      </w:pPr>
    </w:p>
    <w:p>
      <w:pPr>
        <w:spacing w:after="0" w:line="22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105</w:t>
      </w:r>
    </w:p>
    <w:p>
      <w:pPr>
        <w:sectPr>
          <w:pgSz w:w="11880" w:h="15480" w:orient="portrait"/>
          <w:cols w:equalWidth="0" w:num="1">
            <w:col w:w="9100"/>
          </w:cols>
          <w:pgMar w:left="1400" w:top="1025" w:right="1380" w:bottom="87" w:gutter="0" w:footer="0" w:header="0"/>
          <w:type w:val="continuous"/>
        </w:sectPr>
      </w:pPr>
    </w:p>
    <w:bookmarkStart w:id="111" w:name="page112"/>
    <w:bookmarkEnd w:id="111"/>
    <w:p>
      <w:pPr>
        <w:ind w:firstLine="359"/>
        <w:spacing w:after="0" w:line="254" w:lineRule="auto"/>
        <w:rPr>
          <w:sz w:val="20"/>
          <w:szCs w:val="20"/>
          <w:color w:val="auto"/>
        </w:rPr>
      </w:pPr>
      <w:r>
        <w:rPr>
          <w:rFonts w:ascii="Arial" w:cs="Arial" w:eastAsia="Arial" w:hAnsi="Arial"/>
          <w:sz w:val="20"/>
          <w:szCs w:val="20"/>
          <w:color w:val="auto"/>
        </w:rPr>
        <w:t>See the following for additional information about certain income and expenses included in net earnings: intangible assets amortization expense (Note 7), intangible assets impairment expense (Note 7), change in fair value of contingent consideration (Note 11), interest income and expense (Note 3), depreciation expense (Note 2), litigation matters (Note 15), income tax expense (Note 14) and restructuring expense (Note 8).</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Long-lived assets, consisting of property and equipment, net, by geographic area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tcPr>
          <w:p>
            <w:pPr>
              <w:spacing w:after="0"/>
              <w:rPr>
                <w:sz w:val="20"/>
                <w:szCs w:val="20"/>
                <w:color w:val="auto"/>
              </w:rPr>
            </w:pPr>
            <w:r>
              <w:rPr>
                <w:rFonts w:ascii="Arial" w:cs="Arial" w:eastAsia="Arial" w:hAnsi="Arial"/>
                <w:sz w:val="16"/>
                <w:szCs w:val="16"/>
                <w:b w:val="1"/>
                <w:bCs w:val="1"/>
                <w:color w:val="auto"/>
              </w:rPr>
              <w:t>as of December 31 (in millions)</w:t>
            </w:r>
          </w:p>
        </w:tc>
        <w:tc>
          <w:tcPr>
            <w:tcW w:w="3360" w:type="dxa"/>
            <w:vAlign w:val="bottom"/>
          </w:tcPr>
          <w:p>
            <w:pPr>
              <w:jc w:val="right"/>
              <w:ind w:right="144"/>
              <w:spacing w:after="0"/>
              <w:rPr>
                <w:sz w:val="20"/>
                <w:szCs w:val="20"/>
                <w:color w:val="auto"/>
              </w:rPr>
            </w:pPr>
            <w:r>
              <w:rPr>
                <w:rFonts w:ascii="Arial" w:cs="Arial" w:eastAsia="Arial" w:hAnsi="Arial"/>
                <w:sz w:val="16"/>
                <w:szCs w:val="16"/>
                <w:b w:val="1"/>
                <w:bCs w:val="1"/>
                <w:color w:val="auto"/>
              </w:rPr>
              <w:t>2025</w:t>
            </w:r>
          </w:p>
        </w:tc>
        <w:tc>
          <w:tcPr>
            <w:tcW w:w="740" w:type="dxa"/>
            <w:vAlign w:val="bottom"/>
          </w:tcPr>
          <w:p>
            <w:pPr>
              <w:jc w:val="right"/>
              <w:ind w:right="44"/>
              <w:spacing w:after="0"/>
              <w:rPr>
                <w:sz w:val="20"/>
                <w:szCs w:val="20"/>
                <w:color w:val="auto"/>
              </w:rPr>
            </w:pPr>
            <w:r>
              <w:rPr>
                <w:rFonts w:ascii="Arial" w:cs="Arial" w:eastAsia="Arial" w:hAnsi="Arial"/>
                <w:sz w:val="16"/>
                <w:szCs w:val="16"/>
                <w:b w:val="1"/>
                <w:bCs w:val="1"/>
                <w:color w:val="auto"/>
              </w:rPr>
              <w:t>2024</w:t>
            </w:r>
          </w:p>
        </w:tc>
      </w:tr>
      <w:tr>
        <w:trPr>
          <w:trHeight w:val="22"/>
        </w:trPr>
        <w:tc>
          <w:tcPr>
            <w:tcW w:w="50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64"/>
        </w:trPr>
        <w:tc>
          <w:tcPr>
            <w:tcW w:w="5000" w:type="dxa"/>
            <w:vAlign w:val="bottom"/>
          </w:tcPr>
          <w:p>
            <w:pPr>
              <w:spacing w:after="0"/>
              <w:rPr>
                <w:sz w:val="20"/>
                <w:szCs w:val="20"/>
                <w:color w:val="auto"/>
              </w:rPr>
            </w:pPr>
            <w:r>
              <w:rPr>
                <w:rFonts w:ascii="Arial" w:cs="Arial" w:eastAsia="Arial" w:hAnsi="Arial"/>
                <w:sz w:val="20"/>
                <w:szCs w:val="20"/>
                <w:color w:val="auto"/>
              </w:rPr>
              <w:t>United States</w:t>
            </w:r>
          </w:p>
        </w:tc>
        <w:tc>
          <w:tcPr>
            <w:tcW w:w="3360" w:type="dxa"/>
            <w:vAlign w:val="bottom"/>
          </w:tcPr>
          <w:p>
            <w:pPr>
              <w:jc w:val="right"/>
              <w:ind w:right="24"/>
              <w:spacing w:after="0"/>
              <w:rPr>
                <w:sz w:val="20"/>
                <w:szCs w:val="20"/>
                <w:color w:val="auto"/>
              </w:rPr>
            </w:pPr>
            <w:r>
              <w:rPr>
                <w:rFonts w:ascii="Arial" w:cs="Arial" w:eastAsia="Arial" w:hAnsi="Arial"/>
                <w:sz w:val="20"/>
                <w:szCs w:val="20"/>
                <w:color w:val="auto"/>
              </w:rPr>
              <w:t>$3,404</w:t>
            </w:r>
          </w:p>
        </w:tc>
        <w:tc>
          <w:tcPr>
            <w:tcW w:w="740" w:type="dxa"/>
            <w:vAlign w:val="bottom"/>
          </w:tcPr>
          <w:p>
            <w:pPr>
              <w:jc w:val="right"/>
              <w:spacing w:after="0"/>
              <w:rPr>
                <w:sz w:val="20"/>
                <w:szCs w:val="20"/>
                <w:color w:val="auto"/>
              </w:rPr>
            </w:pPr>
            <w:r>
              <w:rPr>
                <w:rFonts w:ascii="Arial" w:cs="Arial" w:eastAsia="Arial" w:hAnsi="Arial"/>
                <w:sz w:val="20"/>
                <w:szCs w:val="20"/>
                <w:color w:val="auto"/>
              </w:rPr>
              <w:t>$3,331</w:t>
            </w:r>
          </w:p>
        </w:tc>
      </w:tr>
      <w:tr>
        <w:trPr>
          <w:trHeight w:val="279"/>
        </w:trPr>
        <w:tc>
          <w:tcPr>
            <w:tcW w:w="5000" w:type="dxa"/>
            <w:vAlign w:val="bottom"/>
          </w:tcPr>
          <w:p>
            <w:pPr>
              <w:spacing w:after="0"/>
              <w:rPr>
                <w:sz w:val="20"/>
                <w:szCs w:val="20"/>
                <w:color w:val="auto"/>
              </w:rPr>
            </w:pPr>
            <w:r>
              <w:rPr>
                <w:rFonts w:ascii="Arial" w:cs="Arial" w:eastAsia="Arial" w:hAnsi="Arial"/>
                <w:sz w:val="20"/>
                <w:szCs w:val="20"/>
                <w:color w:val="auto"/>
              </w:rPr>
              <w:t>Europe</w:t>
            </w:r>
          </w:p>
        </w:tc>
        <w:tc>
          <w:tcPr>
            <w:tcW w:w="3360" w:type="dxa"/>
            <w:vAlign w:val="bottom"/>
          </w:tcPr>
          <w:p>
            <w:pPr>
              <w:jc w:val="right"/>
              <w:ind w:right="24"/>
              <w:spacing w:after="0"/>
              <w:rPr>
                <w:sz w:val="20"/>
                <w:szCs w:val="20"/>
                <w:color w:val="auto"/>
              </w:rPr>
            </w:pPr>
            <w:r>
              <w:rPr>
                <w:rFonts w:ascii="Arial" w:cs="Arial" w:eastAsia="Arial" w:hAnsi="Arial"/>
                <w:sz w:val="20"/>
                <w:szCs w:val="20"/>
                <w:color w:val="auto"/>
              </w:rPr>
              <w:t>1,804</w:t>
            </w:r>
          </w:p>
        </w:tc>
        <w:tc>
          <w:tcPr>
            <w:tcW w:w="740" w:type="dxa"/>
            <w:vAlign w:val="bottom"/>
          </w:tcPr>
          <w:p>
            <w:pPr>
              <w:jc w:val="right"/>
              <w:spacing w:after="0"/>
              <w:rPr>
                <w:sz w:val="20"/>
                <w:szCs w:val="20"/>
                <w:color w:val="auto"/>
              </w:rPr>
            </w:pPr>
            <w:r>
              <w:rPr>
                <w:rFonts w:ascii="Arial" w:cs="Arial" w:eastAsia="Arial" w:hAnsi="Arial"/>
                <w:sz w:val="20"/>
                <w:szCs w:val="20"/>
                <w:color w:val="auto"/>
              </w:rPr>
              <w:t>1,485</w:t>
            </w:r>
          </w:p>
        </w:tc>
      </w:tr>
      <w:tr>
        <w:trPr>
          <w:trHeight w:val="282"/>
        </w:trPr>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All other</w:t>
            </w:r>
          </w:p>
        </w:tc>
        <w:tc>
          <w:tcPr>
            <w:tcW w:w="336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420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w:t>
            </w:r>
          </w:p>
        </w:tc>
      </w:tr>
      <w:tr>
        <w:trPr>
          <w:trHeight w:val="269"/>
        </w:trPr>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 long-lived assets</w:t>
            </w:r>
          </w:p>
        </w:tc>
        <w:tc>
          <w:tcPr>
            <w:tcW w:w="336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$5,628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$5,134</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Note 17 Fourth Quarter Financial Results (unaudited)</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Pr>
          <w:p>
            <w:pPr>
              <w:spacing w:after="0"/>
              <w:rPr>
                <w:sz w:val="20"/>
                <w:szCs w:val="20"/>
                <w:color w:val="auto"/>
              </w:rPr>
            </w:pPr>
            <w:r>
              <w:rPr>
                <w:rFonts w:ascii="Arial" w:cs="Arial" w:eastAsia="Arial" w:hAnsi="Arial"/>
                <w:sz w:val="16"/>
                <w:szCs w:val="16"/>
                <w:b w:val="1"/>
                <w:bCs w:val="1"/>
                <w:color w:val="auto"/>
              </w:rPr>
              <w:t>quarter ended December 31 (in millions except per share data)</w:t>
            </w:r>
          </w:p>
        </w:tc>
        <w:tc>
          <w:tcPr>
            <w:tcW w:w="1940" w:type="dxa"/>
            <w:vAlign w:val="bottom"/>
          </w:tcPr>
          <w:p>
            <w:pPr>
              <w:spacing w:after="0"/>
              <w:rPr>
                <w:sz w:val="17"/>
                <w:szCs w:val="17"/>
                <w:color w:val="auto"/>
              </w:rPr>
            </w:pPr>
          </w:p>
        </w:tc>
        <w:tc>
          <w:tcPr>
            <w:tcW w:w="620" w:type="dxa"/>
            <w:vAlign w:val="bottom"/>
          </w:tcPr>
          <w:p>
            <w:pPr>
              <w:jc w:val="right"/>
              <w:ind w:right="103"/>
              <w:spacing w:after="0"/>
              <w:rPr>
                <w:sz w:val="20"/>
                <w:szCs w:val="20"/>
                <w:color w:val="auto"/>
              </w:rPr>
            </w:pPr>
            <w:r>
              <w:rPr>
                <w:rFonts w:ascii="Arial" w:cs="Arial" w:eastAsia="Arial" w:hAnsi="Arial"/>
                <w:sz w:val="16"/>
                <w:szCs w:val="16"/>
                <w:b w:val="1"/>
                <w:bCs w:val="1"/>
                <w:color w:val="auto"/>
              </w:rPr>
              <w:t>2025</w:t>
            </w:r>
          </w:p>
        </w:tc>
      </w:tr>
      <w:tr>
        <w:trPr>
          <w:trHeight w:val="22"/>
        </w:trPr>
        <w:tc>
          <w:tcPr>
            <w:tcW w:w="65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64"/>
        </w:trPr>
        <w:tc>
          <w:tcPr>
            <w:tcW w:w="6540" w:type="dxa"/>
            <w:vAlign w:val="bottom"/>
          </w:tcPr>
          <w:p>
            <w:pPr>
              <w:spacing w:after="0"/>
              <w:rPr>
                <w:sz w:val="20"/>
                <w:szCs w:val="20"/>
                <w:color w:val="auto"/>
              </w:rPr>
            </w:pPr>
            <w:r>
              <w:rPr>
                <w:rFonts w:ascii="Arial" w:cs="Arial" w:eastAsia="Arial" w:hAnsi="Arial"/>
                <w:sz w:val="20"/>
                <w:szCs w:val="20"/>
                <w:color w:val="auto"/>
              </w:rPr>
              <w:t>Net revenues</w:t>
            </w:r>
          </w:p>
        </w:tc>
        <w:tc>
          <w:tcPr>
            <w:tcW w:w="194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16,618</w:t>
            </w:r>
          </w:p>
        </w:tc>
      </w:tr>
      <w:tr>
        <w:trPr>
          <w:trHeight w:val="279"/>
        </w:trPr>
        <w:tc>
          <w:tcPr>
            <w:tcW w:w="6540" w:type="dxa"/>
            <w:vAlign w:val="bottom"/>
          </w:tcPr>
          <w:p>
            <w:pPr>
              <w:spacing w:after="0"/>
              <w:rPr>
                <w:sz w:val="20"/>
                <w:szCs w:val="20"/>
                <w:color w:val="auto"/>
              </w:rPr>
            </w:pPr>
            <w:r>
              <w:rPr>
                <w:rFonts w:ascii="Arial" w:cs="Arial" w:eastAsia="Arial" w:hAnsi="Arial"/>
                <w:sz w:val="20"/>
                <w:szCs w:val="20"/>
                <w:color w:val="auto"/>
              </w:rPr>
              <w:t>Gross margin</w:t>
            </w:r>
          </w:p>
        </w:tc>
        <w:tc>
          <w:tcPr>
            <w:tcW w:w="19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12,066</w:t>
            </w:r>
          </w:p>
        </w:tc>
      </w:tr>
      <w:tr>
        <w:trPr>
          <w:trHeight w:val="279"/>
        </w:trPr>
        <w:tc>
          <w:tcPr>
            <w:tcW w:w="6540" w:type="dxa"/>
            <w:vAlign w:val="bottom"/>
          </w:tcPr>
          <w:p>
            <w:pPr>
              <w:spacing w:after="0"/>
              <w:rPr>
                <w:sz w:val="20"/>
                <w:szCs w:val="20"/>
                <w:color w:val="auto"/>
              </w:rPr>
            </w:pPr>
            <w:r>
              <w:rPr>
                <w:rFonts w:ascii="Arial" w:cs="Arial" w:eastAsia="Arial" w:hAnsi="Arial"/>
                <w:sz w:val="20"/>
                <w:szCs w:val="20"/>
                <w:color w:val="auto"/>
              </w:rPr>
              <w:t>Net earnings attributable to AbbVie Inc.</w:t>
            </w:r>
          </w:p>
        </w:tc>
        <w:tc>
          <w:tcPr>
            <w:tcW w:w="19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1,816</w:t>
            </w:r>
          </w:p>
        </w:tc>
      </w:tr>
      <w:tr>
        <w:trPr>
          <w:trHeight w:val="279"/>
        </w:trPr>
        <w:tc>
          <w:tcPr>
            <w:tcW w:w="6540" w:type="dxa"/>
            <w:vAlign w:val="bottom"/>
          </w:tcPr>
          <w:p>
            <w:pPr>
              <w:spacing w:after="0"/>
              <w:rPr>
                <w:sz w:val="20"/>
                <w:szCs w:val="20"/>
                <w:color w:val="auto"/>
              </w:rPr>
            </w:pPr>
            <w:r>
              <w:rPr>
                <w:rFonts w:ascii="Arial" w:cs="Arial" w:eastAsia="Arial" w:hAnsi="Arial"/>
                <w:sz w:val="20"/>
                <w:szCs w:val="20"/>
                <w:color w:val="auto"/>
              </w:rPr>
              <w:t>Basic earnings per share attributable to AbbVie Inc.</w:t>
            </w:r>
          </w:p>
        </w:tc>
        <w:tc>
          <w:tcPr>
            <w:tcW w:w="194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79"/>
        </w:trPr>
        <w:tc>
          <w:tcPr>
            <w:tcW w:w="6540" w:type="dxa"/>
            <w:vAlign w:val="bottom"/>
          </w:tcPr>
          <w:p>
            <w:pPr>
              <w:spacing w:after="0"/>
              <w:rPr>
                <w:sz w:val="20"/>
                <w:szCs w:val="20"/>
                <w:color w:val="auto"/>
              </w:rPr>
            </w:pPr>
            <w:r>
              <w:rPr>
                <w:rFonts w:ascii="Arial" w:cs="Arial" w:eastAsia="Arial" w:hAnsi="Arial"/>
                <w:sz w:val="20"/>
                <w:szCs w:val="20"/>
                <w:color w:val="auto"/>
              </w:rPr>
              <w:t>Diluted earnings per share attributable to AbbVie Inc.</w:t>
            </w:r>
          </w:p>
        </w:tc>
        <w:tc>
          <w:tcPr>
            <w:tcW w:w="194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82"/>
        </w:trPr>
        <w:tc>
          <w:tcPr>
            <w:tcW w:w="6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Cash dividends declared per common share</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w:t>
            </w:r>
          </w:p>
        </w:tc>
      </w:tr>
    </w:tbl>
    <w:p>
      <w:pPr>
        <w:spacing w:after="0" w:line="200" w:lineRule="exact"/>
        <w:rPr>
          <w:sz w:val="20"/>
          <w:szCs w:val="20"/>
          <w:color w:val="auto"/>
        </w:rPr>
      </w:pPr>
    </w:p>
    <w:p>
      <w:pPr>
        <w:sectPr>
          <w:pgSz w:w="11880" w:h="15480" w:orient="portrait"/>
          <w:cols w:equalWidth="0" w:num="1">
            <w:col w:w="9100"/>
          </w:cols>
          <w:pgMar w:left="1400" w:top="1030"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106  </w:t>
      </w:r>
      <w:r>
        <w:rPr>
          <w:sz w:val="1"/>
          <w:szCs w:val="1"/>
          <w:color w:val="auto"/>
        </w:rPr>
        <w:drawing>
          <wp:inline distT="0" distB="0" distL="0" distR="0">
            <wp:extent cx="615950" cy="12827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112" w:name="page113"/>
    <w:bookmarkEnd w:id="112"/>
    <w:p>
      <w:pPr>
        <w:ind w:left="1440"/>
        <w:spacing w:after="0"/>
        <w:rPr>
          <w:sz w:val="20"/>
          <w:szCs w:val="20"/>
          <w:color w:val="auto"/>
        </w:rPr>
      </w:pPr>
      <w:r>
        <w:rPr>
          <w:rFonts w:ascii="Arial" w:cs="Arial" w:eastAsia="Arial" w:hAnsi="Arial"/>
          <w:sz w:val="22"/>
          <w:szCs w:val="22"/>
          <w:b w:val="1"/>
          <w:bCs w:val="1"/>
          <w:color w:val="000039"/>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AbbVie Inc.</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Opinion on the Financial Statements</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We have audited the accompanying consolidated balance sheets of AbbVie Inc. and subsidiaries (the Company) as of December 31, 2025 and 2024, the related consolidated statements of earnings, comprehensive income,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Basis for Opinion</w:t>
      </w:r>
    </w:p>
    <w:p>
      <w:pPr>
        <w:spacing w:after="0" w:line="131"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Critical Audit Matter</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9100"/>
          </w:cols>
          <w:pgMar w:left="1400" w:top="1025"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107</w:t>
      </w:r>
    </w:p>
    <w:p>
      <w:pPr>
        <w:sectPr>
          <w:pgSz w:w="11880" w:h="15480" w:orient="portrait"/>
          <w:cols w:equalWidth="0" w:num="1">
            <w:col w:w="9100"/>
          </w:cols>
          <w:pgMar w:left="1400" w:top="1025" w:right="1380" w:bottom="87" w:gutter="0" w:footer="0" w:header="0"/>
          <w:type w:val="continuous"/>
        </w:sectPr>
      </w:pPr>
    </w:p>
    <w:bookmarkStart w:id="113" w:name="page114"/>
    <w:bookmarkEnd w:id="113"/>
    <w:p>
      <w:pPr>
        <w:ind w:left="2140" w:right="880"/>
        <w:spacing w:after="0" w:line="264" w:lineRule="auto"/>
        <w:rPr>
          <w:sz w:val="20"/>
          <w:szCs w:val="20"/>
          <w:color w:val="auto"/>
        </w:rPr>
      </w:pPr>
      <w:r>
        <w:rPr>
          <w:rFonts w:ascii="Arial" w:cs="Arial" w:eastAsia="Arial" w:hAnsi="Arial"/>
          <w:sz w:val="20"/>
          <w:szCs w:val="20"/>
          <w:b w:val="1"/>
          <w:bCs w:val="1"/>
          <w:i w:val="1"/>
          <w:iCs w:val="1"/>
          <w:color w:val="auto"/>
        </w:rPr>
        <w:t>Sales rebate accruals for Medicaid, Medicare and managed care programs</w:t>
      </w:r>
    </w:p>
    <w:p>
      <w:pPr>
        <w:spacing w:after="0" w:line="93" w:lineRule="exact"/>
        <w:rPr>
          <w:sz w:val="20"/>
          <w:szCs w:val="20"/>
          <w:color w:val="auto"/>
        </w:rPr>
      </w:pPr>
    </w:p>
    <w:p>
      <w:pPr>
        <w:spacing w:after="0"/>
        <w:tabs>
          <w:tab w:leader="none" w:pos="2120" w:val="left"/>
        </w:tabs>
        <w:rPr>
          <w:sz w:val="20"/>
          <w:szCs w:val="20"/>
          <w:color w:val="auto"/>
        </w:rPr>
      </w:pPr>
      <w:r>
        <w:rPr>
          <w:rFonts w:ascii="Arial" w:cs="Arial" w:eastAsia="Arial" w:hAnsi="Arial"/>
          <w:sz w:val="20"/>
          <w:szCs w:val="20"/>
          <w:i w:val="1"/>
          <w:iCs w:val="1"/>
          <w:color w:val="auto"/>
        </w:rPr>
        <w:t>Description of the</w:t>
      </w:r>
      <w:r>
        <w:rPr>
          <w:sz w:val="20"/>
          <w:szCs w:val="20"/>
          <w:color w:val="auto"/>
        </w:rPr>
        <w:tab/>
      </w:r>
      <w:r>
        <w:rPr>
          <w:rFonts w:ascii="Arial" w:cs="Arial" w:eastAsia="Arial" w:hAnsi="Arial"/>
          <w:sz w:val="19"/>
          <w:szCs w:val="19"/>
          <w:color w:val="auto"/>
        </w:rPr>
        <w:t>As discussed in Note 2 to the consolidated financial statements under the</w:t>
      </w:r>
    </w:p>
    <w:p>
      <w:pPr>
        <w:spacing w:after="0" w:line="20" w:lineRule="exact"/>
        <w:rPr>
          <w:sz w:val="20"/>
          <w:szCs w:val="20"/>
          <w:color w:val="auto"/>
        </w:rPr>
      </w:pPr>
    </w:p>
    <w:p>
      <w:pPr>
        <w:ind w:left="2140" w:right="40" w:hanging="2139"/>
        <w:spacing w:after="0" w:line="250" w:lineRule="auto"/>
        <w:tabs>
          <w:tab w:leader="none" w:pos="2120" w:val="left"/>
        </w:tabs>
        <w:rPr>
          <w:sz w:val="20"/>
          <w:szCs w:val="20"/>
          <w:color w:val="auto"/>
        </w:rPr>
      </w:pPr>
      <w:r>
        <w:rPr>
          <w:rFonts w:ascii="Arial" w:cs="Arial" w:eastAsia="Arial" w:hAnsi="Arial"/>
          <w:sz w:val="20"/>
          <w:szCs w:val="20"/>
          <w:i w:val="1"/>
          <w:iCs w:val="1"/>
          <w:color w:val="auto"/>
        </w:rPr>
        <w:t>Matter</w:t>
      </w:r>
      <w:r>
        <w:rPr>
          <w:sz w:val="20"/>
          <w:szCs w:val="20"/>
          <w:color w:val="auto"/>
        </w:rPr>
        <w:tab/>
      </w:r>
      <w:r>
        <w:rPr>
          <w:rFonts w:ascii="Arial" w:cs="Arial" w:eastAsia="Arial" w:hAnsi="Arial"/>
          <w:sz w:val="20"/>
          <w:szCs w:val="20"/>
          <w:color w:val="auto"/>
        </w:rPr>
        <w:t>caption “Revenue Recognition,” the Company established provisions for sales rebates in the same period the related product is sold. At December 31, 2025, the Company had $14,572 million in sales rebate accruals, a large portion of which were for rebates accrued for pharmacy benefit managers, state government Medicaid programs, insurance companies that administer Medicare drug plans and private entities for Medicaid, Medicare and managed care programs. In order to establish the rebate accruals, the Company estimated its rebates based on estimates and assumptions, including the determination of the related payer of the rebate based on sales trends, changes in rebate contracts which impacts the applicable price and rebate terms, and the corresponding lag in payment timing.</w:t>
      </w:r>
    </w:p>
    <w:p>
      <w:pPr>
        <w:spacing w:after="0" w:line="110" w:lineRule="exact"/>
        <w:rPr>
          <w:sz w:val="20"/>
          <w:szCs w:val="20"/>
          <w:color w:val="auto"/>
        </w:rPr>
      </w:pPr>
    </w:p>
    <w:p>
      <w:pPr>
        <w:ind w:left="2140" w:right="20"/>
        <w:spacing w:after="0" w:line="252" w:lineRule="auto"/>
        <w:rPr>
          <w:sz w:val="20"/>
          <w:szCs w:val="20"/>
          <w:color w:val="auto"/>
        </w:rPr>
      </w:pPr>
      <w:r>
        <w:rPr>
          <w:rFonts w:ascii="Arial" w:cs="Arial" w:eastAsia="Arial" w:hAnsi="Arial"/>
          <w:sz w:val="20"/>
          <w:szCs w:val="20"/>
          <w:color w:val="auto"/>
        </w:rPr>
        <w:t>Auditing the Medicaid, Medicare and managed care sales rebate accruals was complex and required significant auditor judgment because the accruals consider multiple subjective and complex estimates and assumptions. In deriving these estimates and assumptions, the Company used both internal and external sources of information. Management supplemented its historical data analysis with qualitative adjustments based upon changes in rebate trends, rebate programs, contract terms, legislative changes, or other significant events which indicate a change in the reserve is appropriate.</w:t>
      </w:r>
    </w:p>
    <w:p>
      <w:pPr>
        <w:spacing w:after="0" w:line="102" w:lineRule="exact"/>
        <w:rPr>
          <w:sz w:val="20"/>
          <w:szCs w:val="20"/>
          <w:color w:val="auto"/>
        </w:rPr>
      </w:pPr>
    </w:p>
    <w:p>
      <w:pPr>
        <w:spacing w:after="0"/>
        <w:tabs>
          <w:tab w:leader="none" w:pos="2120" w:val="left"/>
        </w:tabs>
        <w:rPr>
          <w:sz w:val="20"/>
          <w:szCs w:val="20"/>
          <w:color w:val="auto"/>
        </w:rPr>
      </w:pPr>
      <w:r>
        <w:rPr>
          <w:rFonts w:ascii="Arial" w:cs="Arial" w:eastAsia="Arial" w:hAnsi="Arial"/>
          <w:sz w:val="20"/>
          <w:szCs w:val="20"/>
          <w:i w:val="1"/>
          <w:iCs w:val="1"/>
          <w:color w:val="auto"/>
        </w:rPr>
        <w:t>How We Addressed</w:t>
      </w:r>
      <w:r>
        <w:rPr>
          <w:sz w:val="20"/>
          <w:szCs w:val="20"/>
          <w:color w:val="auto"/>
        </w:rPr>
        <w:tab/>
      </w:r>
      <w:r>
        <w:rPr>
          <w:rFonts w:ascii="Arial" w:cs="Arial" w:eastAsia="Arial" w:hAnsi="Arial"/>
          <w:sz w:val="19"/>
          <w:szCs w:val="19"/>
          <w:color w:val="auto"/>
        </w:rPr>
        <w:t>We obtained an understanding, evaluated the design and tested the operating</w:t>
      </w:r>
    </w:p>
    <w:p>
      <w:pPr>
        <w:spacing w:after="0" w:line="20" w:lineRule="exact"/>
        <w:rPr>
          <w:sz w:val="20"/>
          <w:szCs w:val="20"/>
          <w:color w:val="auto"/>
        </w:rPr>
      </w:pPr>
    </w:p>
    <w:p>
      <w:pPr>
        <w:spacing w:after="0"/>
        <w:tabs>
          <w:tab w:leader="none" w:pos="2120" w:val="left"/>
        </w:tabs>
        <w:rPr>
          <w:sz w:val="20"/>
          <w:szCs w:val="20"/>
          <w:color w:val="auto"/>
        </w:rPr>
      </w:pPr>
      <w:r>
        <w:rPr>
          <w:rFonts w:ascii="Arial" w:cs="Arial" w:eastAsia="Arial" w:hAnsi="Arial"/>
          <w:sz w:val="20"/>
          <w:szCs w:val="20"/>
          <w:i w:val="1"/>
          <w:iCs w:val="1"/>
          <w:color w:val="auto"/>
        </w:rPr>
        <w:t>the Matter in Our</w:t>
      </w:r>
      <w:r>
        <w:rPr>
          <w:sz w:val="20"/>
          <w:szCs w:val="20"/>
          <w:color w:val="auto"/>
        </w:rPr>
        <w:tab/>
      </w:r>
      <w:r>
        <w:rPr>
          <w:rFonts w:ascii="Arial" w:cs="Arial" w:eastAsia="Arial" w:hAnsi="Arial"/>
          <w:sz w:val="20"/>
          <w:szCs w:val="20"/>
          <w:color w:val="auto"/>
        </w:rPr>
        <w:t>effectiveness of controls over the Company’s sales rebate accruals for</w:t>
      </w:r>
    </w:p>
    <w:p>
      <w:pPr>
        <w:spacing w:after="0" w:line="9" w:lineRule="exact"/>
        <w:rPr>
          <w:sz w:val="20"/>
          <w:szCs w:val="20"/>
          <w:color w:val="auto"/>
        </w:rPr>
      </w:pPr>
    </w:p>
    <w:p>
      <w:pPr>
        <w:ind w:left="2140" w:hanging="2139"/>
        <w:spacing w:after="0" w:line="266" w:lineRule="auto"/>
        <w:tabs>
          <w:tab w:leader="none" w:pos="2120" w:val="left"/>
        </w:tabs>
        <w:rPr>
          <w:sz w:val="20"/>
          <w:szCs w:val="20"/>
          <w:color w:val="auto"/>
        </w:rPr>
      </w:pPr>
      <w:r>
        <w:rPr>
          <w:rFonts w:ascii="Arial" w:cs="Arial" w:eastAsia="Arial" w:hAnsi="Arial"/>
          <w:sz w:val="19"/>
          <w:szCs w:val="19"/>
          <w:i w:val="1"/>
          <w:iCs w:val="1"/>
          <w:color w:val="auto"/>
        </w:rPr>
        <w:t>Audit</w:t>
      </w:r>
      <w:r>
        <w:rPr>
          <w:sz w:val="20"/>
          <w:szCs w:val="20"/>
          <w:color w:val="auto"/>
        </w:rPr>
        <w:tab/>
      </w:r>
      <w:r>
        <w:rPr>
          <w:rFonts w:ascii="Arial" w:cs="Arial" w:eastAsia="Arial" w:hAnsi="Arial"/>
          <w:sz w:val="19"/>
          <w:szCs w:val="19"/>
          <w:color w:val="auto"/>
        </w:rPr>
        <w:t>Medicaid, Medicare and managed care programs. This included testing controls over management’s review of the significant assumptions and other inputs used in the estimation of Medicaid, Medicare and managed care rebates, among others, including the significant assumptions discussed above. Specifically, we tested management’s controls to evaluate the sufficiency of its reserve estimates by comparing to actual rebates paid, controls over rebate validation and processing, and controls to ensure that the data used to evaluate and support the significant assumptions was complete and accurate.</w:t>
      </w:r>
    </w:p>
    <w:p>
      <w:pPr>
        <w:spacing w:after="0" w:line="89" w:lineRule="exact"/>
        <w:rPr>
          <w:sz w:val="20"/>
          <w:szCs w:val="20"/>
          <w:color w:val="auto"/>
        </w:rPr>
      </w:pPr>
    </w:p>
    <w:p>
      <w:pPr>
        <w:ind w:left="2140" w:right="60"/>
        <w:spacing w:after="0" w:line="251" w:lineRule="auto"/>
        <w:rPr>
          <w:sz w:val="20"/>
          <w:szCs w:val="20"/>
          <w:color w:val="auto"/>
        </w:rPr>
      </w:pPr>
      <w:r>
        <w:rPr>
          <w:rFonts w:ascii="Arial" w:cs="Arial" w:eastAsia="Arial" w:hAnsi="Arial"/>
          <w:sz w:val="20"/>
          <w:szCs w:val="20"/>
          <w:color w:val="auto"/>
        </w:rPr>
        <w:t>To test the sales rebate accruals and assess the historical accuracy of management’s estimate for Medicaid, Medicare and managed care programs, our audit procedures included independently calculating the sales rebate accruals based on historical payments and performing a hindsight analysis on the reserves recorded. Our testing of significant assumptions included corroborating management’s estimate of the rebate claims processing lag time for each type of rebate. We evaluated the reasonableness of assumptions considering industry and economic trends, product profiles, and other regulatory factors. For Medicaid, we involved a specialist with an understanding of statutory reimbursement requirements to assess the consistency of the Company’s calculation methodologies with applicable government regulations and policy.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have served as the Company’s auditor since 2013.</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Chicago, Illinois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February 20, 2026</w:t>
      </w:r>
    </w:p>
    <w:p>
      <w:pPr>
        <w:sectPr>
          <w:pgSz w:w="11880" w:h="15480" w:orient="portrait"/>
          <w:cols w:equalWidth="0" w:num="1">
            <w:col w:w="9080"/>
          </w:cols>
          <w:pgMar w:left="1400" w:top="1028" w:right="140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108  </w:t>
      </w:r>
      <w:r>
        <w:rPr>
          <w:sz w:val="1"/>
          <w:szCs w:val="1"/>
          <w:color w:val="auto"/>
        </w:rPr>
        <w:drawing>
          <wp:inline distT="0" distB="0" distL="0" distR="0">
            <wp:extent cx="615950" cy="12827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080"/>
          </w:cols>
          <w:pgMar w:left="1400" w:top="1028" w:right="1400" w:bottom="75" w:gutter="0" w:footer="0" w:header="0"/>
          <w:type w:val="continuous"/>
        </w:sectPr>
      </w:pPr>
    </w:p>
    <w:bookmarkStart w:id="114" w:name="page115"/>
    <w:bookmarkEnd w:id="114"/>
    <w:p>
      <w:pPr>
        <w:ind w:right="440"/>
        <w:spacing w:after="0" w:line="212" w:lineRule="auto"/>
        <w:rPr>
          <w:sz w:val="20"/>
          <w:szCs w:val="20"/>
          <w:color w:val="auto"/>
        </w:rPr>
      </w:pPr>
      <w:r>
        <w:rPr>
          <w:rFonts w:ascii="Arial" w:cs="Arial" w:eastAsia="Arial" w:hAnsi="Arial"/>
          <w:sz w:val="20"/>
          <w:szCs w:val="20"/>
          <w:b w:val="1"/>
          <w:bCs w:val="1"/>
          <w:color w:val="000039"/>
        </w:rPr>
        <w:t>ITEM 9. CHANGES IN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ITEM 9A. CONTROLS AND PROCEDURES</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Disclosure Controls and Procedures; Internal Control Over Financial Reporting</w:t>
      </w:r>
    </w:p>
    <w:p>
      <w:pPr>
        <w:spacing w:after="0" w:line="129" w:lineRule="exact"/>
        <w:rPr>
          <w:sz w:val="20"/>
          <w:szCs w:val="20"/>
          <w:color w:val="auto"/>
        </w:rPr>
      </w:pPr>
    </w:p>
    <w:p>
      <w:pPr>
        <w:ind w:firstLine="359"/>
        <w:spacing w:after="0" w:line="252" w:lineRule="auto"/>
        <w:rPr>
          <w:sz w:val="20"/>
          <w:szCs w:val="20"/>
          <w:color w:val="auto"/>
        </w:rPr>
      </w:pPr>
      <w:r>
        <w:rPr>
          <w:rFonts w:ascii="Arial" w:cs="Arial" w:eastAsia="Arial" w:hAnsi="Arial"/>
          <w:sz w:val="20"/>
          <w:szCs w:val="20"/>
          <w:b w:val="1"/>
          <w:bCs w:val="1"/>
          <w:i w:val="1"/>
          <w:iCs w:val="1"/>
          <w:color w:val="000039"/>
        </w:rPr>
        <w:t xml:space="preserve">Evaluation of disclosure controls and procedures. </w:t>
      </w:r>
      <w:r>
        <w:rPr>
          <w:rFonts w:ascii="Arial" w:cs="Arial" w:eastAsia="Arial" w:hAnsi="Arial"/>
          <w:sz w:val="20"/>
          <w:szCs w:val="20"/>
          <w:color w:val="000000"/>
        </w:rPr>
        <w:t>The Chairman of the Board and Chief</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Executive Officer, Robert A. Michael, and the Chief Financial Officer, Scott T. Reents, evaluated the effectiveness of AbbVie’s disclosure controls and procedures as of the end of the period covered by this report, and concluded that AbbVie’s disclosure controls and procedures were effective to ensure that information AbbVie is required to disclose in the reports that it files or submits with the Securities and Exchange Commission under the Securities Exchange Act of 1934 is recorded, processed, summarized and reported, within the time periods specified in the Commission’s rules and forms, and to ensure that information required to be disclosed by AbbVie in the reports that it files or submits under the Securities Exchange Act of 1934 is accumulated and communicated to AbbVie’s management, including its principal executive officer and principal financial officer, as appropriate to allow timely decisions regarding required disclosure.</w:t>
      </w:r>
    </w:p>
    <w:p>
      <w:pPr>
        <w:spacing w:after="0" w:line="118" w:lineRule="exact"/>
        <w:rPr>
          <w:sz w:val="20"/>
          <w:szCs w:val="20"/>
          <w:color w:val="auto"/>
        </w:rPr>
      </w:pPr>
    </w:p>
    <w:p>
      <w:pPr>
        <w:ind w:right="20" w:firstLine="359"/>
        <w:spacing w:after="0" w:line="256" w:lineRule="auto"/>
        <w:rPr>
          <w:sz w:val="20"/>
          <w:szCs w:val="20"/>
          <w:color w:val="auto"/>
        </w:rPr>
      </w:pPr>
      <w:r>
        <w:rPr>
          <w:rFonts w:ascii="Arial" w:cs="Arial" w:eastAsia="Arial" w:hAnsi="Arial"/>
          <w:sz w:val="20"/>
          <w:szCs w:val="20"/>
          <w:b w:val="1"/>
          <w:bCs w:val="1"/>
          <w:i w:val="1"/>
          <w:iCs w:val="1"/>
          <w:color w:val="000039"/>
        </w:rPr>
        <w:t xml:space="preserve">Changes in internal control over financial reporting. </w:t>
      </w:r>
      <w:r>
        <w:rPr>
          <w:rFonts w:ascii="Arial" w:cs="Arial" w:eastAsia="Arial" w:hAnsi="Arial"/>
          <w:sz w:val="20"/>
          <w:szCs w:val="20"/>
          <w:color w:val="000000"/>
        </w:rPr>
        <w:t>There were no changes in AbbVie’s</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internal control over financial reporting (as defined in Rule 13a-15(f) under the Securities Exchange Act of 1934) that have materially affected, or are reasonably likely to materially affect, AbbVie’s internal control over financial reporting during the quarter ended December 31, 2025.</w:t>
      </w:r>
    </w:p>
    <w:p>
      <w:pPr>
        <w:spacing w:after="0" w:line="116" w:lineRule="exact"/>
        <w:rPr>
          <w:sz w:val="20"/>
          <w:szCs w:val="20"/>
          <w:color w:val="auto"/>
        </w:rPr>
      </w:pPr>
    </w:p>
    <w:p>
      <w:pPr>
        <w:ind w:firstLine="359"/>
        <w:spacing w:after="0" w:line="251" w:lineRule="auto"/>
        <w:rPr>
          <w:sz w:val="20"/>
          <w:szCs w:val="20"/>
          <w:color w:val="auto"/>
        </w:rPr>
      </w:pPr>
      <w:r>
        <w:rPr>
          <w:rFonts w:ascii="Arial" w:cs="Arial" w:eastAsia="Arial" w:hAnsi="Arial"/>
          <w:sz w:val="20"/>
          <w:szCs w:val="20"/>
          <w:b w:val="1"/>
          <w:bCs w:val="1"/>
          <w:i w:val="1"/>
          <w:iCs w:val="1"/>
          <w:color w:val="000039"/>
        </w:rPr>
        <w:t xml:space="preserve">Inherent limitations on effectiveness of controls. </w:t>
      </w:r>
      <w:r>
        <w:rPr>
          <w:rFonts w:ascii="Arial" w:cs="Arial" w:eastAsia="Arial" w:hAnsi="Arial"/>
          <w:sz w:val="20"/>
          <w:szCs w:val="20"/>
          <w:color w:val="000000"/>
        </w:rPr>
        <w:t>AbbVie’s management, including its Chief</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Executive Officer and its Chief Financial Officer, do not expect that AbbVie’s disclosure controls or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129" w:lineRule="exact"/>
        <w:rPr>
          <w:sz w:val="20"/>
          <w:szCs w:val="20"/>
          <w:color w:val="auto"/>
        </w:rPr>
      </w:pPr>
    </w:p>
    <w:p>
      <w:pPr>
        <w:ind w:right="80" w:firstLine="359"/>
        <w:spacing w:after="0" w:line="254" w:lineRule="auto"/>
        <w:rPr>
          <w:sz w:val="20"/>
          <w:szCs w:val="20"/>
          <w:color w:val="auto"/>
        </w:rPr>
      </w:pPr>
      <w:r>
        <w:rPr>
          <w:rFonts w:ascii="Arial" w:cs="Arial" w:eastAsia="Arial" w:hAnsi="Arial"/>
          <w:sz w:val="20"/>
          <w:szCs w:val="20"/>
          <w:color w:val="auto"/>
        </w:rPr>
        <w:t>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18" w:lineRule="exact"/>
        <w:rPr>
          <w:sz w:val="20"/>
          <w:szCs w:val="20"/>
          <w:color w:val="auto"/>
        </w:rPr>
      </w:pPr>
    </w:p>
    <w:p>
      <w:pPr>
        <w:ind w:firstLine="359"/>
        <w:spacing w:after="0" w:line="252" w:lineRule="auto"/>
        <w:rPr>
          <w:sz w:val="20"/>
          <w:szCs w:val="20"/>
          <w:color w:val="auto"/>
        </w:rPr>
      </w:pPr>
      <w:r>
        <w:rPr>
          <w:rFonts w:ascii="Arial" w:cs="Arial" w:eastAsia="Arial" w:hAnsi="Arial"/>
          <w:sz w:val="20"/>
          <w:szCs w:val="20"/>
          <w:b w:val="1"/>
          <w:bCs w:val="1"/>
          <w:i w:val="1"/>
          <w:iCs w:val="1"/>
          <w:color w:val="000039"/>
        </w:rPr>
        <w:t xml:space="preserve">Management’s annual report on internal control over financial reporting. </w:t>
      </w:r>
      <w:r>
        <w:rPr>
          <w:rFonts w:ascii="Arial" w:cs="Arial" w:eastAsia="Arial" w:hAnsi="Arial"/>
          <w:sz w:val="20"/>
          <w:szCs w:val="20"/>
          <w:color w:val="000000"/>
        </w:rPr>
        <w:t>Management of</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AbbVie is responsible for establishing and maintaining adequate internal control over financial reporting, as such term is defined in Rule 13a-15(f) under the Securities Exchange Act of 1934. AbbVie’s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ectPr>
          <w:pgSz w:w="11880" w:h="15480" w:orient="portrait"/>
          <w:cols w:equalWidth="0" w:num="1">
            <w:col w:w="9100"/>
          </w:cols>
          <w:pgMar w:left="1400" w:top="1028"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109</w:t>
      </w:r>
    </w:p>
    <w:p>
      <w:pPr>
        <w:sectPr>
          <w:pgSz w:w="11880" w:h="15480" w:orient="portrait"/>
          <w:cols w:equalWidth="0" w:num="1">
            <w:col w:w="9100"/>
          </w:cols>
          <w:pgMar w:left="1400" w:top="1028" w:right="1380" w:bottom="87" w:gutter="0" w:footer="0" w:header="0"/>
          <w:type w:val="continuous"/>
        </w:sectPr>
      </w:pPr>
    </w:p>
    <w:bookmarkStart w:id="115" w:name="page116"/>
    <w:bookmarkEnd w:id="115"/>
    <w:p>
      <w:pPr>
        <w:ind w:firstLine="359"/>
        <w:spacing w:after="0" w:line="253" w:lineRule="auto"/>
        <w:rPr>
          <w:sz w:val="20"/>
          <w:szCs w:val="20"/>
          <w:color w:val="auto"/>
        </w:rPr>
      </w:pPr>
      <w:r>
        <w:rPr>
          <w:rFonts w:ascii="Arial" w:cs="Arial" w:eastAsia="Arial" w:hAnsi="Arial"/>
          <w:sz w:val="20"/>
          <w:szCs w:val="20"/>
          <w:color w:val="auto"/>
        </w:rPr>
        <w:t xml:space="preserve">Management assessed the effectiveness of AbbVie’s internal control over financial reporting as of December 31, 2025. In making this assessment, management used the criteria set forth by the Committee of Sponsoring Organizations of the Treadway Commission (COSO) in </w:t>
      </w:r>
      <w:r>
        <w:rPr>
          <w:rFonts w:ascii="Arial" w:cs="Arial" w:eastAsia="Arial" w:hAnsi="Arial"/>
          <w:sz w:val="20"/>
          <w:szCs w:val="20"/>
          <w:i w:val="1"/>
          <w:iCs w:val="1"/>
          <w:color w:val="auto"/>
        </w:rPr>
        <w:t xml:space="preserve">Internal Control-Integrated Framework </w:t>
      </w:r>
      <w:r>
        <w:rPr>
          <w:rFonts w:ascii="Arial" w:cs="Arial" w:eastAsia="Arial" w:hAnsi="Arial"/>
          <w:sz w:val="20"/>
          <w:szCs w:val="20"/>
          <w:color w:val="auto"/>
        </w:rPr>
        <w:t>(2013 framework). Based on that assessment, management concluded that</w:t>
      </w:r>
      <w:r>
        <w:rPr>
          <w:rFonts w:ascii="Arial" w:cs="Arial" w:eastAsia="Arial" w:hAnsi="Arial"/>
          <w:sz w:val="20"/>
          <w:szCs w:val="20"/>
          <w:i w:val="1"/>
          <w:iCs w:val="1"/>
          <w:color w:val="auto"/>
        </w:rPr>
        <w:t xml:space="preserve"> </w:t>
      </w:r>
      <w:r>
        <w:rPr>
          <w:rFonts w:ascii="Arial" w:cs="Arial" w:eastAsia="Arial" w:hAnsi="Arial"/>
          <w:sz w:val="20"/>
          <w:szCs w:val="20"/>
          <w:color w:val="auto"/>
        </w:rPr>
        <w:t>AbbVie maintained effective internal control over financial reporting as of December 31, 2025, based on the COSO criteria.</w:t>
      </w:r>
    </w:p>
    <w:p>
      <w:pPr>
        <w:spacing w:after="0" w:line="122" w:lineRule="exact"/>
        <w:rPr>
          <w:sz w:val="20"/>
          <w:szCs w:val="20"/>
          <w:color w:val="auto"/>
        </w:rPr>
      </w:pPr>
    </w:p>
    <w:p>
      <w:pPr>
        <w:ind w:right="80" w:firstLine="359"/>
        <w:spacing w:after="0" w:line="256" w:lineRule="auto"/>
        <w:rPr>
          <w:sz w:val="20"/>
          <w:szCs w:val="20"/>
          <w:color w:val="auto"/>
        </w:rPr>
      </w:pPr>
      <w:r>
        <w:rPr>
          <w:rFonts w:ascii="Arial" w:cs="Arial" w:eastAsia="Arial" w:hAnsi="Arial"/>
          <w:sz w:val="20"/>
          <w:szCs w:val="20"/>
          <w:color w:val="auto"/>
        </w:rPr>
        <w:t>The effectiveness of AbbVie’s internal control over financial reporting as of December 31, 2025 has been audited by Ernst &amp; Young LLP, an independent registered public accounting firm, as stated in their attestation report below, which expresses an unqualified opinion on the effectiveness of AbbVie’s internal control over financial reporting as of December 31, 2025.</w:t>
      </w:r>
    </w:p>
    <w:p>
      <w:pPr>
        <w:spacing w:after="0" w:line="114" w:lineRule="exact"/>
        <w:rPr>
          <w:sz w:val="20"/>
          <w:szCs w:val="20"/>
          <w:color w:val="auto"/>
        </w:rPr>
      </w:pPr>
    </w:p>
    <w:p>
      <w:pPr>
        <w:ind w:firstLine="359"/>
        <w:spacing w:after="0" w:line="260" w:lineRule="auto"/>
        <w:rPr>
          <w:sz w:val="20"/>
          <w:szCs w:val="20"/>
          <w:color w:val="auto"/>
        </w:rPr>
      </w:pPr>
      <w:r>
        <w:rPr>
          <w:rFonts w:ascii="Arial" w:cs="Arial" w:eastAsia="Arial" w:hAnsi="Arial"/>
          <w:sz w:val="20"/>
          <w:szCs w:val="20"/>
          <w:b w:val="1"/>
          <w:bCs w:val="1"/>
          <w:i w:val="1"/>
          <w:iCs w:val="1"/>
          <w:color w:val="000039"/>
        </w:rPr>
        <w:t xml:space="preserve">Report of independent registered public accounting firm. </w:t>
      </w:r>
      <w:r>
        <w:rPr>
          <w:rFonts w:ascii="Arial" w:cs="Arial" w:eastAsia="Arial" w:hAnsi="Arial"/>
          <w:sz w:val="20"/>
          <w:szCs w:val="20"/>
          <w:color w:val="000000"/>
        </w:rPr>
        <w:t>The report of AbbVie’s independent</w:t>
      </w:r>
      <w:r>
        <w:rPr>
          <w:rFonts w:ascii="Arial" w:cs="Arial" w:eastAsia="Arial" w:hAnsi="Arial"/>
          <w:sz w:val="20"/>
          <w:szCs w:val="20"/>
          <w:b w:val="1"/>
          <w:bCs w:val="1"/>
          <w:i w:val="1"/>
          <w:iCs w:val="1"/>
          <w:color w:val="000039"/>
        </w:rPr>
        <w:t xml:space="preserve"> </w:t>
      </w:r>
      <w:r>
        <w:rPr>
          <w:rFonts w:ascii="Arial" w:cs="Arial" w:eastAsia="Arial" w:hAnsi="Arial"/>
          <w:sz w:val="20"/>
          <w:szCs w:val="20"/>
          <w:color w:val="000000"/>
        </w:rPr>
        <w:t>registered public accounting firm related to its assessment of the effectiveness of internal control over financial reporting is included below.</w:t>
      </w:r>
    </w:p>
    <w:p>
      <w:pPr>
        <w:sectPr>
          <w:pgSz w:w="11880" w:h="15480" w:orient="portrait"/>
          <w:cols w:equalWidth="0" w:num="1">
            <w:col w:w="9100"/>
          </w:cols>
          <w:pgMar w:left="1400" w:top="1030"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  </w:t>
      </w:r>
      <w:r>
        <w:rPr>
          <w:sz w:val="1"/>
          <w:szCs w:val="1"/>
          <w:color w:val="auto"/>
        </w:rPr>
        <w:drawing>
          <wp:inline distT="0" distB="0" distL="0" distR="0">
            <wp:extent cx="615950" cy="12827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00"/>
          </w:cols>
          <w:pgMar w:left="1400" w:top="1030" w:right="1380" w:bottom="75" w:gutter="0" w:footer="0" w:header="0"/>
          <w:type w:val="continuous"/>
        </w:sectPr>
      </w:pPr>
    </w:p>
    <w:bookmarkStart w:id="116" w:name="page117"/>
    <w:bookmarkEnd w:id="116"/>
    <w:p>
      <w:pPr>
        <w:ind w:left="1360"/>
        <w:spacing w:after="0"/>
        <w:rPr>
          <w:sz w:val="20"/>
          <w:szCs w:val="20"/>
          <w:color w:val="auto"/>
        </w:rPr>
      </w:pPr>
      <w:r>
        <w:rPr>
          <w:rFonts w:ascii="Arial" w:cs="Arial" w:eastAsia="Arial" w:hAnsi="Arial"/>
          <w:sz w:val="23"/>
          <w:szCs w:val="23"/>
          <w:b w:val="1"/>
          <w:bCs w:val="1"/>
          <w:color w:val="000039"/>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AbbVie Inc.</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Opinion on Internal Control Over Financial Reporting</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We have audited AbbVie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AbbVie Inc. and subsidiaries (the Company) maintained, in all material respects, effective internal control over financial reporting as of December 31, 2025, based on the COSO criteria.</w:t>
      </w:r>
    </w:p>
    <w:p>
      <w:pPr>
        <w:spacing w:after="0" w:line="122"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earnings, comprehensive income, equity (deficit) and cash flows for each of the three years in the period ended December 31, 2025, and the related notes and our report dated February 20, 2026 expressed an unqualified opinion thereon.</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Basis for Opinion</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4"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Definition and Limitations of Internal Control Over Financial Reporting</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Chicago, Illinois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February 20, 2026</w:t>
      </w:r>
    </w:p>
    <w:p>
      <w:pPr>
        <w:sectPr>
          <w:pgSz w:w="11880" w:h="15480" w:orient="portrait"/>
          <w:cols w:equalWidth="0" w:num="1">
            <w:col w:w="9100"/>
          </w:cols>
          <w:pgMar w:left="1400" w:top="1019" w:right="1380" w:bottom="87" w:gutter="0" w:footer="0" w:header="0"/>
        </w:sectPr>
      </w:pPr>
    </w:p>
    <w:p>
      <w:pPr>
        <w:spacing w:after="0" w:line="200" w:lineRule="exact"/>
        <w:rPr>
          <w:sz w:val="20"/>
          <w:szCs w:val="20"/>
          <w:color w:val="auto"/>
        </w:rPr>
      </w:pPr>
    </w:p>
    <w:p>
      <w:pPr>
        <w:spacing w:after="0" w:line="24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111</w:t>
      </w:r>
    </w:p>
    <w:p>
      <w:pPr>
        <w:sectPr>
          <w:pgSz w:w="11880" w:h="15480" w:orient="portrait"/>
          <w:cols w:equalWidth="0" w:num="1">
            <w:col w:w="9100"/>
          </w:cols>
          <w:pgMar w:left="1400" w:top="1019" w:right="1380" w:bottom="87" w:gutter="0" w:footer="0" w:header="0"/>
          <w:type w:val="continuous"/>
        </w:sectPr>
      </w:pPr>
    </w:p>
    <w:bookmarkStart w:id="117" w:name="page118"/>
    <w:bookmarkEnd w:id="117"/>
    <w:p>
      <w:pPr>
        <w:ind w:left="10"/>
        <w:spacing w:after="0"/>
        <w:rPr>
          <w:sz w:val="20"/>
          <w:szCs w:val="20"/>
          <w:color w:val="auto"/>
        </w:rPr>
      </w:pPr>
      <w:r>
        <w:rPr>
          <w:rFonts w:ascii="Arial" w:cs="Arial" w:eastAsia="Arial" w:hAnsi="Arial"/>
          <w:sz w:val="20"/>
          <w:szCs w:val="20"/>
          <w:b w:val="1"/>
          <w:bCs w:val="1"/>
          <w:color w:val="000039"/>
        </w:rPr>
        <w:t>ITEM 9B. OTHER INFORMATION</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jc w:val="both"/>
        <w:ind w:left="10" w:right="20" w:firstLine="359"/>
        <w:spacing w:after="0" w:line="259" w:lineRule="auto"/>
        <w:rPr>
          <w:sz w:val="20"/>
          <w:szCs w:val="20"/>
          <w:color w:val="auto"/>
        </w:rPr>
      </w:pPr>
      <w:r>
        <w:rPr>
          <w:rFonts w:ascii="Arial" w:cs="Arial" w:eastAsia="Arial" w:hAnsi="Arial"/>
          <w:sz w:val="20"/>
          <w:szCs w:val="20"/>
          <w:color w:val="auto"/>
        </w:rPr>
        <w:t>During the three months ended December 31, 2025, no director or officer of the company adopted, modified or terminated a “Rule 10b5-1 trading arrangement” or “non-Rule 10b5-1 trading arrangement,” as each term is defined in Item 408(a) of Regulation S-K, except as provided below.</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Number of</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Shares to be</w:t>
            </w:r>
          </w:p>
        </w:tc>
        <w:tc>
          <w:tcPr>
            <w:tcW w:w="1300" w:type="dxa"/>
            <w:vAlign w:val="bottom"/>
            <w:vMerge w:val="restart"/>
          </w:tcPr>
          <w:p>
            <w:pPr>
              <w:jc w:val="center"/>
              <w:ind w:left="55"/>
              <w:spacing w:after="0"/>
              <w:rPr>
                <w:sz w:val="20"/>
                <w:szCs w:val="20"/>
                <w:color w:val="auto"/>
              </w:rPr>
            </w:pPr>
            <w:r>
              <w:rPr>
                <w:rFonts w:ascii="Arial" w:cs="Arial" w:eastAsia="Arial" w:hAnsi="Arial"/>
                <w:sz w:val="16"/>
                <w:szCs w:val="16"/>
                <w:b w:val="1"/>
                <w:bCs w:val="1"/>
                <w:color w:val="auto"/>
                <w:w w:val="98"/>
              </w:rPr>
              <w:t>Duration of</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Action</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Date</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Type of Trading</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Sold Pursuant</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5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7"/>
              </w:rPr>
              <w:t>to Trading</w:t>
            </w:r>
          </w:p>
        </w:tc>
        <w:tc>
          <w:tcPr>
            <w:tcW w:w="1300" w:type="dxa"/>
            <w:vAlign w:val="bottom"/>
          </w:tcPr>
          <w:p>
            <w:pPr>
              <w:jc w:val="center"/>
              <w:ind w:left="55"/>
              <w:spacing w:after="0" w:line="171" w:lineRule="exact"/>
              <w:rPr>
                <w:sz w:val="20"/>
                <w:szCs w:val="20"/>
                <w:color w:val="auto"/>
              </w:rPr>
            </w:pPr>
            <w:r>
              <w:rPr>
                <w:rFonts w:ascii="Arial" w:cs="Arial" w:eastAsia="Arial" w:hAnsi="Arial"/>
                <w:sz w:val="16"/>
                <w:szCs w:val="16"/>
                <w:b w:val="1"/>
                <w:bCs w:val="1"/>
                <w:color w:val="auto"/>
                <w:w w:val="95"/>
              </w:rPr>
              <w:t>Trading</w:t>
            </w:r>
          </w:p>
        </w:tc>
        <w:tc>
          <w:tcPr>
            <w:tcW w:w="0" w:type="dxa"/>
            <w:vAlign w:val="bottom"/>
          </w:tcPr>
          <w:p>
            <w:pPr>
              <w:spacing w:after="0"/>
              <w:rPr>
                <w:sz w:val="1"/>
                <w:szCs w:val="1"/>
                <w:color w:val="auto"/>
              </w:rPr>
            </w:pPr>
          </w:p>
        </w:tc>
      </w:tr>
      <w:tr>
        <w:trPr>
          <w:trHeight w:val="232"/>
        </w:trPr>
        <w:tc>
          <w:tcPr>
            <w:tcW w:w="2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&amp; Title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Taken</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Adopted</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Arrangement</w:t>
            </w:r>
            <w:r>
              <w:rPr>
                <w:rFonts w:ascii="Arial" w:cs="Arial" w:eastAsia="Arial" w:hAnsi="Arial"/>
                <w:sz w:val="19"/>
                <w:szCs w:val="19"/>
                <w:b w:val="1"/>
                <w:bCs w:val="1"/>
                <w:color w:val="auto"/>
                <w:w w:val="99"/>
                <w:vertAlign w:val="superscript"/>
              </w:rPr>
              <w:t>(1)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Arrangement</w:t>
            </w:r>
            <w:r>
              <w:rPr>
                <w:rFonts w:ascii="Arial" w:cs="Arial" w:eastAsia="Arial" w:hAnsi="Arial"/>
                <w:sz w:val="19"/>
                <w:szCs w:val="19"/>
                <w:b w:val="1"/>
                <w:bCs w:val="1"/>
                <w:color w:val="auto"/>
                <w:w w:val="99"/>
                <w:vertAlign w:val="superscript"/>
              </w:rPr>
              <w:t>(2)</w:t>
            </w:r>
          </w:p>
        </w:tc>
        <w:tc>
          <w:tcPr>
            <w:tcW w:w="1300" w:type="dxa"/>
            <w:vAlign w:val="bottom"/>
            <w:tcBorders>
              <w:bottom w:val="single" w:sz="8" w:color="auto"/>
            </w:tcBorders>
          </w:tcPr>
          <w:p>
            <w:pPr>
              <w:jc w:val="center"/>
              <w:ind w:left="55"/>
              <w:spacing w:after="0"/>
              <w:rPr>
                <w:sz w:val="20"/>
                <w:szCs w:val="20"/>
                <w:color w:val="auto"/>
              </w:rPr>
            </w:pPr>
            <w:r>
              <w:rPr>
                <w:rFonts w:ascii="Arial" w:cs="Arial" w:eastAsia="Arial" w:hAnsi="Arial"/>
                <w:sz w:val="16"/>
                <w:szCs w:val="16"/>
                <w:b w:val="1"/>
                <w:bCs w:val="1"/>
                <w:color w:val="auto"/>
              </w:rPr>
              <w:t>Arrangement</w:t>
            </w:r>
            <w:r>
              <w:rPr>
                <w:rFonts w:ascii="Arial" w:cs="Arial" w:eastAsia="Arial" w:hAnsi="Arial"/>
                <w:sz w:val="19"/>
                <w:szCs w:val="19"/>
                <w:b w:val="1"/>
                <w:bCs w:val="1"/>
                <w:color w:val="auto"/>
                <w:vertAlign w:val="superscript"/>
              </w:rPr>
              <w:t>(3)</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0"/>
                <w:szCs w:val="20"/>
                <w:color w:val="auto"/>
              </w:rPr>
            </w:pPr>
            <w:r>
              <w:rPr>
                <w:rFonts w:ascii="Arial" w:cs="Arial" w:eastAsia="Arial" w:hAnsi="Arial"/>
                <w:sz w:val="20"/>
                <w:szCs w:val="20"/>
                <w:color w:val="auto"/>
              </w:rPr>
              <w:t>Perry C. Siatis</w:t>
            </w:r>
          </w:p>
        </w:tc>
        <w:tc>
          <w:tcPr>
            <w:tcW w:w="1100" w:type="dxa"/>
            <w:vAlign w:val="bottom"/>
          </w:tcPr>
          <w:p>
            <w:pPr>
              <w:jc w:val="center"/>
              <w:spacing w:after="0"/>
              <w:rPr>
                <w:sz w:val="20"/>
                <w:szCs w:val="20"/>
                <w:color w:val="auto"/>
              </w:rPr>
            </w:pPr>
            <w:r>
              <w:rPr>
                <w:rFonts w:ascii="Arial" w:cs="Arial" w:eastAsia="Arial" w:hAnsi="Arial"/>
                <w:sz w:val="20"/>
                <w:szCs w:val="20"/>
                <w:color w:val="auto"/>
              </w:rPr>
              <w:t>Adoption</w:t>
            </w:r>
          </w:p>
        </w:tc>
        <w:tc>
          <w:tcPr>
            <w:tcW w:w="1260" w:type="dxa"/>
            <w:vAlign w:val="bottom"/>
          </w:tcPr>
          <w:p>
            <w:pPr>
              <w:jc w:val="center"/>
              <w:spacing w:after="0"/>
              <w:rPr>
                <w:sz w:val="20"/>
                <w:szCs w:val="20"/>
                <w:color w:val="auto"/>
              </w:rPr>
            </w:pPr>
            <w:r>
              <w:rPr>
                <w:rFonts w:ascii="Arial" w:cs="Arial" w:eastAsia="Arial" w:hAnsi="Arial"/>
                <w:sz w:val="20"/>
                <w:szCs w:val="20"/>
                <w:color w:val="auto"/>
                <w:w w:val="97"/>
              </w:rPr>
              <w:t>11/18/2025</w:t>
            </w:r>
          </w:p>
        </w:tc>
        <w:tc>
          <w:tcPr>
            <w:tcW w:w="1500" w:type="dxa"/>
            <w:vAlign w:val="bottom"/>
          </w:tcPr>
          <w:p>
            <w:pPr>
              <w:jc w:val="center"/>
              <w:spacing w:after="0"/>
              <w:rPr>
                <w:sz w:val="20"/>
                <w:szCs w:val="20"/>
                <w:color w:val="auto"/>
              </w:rPr>
            </w:pPr>
            <w:r>
              <w:rPr>
                <w:rFonts w:ascii="Arial" w:cs="Arial" w:eastAsia="Arial" w:hAnsi="Arial"/>
                <w:sz w:val="20"/>
                <w:szCs w:val="20"/>
                <w:color w:val="auto"/>
                <w:w w:val="99"/>
              </w:rPr>
              <w:t>Rule 10b5-1</w:t>
            </w:r>
          </w:p>
        </w:tc>
        <w:tc>
          <w:tcPr>
            <w:tcW w:w="1500" w:type="dxa"/>
            <w:vAlign w:val="bottom"/>
          </w:tcPr>
          <w:p>
            <w:pPr>
              <w:jc w:val="center"/>
              <w:spacing w:after="0"/>
              <w:rPr>
                <w:sz w:val="20"/>
                <w:szCs w:val="20"/>
                <w:color w:val="auto"/>
              </w:rPr>
            </w:pPr>
            <w:r>
              <w:rPr>
                <w:rFonts w:ascii="Arial" w:cs="Arial" w:eastAsia="Arial" w:hAnsi="Arial"/>
                <w:sz w:val="20"/>
                <w:szCs w:val="20"/>
                <w:color w:val="auto"/>
                <w:w w:val="99"/>
              </w:rPr>
              <w:t>Up to 41,049</w:t>
            </w:r>
          </w:p>
        </w:tc>
        <w:tc>
          <w:tcPr>
            <w:tcW w:w="1300" w:type="dxa"/>
            <w:vAlign w:val="bottom"/>
          </w:tcPr>
          <w:p>
            <w:pPr>
              <w:jc w:val="center"/>
              <w:ind w:left="55"/>
              <w:spacing w:after="0"/>
              <w:rPr>
                <w:sz w:val="20"/>
                <w:szCs w:val="20"/>
                <w:color w:val="auto"/>
              </w:rPr>
            </w:pPr>
            <w:r>
              <w:rPr>
                <w:rFonts w:ascii="Arial" w:cs="Arial" w:eastAsia="Arial" w:hAnsi="Arial"/>
                <w:sz w:val="20"/>
                <w:szCs w:val="20"/>
                <w:color w:val="auto"/>
                <w:w w:val="99"/>
              </w:rPr>
              <w:t>11/18/2026</w:t>
            </w:r>
          </w:p>
        </w:tc>
        <w:tc>
          <w:tcPr>
            <w:tcW w:w="0" w:type="dxa"/>
            <w:vAlign w:val="bottom"/>
          </w:tcPr>
          <w:p>
            <w:pPr>
              <w:spacing w:after="0"/>
              <w:rPr>
                <w:sz w:val="1"/>
                <w:szCs w:val="1"/>
                <w:color w:val="auto"/>
              </w:rPr>
            </w:pPr>
          </w:p>
        </w:tc>
      </w:tr>
      <w:tr>
        <w:trPr>
          <w:trHeight w:val="239"/>
        </w:trPr>
        <w:tc>
          <w:tcPr>
            <w:tcW w:w="2440" w:type="dxa"/>
            <w:vAlign w:val="bottom"/>
          </w:tcPr>
          <w:p>
            <w:pPr>
              <w:spacing w:after="0"/>
              <w:rPr>
                <w:sz w:val="20"/>
                <w:szCs w:val="20"/>
                <w:color w:val="auto"/>
              </w:rPr>
            </w:pPr>
            <w:r>
              <w:rPr>
                <w:rFonts w:ascii="Arial" w:cs="Arial" w:eastAsia="Arial" w:hAnsi="Arial"/>
                <w:sz w:val="20"/>
                <w:szCs w:val="20"/>
                <w:color w:val="auto"/>
              </w:rPr>
              <w:t>Executive Vice President,</w:t>
            </w: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20"/>
                <w:szCs w:val="20"/>
                <w:color w:val="auto"/>
                <w:w w:val="97"/>
              </w:rPr>
              <w:t>Trading</w:t>
            </w:r>
          </w:p>
        </w:tc>
        <w:tc>
          <w:tcPr>
            <w:tcW w:w="1500" w:type="dxa"/>
            <w:vAlign w:val="bottom"/>
          </w:tcPr>
          <w:p>
            <w:pPr>
              <w:jc w:val="center"/>
              <w:spacing w:after="0"/>
              <w:rPr>
                <w:sz w:val="20"/>
                <w:szCs w:val="20"/>
                <w:color w:val="auto"/>
              </w:rPr>
            </w:pPr>
            <w:r>
              <w:rPr>
                <w:rFonts w:ascii="Arial" w:cs="Arial" w:eastAsia="Arial" w:hAnsi="Arial"/>
                <w:sz w:val="20"/>
                <w:szCs w:val="20"/>
                <w:color w:val="auto"/>
                <w:w w:val="98"/>
              </w:rPr>
              <w:t>Shares to be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440" w:type="dxa"/>
            <w:vAlign w:val="bottom"/>
          </w:tcPr>
          <w:p>
            <w:pPr>
              <w:spacing w:after="0"/>
              <w:rPr>
                <w:sz w:val="20"/>
                <w:szCs w:val="20"/>
                <w:color w:val="auto"/>
              </w:rPr>
            </w:pPr>
            <w:r>
              <w:rPr>
                <w:rFonts w:ascii="Arial" w:cs="Arial" w:eastAsia="Arial" w:hAnsi="Arial"/>
                <w:sz w:val="20"/>
                <w:szCs w:val="20"/>
                <w:color w:val="auto"/>
              </w:rPr>
              <w:t>General Counsel and</w:t>
            </w: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20"/>
                <w:szCs w:val="20"/>
                <w:color w:val="auto"/>
              </w:rPr>
              <w:t>Arrangement</w:t>
            </w:r>
          </w:p>
        </w:tc>
        <w:tc>
          <w:tcPr>
            <w:tcW w:w="1500" w:type="dxa"/>
            <w:vAlign w:val="bottom"/>
          </w:tcPr>
          <w:p>
            <w:pPr>
              <w:jc w:val="center"/>
              <w:spacing w:after="0"/>
              <w:rPr>
                <w:sz w:val="20"/>
                <w:szCs w:val="20"/>
                <w:color w:val="auto"/>
              </w:rPr>
            </w:pPr>
            <w:r>
              <w:rPr>
                <w:rFonts w:ascii="Arial" w:cs="Arial" w:eastAsia="Arial" w:hAnsi="Arial"/>
                <w:sz w:val="20"/>
                <w:szCs w:val="20"/>
                <w:color w:val="auto"/>
                <w:w w:val="99"/>
              </w:rPr>
              <w:t>Sold</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40" w:type="dxa"/>
            <w:vAlign w:val="bottom"/>
          </w:tcPr>
          <w:p>
            <w:pPr>
              <w:spacing w:after="0"/>
              <w:rPr>
                <w:sz w:val="20"/>
                <w:szCs w:val="20"/>
                <w:color w:val="auto"/>
              </w:rPr>
            </w:pPr>
            <w:r>
              <w:rPr>
                <w:rFonts w:ascii="Arial" w:cs="Arial" w:eastAsia="Arial" w:hAnsi="Arial"/>
                <w:sz w:val="20"/>
                <w:szCs w:val="20"/>
                <w:color w:val="auto"/>
              </w:rPr>
              <w:t>Secretary</w:t>
            </w:r>
          </w:p>
        </w:tc>
        <w:tc>
          <w:tcPr>
            <w:tcW w:w="1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152019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019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119.7pt,12pt" o:allowincell="f" strokecolor="#000000" strokeweight="0.499pt"/>
            </w:pict>
          </mc:Fallback>
        </mc:AlternateContent>
      </w:r>
    </w:p>
    <w:p>
      <w:pPr>
        <w:spacing w:after="0" w:line="271" w:lineRule="exact"/>
        <w:rPr>
          <w:sz w:val="20"/>
          <w:szCs w:val="20"/>
          <w:color w:val="auto"/>
        </w:rPr>
      </w:pPr>
    </w:p>
    <w:p>
      <w:pPr>
        <w:ind w:left="350" w:right="520" w:hanging="350"/>
        <w:spacing w:after="0" w:line="295" w:lineRule="auto"/>
        <w:tabs>
          <w:tab w:leader="none" w:pos="350" w:val="left"/>
        </w:tabs>
        <w:numPr>
          <w:ilvl w:val="0"/>
          <w:numId w:val="38"/>
        </w:numPr>
        <w:rPr>
          <w:rFonts w:ascii="Arial" w:cs="Arial" w:eastAsia="Arial" w:hAnsi="Arial"/>
          <w:sz w:val="19"/>
          <w:szCs w:val="19"/>
          <w:color w:val="auto"/>
        </w:rPr>
      </w:pPr>
      <w:r>
        <w:rPr>
          <w:rFonts w:ascii="Arial" w:cs="Arial" w:eastAsia="Arial" w:hAnsi="Arial"/>
          <w:sz w:val="19"/>
          <w:szCs w:val="19"/>
          <w:color w:val="auto"/>
        </w:rPr>
        <w:t>Except as indicated by footnote, each trading arrangement marked as a “Rule 10b5-1 Trading Arrangement” is intended to satisfy the affirmative defense of Rule 10b5-1(c), as amended.</w:t>
      </w:r>
    </w:p>
    <w:p>
      <w:pPr>
        <w:spacing w:after="0" w:line="81" w:lineRule="exact"/>
        <w:rPr>
          <w:rFonts w:ascii="Arial" w:cs="Arial" w:eastAsia="Arial" w:hAnsi="Arial"/>
          <w:sz w:val="19"/>
          <w:szCs w:val="19"/>
          <w:color w:val="auto"/>
        </w:rPr>
      </w:pPr>
    </w:p>
    <w:p>
      <w:pPr>
        <w:ind w:left="350" w:hanging="350"/>
        <w:spacing w:after="0" w:line="254" w:lineRule="auto"/>
        <w:tabs>
          <w:tab w:leader="none" w:pos="35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number of shares to be sold under each trading arrangement includes the maximum actual number of shares issuable under the applicable performance stock awards. The actual number of shares to be sold under the performance stock awards will depend on the achievement of applicable performance conditions under the awards and the number of shares withheld to satisfy tax obligations upon the vesting of the awards.</w:t>
      </w:r>
    </w:p>
    <w:p>
      <w:pPr>
        <w:spacing w:after="0" w:line="120" w:lineRule="exact"/>
        <w:rPr>
          <w:rFonts w:ascii="Arial" w:cs="Arial" w:eastAsia="Arial" w:hAnsi="Arial"/>
          <w:sz w:val="20"/>
          <w:szCs w:val="20"/>
          <w:color w:val="auto"/>
        </w:rPr>
      </w:pPr>
    </w:p>
    <w:p>
      <w:pPr>
        <w:ind w:left="350" w:hanging="350"/>
        <w:spacing w:after="0" w:line="254" w:lineRule="auto"/>
        <w:tabs>
          <w:tab w:leader="none" w:pos="35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Except as indicated by footnote, each trading arrangement permitted or permits transactions through and including the earlier to occur of (a) the completion of all sales or (b) the date listed in the table. Each trading arrangement marked as a “Rule 10b5-1 Trading Arrangement” only permitted or only permits transactions upon expiration of the applicable mandatory cooling-off period under the Rule.</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ITEM 9C. DISCLOSURE REGARDING FOREIGN JURISDICTIONS THAT PREVENT INSPECTIONS</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left="35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110"/>
          </w:cols>
          <w:pgMar w:left="1390" w:top="965"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112  </w:t>
      </w:r>
      <w:r>
        <w:rPr>
          <w:sz w:val="1"/>
          <w:szCs w:val="1"/>
          <w:color w:val="auto"/>
        </w:rPr>
        <w:drawing>
          <wp:inline distT="0" distB="0" distL="0" distR="0">
            <wp:extent cx="615950" cy="12827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0">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10"/>
          </w:cols>
          <w:pgMar w:left="1390" w:top="965" w:right="1380" w:bottom="75"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3"/>
          <w:szCs w:val="23"/>
          <w:b w:val="1"/>
          <w:bCs w:val="1"/>
          <w:color w:val="000039"/>
        </w:rPr>
        <w:t>PART III</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ITEM 10. DIRECTORS, EXECUTIVE OFFICERS AND CORPORATE GOVERNANCE</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right="60" w:firstLine="359"/>
        <w:spacing w:after="0" w:line="253" w:lineRule="auto"/>
        <w:rPr>
          <w:sz w:val="20"/>
          <w:szCs w:val="20"/>
          <w:color w:val="auto"/>
        </w:rPr>
      </w:pPr>
      <w:r>
        <w:rPr>
          <w:rFonts w:ascii="Arial" w:cs="Arial" w:eastAsia="Arial" w:hAnsi="Arial"/>
          <w:sz w:val="20"/>
          <w:szCs w:val="20"/>
          <w:color w:val="auto"/>
        </w:rPr>
        <w:t>Incorporated herein by reference are “Information Concerning Director Nominees,” “The Board of Directors and its Committees—Committees of the Board of Directors,” “Communicating with the Board of Directors,” “Deadlines for Notice of Stockholder Actions to be Considered at the 2026 Annual Meeting of Stockholders” and “Insider Trading Policy” to be included in the 2026 AbbVie Inc. Proxy Statement. The 2026 Definitive Proxy Statement will be filed on or about March 23, 2026. Also incorporated herein by reference is the text found in this Form 10-K under the caption, “Information about Our Executive Officers.”</w:t>
      </w:r>
    </w:p>
    <w:p>
      <w:pPr>
        <w:spacing w:after="0" w:line="119" w:lineRule="exact"/>
        <w:rPr>
          <w:sz w:val="20"/>
          <w:szCs w:val="20"/>
          <w:color w:val="auto"/>
        </w:rPr>
      </w:pPr>
    </w:p>
    <w:p>
      <w:pPr>
        <w:ind w:firstLine="359"/>
        <w:spacing w:after="0" w:line="254" w:lineRule="auto"/>
        <w:rPr>
          <w:sz w:val="20"/>
          <w:szCs w:val="20"/>
          <w:color w:val="auto"/>
        </w:rPr>
      </w:pPr>
      <w:r>
        <w:rPr>
          <w:rFonts w:ascii="Arial" w:cs="Arial" w:eastAsia="Arial" w:hAnsi="Arial"/>
          <w:sz w:val="20"/>
          <w:szCs w:val="20"/>
          <w:color w:val="auto"/>
        </w:rPr>
        <w:t>AbbVie’s code of business conduct requires all its business activities to be conducted in compliance with all applicable laws, regulations and ethical principles and values. All directors, officers and employees of AbbVie are expected to understand and abide by the requirements of the code of business conduct applicable to them. AbbVie’s code of business conduct is available in the corporate governance section of AbbVie’s investor relations website at investors.abbvie.com.</w:t>
      </w:r>
    </w:p>
    <w:p>
      <w:pPr>
        <w:spacing w:after="0" w:line="120" w:lineRule="exact"/>
        <w:rPr>
          <w:sz w:val="20"/>
          <w:szCs w:val="20"/>
          <w:color w:val="auto"/>
        </w:rPr>
      </w:pPr>
    </w:p>
    <w:p>
      <w:pPr>
        <w:ind w:firstLine="359"/>
        <w:spacing w:after="0" w:line="253" w:lineRule="auto"/>
        <w:rPr>
          <w:sz w:val="20"/>
          <w:szCs w:val="20"/>
          <w:color w:val="auto"/>
        </w:rPr>
      </w:pPr>
      <w:r>
        <w:rPr>
          <w:rFonts w:ascii="Arial" w:cs="Arial" w:eastAsia="Arial" w:hAnsi="Arial"/>
          <w:sz w:val="20"/>
          <w:szCs w:val="20"/>
          <w:color w:val="auto"/>
        </w:rPr>
        <w:t>Any waiver of the code of business conduct for directors or executive officers may be made only by AbbVie’s audit committee. AbbVie will disclose any amendment to, or waiver from, a provision of the code of conduct for the principal executive officer, principal financial officer, principal accounting officer or controller, or persons performing similar functions, on its website within four business days following the date of the amendment or waiver. In addition, AbbVie will disclose any waiver from the code of business conduct for the other executive officers and for directors on the website.</w:t>
      </w:r>
    </w:p>
    <w:p>
      <w:pPr>
        <w:spacing w:after="0" w:line="122" w:lineRule="exact"/>
        <w:rPr>
          <w:sz w:val="20"/>
          <w:szCs w:val="20"/>
          <w:color w:val="auto"/>
        </w:rPr>
      </w:pPr>
    </w:p>
    <w:p>
      <w:pPr>
        <w:ind w:right="40" w:firstLine="359"/>
        <w:spacing w:after="0" w:line="256" w:lineRule="auto"/>
        <w:rPr>
          <w:sz w:val="20"/>
          <w:szCs w:val="20"/>
          <w:color w:val="auto"/>
        </w:rPr>
      </w:pPr>
      <w:r>
        <w:rPr>
          <w:rFonts w:ascii="Arial" w:cs="Arial" w:eastAsia="Arial" w:hAnsi="Arial"/>
          <w:sz w:val="20"/>
          <w:szCs w:val="20"/>
          <w:color w:val="auto"/>
        </w:rPr>
        <w:t>AbbVie has a chief ethics and compliance officer who reports to the Executive Vice President, General Counsel and Secretary, to the public policy and sustainability committee, and to the full board of directors. The chief ethics and compliance officer is responsible for overseeing, administering and monitoring AbbVie’s compliance program.</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ITEM 11. EXECUTIVE COMPENSATION</w:t>
      </w:r>
    </w:p>
    <w:p>
      <w:pPr>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right="120" w:firstLine="359"/>
        <w:spacing w:after="0" w:line="279" w:lineRule="auto"/>
        <w:rPr>
          <w:sz w:val="20"/>
          <w:szCs w:val="20"/>
          <w:color w:val="auto"/>
        </w:rPr>
      </w:pPr>
      <w:r>
        <w:rPr>
          <w:rFonts w:ascii="Arial" w:cs="Arial" w:eastAsia="Arial" w:hAnsi="Arial"/>
          <w:sz w:val="19"/>
          <w:szCs w:val="19"/>
          <w:color w:val="auto"/>
        </w:rPr>
        <w:t>The material to be included in the 2026 AbbVie Inc. Proxy Statement under the headings “Director Compensation,” “Executive Compensation,” and “Compensation Committee Report” is incorporated herein by reference. The 2026 Definitive Proxy Statement will be filed on or about March 23, 2026.</w:t>
      </w:r>
    </w:p>
    <w:p>
      <w:pPr>
        <w:sectPr>
          <w:pgSz w:w="11880" w:h="15480" w:orient="portrait"/>
          <w:cols w:equalWidth="0" w:num="1">
            <w:col w:w="9100"/>
          </w:cols>
          <w:pgMar w:left="1400" w:top="1019"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1">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113</w:t>
      </w:r>
    </w:p>
    <w:p>
      <w:pPr>
        <w:sectPr>
          <w:pgSz w:w="11880" w:h="15480" w:orient="portrait"/>
          <w:cols w:equalWidth="0" w:num="1">
            <w:col w:w="9100"/>
          </w:cols>
          <w:pgMar w:left="1400" w:top="1019" w:right="1380" w:bottom="87" w:gutter="0" w:footer="0" w:header="0"/>
          <w:type w:val="continuous"/>
        </w:sectPr>
      </w:pPr>
    </w:p>
    <w:bookmarkStart w:id="119" w:name="page120"/>
    <w:bookmarkEnd w:id="119"/>
    <w:p>
      <w:pPr>
        <w:ind w:left="10" w:right="20"/>
        <w:spacing w:after="0" w:line="208" w:lineRule="auto"/>
        <w:rPr>
          <w:sz w:val="20"/>
          <w:szCs w:val="20"/>
          <w:color w:val="auto"/>
        </w:rPr>
      </w:pPr>
      <w:r>
        <w:rPr>
          <w:rFonts w:ascii="Arial" w:cs="Arial" w:eastAsia="Arial" w:hAnsi="Arial"/>
          <w:sz w:val="20"/>
          <w:szCs w:val="20"/>
          <w:b w:val="1"/>
          <w:bCs w:val="1"/>
          <w:color w:val="000039"/>
        </w:rPr>
        <w:t>ITEM 12. SECURITY OWNERSHIP OF CERTAIN BENEFICIAL OWNERS AND MANAGEMENT AND RELATED STOCKHOLDER MATTERS</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7" w:lineRule="exact"/>
        <w:rPr>
          <w:sz w:val="20"/>
          <w:szCs w:val="20"/>
          <w:color w:val="auto"/>
        </w:rPr>
      </w:pPr>
    </w:p>
    <w:p>
      <w:pPr>
        <w:ind w:left="450" w:hanging="450"/>
        <w:spacing w:after="0"/>
        <w:tabs>
          <w:tab w:leader="none" w:pos="450" w:val="left"/>
        </w:tabs>
        <w:numPr>
          <w:ilvl w:val="0"/>
          <w:numId w:val="39"/>
        </w:numPr>
        <w:rPr>
          <w:rFonts w:ascii="Arial" w:cs="Arial" w:eastAsia="Arial" w:hAnsi="Arial"/>
          <w:sz w:val="20"/>
          <w:szCs w:val="20"/>
          <w:color w:val="auto"/>
        </w:rPr>
      </w:pPr>
      <w:r>
        <w:rPr>
          <w:rFonts w:ascii="Arial" w:cs="Arial" w:eastAsia="Arial" w:hAnsi="Arial"/>
          <w:sz w:val="20"/>
          <w:szCs w:val="20"/>
          <w:i w:val="1"/>
          <w:iCs w:val="1"/>
          <w:color w:val="auto"/>
        </w:rPr>
        <w:t>Equity Compensation Plan Information.</w:t>
      </w:r>
    </w:p>
    <w:p>
      <w:pPr>
        <w:spacing w:after="0" w:line="147" w:lineRule="exact"/>
        <w:rPr>
          <w:sz w:val="20"/>
          <w:szCs w:val="20"/>
          <w:color w:val="auto"/>
        </w:rPr>
      </w:pPr>
    </w:p>
    <w:p>
      <w:pPr>
        <w:jc w:val="both"/>
        <w:ind w:left="350" w:right="760"/>
        <w:spacing w:after="0" w:line="291" w:lineRule="auto"/>
        <w:rPr>
          <w:sz w:val="20"/>
          <w:szCs w:val="20"/>
          <w:color w:val="auto"/>
        </w:rPr>
      </w:pPr>
      <w:r>
        <w:rPr>
          <w:rFonts w:ascii="Arial" w:cs="Arial" w:eastAsia="Arial" w:hAnsi="Arial"/>
          <w:sz w:val="19"/>
          <w:szCs w:val="19"/>
          <w:color w:val="auto"/>
        </w:rPr>
        <w:t>The following table presents information as of December 31, 2025 about AbbVie’s equity compensation plans under which AbbVie common stock has been authorized for issuance:</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80" w:type="dxa"/>
            <w:vAlign w:val="bottom"/>
          </w:tcPr>
          <w:p>
            <w:pPr>
              <w:jc w:val="center"/>
              <w:ind w:left="16"/>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jc w:val="center"/>
              <w:ind w:left="16"/>
              <w:spacing w:after="0" w:line="180" w:lineRule="exact"/>
              <w:rPr>
                <w:sz w:val="20"/>
                <w:szCs w:val="20"/>
                <w:color w:val="auto"/>
              </w:rPr>
            </w:pPr>
            <w:r>
              <w:rPr>
                <w:rFonts w:ascii="Arial" w:cs="Arial" w:eastAsia="Arial" w:hAnsi="Arial"/>
                <w:sz w:val="16"/>
                <w:szCs w:val="16"/>
                <w:b w:val="1"/>
                <w:bCs w:val="1"/>
                <w:color w:val="auto"/>
                <w:w w:val="99"/>
              </w:rPr>
              <w:t>Number of</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w:t>
            </w:r>
          </w:p>
        </w:tc>
        <w:tc>
          <w:tcPr>
            <w:tcW w:w="1500" w:type="dxa"/>
            <w:vAlign w:val="bottom"/>
          </w:tcPr>
          <w:p>
            <w:pPr>
              <w:spacing w:after="0"/>
              <w:rPr>
                <w:sz w:val="15"/>
                <w:szCs w:val="15"/>
                <w:color w:val="auto"/>
              </w:rPr>
            </w:pPr>
          </w:p>
        </w:tc>
        <w:tc>
          <w:tcPr>
            <w:tcW w:w="1380" w:type="dxa"/>
            <w:vAlign w:val="bottom"/>
          </w:tcPr>
          <w:p>
            <w:pPr>
              <w:jc w:val="center"/>
              <w:ind w:left="36"/>
              <w:spacing w:after="0" w:line="180" w:lineRule="exact"/>
              <w:rPr>
                <w:sz w:val="20"/>
                <w:szCs w:val="20"/>
                <w:color w:val="auto"/>
              </w:rPr>
            </w:pPr>
            <w:r>
              <w:rPr>
                <w:rFonts w:ascii="Arial" w:cs="Arial" w:eastAsia="Arial" w:hAnsi="Arial"/>
                <w:sz w:val="16"/>
                <w:szCs w:val="16"/>
                <w:b w:val="1"/>
                <w:bCs w:val="1"/>
                <w:color w:val="auto"/>
                <w:w w:val="98"/>
              </w:rPr>
              <w:t>securities</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jc w:val="center"/>
              <w:ind w:left="16"/>
              <w:spacing w:after="0" w:line="180" w:lineRule="exact"/>
              <w:rPr>
                <w:sz w:val="20"/>
                <w:szCs w:val="20"/>
                <w:color w:val="auto"/>
              </w:rPr>
            </w:pPr>
            <w:r>
              <w:rPr>
                <w:rFonts w:ascii="Arial" w:cs="Arial" w:eastAsia="Arial" w:hAnsi="Arial"/>
                <w:sz w:val="16"/>
                <w:szCs w:val="16"/>
                <w:b w:val="1"/>
                <w:bCs w:val="1"/>
                <w:color w:val="auto"/>
                <w:w w:val="99"/>
              </w:rPr>
              <w:t>remaining</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Number of</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(b)</w:t>
            </w:r>
          </w:p>
        </w:tc>
        <w:tc>
          <w:tcPr>
            <w:tcW w:w="1380" w:type="dxa"/>
            <w:vAlign w:val="bottom"/>
          </w:tcPr>
          <w:p>
            <w:pPr>
              <w:jc w:val="center"/>
              <w:ind w:left="16"/>
              <w:spacing w:after="0" w:line="180" w:lineRule="exact"/>
              <w:rPr>
                <w:sz w:val="20"/>
                <w:szCs w:val="20"/>
                <w:color w:val="auto"/>
              </w:rPr>
            </w:pPr>
            <w:r>
              <w:rPr>
                <w:rFonts w:ascii="Arial" w:cs="Arial" w:eastAsia="Arial" w:hAnsi="Arial"/>
                <w:sz w:val="16"/>
                <w:szCs w:val="16"/>
                <w:b w:val="1"/>
                <w:bCs w:val="1"/>
                <w:color w:val="auto"/>
                <w:w w:val="98"/>
              </w:rPr>
              <w:t>available for</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securities to be</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Weighted-</w:t>
            </w:r>
          </w:p>
        </w:tc>
        <w:tc>
          <w:tcPr>
            <w:tcW w:w="1380" w:type="dxa"/>
            <w:vAlign w:val="bottom"/>
          </w:tcPr>
          <w:p>
            <w:pPr>
              <w:jc w:val="center"/>
              <w:ind w:left="36"/>
              <w:spacing w:after="0" w:line="180" w:lineRule="exact"/>
              <w:rPr>
                <w:sz w:val="20"/>
                <w:szCs w:val="20"/>
                <w:color w:val="auto"/>
              </w:rPr>
            </w:pPr>
            <w:r>
              <w:rPr>
                <w:rFonts w:ascii="Arial" w:cs="Arial" w:eastAsia="Arial" w:hAnsi="Arial"/>
                <w:sz w:val="16"/>
                <w:szCs w:val="16"/>
                <w:b w:val="1"/>
                <w:bCs w:val="1"/>
                <w:color w:val="auto"/>
                <w:w w:val="99"/>
              </w:rPr>
              <w:t>future issuance</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issued upon</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average exercise</w:t>
            </w:r>
          </w:p>
        </w:tc>
        <w:tc>
          <w:tcPr>
            <w:tcW w:w="1380" w:type="dxa"/>
            <w:vAlign w:val="bottom"/>
          </w:tcPr>
          <w:p>
            <w:pPr>
              <w:jc w:val="center"/>
              <w:ind w:left="16"/>
              <w:spacing w:after="0" w:line="180" w:lineRule="exact"/>
              <w:rPr>
                <w:sz w:val="20"/>
                <w:szCs w:val="20"/>
                <w:color w:val="auto"/>
              </w:rPr>
            </w:pPr>
            <w:r>
              <w:rPr>
                <w:rFonts w:ascii="Arial" w:cs="Arial" w:eastAsia="Arial" w:hAnsi="Arial"/>
                <w:sz w:val="16"/>
                <w:szCs w:val="16"/>
                <w:b w:val="1"/>
                <w:bCs w:val="1"/>
                <w:color w:val="auto"/>
                <w:w w:val="99"/>
              </w:rPr>
              <w:t>under equity</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exercise of</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price of</w:t>
            </w:r>
          </w:p>
        </w:tc>
        <w:tc>
          <w:tcPr>
            <w:tcW w:w="1380" w:type="dxa"/>
            <w:vAlign w:val="bottom"/>
          </w:tcPr>
          <w:p>
            <w:pPr>
              <w:jc w:val="center"/>
              <w:ind w:left="16"/>
              <w:spacing w:after="0" w:line="180" w:lineRule="exact"/>
              <w:rPr>
                <w:sz w:val="20"/>
                <w:szCs w:val="20"/>
                <w:color w:val="auto"/>
              </w:rPr>
            </w:pPr>
            <w:r>
              <w:rPr>
                <w:rFonts w:ascii="Arial" w:cs="Arial" w:eastAsia="Arial" w:hAnsi="Arial"/>
                <w:sz w:val="16"/>
                <w:szCs w:val="16"/>
                <w:b w:val="1"/>
                <w:bCs w:val="1"/>
                <w:color w:val="auto"/>
                <w:w w:val="99"/>
              </w:rPr>
              <w:t>compensation</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outstanding</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outstanding</w:t>
            </w:r>
          </w:p>
        </w:tc>
        <w:tc>
          <w:tcPr>
            <w:tcW w:w="1380" w:type="dxa"/>
            <w:vAlign w:val="bottom"/>
          </w:tcPr>
          <w:p>
            <w:pPr>
              <w:jc w:val="center"/>
              <w:ind w:left="36"/>
              <w:spacing w:after="0" w:line="180" w:lineRule="exact"/>
              <w:rPr>
                <w:sz w:val="20"/>
                <w:szCs w:val="20"/>
                <w:color w:val="auto"/>
              </w:rPr>
            </w:pPr>
            <w:r>
              <w:rPr>
                <w:rFonts w:ascii="Arial" w:cs="Arial" w:eastAsia="Arial" w:hAnsi="Arial"/>
                <w:sz w:val="16"/>
                <w:szCs w:val="16"/>
                <w:b w:val="1"/>
                <w:bCs w:val="1"/>
                <w:color w:val="auto"/>
                <w:w w:val="99"/>
              </w:rPr>
              <w:t>plans (excluding</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options,</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options,</w:t>
            </w:r>
          </w:p>
        </w:tc>
        <w:tc>
          <w:tcPr>
            <w:tcW w:w="1380" w:type="dxa"/>
            <w:vAlign w:val="bottom"/>
          </w:tcPr>
          <w:p>
            <w:pPr>
              <w:jc w:val="center"/>
              <w:ind w:left="36"/>
              <w:spacing w:after="0" w:line="180" w:lineRule="exact"/>
              <w:rPr>
                <w:sz w:val="20"/>
                <w:szCs w:val="20"/>
                <w:color w:val="auto"/>
              </w:rPr>
            </w:pPr>
            <w:r>
              <w:rPr>
                <w:rFonts w:ascii="Arial" w:cs="Arial" w:eastAsia="Arial" w:hAnsi="Arial"/>
                <w:sz w:val="16"/>
                <w:szCs w:val="16"/>
                <w:b w:val="1"/>
                <w:bCs w:val="1"/>
                <w:color w:val="auto"/>
                <w:w w:val="98"/>
              </w:rPr>
              <w:t>securities</w:t>
            </w:r>
          </w:p>
        </w:tc>
        <w:tc>
          <w:tcPr>
            <w:tcW w:w="0" w:type="dxa"/>
            <w:vAlign w:val="bottom"/>
          </w:tcPr>
          <w:p>
            <w:pPr>
              <w:spacing w:after="0"/>
              <w:rPr>
                <w:sz w:val="1"/>
                <w:szCs w:val="1"/>
                <w:color w:val="auto"/>
              </w:rPr>
            </w:pPr>
          </w:p>
        </w:tc>
      </w:tr>
      <w:tr>
        <w:trPr>
          <w:trHeight w:val="170"/>
        </w:trPr>
        <w:tc>
          <w:tcPr>
            <w:tcW w:w="4760" w:type="dxa"/>
            <w:vAlign w:val="bottom"/>
          </w:tcPr>
          <w:p>
            <w:pPr>
              <w:spacing w:after="0"/>
              <w:rPr>
                <w:sz w:val="14"/>
                <w:szCs w:val="14"/>
                <w:color w:val="auto"/>
              </w:rPr>
            </w:pPr>
          </w:p>
        </w:tc>
        <w:tc>
          <w:tcPr>
            <w:tcW w:w="146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warrants and</w:t>
            </w:r>
          </w:p>
        </w:tc>
        <w:tc>
          <w:tcPr>
            <w:tcW w:w="15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warrants and</w:t>
            </w:r>
          </w:p>
        </w:tc>
        <w:tc>
          <w:tcPr>
            <w:tcW w:w="1380" w:type="dxa"/>
            <w:vAlign w:val="bottom"/>
          </w:tcPr>
          <w:p>
            <w:pPr>
              <w:jc w:val="center"/>
              <w:ind w:left="36"/>
              <w:spacing w:after="0" w:line="171" w:lineRule="exact"/>
              <w:rPr>
                <w:sz w:val="20"/>
                <w:szCs w:val="20"/>
                <w:color w:val="auto"/>
              </w:rPr>
            </w:pPr>
            <w:r>
              <w:rPr>
                <w:rFonts w:ascii="Arial" w:cs="Arial" w:eastAsia="Arial" w:hAnsi="Arial"/>
                <w:sz w:val="16"/>
                <w:szCs w:val="16"/>
                <w:b w:val="1"/>
                <w:bCs w:val="1"/>
                <w:color w:val="auto"/>
              </w:rPr>
              <w:t>reflected in</w:t>
            </w:r>
          </w:p>
        </w:tc>
        <w:tc>
          <w:tcPr>
            <w:tcW w:w="0" w:type="dxa"/>
            <w:vAlign w:val="bottom"/>
          </w:tcPr>
          <w:p>
            <w:pPr>
              <w:spacing w:after="0"/>
              <w:rPr>
                <w:sz w:val="1"/>
                <w:szCs w:val="1"/>
                <w:color w:val="auto"/>
              </w:rPr>
            </w:pPr>
          </w:p>
        </w:tc>
      </w:tr>
      <w:tr>
        <w:trPr>
          <w:trHeight w:val="227"/>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Category</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rights</w:t>
            </w:r>
            <w:r>
              <w:rPr>
                <w:rFonts w:ascii="Arial" w:cs="Arial" w:eastAsia="Arial" w:hAnsi="Arial"/>
                <w:sz w:val="19"/>
                <w:szCs w:val="19"/>
                <w:b w:val="1"/>
                <w:bCs w:val="1"/>
                <w:color w:val="auto"/>
                <w:w w:val="96"/>
                <w:vertAlign w:val="superscript"/>
              </w:rPr>
              <w:t>(1)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rights</w:t>
            </w:r>
            <w:r>
              <w:rPr>
                <w:rFonts w:ascii="Arial" w:cs="Arial" w:eastAsia="Arial" w:hAnsi="Arial"/>
                <w:sz w:val="19"/>
                <w:szCs w:val="19"/>
                <w:b w:val="1"/>
                <w:bCs w:val="1"/>
                <w:color w:val="auto"/>
                <w:w w:val="96"/>
                <w:vertAlign w:val="superscript"/>
              </w:rPr>
              <w:t>(2)</w:t>
            </w:r>
          </w:p>
        </w:tc>
        <w:tc>
          <w:tcPr>
            <w:tcW w:w="1380" w:type="dxa"/>
            <w:vAlign w:val="bottom"/>
            <w:tcBorders>
              <w:bottom w:val="single" w:sz="8" w:color="auto"/>
            </w:tcBorders>
          </w:tcPr>
          <w:p>
            <w:pPr>
              <w:jc w:val="center"/>
              <w:ind w:left="36"/>
              <w:spacing w:after="0"/>
              <w:rPr>
                <w:sz w:val="20"/>
                <w:szCs w:val="20"/>
                <w:color w:val="auto"/>
              </w:rPr>
            </w:pPr>
            <w:r>
              <w:rPr>
                <w:rFonts w:ascii="Arial" w:cs="Arial" w:eastAsia="Arial" w:hAnsi="Arial"/>
                <w:sz w:val="16"/>
                <w:szCs w:val="16"/>
                <w:b w:val="1"/>
                <w:bCs w:val="1"/>
                <w:color w:val="auto"/>
              </w:rPr>
              <w:t>column (a))</w:t>
            </w:r>
            <w:r>
              <w:rPr>
                <w:rFonts w:ascii="Arial" w:cs="Arial" w:eastAsia="Arial" w:hAnsi="Arial"/>
                <w:sz w:val="19"/>
                <w:szCs w:val="19"/>
                <w:b w:val="1"/>
                <w:bCs w:val="1"/>
                <w:color w:val="auto"/>
                <w:vertAlign w:val="superscript"/>
              </w:rPr>
              <w:t>(3)</w:t>
            </w:r>
          </w:p>
        </w:tc>
        <w:tc>
          <w:tcPr>
            <w:tcW w:w="0" w:type="dxa"/>
            <w:vAlign w:val="bottom"/>
          </w:tcPr>
          <w:p>
            <w:pPr>
              <w:spacing w:after="0"/>
              <w:rPr>
                <w:sz w:val="1"/>
                <w:szCs w:val="1"/>
                <w:color w:val="auto"/>
              </w:rPr>
            </w:pPr>
          </w:p>
        </w:tc>
      </w:tr>
      <w:tr>
        <w:trPr>
          <w:trHeight w:val="255"/>
        </w:trPr>
        <w:tc>
          <w:tcPr>
            <w:tcW w:w="4760" w:type="dxa"/>
            <w:vAlign w:val="bottom"/>
          </w:tcPr>
          <w:p>
            <w:pPr>
              <w:spacing w:after="0"/>
              <w:rPr>
                <w:sz w:val="20"/>
                <w:szCs w:val="20"/>
                <w:color w:val="auto"/>
              </w:rPr>
            </w:pPr>
            <w:r>
              <w:rPr>
                <w:rFonts w:ascii="Arial" w:cs="Arial" w:eastAsia="Arial" w:hAnsi="Arial"/>
                <w:sz w:val="20"/>
                <w:szCs w:val="20"/>
                <w:color w:val="auto"/>
              </w:rPr>
              <w:t>Equity compensation plans approved by security</w:t>
            </w:r>
          </w:p>
        </w:tc>
        <w:tc>
          <w:tcPr>
            <w:tcW w:w="1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760" w:type="dxa"/>
            <w:vAlign w:val="bottom"/>
          </w:tcPr>
          <w:p>
            <w:pPr>
              <w:ind w:left="180"/>
              <w:spacing w:after="0"/>
              <w:rPr>
                <w:sz w:val="20"/>
                <w:szCs w:val="20"/>
                <w:color w:val="auto"/>
              </w:rPr>
            </w:pPr>
            <w:r>
              <w:rPr>
                <w:rFonts w:ascii="Arial" w:cs="Arial" w:eastAsia="Arial" w:hAnsi="Arial"/>
                <w:sz w:val="20"/>
                <w:szCs w:val="20"/>
                <w:color w:val="auto"/>
              </w:rPr>
              <w:t>holders</w:t>
            </w:r>
          </w:p>
        </w:tc>
        <w:tc>
          <w:tcPr>
            <w:tcW w:w="1460" w:type="dxa"/>
            <w:vAlign w:val="bottom"/>
          </w:tcPr>
          <w:p>
            <w:pPr>
              <w:jc w:val="right"/>
              <w:ind w:right="115"/>
              <w:spacing w:after="0"/>
              <w:rPr>
                <w:sz w:val="20"/>
                <w:szCs w:val="20"/>
                <w:color w:val="auto"/>
              </w:rPr>
            </w:pPr>
            <w:r>
              <w:rPr>
                <w:rFonts w:ascii="Arial" w:cs="Arial" w:eastAsia="Arial" w:hAnsi="Arial"/>
                <w:sz w:val="20"/>
                <w:szCs w:val="20"/>
                <w:color w:val="auto"/>
              </w:rPr>
              <w:t>13,938,765</w:t>
            </w:r>
          </w:p>
        </w:tc>
        <w:tc>
          <w:tcPr>
            <w:tcW w:w="1500" w:type="dxa"/>
            <w:vAlign w:val="bottom"/>
          </w:tcPr>
          <w:p>
            <w:pPr>
              <w:jc w:val="right"/>
              <w:ind w:right="295"/>
              <w:spacing w:after="0"/>
              <w:rPr>
                <w:sz w:val="20"/>
                <w:szCs w:val="20"/>
                <w:color w:val="auto"/>
              </w:rPr>
            </w:pPr>
            <w:r>
              <w:rPr>
                <w:rFonts w:ascii="Arial" w:cs="Arial" w:eastAsia="Arial" w:hAnsi="Arial"/>
                <w:sz w:val="20"/>
                <w:szCs w:val="20"/>
                <w:color w:val="auto"/>
              </w:rPr>
              <w:t>$132.49</w:t>
            </w:r>
          </w:p>
        </w:tc>
        <w:tc>
          <w:tcPr>
            <w:tcW w:w="1380" w:type="dxa"/>
            <w:vAlign w:val="bottom"/>
          </w:tcPr>
          <w:p>
            <w:pPr>
              <w:jc w:val="right"/>
              <w:ind w:right="56"/>
              <w:spacing w:after="0"/>
              <w:rPr>
                <w:sz w:val="20"/>
                <w:szCs w:val="20"/>
                <w:color w:val="auto"/>
              </w:rPr>
            </w:pPr>
            <w:r>
              <w:rPr>
                <w:rFonts w:ascii="Arial" w:cs="Arial" w:eastAsia="Arial" w:hAnsi="Arial"/>
                <w:sz w:val="20"/>
                <w:szCs w:val="20"/>
                <w:color w:val="auto"/>
              </w:rPr>
              <w:t>49,917,374</w:t>
            </w:r>
          </w:p>
        </w:tc>
        <w:tc>
          <w:tcPr>
            <w:tcW w:w="0" w:type="dxa"/>
            <w:vAlign w:val="bottom"/>
          </w:tcPr>
          <w:p>
            <w:pPr>
              <w:spacing w:after="0"/>
              <w:rPr>
                <w:sz w:val="1"/>
                <w:szCs w:val="1"/>
                <w:color w:val="auto"/>
              </w:rPr>
            </w:pPr>
          </w:p>
        </w:tc>
      </w:tr>
      <w:tr>
        <w:trPr>
          <w:trHeight w:val="271"/>
        </w:trPr>
        <w:tc>
          <w:tcPr>
            <w:tcW w:w="4760" w:type="dxa"/>
            <w:vAlign w:val="bottom"/>
          </w:tcPr>
          <w:p>
            <w:pPr>
              <w:spacing w:after="0"/>
              <w:rPr>
                <w:sz w:val="20"/>
                <w:szCs w:val="20"/>
                <w:color w:val="auto"/>
              </w:rPr>
            </w:pPr>
            <w:r>
              <w:rPr>
                <w:rFonts w:ascii="Arial" w:cs="Arial" w:eastAsia="Arial" w:hAnsi="Arial"/>
                <w:sz w:val="20"/>
                <w:szCs w:val="20"/>
                <w:color w:val="auto"/>
              </w:rPr>
              <w:t>Equity compensation plans not approved by security</w:t>
            </w:r>
          </w:p>
        </w:tc>
        <w:tc>
          <w:tcPr>
            <w:tcW w:w="1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476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holders</w:t>
            </w: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ind w:right="295"/>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9"/>
        </w:trPr>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20"/>
                <w:szCs w:val="20"/>
                <w:color w:val="auto"/>
              </w:rPr>
              <w:t>13,938,765</w:t>
            </w:r>
          </w:p>
        </w:tc>
        <w:tc>
          <w:tcPr>
            <w:tcW w:w="1500" w:type="dxa"/>
            <w:vAlign w:val="bottom"/>
            <w:tcBorders>
              <w:bottom w:val="single" w:sz="8" w:color="auto"/>
            </w:tcBorders>
          </w:tcPr>
          <w:p>
            <w:pPr>
              <w:jc w:val="right"/>
              <w:ind w:right="295"/>
              <w:spacing w:after="0"/>
              <w:rPr>
                <w:sz w:val="20"/>
                <w:szCs w:val="20"/>
                <w:color w:val="auto"/>
              </w:rPr>
            </w:pPr>
            <w:r>
              <w:rPr>
                <w:rFonts w:ascii="Arial" w:cs="Arial" w:eastAsia="Arial" w:hAnsi="Arial"/>
                <w:sz w:val="20"/>
                <w:szCs w:val="20"/>
                <w:color w:val="auto"/>
              </w:rPr>
              <w:t>$132.49</w:t>
            </w: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20"/>
                <w:szCs w:val="20"/>
                <w:color w:val="auto"/>
              </w:rPr>
              <w:t>49,917,374</w:t>
            </w:r>
          </w:p>
        </w:tc>
        <w:tc>
          <w:tcPr>
            <w:tcW w:w="0" w:type="dxa"/>
            <w:vAlign w:val="bottom"/>
          </w:tcPr>
          <w:p>
            <w:pPr>
              <w:spacing w:after="0"/>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710" w:hanging="350"/>
        <w:spacing w:after="0" w:line="255" w:lineRule="auto"/>
        <w:tabs>
          <w:tab w:leader="none" w:pos="710" w:val="left"/>
        </w:tabs>
        <w:numPr>
          <w:ilvl w:val="1"/>
          <w:numId w:val="40"/>
        </w:numPr>
        <w:rPr>
          <w:rFonts w:ascii="Arial" w:cs="Arial" w:eastAsia="Arial" w:hAnsi="Arial"/>
          <w:sz w:val="20"/>
          <w:szCs w:val="20"/>
          <w:color w:val="auto"/>
        </w:rPr>
      </w:pPr>
      <w:r>
        <w:rPr>
          <w:rFonts w:ascii="Arial" w:cs="Arial" w:eastAsia="Arial" w:hAnsi="Arial"/>
          <w:sz w:val="20"/>
          <w:szCs w:val="20"/>
          <w:color w:val="auto"/>
        </w:rPr>
        <w:t>Includes 12,197 shares issuable under AbbVie’s Incentive Stock Program pursuant to awards granted by Abbott and adjusted into AbbVie awards in connection with AbbVie’s separation from Abbott.</w:t>
      </w:r>
    </w:p>
    <w:p>
      <w:pPr>
        <w:spacing w:after="0" w:line="113" w:lineRule="exact"/>
        <w:rPr>
          <w:rFonts w:ascii="Arial" w:cs="Arial" w:eastAsia="Arial" w:hAnsi="Arial"/>
          <w:sz w:val="20"/>
          <w:szCs w:val="20"/>
          <w:color w:val="auto"/>
        </w:rPr>
      </w:pPr>
    </w:p>
    <w:p>
      <w:pPr>
        <w:ind w:left="710" w:right="620" w:hanging="350"/>
        <w:spacing w:after="0" w:line="266" w:lineRule="auto"/>
        <w:tabs>
          <w:tab w:leader="none" w:pos="710"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weighted-average exercise price does not include outstanding restricted stock units, restricted stock awards and performance shares that have no exercise price.</w:t>
      </w:r>
    </w:p>
    <w:p>
      <w:pPr>
        <w:spacing w:after="0" w:line="104" w:lineRule="exact"/>
        <w:rPr>
          <w:rFonts w:ascii="Arial" w:cs="Arial" w:eastAsia="Arial" w:hAnsi="Arial"/>
          <w:sz w:val="20"/>
          <w:szCs w:val="20"/>
          <w:color w:val="auto"/>
        </w:rPr>
      </w:pPr>
    </w:p>
    <w:p>
      <w:pPr>
        <w:ind w:left="710" w:hanging="350"/>
        <w:spacing w:after="0" w:line="265" w:lineRule="auto"/>
        <w:tabs>
          <w:tab w:leader="none" w:pos="710" w:val="left"/>
        </w:tabs>
        <w:numPr>
          <w:ilvl w:val="1"/>
          <w:numId w:val="40"/>
        </w:numPr>
        <w:rPr>
          <w:rFonts w:ascii="Arial" w:cs="Arial" w:eastAsia="Arial" w:hAnsi="Arial"/>
          <w:sz w:val="19"/>
          <w:szCs w:val="19"/>
          <w:color w:val="auto"/>
        </w:rPr>
      </w:pPr>
      <w:r>
        <w:rPr>
          <w:rFonts w:ascii="Arial" w:cs="Arial" w:eastAsia="Arial" w:hAnsi="Arial"/>
          <w:sz w:val="19"/>
          <w:szCs w:val="19"/>
          <w:color w:val="auto"/>
        </w:rPr>
        <w:t>Excludes shares issuable upon the exercise of stock options and pursuant to other rights granted under the Stemcentrx 2011 Equity Incentive Plan, the ImmunoGen 2018 Equity Incentive Plan and the Cerevel Therapeutics 2020 Equity Incentive Plan. AbbVie assumed these incentive plans upon the consummation of acquisition of Stemcentrx, Inc., ImmunoGen Inc. and Cerevel Therapeutics Holdings, Inc. As of December 31, 2025, 15,271 options with a weighted-average exercise price of $20.09 remained outstanding under the Stemcentrx plan and 53,899 and 78,211 unvested restricted stock units remained outstanding under the ImmunoGen and Cerevel Therapeutics plans. No further awards will be granted under these plans.</w:t>
      </w:r>
    </w:p>
    <w:p>
      <w:pPr>
        <w:spacing w:after="0" w:line="107" w:lineRule="exact"/>
        <w:rPr>
          <w:rFonts w:ascii="Arial" w:cs="Arial" w:eastAsia="Arial" w:hAnsi="Arial"/>
          <w:sz w:val="19"/>
          <w:szCs w:val="19"/>
          <w:color w:val="auto"/>
        </w:rPr>
      </w:pPr>
    </w:p>
    <w:p>
      <w:pPr>
        <w:ind w:left="350" w:hanging="350"/>
        <w:spacing w:after="0" w:line="254" w:lineRule="auto"/>
        <w:tabs>
          <w:tab w:leader="none" w:pos="350"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Information Concerning Security Ownership. </w:t>
      </w:r>
      <w:r>
        <w:rPr>
          <w:rFonts w:ascii="Arial" w:cs="Arial" w:eastAsia="Arial" w:hAnsi="Arial"/>
          <w:sz w:val="20"/>
          <w:szCs w:val="20"/>
          <w:color w:val="auto"/>
        </w:rPr>
        <w:t>Incorporated herein by reference is the material</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heading “Securities Ownership—Securities Ownership of Executive Officers and Directors” in the 2026 AbbVie Inc. Proxy Statement. The 2026 Definitive Proxy Statement will be filed on or about March 23, 2026.</w:t>
      </w:r>
    </w:p>
    <w:p>
      <w:pPr>
        <w:spacing w:after="0" w:line="116" w:lineRule="exact"/>
        <w:rPr>
          <w:sz w:val="20"/>
          <w:szCs w:val="20"/>
          <w:color w:val="auto"/>
        </w:rPr>
      </w:pPr>
    </w:p>
    <w:p>
      <w:pPr>
        <w:ind w:left="10" w:right="800"/>
        <w:spacing w:after="0" w:line="210" w:lineRule="auto"/>
        <w:rPr>
          <w:sz w:val="20"/>
          <w:szCs w:val="20"/>
          <w:color w:val="auto"/>
        </w:rPr>
      </w:pPr>
      <w:r>
        <w:rPr>
          <w:rFonts w:ascii="Arial" w:cs="Arial" w:eastAsia="Arial" w:hAnsi="Arial"/>
          <w:sz w:val="20"/>
          <w:szCs w:val="20"/>
          <w:b w:val="1"/>
          <w:bCs w:val="1"/>
          <w:color w:val="000039"/>
        </w:rPr>
        <w:t>ITEM 13. CERTAIN RELATIONSHIPS AND RELATED TRANSACTIONS, AND DIRECTOR INDEPENDENCE</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left="10" w:right="460" w:firstLine="359"/>
        <w:spacing w:after="0" w:line="254" w:lineRule="auto"/>
        <w:rPr>
          <w:sz w:val="20"/>
          <w:szCs w:val="20"/>
          <w:color w:val="auto"/>
        </w:rPr>
      </w:pPr>
      <w:r>
        <w:rPr>
          <w:rFonts w:ascii="Arial" w:cs="Arial" w:eastAsia="Arial" w:hAnsi="Arial"/>
          <w:sz w:val="20"/>
          <w:szCs w:val="20"/>
          <w:color w:val="auto"/>
        </w:rPr>
        <w:t>The material to be included in the 2026 AbbVie Inc. Proxy Statement under the headings “The Board of Directors and its Committees,” “Corporate Governance Materials,” and “Procedures for Approval of Related Person Transactions” is incorporated herein by reference. The 2026 Definitive Proxy Statement will be filed on or about March 23, 2026.</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ITEM 14. PRINCIPAL ACCOUNTING FEES AND SERVICES</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left="10" w:right="240" w:firstLine="359"/>
        <w:spacing w:after="0" w:line="254" w:lineRule="auto"/>
        <w:rPr>
          <w:sz w:val="20"/>
          <w:szCs w:val="20"/>
          <w:color w:val="auto"/>
        </w:rPr>
      </w:pPr>
      <w:r>
        <w:rPr>
          <w:rFonts w:ascii="Arial" w:cs="Arial" w:eastAsia="Arial" w:hAnsi="Arial"/>
          <w:sz w:val="20"/>
          <w:szCs w:val="20"/>
          <w:color w:val="auto"/>
        </w:rPr>
        <w:t>The material to be included in the 2026 AbbVie Inc. Proxy Statement under the headings “Audit Fees and Non-Audit Fees” and “Policy on Audit Committee Pre-Approval of Audit and Permissible Non-Audit Services of the Independent Registered Public Accounting Firm” is incorporated herein by reference. The 2026 Definitive Proxy Statement will be filed on or about March 23, 2026.</w:t>
      </w:r>
    </w:p>
    <w:p>
      <w:pPr>
        <w:sectPr>
          <w:pgSz w:w="11880" w:h="15480" w:orient="portrait"/>
          <w:cols w:equalWidth="0" w:num="1">
            <w:col w:w="9110"/>
          </w:cols>
          <w:pgMar w:left="1390" w:top="1028" w:right="1380" w:bottom="75" w:gutter="0" w:footer="0" w:header="0"/>
        </w:sectPr>
      </w:pPr>
    </w:p>
    <w:p>
      <w:pPr>
        <w:spacing w:after="0" w:line="242"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114  </w:t>
      </w:r>
      <w:r>
        <w:rPr>
          <w:sz w:val="1"/>
          <w:szCs w:val="1"/>
          <w:color w:val="auto"/>
        </w:rPr>
        <w:drawing>
          <wp:inline distT="0" distB="0" distL="0" distR="0">
            <wp:extent cx="615950" cy="1282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2">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10"/>
          </w:cols>
          <w:pgMar w:left="1390" w:top="1028" w:right="1380" w:bottom="75" w:gutter="0" w:footer="0" w:header="0"/>
          <w:type w:val="continuous"/>
        </w:sectPr>
      </w:pPr>
    </w:p>
    <w:bookmarkStart w:id="120" w:name="page121"/>
    <w:bookmarkEnd w:id="120"/>
    <w:p>
      <w:pPr>
        <w:jc w:val="center"/>
        <w:ind w:right="-9"/>
        <w:spacing w:after="0"/>
        <w:rPr>
          <w:sz w:val="20"/>
          <w:szCs w:val="20"/>
          <w:color w:val="auto"/>
        </w:rPr>
      </w:pPr>
      <w:r>
        <w:rPr>
          <w:rFonts w:ascii="Arial" w:cs="Arial" w:eastAsia="Arial" w:hAnsi="Arial"/>
          <w:sz w:val="23"/>
          <w:szCs w:val="23"/>
          <w:b w:val="1"/>
          <w:bCs w:val="1"/>
          <w:color w:val="000039"/>
        </w:rPr>
        <w:t>PART IV</w:t>
      </w:r>
    </w:p>
    <w:p>
      <w:pPr>
        <w:spacing w:after="0" w:line="8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ITEM 15. EXHIBITS, FINANCIAL STATEMENT SCHEDULES</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7" w:lineRule="exact"/>
        <w:rPr>
          <w:sz w:val="20"/>
          <w:szCs w:val="20"/>
          <w:color w:val="auto"/>
        </w:rPr>
      </w:pPr>
    </w:p>
    <w:p>
      <w:pPr>
        <w:ind w:left="350" w:hanging="350"/>
        <w:spacing w:after="0"/>
        <w:tabs>
          <w:tab w:leader="none" w:pos="350"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Documents filed as part of this Form 10-K.</w:t>
      </w:r>
    </w:p>
    <w:p>
      <w:pPr>
        <w:spacing w:after="0" w:line="172" w:lineRule="exact"/>
        <w:rPr>
          <w:rFonts w:ascii="Arial" w:cs="Arial" w:eastAsia="Arial" w:hAnsi="Arial"/>
          <w:sz w:val="20"/>
          <w:szCs w:val="20"/>
          <w:color w:val="auto"/>
        </w:rPr>
      </w:pPr>
    </w:p>
    <w:p>
      <w:pPr>
        <w:ind w:left="710" w:right="180" w:hanging="351"/>
        <w:spacing w:after="0" w:line="281" w:lineRule="auto"/>
        <w:tabs>
          <w:tab w:leader="none" w:pos="710" w:val="left"/>
        </w:tabs>
        <w:numPr>
          <w:ilvl w:val="1"/>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Financial Statements: </w:t>
      </w:r>
      <w:r>
        <w:rPr>
          <w:rFonts w:ascii="Arial" w:cs="Arial" w:eastAsia="Arial" w:hAnsi="Arial"/>
          <w:sz w:val="20"/>
          <w:szCs w:val="20"/>
          <w:color w:val="auto"/>
        </w:rPr>
        <w:t>See Item 8, “Financial Statements and Supplementary Data” for a list</w:t>
      </w:r>
      <w:r>
        <w:rPr>
          <w:rFonts w:ascii="Arial" w:cs="Arial" w:eastAsia="Arial" w:hAnsi="Arial"/>
          <w:sz w:val="20"/>
          <w:szCs w:val="20"/>
          <w:i w:val="1"/>
          <w:iCs w:val="1"/>
          <w:color w:val="auto"/>
        </w:rPr>
        <w:t xml:space="preserve"> </w:t>
      </w:r>
      <w:r>
        <w:rPr>
          <w:rFonts w:ascii="Arial" w:cs="Arial" w:eastAsia="Arial" w:hAnsi="Arial"/>
          <w:sz w:val="20"/>
          <w:szCs w:val="20"/>
          <w:color w:val="auto"/>
        </w:rPr>
        <w:t>of financial statements.</w:t>
      </w:r>
    </w:p>
    <w:p>
      <w:pPr>
        <w:spacing w:after="0" w:line="113" w:lineRule="exact"/>
        <w:rPr>
          <w:rFonts w:ascii="Arial" w:cs="Arial" w:eastAsia="Arial" w:hAnsi="Arial"/>
          <w:sz w:val="20"/>
          <w:szCs w:val="20"/>
          <w:i w:val="1"/>
          <w:iCs w:val="1"/>
          <w:color w:val="auto"/>
        </w:rPr>
      </w:pPr>
    </w:p>
    <w:p>
      <w:pPr>
        <w:ind w:left="710" w:right="420" w:hanging="351"/>
        <w:spacing w:after="0" w:line="281" w:lineRule="auto"/>
        <w:tabs>
          <w:tab w:leader="none" w:pos="710" w:val="left"/>
        </w:tabs>
        <w:numPr>
          <w:ilvl w:val="1"/>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Financial Statement Schedules: </w:t>
      </w:r>
      <w:r>
        <w:rPr>
          <w:rFonts w:ascii="Arial" w:cs="Arial" w:eastAsia="Arial" w:hAnsi="Arial"/>
          <w:sz w:val="20"/>
          <w:szCs w:val="20"/>
          <w:color w:val="auto"/>
        </w:rPr>
        <w:t>All schedules omitted are inapplicable or the information</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is shown in the consolidated financial statements or notes thereto.</w:t>
      </w:r>
    </w:p>
    <w:p>
      <w:pPr>
        <w:spacing w:after="0" w:line="113" w:lineRule="exact"/>
        <w:rPr>
          <w:rFonts w:ascii="Arial" w:cs="Arial" w:eastAsia="Arial" w:hAnsi="Arial"/>
          <w:sz w:val="20"/>
          <w:szCs w:val="20"/>
          <w:i w:val="1"/>
          <w:iCs w:val="1"/>
          <w:color w:val="auto"/>
        </w:rPr>
      </w:pPr>
    </w:p>
    <w:p>
      <w:pPr>
        <w:ind w:left="710" w:hanging="351"/>
        <w:spacing w:after="0" w:line="281" w:lineRule="auto"/>
        <w:tabs>
          <w:tab w:leader="none" w:pos="710" w:val="left"/>
        </w:tabs>
        <w:numPr>
          <w:ilvl w:val="1"/>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Exhibits Required by Item 601 of Regulation S-K: </w:t>
      </w:r>
      <w:r>
        <w:rPr>
          <w:rFonts w:ascii="Arial" w:cs="Arial" w:eastAsia="Arial" w:hAnsi="Arial"/>
          <w:sz w:val="20"/>
          <w:szCs w:val="20"/>
          <w:color w:val="auto"/>
        </w:rPr>
        <w:t>The information called for by this paragraph</w:t>
      </w:r>
      <w:r>
        <w:rPr>
          <w:rFonts w:ascii="Arial" w:cs="Arial" w:eastAsia="Arial" w:hAnsi="Arial"/>
          <w:sz w:val="20"/>
          <w:szCs w:val="20"/>
          <w:i w:val="1"/>
          <w:iCs w:val="1"/>
          <w:color w:val="auto"/>
        </w:rPr>
        <w:t xml:space="preserve"> </w:t>
      </w:r>
      <w:r>
        <w:rPr>
          <w:rFonts w:ascii="Arial" w:cs="Arial" w:eastAsia="Arial" w:hAnsi="Arial"/>
          <w:sz w:val="20"/>
          <w:szCs w:val="20"/>
          <w:color w:val="auto"/>
        </w:rPr>
        <w:t>is set forth in Item 15(b) below.</w:t>
      </w:r>
    </w:p>
    <w:p>
      <w:pPr>
        <w:spacing w:after="0" w:line="113" w:lineRule="exact"/>
        <w:rPr>
          <w:rFonts w:ascii="Arial" w:cs="Arial" w:eastAsia="Arial" w:hAnsi="Arial"/>
          <w:sz w:val="20"/>
          <w:szCs w:val="20"/>
          <w:i w:val="1"/>
          <w:iCs w:val="1"/>
          <w:color w:val="auto"/>
        </w:rPr>
      </w:pPr>
    </w:p>
    <w:p>
      <w:pPr>
        <w:ind w:left="350" w:hanging="350"/>
        <w:spacing w:after="0"/>
        <w:tabs>
          <w:tab w:leader="none" w:pos="350"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6"/>
                <w:szCs w:val="16"/>
                <w:color w:val="auto"/>
              </w:rPr>
            </w:pPr>
          </w:p>
        </w:tc>
        <w:tc>
          <w:tcPr>
            <w:tcW w:w="8140" w:type="dxa"/>
            <w:vAlign w:val="bottom"/>
          </w:tcPr>
          <w:p>
            <w:pPr>
              <w:spacing w:after="0"/>
              <w:rPr>
                <w:sz w:val="16"/>
                <w:szCs w:val="16"/>
                <w:color w:val="auto"/>
              </w:rPr>
            </w:pPr>
          </w:p>
        </w:tc>
      </w:tr>
      <w:tr>
        <w:trPr>
          <w:trHeight w:val="197"/>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7"/>
                <w:szCs w:val="17"/>
                <w:color w:val="auto"/>
              </w:rPr>
            </w:pPr>
          </w:p>
        </w:tc>
        <w:tc>
          <w:tcPr>
            <w:tcW w:w="8140" w:type="dxa"/>
            <w:vAlign w:val="bottom"/>
          </w:tcPr>
          <w:p>
            <w:pPr>
              <w:ind w:left="3360"/>
              <w:spacing w:after="0"/>
              <w:rPr>
                <w:sz w:val="20"/>
                <w:szCs w:val="20"/>
                <w:color w:val="auto"/>
              </w:rPr>
            </w:pPr>
            <w:r>
              <w:rPr>
                <w:rFonts w:ascii="Arial" w:cs="Arial" w:eastAsia="Arial" w:hAnsi="Arial"/>
                <w:sz w:val="16"/>
                <w:szCs w:val="16"/>
                <w:b w:val="1"/>
                <w:bCs w:val="1"/>
                <w:color w:val="auto"/>
              </w:rPr>
              <w:t>Exhibit Description</w:t>
            </w:r>
          </w:p>
        </w:tc>
      </w:tr>
      <w:tr>
        <w:trPr>
          <w:trHeight w:val="32"/>
        </w:trPr>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140" w:type="dxa"/>
            <w:vAlign w:val="bottom"/>
            <w:tcBorders>
              <w:bottom w:val="single" w:sz="8" w:color="auto"/>
            </w:tcBorders>
          </w:tcPr>
          <w:p>
            <w:pPr>
              <w:spacing w:after="0"/>
              <w:rPr>
                <w:sz w:val="2"/>
                <w:szCs w:val="2"/>
                <w:color w:val="auto"/>
              </w:rPr>
            </w:pPr>
          </w:p>
        </w:tc>
      </w:tr>
      <w:tr>
        <w:trPr>
          <w:trHeight w:val="265"/>
        </w:trPr>
        <w:tc>
          <w:tcPr>
            <w:tcW w:w="700" w:type="dxa"/>
            <w:vAlign w:val="bottom"/>
          </w:tcPr>
          <w:p>
            <w:pPr>
              <w:jc w:val="center"/>
              <w:spacing w:after="0"/>
              <w:rPr>
                <w:sz w:val="20"/>
                <w:szCs w:val="20"/>
                <w:color w:val="auto"/>
              </w:rPr>
            </w:pPr>
            <w:r>
              <w:rPr>
                <w:rFonts w:ascii="Arial" w:cs="Arial" w:eastAsia="Arial" w:hAnsi="Arial"/>
                <w:sz w:val="20"/>
                <w:szCs w:val="20"/>
                <w:color w:val="auto"/>
                <w:w w:val="93"/>
              </w:rPr>
              <w:t>2.1</w:t>
            </w:r>
          </w:p>
        </w:tc>
        <w:tc>
          <w:tcPr>
            <w:tcW w:w="240" w:type="dxa"/>
            <w:vAlign w:val="bottom"/>
          </w:tcPr>
          <w:p>
            <w:pPr>
              <w:spacing w:after="0"/>
              <w:rPr>
                <w:sz w:val="23"/>
                <w:szCs w:val="23"/>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*Transaction Agreement, dated as of June 25, 2019, between AbbVie Inc., Allergan plc and</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Venice Subsidiary, LLC (incorporated by reference to Exhibit 2.1 of the company’s Current</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Report on Form 8-K filed on June 25,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2.2</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*Appendix III to the Rule 2.5 Announcement, dated as of June 25, 2019 (Conditions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Appendix) (incorporated by reference to Exhibit 2.2 of the company’s Current Report on</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8-K filed on June 25,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2.3</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*Expenses Reimbursement Agreement, dated as of June 25, 2019, between AbbVie Inc.</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and Allergan plc (incorporated by reference to Exhibit 2.3 of the company’s Current Report</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on Form 8-K filed on June 25,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2.4</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*Amendment to the Transaction Agreement, dated as of May 5, 2020, between AbbVie Inc.,</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Allergan plc and Venice Subsidiary, LLC (incorporated by reference to Exhibit 2.1 of the</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company’s Quarterly Report on Form 10-Q for the quarterly period ended March 31, 2020).</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3.1</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*Amended and Restated Certificate of Incorporation of AbbVie Inc. (incorporated by</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reference to Exhibit 3.1 of the company’s Current Report on Form 8-K filed on January 2,</w:t>
            </w:r>
          </w:p>
        </w:tc>
      </w:tr>
      <w:tr>
        <w:trPr>
          <w:trHeight w:val="248"/>
        </w:trPr>
        <w:tc>
          <w:tcPr>
            <w:tcW w:w="700" w:type="dxa"/>
            <w:vAlign w:val="bottom"/>
          </w:tcPr>
          <w:p>
            <w:pPr>
              <w:spacing w:after="0"/>
              <w:rPr>
                <w:sz w:val="21"/>
                <w:szCs w:val="21"/>
                <w:color w:val="auto"/>
              </w:rPr>
            </w:pP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2013).</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3.2</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*Third Amended and Restated By-Laws of AbbVie Inc. (incorporated by reference to</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3.1 of the company’s Current Report on Form 8-K filed on September 10, 2024).</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4.1</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Description of the company’s securities registered pursuant to Section 12 of the Securities</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Exchange Act of 1934.</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4.2</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*Indenture dated as of November 8, 2012 between AbbVie Inc. and U.S. Bank National</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Association (incorporated by reference to Exhibit 4.1 of Amendment No. 5 to the company’s</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Registration Statement on Form 10 filed on November 16, 2012).</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4.3</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*Supplemental Indenture No. 1 dated as of November 8, 2012 among AbbVie Inc. and U.S.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Bank National Association, including forms of notes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4.2 of Amendment No. 5 to the company’s Registration Statement on Form 10 filed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on November 16, 2012).</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4.4</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*Supplemental Indenture No. 2 dated May 14, 2015, between AbbVie Inc. and U.S. Bank</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National Association, as trustee, including forms of notes (incorporated by reference to</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4.1 of the company’s Current Report on Form 8-K filed on May 14, 2015).</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4.5</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*Supplemental Indenture No. 3 dated May 12, 2016, between AbbVie Inc. and U.S. Bank</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National Association, as trustee, including forms of notes (incorporated by reference to</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4.1 of the company’s Current Report on Form 8-K filed on May 12, 2016).</w:t>
            </w:r>
          </w:p>
        </w:tc>
      </w:tr>
    </w:tbl>
    <w:p>
      <w:pPr>
        <w:spacing w:after="0" w:line="200" w:lineRule="exact"/>
        <w:rPr>
          <w:sz w:val="20"/>
          <w:szCs w:val="20"/>
          <w:color w:val="auto"/>
        </w:rPr>
      </w:pPr>
    </w:p>
    <w:p>
      <w:pPr>
        <w:sectPr>
          <w:pgSz w:w="11880" w:h="15480" w:orient="portrait"/>
          <w:cols w:equalWidth="0" w:num="1">
            <w:col w:w="9110"/>
          </w:cols>
          <w:pgMar w:left="1390" w:top="1019"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13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3">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115</w:t>
      </w:r>
    </w:p>
    <w:p>
      <w:pPr>
        <w:sectPr>
          <w:pgSz w:w="11880" w:h="15480" w:orient="portrait"/>
          <w:cols w:equalWidth="0" w:num="1">
            <w:col w:w="9110"/>
          </w:cols>
          <w:pgMar w:left="1390" w:top="1019" w:right="1380" w:bottom="87"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84"/>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6"/>
                <w:szCs w:val="16"/>
                <w:color w:val="auto"/>
              </w:rPr>
            </w:pPr>
          </w:p>
        </w:tc>
        <w:tc>
          <w:tcPr>
            <w:tcW w:w="8140" w:type="dxa"/>
            <w:vAlign w:val="bottom"/>
          </w:tcPr>
          <w:p>
            <w:pPr>
              <w:spacing w:after="0"/>
              <w:rPr>
                <w:sz w:val="16"/>
                <w:szCs w:val="16"/>
                <w:color w:val="auto"/>
              </w:rPr>
            </w:pPr>
          </w:p>
        </w:tc>
      </w:tr>
      <w:tr>
        <w:trPr>
          <w:trHeight w:val="197"/>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7"/>
                <w:szCs w:val="17"/>
                <w:color w:val="auto"/>
              </w:rPr>
            </w:pPr>
          </w:p>
        </w:tc>
        <w:tc>
          <w:tcPr>
            <w:tcW w:w="8140" w:type="dxa"/>
            <w:vAlign w:val="bottom"/>
          </w:tcPr>
          <w:p>
            <w:pPr>
              <w:ind w:left="3360"/>
              <w:spacing w:after="0"/>
              <w:rPr>
                <w:sz w:val="20"/>
                <w:szCs w:val="20"/>
                <w:color w:val="auto"/>
              </w:rPr>
            </w:pPr>
            <w:r>
              <w:rPr>
                <w:rFonts w:ascii="Arial" w:cs="Arial" w:eastAsia="Arial" w:hAnsi="Arial"/>
                <w:sz w:val="16"/>
                <w:szCs w:val="16"/>
                <w:b w:val="1"/>
                <w:bCs w:val="1"/>
                <w:color w:val="auto"/>
              </w:rPr>
              <w:t>Exhibit Description</w:t>
            </w:r>
          </w:p>
        </w:tc>
      </w:tr>
      <w:tr>
        <w:trPr>
          <w:trHeight w:val="32"/>
        </w:trPr>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140" w:type="dxa"/>
            <w:vAlign w:val="bottom"/>
            <w:tcBorders>
              <w:bottom w:val="single" w:sz="8" w:color="auto"/>
            </w:tcBorders>
          </w:tcPr>
          <w:p>
            <w:pPr>
              <w:spacing w:after="0"/>
              <w:rPr>
                <w:sz w:val="2"/>
                <w:szCs w:val="2"/>
                <w:color w:val="auto"/>
              </w:rPr>
            </w:pPr>
          </w:p>
        </w:tc>
      </w:tr>
      <w:tr>
        <w:trPr>
          <w:trHeight w:val="265"/>
        </w:trPr>
        <w:tc>
          <w:tcPr>
            <w:tcW w:w="700" w:type="dxa"/>
            <w:vAlign w:val="bottom"/>
          </w:tcPr>
          <w:p>
            <w:pPr>
              <w:jc w:val="center"/>
              <w:spacing w:after="0"/>
              <w:rPr>
                <w:sz w:val="20"/>
                <w:szCs w:val="20"/>
                <w:color w:val="auto"/>
              </w:rPr>
            </w:pPr>
            <w:r>
              <w:rPr>
                <w:rFonts w:ascii="Arial" w:cs="Arial" w:eastAsia="Arial" w:hAnsi="Arial"/>
                <w:sz w:val="20"/>
                <w:szCs w:val="20"/>
                <w:color w:val="auto"/>
                <w:w w:val="93"/>
              </w:rPr>
              <w:t>4.6</w:t>
            </w:r>
          </w:p>
        </w:tc>
        <w:tc>
          <w:tcPr>
            <w:tcW w:w="240" w:type="dxa"/>
            <w:vAlign w:val="bottom"/>
          </w:tcPr>
          <w:p>
            <w:pPr>
              <w:spacing w:after="0"/>
              <w:rPr>
                <w:sz w:val="23"/>
                <w:szCs w:val="23"/>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*Supplemental Indenture No. 4, dated as of November 17, 2016, among AbbVie Inc., U.S.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Bank National Association, as trustee, Elavon Financial Services DAC, U.K. Branch, as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paying agent and Elavon Financial Services DAC, as transfer agent and registrar, including</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forms of notes (incorporated by reference to Exhibit 4.1 of the company’s Current Report on</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8-K filed on November 17, 2016).</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4.7</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*Supplemental Indenture No. 5, dated September 18, 2018, between AbbVie Inc. and U.S.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Bank National Association, as trustee, including forms of notes (incorporated by reference</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to Exhibit 4.2 of the company’s Current Report on Form 8-K filed on September 18, 2018).</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4.8</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*Supplemental Indenture No. 6, dated September 26, 2019, among AbbVie Inc., U.S. Bank</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National Association, as trustee, transfer agent and registrar, and Elavon Financial Services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DAC, UK Branch, as paying agent, including forms of notes (incorporated by reference to</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4.2 of the company’s Current Report on Form 8-K filed on September 26,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3"/>
              </w:rPr>
              <w:t>4.9</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w w:val="99"/>
              </w:rPr>
              <w:t>*Supplemental Indenture No. 7, dated November 21, 2019, by and between AbbVie Inc. and</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U.S. Bank National Association, as trustee, including forms of notes (incorporated by</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reference to Exhibit 4.2 of the company’s Current Report on Form 8-K filed on</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November 26,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4.10</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*Supplemental Indenture No. 8, dated May 14, 2020, by and between AbbVie Inc. and U.S.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Bank National Association, as trustee (incorporated by reference to Exhibit 4.2 of the</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company’s Current Report on Form 8-K filed on May 14, 2020).</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4.11</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*Supplemental Indenture No. 9, dated May 14, 2020, among AbbVie Inc., U.S. Bank and</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National Association, as trustee, transfer agent and registrar, and Elavon Financial Services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DAC, U.K. Branch, as paying agent (incorporated by reference to Exhibit 4.15 of the</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company’s Current Report on Form 8-K filed on May 14, 2020).</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4.12</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w w:val="99"/>
              </w:rPr>
              <w:t>*Supplemental Indenture No. 10, dated February 26, 2024, by and between AbbVie Inc. and</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U.S. Bank Trust Company, National Association, as trustee (incorporated by reference to</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4.2 of the company’s Current Report on Form 8-K filed on February 26, 2024).</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4.13</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w w:val="99"/>
              </w:rPr>
              <w:t>*Supplemental Indenture No. 11, dated February 26, 2025, by and between AbbVie Inc. and</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U.S. Bank Trust Company, National Association, as trustee (incorporated by reference to</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4.2 of the company’s Current Report on Form 8-K filed on February 26, 2025).</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4.14</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*Agency Agreement, dated as of November 17, 2016, among AbbVie Inc., U.S. Bank</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National Association, as trustee, Elavon Financial Services DAC, U.K. Branch, as paying</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agent and Elavon Financial Services DAC, as transfer agent and registrar (incorporated by</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reference to Exhibit 4.2 of the company’s Current Report on Form 8-K filed on</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November 17, 2016).</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4.15</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*Agency Agreement, dated September 26, 2019, among AbbVie Inc., U.S. Bank National</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Association, as trustee, transfer agent and registrar, and Elavon Financial Services DAC,</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U.K. Branch, as paying agent (incorporated by reference to Exhibit 4.3 of the company’s</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Current Report on Form 8-K filed on September 26,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4.16</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w w:val="99"/>
              </w:rPr>
              <w:t>*Registration Rights Agreement, dated November 21, 2019, among AbbVie Inc. and Morgan</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Stanley &amp; Co. LLC, BofA Securities, Inc. and Barclays Capital Inc. (acting for themselves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and as representatives of the several initial purchasers) (incorporated by reference to</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4.13 of the company’s Current Report on Form 8-K filed on November 26,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4.17</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*Agency Agreement, dated May 14, 2020, among AbbVie Inc., U.S. Bank National</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Association, as trustee, transfer agent and registrar, and Elavon Financial Services DAC,</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U.K. Branch, as paying agent and calculation agent (incorporated by reference to</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4.16 of the company’s Current Report on Form 8-K filed on May 14, 2020).</w:t>
            </w:r>
          </w:p>
        </w:tc>
      </w:tr>
    </w:tbl>
    <w:p>
      <w:pPr>
        <w:spacing w:after="0" w:line="200" w:lineRule="exact"/>
        <w:rPr>
          <w:sz w:val="20"/>
          <w:szCs w:val="20"/>
          <w:color w:val="auto"/>
        </w:rPr>
      </w:pPr>
    </w:p>
    <w:p>
      <w:pPr>
        <w:sectPr>
          <w:pgSz w:w="11880" w:h="15480" w:orient="portrait"/>
          <w:cols w:equalWidth="0" w:num="1">
            <w:col w:w="9080"/>
          </w:cols>
          <w:pgMar w:left="1400" w:top="1021" w:right="140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sz w:val="1"/>
          <w:szCs w:val="1"/>
          <w:color w:val="auto"/>
        </w:rPr>
        <w:drawing>
          <wp:inline distT="0" distB="0" distL="0" distR="0">
            <wp:extent cx="615950" cy="12827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4">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080"/>
          </w:cols>
          <w:pgMar w:left="1400" w:top="1021" w:right="1400" w:bottom="75"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184"/>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6"/>
                <w:szCs w:val="16"/>
                <w:color w:val="auto"/>
              </w:rPr>
            </w:pPr>
          </w:p>
        </w:tc>
        <w:tc>
          <w:tcPr>
            <w:tcW w:w="8140" w:type="dxa"/>
            <w:vAlign w:val="bottom"/>
          </w:tcPr>
          <w:p>
            <w:pPr>
              <w:spacing w:after="0"/>
              <w:rPr>
                <w:sz w:val="16"/>
                <w:szCs w:val="16"/>
                <w:color w:val="auto"/>
              </w:rPr>
            </w:pPr>
          </w:p>
        </w:tc>
      </w:tr>
      <w:tr>
        <w:trPr>
          <w:trHeight w:val="197"/>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7"/>
                <w:szCs w:val="17"/>
                <w:color w:val="auto"/>
              </w:rPr>
            </w:pPr>
          </w:p>
        </w:tc>
        <w:tc>
          <w:tcPr>
            <w:tcW w:w="8140" w:type="dxa"/>
            <w:vAlign w:val="bottom"/>
          </w:tcPr>
          <w:p>
            <w:pPr>
              <w:ind w:left="3360"/>
              <w:spacing w:after="0"/>
              <w:rPr>
                <w:sz w:val="20"/>
                <w:szCs w:val="20"/>
                <w:color w:val="auto"/>
              </w:rPr>
            </w:pPr>
            <w:r>
              <w:rPr>
                <w:rFonts w:ascii="Arial" w:cs="Arial" w:eastAsia="Arial" w:hAnsi="Arial"/>
                <w:sz w:val="16"/>
                <w:szCs w:val="16"/>
                <w:b w:val="1"/>
                <w:bCs w:val="1"/>
                <w:color w:val="auto"/>
              </w:rPr>
              <w:t>Exhibit Description</w:t>
            </w:r>
          </w:p>
        </w:tc>
      </w:tr>
      <w:tr>
        <w:trPr>
          <w:trHeight w:val="32"/>
        </w:trPr>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140" w:type="dxa"/>
            <w:vAlign w:val="bottom"/>
            <w:tcBorders>
              <w:bottom w:val="single" w:sz="8" w:color="auto"/>
            </w:tcBorders>
          </w:tcPr>
          <w:p>
            <w:pPr>
              <w:spacing w:after="0"/>
              <w:rPr>
                <w:sz w:val="2"/>
                <w:szCs w:val="2"/>
                <w:color w:val="auto"/>
              </w:rPr>
            </w:pPr>
          </w:p>
        </w:tc>
      </w:tr>
      <w:tr>
        <w:trPr>
          <w:trHeight w:val="265"/>
        </w:trPr>
        <w:tc>
          <w:tcPr>
            <w:tcW w:w="700" w:type="dxa"/>
            <w:vAlign w:val="bottom"/>
          </w:tcPr>
          <w:p>
            <w:pPr>
              <w:jc w:val="center"/>
              <w:spacing w:after="0"/>
              <w:rPr>
                <w:sz w:val="20"/>
                <w:szCs w:val="20"/>
                <w:color w:val="auto"/>
              </w:rPr>
            </w:pPr>
            <w:r>
              <w:rPr>
                <w:rFonts w:ascii="Arial" w:cs="Arial" w:eastAsia="Arial" w:hAnsi="Arial"/>
                <w:sz w:val="20"/>
                <w:szCs w:val="20"/>
                <w:color w:val="auto"/>
                <w:w w:val="97"/>
              </w:rPr>
              <w:t>4.18</w:t>
            </w:r>
          </w:p>
        </w:tc>
        <w:tc>
          <w:tcPr>
            <w:tcW w:w="240" w:type="dxa"/>
            <w:vAlign w:val="bottom"/>
          </w:tcPr>
          <w:p>
            <w:pPr>
              <w:spacing w:after="0"/>
              <w:rPr>
                <w:sz w:val="23"/>
                <w:szCs w:val="23"/>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*Registration Rights Agreement, dated May 14, 2020, among AbbVie Inc. and Morgan</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Stanley &amp; Co. LLC, BofA Securities, Inc., Citigroup Global Markets Inc., BNP Paribas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Securities Corp., HSBC Securities (USA) Inc., Mizuho Securities USA LLC and Wells Fargo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Securities, LLC (incorporated by reference to Exhibit 4.23 of the company’s Current Report</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on Form 8-K filed on May 14, 2020).</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10.1</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*AbbVie 2013 Amended and Restated Incentive Stock Program (incorporated by reference</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to Appendix C to the AbbVie Inc. Definitive Proxy Statement on Schedule 14A dated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March 22, 2021).**</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10.2</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Restricted Stock Unit (“RSU”) Agreement</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(incorporated by reference to Exhibit 10.1 of the company’s Quarterly Report on Form 10-Q</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 the quarterly period ended March 31, 2016).**</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10.3</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RSU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10.1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2017).**</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10.4</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Non-Qualified Stock Option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10.2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2017).**</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10.5</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RSU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10.3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2018).**</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10.6</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Non-Qualified Stock Option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10.4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2018).**</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10.7</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RSU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10.3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10.8</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Non-Qualified Stock Option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10.4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10.9</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RSU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10.3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2020).**</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10.10</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Non-Qualified Stock Option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10.4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2020).**</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10.11</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*Amended and Restated Revolving Credit Agreement, dated as of August 27, 2019, among</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AbbVie Inc., the lenders and other parties party thereto and JPMorgan Chase Bank, N.A.,</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as administrative agent (incorporated by reference to Exhibit 10.1 of the company’s Current</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Report on Form 8-K filed on August 30,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10.12</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*364-Day Bridge Credit Agreement, dated as of June 25, 2019, among AbbVie Inc., Morgan</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Stanley Senior Funding, Inc. and the lenders party thereto (incorporated by reference to</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10.1 of the company’s Current Report on Form 8-K filed on June 25,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10.13</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*Underwriting Agreement, dated September 17, 2019, among AbbVie Inc. and Morgan</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Stanley &amp; Co. International plc, HSBC Bank plc and Merrill Lynch International (acting for</w:t>
            </w:r>
          </w:p>
        </w:tc>
      </w:tr>
    </w:tbl>
    <w:p>
      <w:pPr>
        <w:ind w:left="940" w:right="20"/>
        <w:spacing w:after="0" w:line="254" w:lineRule="auto"/>
        <w:rPr>
          <w:sz w:val="20"/>
          <w:szCs w:val="20"/>
          <w:color w:val="auto"/>
        </w:rPr>
      </w:pPr>
      <w:r>
        <w:rPr>
          <w:rFonts w:ascii="Arial" w:cs="Arial" w:eastAsia="Arial" w:hAnsi="Arial"/>
          <w:sz w:val="20"/>
          <w:szCs w:val="20"/>
          <w:color w:val="auto"/>
        </w:rPr>
        <w:t>themselves and as representatives of the several underwriters named therein) (incorporated by reference to Exhibit 1.1 of the company’s Current Report on Form 8-K filed on September 23, 2019).</w:t>
      </w:r>
    </w:p>
    <w:p>
      <w:pPr>
        <w:sectPr>
          <w:pgSz w:w="11880" w:h="15480" w:orient="portrait"/>
          <w:cols w:equalWidth="0" w:num="1">
            <w:col w:w="9100"/>
          </w:cols>
          <w:pgMar w:left="1400" w:top="1021"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5">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117</w:t>
      </w:r>
    </w:p>
    <w:p>
      <w:pPr>
        <w:sectPr>
          <w:pgSz w:w="11880" w:h="15480" w:orient="portrait"/>
          <w:cols w:equalWidth="0" w:num="1">
            <w:col w:w="9100"/>
          </w:cols>
          <w:pgMar w:left="1400" w:top="1021" w:right="1380" w:bottom="87"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184"/>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6"/>
                <w:szCs w:val="16"/>
                <w:color w:val="auto"/>
              </w:rPr>
            </w:pPr>
          </w:p>
        </w:tc>
        <w:tc>
          <w:tcPr>
            <w:tcW w:w="8140" w:type="dxa"/>
            <w:vAlign w:val="bottom"/>
          </w:tcPr>
          <w:p>
            <w:pPr>
              <w:spacing w:after="0"/>
              <w:rPr>
                <w:sz w:val="16"/>
                <w:szCs w:val="16"/>
                <w:color w:val="auto"/>
              </w:rPr>
            </w:pPr>
          </w:p>
        </w:tc>
      </w:tr>
      <w:tr>
        <w:trPr>
          <w:trHeight w:val="197"/>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7"/>
                <w:szCs w:val="17"/>
                <w:color w:val="auto"/>
              </w:rPr>
            </w:pPr>
          </w:p>
        </w:tc>
        <w:tc>
          <w:tcPr>
            <w:tcW w:w="8140" w:type="dxa"/>
            <w:vAlign w:val="bottom"/>
          </w:tcPr>
          <w:p>
            <w:pPr>
              <w:ind w:left="3360"/>
              <w:spacing w:after="0"/>
              <w:rPr>
                <w:sz w:val="20"/>
                <w:szCs w:val="20"/>
                <w:color w:val="auto"/>
              </w:rPr>
            </w:pPr>
            <w:r>
              <w:rPr>
                <w:rFonts w:ascii="Arial" w:cs="Arial" w:eastAsia="Arial" w:hAnsi="Arial"/>
                <w:sz w:val="16"/>
                <w:szCs w:val="16"/>
                <w:b w:val="1"/>
                <w:bCs w:val="1"/>
                <w:color w:val="auto"/>
              </w:rPr>
              <w:t>Exhibit Description</w:t>
            </w:r>
          </w:p>
        </w:tc>
      </w:tr>
      <w:tr>
        <w:trPr>
          <w:trHeight w:val="32"/>
        </w:trPr>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140" w:type="dxa"/>
            <w:vAlign w:val="bottom"/>
            <w:tcBorders>
              <w:bottom w:val="single" w:sz="8" w:color="auto"/>
            </w:tcBorders>
          </w:tcPr>
          <w:p>
            <w:pPr>
              <w:spacing w:after="0"/>
              <w:rPr>
                <w:sz w:val="2"/>
                <w:szCs w:val="2"/>
                <w:color w:val="auto"/>
              </w:rPr>
            </w:pPr>
          </w:p>
        </w:tc>
      </w:tr>
      <w:tr>
        <w:trPr>
          <w:trHeight w:val="265"/>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10.14</w:t>
            </w:r>
          </w:p>
        </w:tc>
        <w:tc>
          <w:tcPr>
            <w:tcW w:w="240" w:type="dxa"/>
            <w:vAlign w:val="bottom"/>
          </w:tcPr>
          <w:p>
            <w:pPr>
              <w:spacing w:after="0"/>
              <w:rPr>
                <w:sz w:val="23"/>
                <w:szCs w:val="23"/>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*Purchase Agreement, dated November 12, 2019, among AbbVie Inc. and Morgan</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Stanley &amp; Co. LLC, BofA Securities, Inc. and Barclays Capital Inc. (acting for themselves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and as representatives of the several initial purchasers named therein) (incorporated by</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reference to Exhibit 1.1 of the company’s Current Report on Form 8-K filed on</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November 13, 2019).</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10.15</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RSU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10.3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2021).**</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10.16</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Non-Qualified Stock Option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10.4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2021).**</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10.17</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*AbbVie Performance Incentive Plan, as amended and restated (incorporated by reference</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to Exhibit 10.3 of the company’s Annual Report on Form 10-K for the fiscal year ended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December 31, 2021).**</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10.18</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*Amendment to the AbbVie Performance Incentive Plan, as amended and restated</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(incorporated by reference to Exhibit 10.1 of the company’s Quarterly Report on Form 10-Q</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 the quarterly period ended September 30, 2023).**</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10.19</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*AbbVie Supplemental Savings Plan, as amended and restated (incorporated by reference</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to Exhibit 10.6 of the company’s Annual Report on Form 10-K for the fiscal year ended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December 31, 2021).**</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10.20</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RSU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10.3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2022).**</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10.21</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Non-Qualified Stock Option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10.4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2022).**</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10.22</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Performance-Vested Restricted Stock Unit Agreement (incorporated</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by reference to Exhibit 10.1 of the company’s Quarterly Report on Form 10-Q for the</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quarterly period ended March 31, 2023).**</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10.23</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Performance Share Award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10.2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2023).**</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10.24</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RSU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10.3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2023).**</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10.25</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Non-Qualified Stock Option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10.4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2023).**</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10.26</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Retention RSU Agreement—Ratable Vesting (incorporated by</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reference to Exhibit 10.5 of the company’s Quarterly Report on Form 10-Q for the quarterly</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period ended March 31, 2023).**</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10.27</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Performance-Vested Restricted Stock Unit Agreement (incorporated</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by reference to Exhibit 10.1 of the company’s Quarterly Report on Form 10-Q for the</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quarterly period ended March 31, 2024).**</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10.28</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Performance Share Award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10.2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2024).**</w:t>
            </w:r>
          </w:p>
        </w:tc>
      </w:tr>
    </w:tbl>
    <w:p>
      <w:pPr>
        <w:spacing w:after="0" w:line="200" w:lineRule="exact"/>
        <w:rPr>
          <w:sz w:val="20"/>
          <w:szCs w:val="20"/>
          <w:color w:val="auto"/>
        </w:rPr>
      </w:pPr>
    </w:p>
    <w:p>
      <w:pPr>
        <w:sectPr>
          <w:pgSz w:w="11880" w:h="15480" w:orient="portrait"/>
          <w:cols w:equalWidth="0" w:num="1">
            <w:col w:w="9080"/>
          </w:cols>
          <w:pgMar w:left="1400" w:top="1021" w:right="140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118  </w:t>
      </w:r>
      <w:r>
        <w:rPr>
          <w:sz w:val="1"/>
          <w:szCs w:val="1"/>
          <w:color w:val="auto"/>
        </w:rPr>
        <w:drawing>
          <wp:inline distT="0" distB="0" distL="0" distR="0">
            <wp:extent cx="615950" cy="12827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6">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080"/>
          </w:cols>
          <w:pgMar w:left="1400" w:top="1021" w:right="1400" w:bottom="75"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84"/>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6"/>
                <w:szCs w:val="16"/>
                <w:color w:val="auto"/>
              </w:rPr>
            </w:pPr>
          </w:p>
        </w:tc>
        <w:tc>
          <w:tcPr>
            <w:tcW w:w="8140" w:type="dxa"/>
            <w:vAlign w:val="bottom"/>
          </w:tcPr>
          <w:p>
            <w:pPr>
              <w:spacing w:after="0"/>
              <w:rPr>
                <w:sz w:val="16"/>
                <w:szCs w:val="16"/>
                <w:color w:val="auto"/>
              </w:rPr>
            </w:pPr>
          </w:p>
        </w:tc>
      </w:tr>
      <w:tr>
        <w:trPr>
          <w:trHeight w:val="197"/>
        </w:trPr>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7"/>
                <w:szCs w:val="17"/>
                <w:color w:val="auto"/>
              </w:rPr>
            </w:pPr>
          </w:p>
        </w:tc>
        <w:tc>
          <w:tcPr>
            <w:tcW w:w="8140" w:type="dxa"/>
            <w:vAlign w:val="bottom"/>
          </w:tcPr>
          <w:p>
            <w:pPr>
              <w:ind w:left="3360"/>
              <w:spacing w:after="0"/>
              <w:rPr>
                <w:sz w:val="20"/>
                <w:szCs w:val="20"/>
                <w:color w:val="auto"/>
              </w:rPr>
            </w:pPr>
            <w:r>
              <w:rPr>
                <w:rFonts w:ascii="Arial" w:cs="Arial" w:eastAsia="Arial" w:hAnsi="Arial"/>
                <w:sz w:val="16"/>
                <w:szCs w:val="16"/>
                <w:b w:val="1"/>
                <w:bCs w:val="1"/>
                <w:color w:val="auto"/>
              </w:rPr>
              <w:t>Exhibit Description</w:t>
            </w:r>
          </w:p>
        </w:tc>
      </w:tr>
      <w:tr>
        <w:trPr>
          <w:trHeight w:val="32"/>
        </w:trPr>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140" w:type="dxa"/>
            <w:vAlign w:val="bottom"/>
            <w:tcBorders>
              <w:bottom w:val="single" w:sz="8" w:color="auto"/>
            </w:tcBorders>
          </w:tcPr>
          <w:p>
            <w:pPr>
              <w:spacing w:after="0"/>
              <w:rPr>
                <w:sz w:val="2"/>
                <w:szCs w:val="2"/>
                <w:color w:val="auto"/>
              </w:rPr>
            </w:pPr>
          </w:p>
        </w:tc>
      </w:tr>
      <w:tr>
        <w:trPr>
          <w:trHeight w:val="265"/>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10.29</w:t>
            </w:r>
          </w:p>
        </w:tc>
        <w:tc>
          <w:tcPr>
            <w:tcW w:w="240" w:type="dxa"/>
            <w:vAlign w:val="bottom"/>
          </w:tcPr>
          <w:p>
            <w:pPr>
              <w:spacing w:after="0"/>
              <w:rPr>
                <w:sz w:val="23"/>
                <w:szCs w:val="23"/>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RSU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10.3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2024).**</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10.30</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Non-Qualified Stock Option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10.4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2024).**</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10.31</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Retention RSU Agreement—Ratable Vesting (incorporated by</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reference to Exhibit 10.5 of the company’s Quarterly Report on Form 10-Q for the quarterly</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period ended March 31, 2024).**</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10.32</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Performance-Vested Restricted Stock Unit Agreement (incorporated</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by reference to Exhibit 10.1 of the company’s Quarterly Report on Form 10-Q for the</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quarterly period ended March 31, 2025).**</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10.33</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Performance Share Award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10.2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2025).**</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10.34</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Non-Employee Director RSU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10.3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2025).**</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10.35</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AbbVie Inc. Non-Qualified Stock Option Agreement (incorporated by reference to</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Exhibit 10.4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March 31, 2025).**</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10.36</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*AbbVie Inc. Non-Employee Directors’ Fee Plan, as amended and restated (incorporated by</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reference to Exhibit 10.5 of the company’s Quarterly Report on Form 10-Q for the quarterly</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period ended March 31, 2025).**</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10.37</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w w:val="99"/>
              </w:rPr>
              <w:t>*AbbVie Deferred Compensation Plan, as amended and restated (incorporated by reference</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to Exhibit 10.1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September 30, 2025).**</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10.38</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*AbbVie Supplemental Pension Plan, as amended and restated (incorporated by reference</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to Exhibit 10.2 of the company’s Quarterly Report on Form 10-Q for the quarterly period</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ended September 30, 2025).**</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9"/>
              </w:rPr>
              <w:t>10.39</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of Agreement Regarding Change in Control by and between AbbVie Inc. and its</w:t>
            </w:r>
          </w:p>
        </w:tc>
      </w:tr>
      <w:tr>
        <w:trPr>
          <w:trHeight w:val="239"/>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officers (incorporated by reference to Exhibit 10.1 to the company’s Current Report on</w:t>
            </w:r>
          </w:p>
        </w:tc>
      </w:tr>
      <w:tr>
        <w:trPr>
          <w:trHeight w:val="248"/>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Arial" w:cs="Arial" w:eastAsia="Arial" w:hAnsi="Arial"/>
                <w:sz w:val="20"/>
                <w:szCs w:val="20"/>
                <w:color w:val="auto"/>
              </w:rPr>
              <w:t>Form 8-K filed on October 14, 2022).**</w:t>
            </w:r>
          </w:p>
        </w:tc>
      </w:tr>
      <w:tr>
        <w:trPr>
          <w:trHeight w:val="299"/>
        </w:trPr>
        <w:tc>
          <w:tcPr>
            <w:tcW w:w="700" w:type="dxa"/>
            <w:vAlign w:val="bottom"/>
          </w:tcPr>
          <w:p>
            <w:pPr>
              <w:jc w:val="center"/>
              <w:spacing w:after="0"/>
              <w:rPr>
                <w:sz w:val="20"/>
                <w:szCs w:val="20"/>
                <w:color w:val="auto"/>
              </w:rPr>
            </w:pPr>
            <w:r>
              <w:rPr>
                <w:rFonts w:ascii="Arial" w:cs="Arial" w:eastAsia="Arial" w:hAnsi="Arial"/>
                <w:sz w:val="20"/>
                <w:szCs w:val="20"/>
                <w:color w:val="auto"/>
                <w:w w:val="98"/>
              </w:rPr>
              <w:t>19</w:t>
            </w: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Insider Trading Policy</w:t>
            </w:r>
          </w:p>
        </w:tc>
      </w:tr>
      <w:tr>
        <w:trPr>
          <w:trHeight w:val="299"/>
        </w:trPr>
        <w:tc>
          <w:tcPr>
            <w:tcW w:w="700" w:type="dxa"/>
            <w:vAlign w:val="bottom"/>
          </w:tcPr>
          <w:p>
            <w:pPr>
              <w:jc w:val="center"/>
              <w:spacing w:after="0"/>
              <w:rPr>
                <w:sz w:val="20"/>
                <w:szCs w:val="20"/>
                <w:color w:val="auto"/>
              </w:rPr>
            </w:pPr>
            <w:r>
              <w:rPr>
                <w:rFonts w:ascii="Arial" w:cs="Arial" w:eastAsia="Arial" w:hAnsi="Arial"/>
                <w:sz w:val="20"/>
                <w:szCs w:val="20"/>
                <w:color w:val="auto"/>
                <w:w w:val="98"/>
              </w:rPr>
              <w:t>21</w:t>
            </w: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Subsidiaries of AbbVie Inc.</w:t>
            </w:r>
          </w:p>
        </w:tc>
      </w:tr>
      <w:tr>
        <w:trPr>
          <w:trHeight w:val="299"/>
        </w:trPr>
        <w:tc>
          <w:tcPr>
            <w:tcW w:w="700" w:type="dxa"/>
            <w:vAlign w:val="bottom"/>
          </w:tcPr>
          <w:p>
            <w:pPr>
              <w:jc w:val="center"/>
              <w:spacing w:after="0"/>
              <w:rPr>
                <w:sz w:val="20"/>
                <w:szCs w:val="20"/>
                <w:color w:val="auto"/>
              </w:rPr>
            </w:pPr>
            <w:r>
              <w:rPr>
                <w:rFonts w:ascii="Arial" w:cs="Arial" w:eastAsia="Arial" w:hAnsi="Arial"/>
                <w:sz w:val="20"/>
                <w:szCs w:val="20"/>
                <w:color w:val="auto"/>
                <w:w w:val="98"/>
              </w:rPr>
              <w:t>23</w:t>
            </w: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Consent of Independent Registered Public Accounting Firm.</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31.1</w:t>
            </w: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Certification of Chief Executive Officer Required by Rule 13a-14(a)</w:t>
            </w:r>
          </w:p>
        </w:tc>
      </w:tr>
      <w:tr>
        <w:trPr>
          <w:trHeight w:val="248"/>
        </w:trPr>
        <w:tc>
          <w:tcPr>
            <w:tcW w:w="700" w:type="dxa"/>
            <w:vAlign w:val="bottom"/>
          </w:tcPr>
          <w:p>
            <w:pPr>
              <w:spacing w:after="0"/>
              <w:rPr>
                <w:sz w:val="21"/>
                <w:szCs w:val="21"/>
                <w:color w:val="auto"/>
              </w:rPr>
            </w:pP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(17 CFR 240.13a-14(a)).</w:t>
            </w:r>
          </w:p>
        </w:tc>
      </w:tr>
      <w:tr>
        <w:trPr>
          <w:trHeight w:val="299"/>
        </w:trPr>
        <w:tc>
          <w:tcPr>
            <w:tcW w:w="700" w:type="dxa"/>
            <w:vAlign w:val="bottom"/>
          </w:tcPr>
          <w:p>
            <w:pPr>
              <w:jc w:val="center"/>
              <w:spacing w:after="0"/>
              <w:rPr>
                <w:sz w:val="20"/>
                <w:szCs w:val="20"/>
                <w:color w:val="auto"/>
              </w:rPr>
            </w:pPr>
            <w:r>
              <w:rPr>
                <w:rFonts w:ascii="Arial" w:cs="Arial" w:eastAsia="Arial" w:hAnsi="Arial"/>
                <w:sz w:val="20"/>
                <w:szCs w:val="20"/>
                <w:color w:val="auto"/>
                <w:w w:val="97"/>
              </w:rPr>
              <w:t>31.2</w:t>
            </w: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Certification of Chief Financial Officer Required by Rule 13a-14(a) (17 CFR 240.13a-14(a)).</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32.1</w:t>
            </w: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Certification of Chief Executive Officer Pursuant to 18 U.S.C. Section 1350, as adopted</w:t>
            </w:r>
          </w:p>
        </w:tc>
      </w:tr>
      <w:tr>
        <w:trPr>
          <w:trHeight w:val="248"/>
        </w:trPr>
        <w:tc>
          <w:tcPr>
            <w:tcW w:w="700" w:type="dxa"/>
            <w:vAlign w:val="bottom"/>
          </w:tcPr>
          <w:p>
            <w:pPr>
              <w:spacing w:after="0"/>
              <w:rPr>
                <w:sz w:val="21"/>
                <w:szCs w:val="21"/>
                <w:color w:val="auto"/>
              </w:rPr>
            </w:pP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pursuant to Section 906 of the Sarbanes-Oxley Act of 2002.</w:t>
            </w:r>
          </w:p>
        </w:tc>
      </w:tr>
      <w:tr>
        <w:trPr>
          <w:trHeight w:val="291"/>
        </w:trPr>
        <w:tc>
          <w:tcPr>
            <w:tcW w:w="700" w:type="dxa"/>
            <w:vAlign w:val="bottom"/>
          </w:tcPr>
          <w:p>
            <w:pPr>
              <w:jc w:val="center"/>
              <w:spacing w:after="0"/>
              <w:rPr>
                <w:sz w:val="20"/>
                <w:szCs w:val="20"/>
                <w:color w:val="auto"/>
              </w:rPr>
            </w:pPr>
            <w:r>
              <w:rPr>
                <w:rFonts w:ascii="Arial" w:cs="Arial" w:eastAsia="Arial" w:hAnsi="Arial"/>
                <w:sz w:val="20"/>
                <w:szCs w:val="20"/>
                <w:color w:val="auto"/>
                <w:w w:val="97"/>
              </w:rPr>
              <w:t>32.2</w:t>
            </w: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Certification of Chief Financial Officer Pursuant to 18 U.S.C. Section 1350, as adopted</w:t>
            </w:r>
          </w:p>
        </w:tc>
      </w:tr>
      <w:tr>
        <w:trPr>
          <w:trHeight w:val="248"/>
        </w:trPr>
        <w:tc>
          <w:tcPr>
            <w:tcW w:w="700" w:type="dxa"/>
            <w:vAlign w:val="bottom"/>
          </w:tcPr>
          <w:p>
            <w:pPr>
              <w:spacing w:after="0"/>
              <w:rPr>
                <w:sz w:val="21"/>
                <w:szCs w:val="21"/>
                <w:color w:val="auto"/>
              </w:rPr>
            </w:pPr>
          </w:p>
        </w:tc>
        <w:tc>
          <w:tcPr>
            <w:tcW w:w="8380" w:type="dxa"/>
            <w:vAlign w:val="bottom"/>
            <w:gridSpan w:val="2"/>
          </w:tcPr>
          <w:p>
            <w:pPr>
              <w:ind w:left="240"/>
              <w:spacing w:after="0"/>
              <w:rPr>
                <w:sz w:val="20"/>
                <w:szCs w:val="20"/>
                <w:color w:val="auto"/>
              </w:rPr>
            </w:pPr>
            <w:r>
              <w:rPr>
                <w:rFonts w:ascii="Arial" w:cs="Arial" w:eastAsia="Arial" w:hAnsi="Arial"/>
                <w:sz w:val="20"/>
                <w:szCs w:val="20"/>
                <w:color w:val="auto"/>
              </w:rPr>
              <w:t>pursuant to Section 906 of the Sarbanes-Oxley Act of 2002.</w:t>
            </w:r>
          </w:p>
        </w:tc>
      </w:tr>
    </w:tbl>
    <w:p>
      <w:pPr>
        <w:spacing w:after="0" w:line="51" w:lineRule="exact"/>
        <w:rPr>
          <w:sz w:val="20"/>
          <w:szCs w:val="20"/>
          <w:color w:val="auto"/>
        </w:rPr>
      </w:pPr>
    </w:p>
    <w:p>
      <w:pPr>
        <w:ind w:left="940" w:right="800" w:hanging="702"/>
        <w:spacing w:after="0" w:line="259" w:lineRule="auto"/>
        <w:tabs>
          <w:tab w:leader="none" w:pos="9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*AbbVie Inc. Amended and Restated Clawback Policy (incorporated by reference to Exhibit 97 of the company’s Annual Report on Form 10-K for the fiscal year ended December 31, 2023).**</w:t>
      </w:r>
    </w:p>
    <w:p>
      <w:pPr>
        <w:sectPr>
          <w:pgSz w:w="11880" w:h="15480" w:orient="portrait"/>
          <w:cols w:equalWidth="0" w:num="1">
            <w:col w:w="9100"/>
          </w:cols>
          <w:pgMar w:left="1400" w:top="1021" w:right="1380" w:bottom="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7">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119</w:t>
      </w:r>
    </w:p>
    <w:p>
      <w:pPr>
        <w:sectPr>
          <w:pgSz w:w="11880" w:h="15480" w:orient="portrait"/>
          <w:cols w:equalWidth="0" w:num="1">
            <w:col w:w="9100"/>
          </w:cols>
          <w:pgMar w:left="1400" w:top="1021" w:right="1380" w:bottom="87" w:gutter="0" w:footer="0" w:header="0"/>
          <w:type w:val="continuous"/>
        </w:sectPr>
      </w:pPr>
    </w:p>
    <w:bookmarkStart w:id="125" w:name="page126"/>
    <w:bookmarkEnd w:id="125"/>
    <w:p>
      <w:pPr>
        <w:ind w:left="90"/>
        <w:spacing w:after="0"/>
        <w:rPr>
          <w:sz w:val="20"/>
          <w:szCs w:val="20"/>
          <w:color w:val="auto"/>
        </w:rPr>
      </w:pPr>
      <w:r>
        <w:rPr>
          <w:rFonts w:ascii="Arial" w:cs="Arial" w:eastAsia="Arial" w:hAnsi="Arial"/>
          <w:sz w:val="16"/>
          <w:szCs w:val="16"/>
          <w:b w:val="1"/>
          <w:bCs w:val="1"/>
          <w:color w:val="auto"/>
        </w:rPr>
        <w:t>Exhibit</w:t>
      </w:r>
    </w:p>
    <w:p>
      <w:pPr>
        <w:spacing w:after="0" w:line="8" w:lineRule="exact"/>
        <w:rPr>
          <w:sz w:val="20"/>
          <w:szCs w:val="20"/>
          <w:color w:val="auto"/>
        </w:rPr>
      </w:pPr>
    </w:p>
    <w:p>
      <w:pPr>
        <w:ind w:left="50"/>
        <w:spacing w:after="0"/>
        <w:tabs>
          <w:tab w:leader="none" w:pos="4289"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22860</wp:posOffset>
                </wp:positionV>
                <wp:extent cx="45593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93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pt" to="35.9pt,1.8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607695</wp:posOffset>
                </wp:positionH>
                <wp:positionV relativeFrom="paragraph">
                  <wp:posOffset>22860</wp:posOffset>
                </wp:positionV>
                <wp:extent cx="517017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017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5pt,1.8pt" to="454.95pt,1.8pt" o:allowincell="f" strokecolor="#000000" strokeweight="0.499pt"/>
            </w:pict>
          </mc:Fallback>
        </mc:AlternateContent>
      </w:r>
    </w:p>
    <w:p>
      <w:pPr>
        <w:spacing w:after="0" w:line="57" w:lineRule="exact"/>
        <w:rPr>
          <w:sz w:val="20"/>
          <w:szCs w:val="20"/>
          <w:color w:val="auto"/>
        </w:rPr>
      </w:pPr>
    </w:p>
    <w:p>
      <w:pPr>
        <w:ind w:left="950" w:hanging="757"/>
        <w:spacing w:after="0"/>
        <w:tabs>
          <w:tab w:leader="none" w:pos="95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following financial statements and notes from the AbbVie Inc. Annual Report on</w:t>
      </w:r>
    </w:p>
    <w:p>
      <w:pPr>
        <w:spacing w:after="0" w:line="18" w:lineRule="exact"/>
        <w:rPr>
          <w:rFonts w:ascii="Arial" w:cs="Arial" w:eastAsia="Arial" w:hAnsi="Arial"/>
          <w:sz w:val="20"/>
          <w:szCs w:val="20"/>
          <w:color w:val="auto"/>
        </w:rPr>
      </w:pPr>
    </w:p>
    <w:p>
      <w:pPr>
        <w:ind w:left="950" w:right="180"/>
        <w:spacing w:after="0" w:line="252" w:lineRule="auto"/>
        <w:rPr>
          <w:rFonts w:ascii="Arial" w:cs="Arial" w:eastAsia="Arial" w:hAnsi="Arial"/>
          <w:sz w:val="20"/>
          <w:szCs w:val="20"/>
          <w:color w:val="auto"/>
        </w:rPr>
      </w:pPr>
      <w:r>
        <w:rPr>
          <w:rFonts w:ascii="Arial" w:cs="Arial" w:eastAsia="Arial" w:hAnsi="Arial"/>
          <w:sz w:val="20"/>
          <w:szCs w:val="20"/>
          <w:color w:val="auto"/>
        </w:rPr>
        <w:t>Form 10-K for the year ended December 31, 2025 filed on February 20, 2026, formatted in Inline XBRL (eXtensible Business Reporting Language): (i) Consolidated Statements of Earnings; (ii) Consolidated Statements of Comprehensive Income; (iii) Consolidated Balance Sheets; (iv) Consolidated Statements of Equity (Deficit); (v) Consolidated Statements of Cash Flows; and (vi) the Notes to Consolidated Financial Statements.</w:t>
      </w:r>
    </w:p>
    <w:p>
      <w:pPr>
        <w:spacing w:after="0" w:line="41" w:lineRule="exact"/>
        <w:rPr>
          <w:sz w:val="20"/>
          <w:szCs w:val="20"/>
          <w:color w:val="auto"/>
        </w:rPr>
      </w:pPr>
    </w:p>
    <w:p>
      <w:pPr>
        <w:ind w:left="950" w:right="60" w:hanging="757"/>
        <w:spacing w:after="0" w:line="256" w:lineRule="auto"/>
        <w:tabs>
          <w:tab w:leader="none" w:pos="950" w:val="left"/>
        </w:tabs>
        <w:numPr>
          <w:ilvl w:val="1"/>
          <w:numId w:val="45"/>
        </w:numPr>
        <w:rPr>
          <w:rFonts w:ascii="Arial" w:cs="Arial" w:eastAsia="Arial" w:hAnsi="Arial"/>
          <w:sz w:val="20"/>
          <w:szCs w:val="20"/>
          <w:color w:val="auto"/>
        </w:rPr>
      </w:pPr>
      <w:r>
        <w:rPr>
          <w:rFonts w:ascii="Arial" w:cs="Arial" w:eastAsia="Arial" w:hAnsi="Arial"/>
          <w:sz w:val="20"/>
          <w:szCs w:val="20"/>
          <w:color w:val="auto"/>
        </w:rPr>
        <w:t>Cover Page Interactive Data File (the cover page from the AbbVie Inc. Annual Report on Form 10-K formatted as Inline XBRL and contained in Exhibit 101). The AbbVie Inc. 2026 Definitive Proxy Statement will be filed with the Securities and Exchange Commission under separate cover on or about March 23, 2026.</w:t>
      </w:r>
    </w:p>
    <w:p>
      <w:pPr>
        <w:spacing w:after="0" w:line="275" w:lineRule="exact"/>
        <w:rPr>
          <w:rFonts w:ascii="Arial" w:cs="Arial" w:eastAsia="Arial" w:hAnsi="Arial"/>
          <w:sz w:val="20"/>
          <w:szCs w:val="20"/>
          <w:color w:val="auto"/>
        </w:rPr>
      </w:pPr>
    </w:p>
    <w:p>
      <w:pPr>
        <w:ind w:left="10"/>
        <w:spacing w:after="0"/>
        <w:rPr>
          <w:rFonts w:ascii="Arial" w:cs="Arial" w:eastAsia="Arial" w:hAnsi="Arial"/>
          <w:sz w:val="20"/>
          <w:szCs w:val="20"/>
          <w:color w:val="auto"/>
        </w:rPr>
      </w:pPr>
      <w:r>
        <w:rPr>
          <w:rFonts w:ascii="Arial" w:cs="Arial" w:eastAsia="Arial" w:hAnsi="Arial"/>
          <w:sz w:val="20"/>
          <w:szCs w:val="20"/>
          <w:color w:val="auto"/>
        </w:rPr>
        <w:t>*   Incorporated herein by reference. Commission file number 001-35565.</w:t>
      </w:r>
    </w:p>
    <w:p>
      <w:pPr>
        <w:spacing w:after="0" w:line="149" w:lineRule="exact"/>
        <w:rPr>
          <w:rFonts w:ascii="Arial" w:cs="Arial" w:eastAsia="Arial" w:hAnsi="Arial"/>
          <w:sz w:val="20"/>
          <w:szCs w:val="20"/>
          <w:color w:val="auto"/>
        </w:rPr>
      </w:pPr>
    </w:p>
    <w:p>
      <w:pPr>
        <w:ind w:left="350" w:right="360" w:hanging="350"/>
        <w:spacing w:after="0" w:line="269" w:lineRule="auto"/>
        <w:tabs>
          <w:tab w:leader="none" w:pos="350" w:val="left"/>
        </w:tabs>
        <w:numPr>
          <w:ilvl w:val="0"/>
          <w:numId w:val="46"/>
        </w:numPr>
        <w:rPr>
          <w:rFonts w:ascii="Arial" w:cs="Arial" w:eastAsia="Arial" w:hAnsi="Arial"/>
          <w:sz w:val="20"/>
          <w:szCs w:val="20"/>
          <w:color w:val="auto"/>
        </w:rPr>
      </w:pPr>
      <w:r>
        <w:rPr>
          <w:rFonts w:ascii="Arial" w:cs="Arial" w:eastAsia="Arial" w:hAnsi="Arial"/>
          <w:sz w:val="20"/>
          <w:szCs w:val="20"/>
          <w:color w:val="auto"/>
        </w:rPr>
        <w:t>Denotes management contract or compensatory plan or arrangement required to be filed as an exhibit hereto.</w:t>
      </w:r>
    </w:p>
    <w:p>
      <w:pPr>
        <w:spacing w:after="0" w:line="103" w:lineRule="exact"/>
        <w:rPr>
          <w:rFonts w:ascii="Arial" w:cs="Arial" w:eastAsia="Arial" w:hAnsi="Arial"/>
          <w:sz w:val="20"/>
          <w:szCs w:val="20"/>
          <w:color w:val="auto"/>
        </w:rPr>
      </w:pPr>
    </w:p>
    <w:p>
      <w:pPr>
        <w:ind w:left="350"/>
        <w:spacing w:after="0"/>
        <w:rPr>
          <w:rFonts w:ascii="Arial" w:cs="Arial" w:eastAsia="Arial" w:hAnsi="Arial"/>
          <w:sz w:val="20"/>
          <w:szCs w:val="20"/>
          <w:color w:val="auto"/>
        </w:rPr>
      </w:pPr>
      <w:r>
        <w:rPr>
          <w:rFonts w:ascii="Arial" w:cs="Arial" w:eastAsia="Arial" w:hAnsi="Arial"/>
          <w:sz w:val="19"/>
          <w:szCs w:val="19"/>
          <w:color w:val="auto"/>
        </w:rPr>
        <w:t>Exhibits 32.1 and 32.2, above, are furnished herewith and should not be deemed to be “filed” under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-803910</wp:posOffset>
                </wp:positionV>
                <wp:extent cx="152019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019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2999pt" to="119.7pt,-63.2999pt" o:allowincell="f" strokecolor="#000000" strokeweight="0.499pt"/>
            </w:pict>
          </mc:Fallback>
        </mc:AlternateContent>
      </w:r>
    </w:p>
    <w:p>
      <w:pPr>
        <w:spacing w:after="0" w:line="10" w:lineRule="exact"/>
        <w:rPr>
          <w:sz w:val="20"/>
          <w:szCs w:val="20"/>
          <w:color w:val="auto"/>
        </w:rPr>
      </w:pPr>
    </w:p>
    <w:p>
      <w:pPr>
        <w:ind w:left="10"/>
        <w:spacing w:after="0" w:line="254" w:lineRule="auto"/>
        <w:rPr>
          <w:sz w:val="20"/>
          <w:szCs w:val="20"/>
          <w:color w:val="auto"/>
        </w:rPr>
      </w:pPr>
      <w:r>
        <w:rPr>
          <w:rFonts w:ascii="Arial" w:cs="Arial" w:eastAsia="Arial" w:hAnsi="Arial"/>
          <w:sz w:val="20"/>
          <w:szCs w:val="20"/>
          <w:color w:val="auto"/>
        </w:rPr>
        <w:t>the Securities Exchange Act of 1934. AbbVie will furnish copies of any of the above exhibits to a stockholder upon written request to the Secretary, AbbVie Inc., 1 North Waukegan Road, North Chicago, Illinois 60064.</w:t>
      </w:r>
    </w:p>
    <w:p>
      <w:pPr>
        <w:spacing w:after="0" w:line="15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000039"/>
        </w:rPr>
        <w:t>ITEM 16. FORM 10-K SUMMARY</w:t>
      </w:r>
    </w:p>
    <w:p>
      <w:pPr>
        <w:ind w:left="10"/>
        <w:spacing w:after="0"/>
        <w:rPr>
          <w:sz w:val="20"/>
          <w:szCs w:val="20"/>
          <w:color w:val="auto"/>
        </w:rPr>
      </w:pPr>
      <w:r>
        <w:rPr>
          <w:rFonts w:ascii="Times New Roman" w:cs="Times New Roman" w:eastAsia="Times New Roman" w:hAnsi="Times New Roman"/>
          <w:sz w:val="16"/>
          <w:szCs w:val="16"/>
          <w:color w:val="000039"/>
        </w:rPr>
        <w:t>...................................................................................................................................................................................................................................</w:t>
      </w:r>
    </w:p>
    <w:p>
      <w:pPr>
        <w:spacing w:after="0" w:line="129" w:lineRule="exact"/>
        <w:rPr>
          <w:sz w:val="20"/>
          <w:szCs w:val="20"/>
          <w:color w:val="auto"/>
        </w:rPr>
      </w:pPr>
    </w:p>
    <w:p>
      <w:pPr>
        <w:ind w:left="35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110"/>
          </w:cols>
          <w:pgMar w:left="1390" w:top="1025" w:right="138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120  </w:t>
      </w:r>
      <w:r>
        <w:rPr>
          <w:sz w:val="1"/>
          <w:szCs w:val="1"/>
          <w:color w:val="auto"/>
        </w:rPr>
        <w:drawing>
          <wp:inline distT="0" distB="0" distL="0" distR="0">
            <wp:extent cx="615950" cy="12827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8">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24"/>
          <w:szCs w:val="24"/>
          <w:color w:val="000039"/>
        </w:rPr>
        <w:t xml:space="preserve"> | </w:t>
      </w:r>
      <w:r>
        <w:rPr>
          <w:rFonts w:ascii="Arial" w:cs="Arial" w:eastAsia="Arial" w:hAnsi="Arial"/>
          <w:sz w:val="17"/>
          <w:szCs w:val="17"/>
          <w:i w:val="1"/>
          <w:iCs w:val="1"/>
          <w:color w:val="000000"/>
        </w:rPr>
        <w:t>2025 Form 10-K</w:t>
      </w:r>
    </w:p>
    <w:p>
      <w:pPr>
        <w:sectPr>
          <w:pgSz w:w="11880" w:h="15480" w:orient="portrait"/>
          <w:cols w:equalWidth="0" w:num="1">
            <w:col w:w="9110"/>
          </w:cols>
          <w:pgMar w:left="1390" w:top="1025" w:right="1380" w:bottom="75"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23"/>
          <w:szCs w:val="23"/>
          <w:b w:val="1"/>
          <w:bCs w:val="1"/>
          <w:color w:val="000039"/>
        </w:rPr>
        <w:t>SIGNATURES</w:t>
      </w:r>
    </w:p>
    <w:p>
      <w:pPr>
        <w:spacing w:after="0" w:line="135" w:lineRule="exact"/>
        <w:rPr>
          <w:sz w:val="20"/>
          <w:szCs w:val="20"/>
          <w:color w:val="auto"/>
        </w:rPr>
      </w:pPr>
    </w:p>
    <w:p>
      <w:pPr>
        <w:ind w:right="220" w:firstLine="359"/>
        <w:spacing w:after="0" w:line="259" w:lineRule="auto"/>
        <w:rPr>
          <w:sz w:val="20"/>
          <w:szCs w:val="20"/>
          <w:color w:val="auto"/>
        </w:rPr>
      </w:pPr>
      <w:r>
        <w:rPr>
          <w:rFonts w:ascii="Arial" w:cs="Arial" w:eastAsia="Arial" w:hAnsi="Arial"/>
          <w:sz w:val="20"/>
          <w:szCs w:val="20"/>
          <w:color w:val="auto"/>
        </w:rPr>
        <w:t>Pursuant to the requirements of Section 13 or 15(d) of the Securities Exchange Act of 1934, AbbVie Inc. has duly caused this report to be signed on its behalf by the undersigned, thereunto duly authorized.</w:t>
      </w:r>
    </w:p>
    <w:p>
      <w:pPr>
        <w:spacing w:after="0" w:line="353"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AbbVie Inc.</w:t>
      </w:r>
    </w:p>
    <w:p>
      <w:pPr>
        <w:spacing w:after="0" w:line="309"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/s/ R</w:t>
      </w:r>
      <w:r>
        <w:rPr>
          <w:rFonts w:ascii="Arial" w:cs="Arial" w:eastAsia="Arial" w:hAnsi="Arial"/>
          <w:sz w:val="13"/>
          <w:szCs w:val="13"/>
          <w:color w:val="auto"/>
        </w:rPr>
        <w:t>OBERT</w:t>
      </w:r>
      <w:r>
        <w:rPr>
          <w:rFonts w:ascii="Arial" w:cs="Arial" w:eastAsia="Arial" w:hAnsi="Arial"/>
          <w:sz w:val="20"/>
          <w:szCs w:val="20"/>
          <w:color w:val="auto"/>
        </w:rPr>
        <w:t xml:space="preserve"> A. M</w:t>
      </w:r>
      <w:r>
        <w:rPr>
          <w:rFonts w:ascii="Arial" w:cs="Arial" w:eastAsia="Arial" w:hAnsi="Arial"/>
          <w:sz w:val="13"/>
          <w:szCs w:val="13"/>
          <w:color w:val="auto"/>
        </w:rPr>
        <w:t>ICHAEL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3211830</wp:posOffset>
                </wp:positionH>
                <wp:positionV relativeFrom="paragraph">
                  <wp:posOffset>24765</wp:posOffset>
                </wp:positionV>
                <wp:extent cx="256032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032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9pt,1.95pt" to="454.5pt,1.95pt" o:allowincell="f" strokecolor="#000000" strokeweight="0.499pt"/>
            </w:pict>
          </mc:Fallback>
        </mc:AlternateContent>
      </w:r>
    </w:p>
    <w:p>
      <w:pPr>
        <w:spacing w:after="0" w:line="2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 Robert A. Michael</w:t>
      </w:r>
    </w:p>
    <w:p>
      <w:pPr>
        <w:spacing w:after="0" w:line="18" w:lineRule="exact"/>
        <w:rPr>
          <w:sz w:val="20"/>
          <w:szCs w:val="20"/>
          <w:color w:val="auto"/>
        </w:rPr>
      </w:pPr>
    </w:p>
    <w:p>
      <w:pPr>
        <w:ind w:left="5060"/>
        <w:spacing w:after="0"/>
        <w:tabs>
          <w:tab w:leader="none" w:pos="5740" w:val="left"/>
        </w:tabs>
        <w:rPr>
          <w:sz w:val="20"/>
          <w:szCs w:val="20"/>
          <w:color w:val="auto"/>
        </w:rPr>
      </w:pPr>
      <w:r>
        <w:rPr>
          <w:rFonts w:ascii="Arial" w:cs="Arial" w:eastAsia="Arial" w:hAnsi="Arial"/>
          <w:sz w:val="20"/>
          <w:szCs w:val="20"/>
          <w:color w:val="auto"/>
        </w:rPr>
        <w:t>Title:</w:t>
        <w:tab/>
        <w:t>Chairman of the Board and</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Chief Executive Officer</w:t>
      </w:r>
    </w:p>
    <w:p>
      <w:pPr>
        <w:spacing w:after="0" w:line="160"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Date: February 20, 2026</w:t>
      </w:r>
    </w:p>
    <w:p>
      <w:pPr>
        <w:spacing w:after="0" w:line="209" w:lineRule="exact"/>
        <w:rPr>
          <w:sz w:val="20"/>
          <w:szCs w:val="20"/>
          <w:color w:val="auto"/>
        </w:rPr>
      </w:pPr>
    </w:p>
    <w:p>
      <w:pPr>
        <w:ind w:firstLine="359"/>
        <w:spacing w:after="0" w:line="259"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AbbVie Inc. on February 20, 2026 in the capacities indicated below.</w:t>
      </w:r>
    </w:p>
    <w:p>
      <w:pPr>
        <w:sectPr>
          <w:pgSz w:w="11880" w:h="15480" w:orient="portrait"/>
          <w:cols w:equalWidth="0" w:num="1">
            <w:col w:w="9100"/>
          </w:cols>
          <w:pgMar w:left="1400" w:top="1019" w:right="1380" w:bottom="87"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 R</w:t>
      </w:r>
      <w:r>
        <w:rPr>
          <w:rFonts w:ascii="Arial" w:cs="Arial" w:eastAsia="Arial" w:hAnsi="Arial"/>
          <w:sz w:val="13"/>
          <w:szCs w:val="13"/>
          <w:color w:val="auto"/>
        </w:rPr>
        <w:t>OBERT</w:t>
      </w:r>
      <w:r>
        <w:rPr>
          <w:rFonts w:ascii="Arial" w:cs="Arial" w:eastAsia="Arial" w:hAnsi="Arial"/>
          <w:sz w:val="20"/>
          <w:szCs w:val="20"/>
          <w:color w:val="auto"/>
        </w:rPr>
        <w:t xml:space="preserve"> A. M</w:t>
      </w:r>
      <w:r>
        <w:rPr>
          <w:rFonts w:ascii="Arial" w:cs="Arial" w:eastAsia="Arial" w:hAnsi="Arial"/>
          <w:sz w:val="13"/>
          <w:szCs w:val="13"/>
          <w:color w:val="auto"/>
        </w:rPr>
        <w:t>ICHAEL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281241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221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Robert A. Michael</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Chairman of the Board and Chief Executive</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Officer</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(Principal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D</w:t>
      </w:r>
      <w:r>
        <w:rPr>
          <w:rFonts w:ascii="Arial" w:cs="Arial" w:eastAsia="Arial" w:hAnsi="Arial"/>
          <w:sz w:val="13"/>
          <w:szCs w:val="13"/>
          <w:color w:val="auto"/>
        </w:rPr>
        <w:t>AVID</w:t>
      </w:r>
      <w:r>
        <w:rPr>
          <w:rFonts w:ascii="Arial" w:cs="Arial" w:eastAsia="Arial" w:hAnsi="Arial"/>
          <w:sz w:val="20"/>
          <w:szCs w:val="20"/>
          <w:color w:val="auto"/>
        </w:rPr>
        <w:t xml:space="preserve"> R. P</w:t>
      </w:r>
      <w:r>
        <w:rPr>
          <w:rFonts w:ascii="Arial" w:cs="Arial" w:eastAsia="Arial" w:hAnsi="Arial"/>
          <w:sz w:val="13"/>
          <w:szCs w:val="13"/>
          <w:color w:val="auto"/>
        </w:rPr>
        <w:t>URDUE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281241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221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David R. Purdue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Controller</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(Principal Accounting Officer)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R</w:t>
      </w:r>
      <w:r>
        <w:rPr>
          <w:rFonts w:ascii="Arial" w:cs="Arial" w:eastAsia="Arial" w:hAnsi="Arial"/>
          <w:sz w:val="13"/>
          <w:szCs w:val="13"/>
          <w:color w:val="auto"/>
        </w:rPr>
        <w:t>OXANNE</w:t>
      </w:r>
      <w:r>
        <w:rPr>
          <w:rFonts w:ascii="Arial" w:cs="Arial" w:eastAsia="Arial" w:hAnsi="Arial"/>
          <w:sz w:val="20"/>
          <w:szCs w:val="20"/>
          <w:color w:val="auto"/>
        </w:rPr>
        <w:t xml:space="preserve"> S. A</w:t>
      </w:r>
      <w:r>
        <w:rPr>
          <w:rFonts w:ascii="Arial" w:cs="Arial" w:eastAsia="Arial" w:hAnsi="Arial"/>
          <w:sz w:val="13"/>
          <w:szCs w:val="13"/>
          <w:color w:val="auto"/>
        </w:rPr>
        <w:t>USTIN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281241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221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Roxanne S. Austin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J</w:t>
      </w:r>
      <w:r>
        <w:rPr>
          <w:rFonts w:ascii="Arial" w:cs="Arial" w:eastAsia="Arial" w:hAnsi="Arial"/>
          <w:sz w:val="13"/>
          <w:szCs w:val="13"/>
          <w:color w:val="auto"/>
        </w:rPr>
        <w:t>ENNIFER</w:t>
      </w:r>
      <w:r>
        <w:rPr>
          <w:rFonts w:ascii="Arial" w:cs="Arial" w:eastAsia="Arial" w:hAnsi="Arial"/>
          <w:sz w:val="20"/>
          <w:szCs w:val="20"/>
          <w:color w:val="auto"/>
        </w:rPr>
        <w:t xml:space="preserve"> L. D</w:t>
      </w:r>
      <w:r>
        <w:rPr>
          <w:rFonts w:ascii="Arial" w:cs="Arial" w:eastAsia="Arial" w:hAnsi="Arial"/>
          <w:sz w:val="13"/>
          <w:szCs w:val="13"/>
          <w:color w:val="auto"/>
        </w:rPr>
        <w:t>AVIS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281241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221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Jennifer L. Davis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T</w:t>
      </w:r>
      <w:r>
        <w:rPr>
          <w:rFonts w:ascii="Arial" w:cs="Arial" w:eastAsia="Arial" w:hAnsi="Arial"/>
          <w:sz w:val="13"/>
          <w:szCs w:val="13"/>
          <w:color w:val="auto"/>
        </w:rPr>
        <w:t>HOMAS</w:t>
      </w:r>
      <w:r>
        <w:rPr>
          <w:rFonts w:ascii="Arial" w:cs="Arial" w:eastAsia="Arial" w:hAnsi="Arial"/>
          <w:sz w:val="20"/>
          <w:szCs w:val="20"/>
          <w:color w:val="auto"/>
        </w:rPr>
        <w:t xml:space="preserve"> C. F</w:t>
      </w:r>
      <w:r>
        <w:rPr>
          <w:rFonts w:ascii="Arial" w:cs="Arial" w:eastAsia="Arial" w:hAnsi="Arial"/>
          <w:sz w:val="13"/>
          <w:szCs w:val="13"/>
          <w:color w:val="auto"/>
        </w:rPr>
        <w:t>REYMAN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281241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221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Thomas C. Freyman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M</w:t>
      </w:r>
      <w:r>
        <w:rPr>
          <w:rFonts w:ascii="Arial" w:cs="Arial" w:eastAsia="Arial" w:hAnsi="Arial"/>
          <w:sz w:val="13"/>
          <w:szCs w:val="13"/>
          <w:color w:val="auto"/>
        </w:rPr>
        <w:t>ELODY</w:t>
      </w:r>
      <w:r>
        <w:rPr>
          <w:rFonts w:ascii="Arial" w:cs="Arial" w:eastAsia="Arial" w:hAnsi="Arial"/>
          <w:sz w:val="20"/>
          <w:szCs w:val="20"/>
          <w:color w:val="auto"/>
        </w:rPr>
        <w:t xml:space="preserve"> B. M</w:t>
      </w:r>
      <w:r>
        <w:rPr>
          <w:rFonts w:ascii="Arial" w:cs="Arial" w:eastAsia="Arial" w:hAnsi="Arial"/>
          <w:sz w:val="13"/>
          <w:szCs w:val="13"/>
          <w:color w:val="auto"/>
        </w:rPr>
        <w:t>EYER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281241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221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Melody B. Meyer</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E</w:t>
      </w:r>
      <w:r>
        <w:rPr>
          <w:rFonts w:ascii="Arial" w:cs="Arial" w:eastAsia="Arial" w:hAnsi="Arial"/>
          <w:sz w:val="13"/>
          <w:szCs w:val="13"/>
          <w:color w:val="auto"/>
        </w:rPr>
        <w:t>DWARD</w:t>
      </w:r>
      <w:r>
        <w:rPr>
          <w:rFonts w:ascii="Arial" w:cs="Arial" w:eastAsia="Arial" w:hAnsi="Arial"/>
          <w:sz w:val="20"/>
          <w:szCs w:val="20"/>
          <w:color w:val="auto"/>
        </w:rPr>
        <w:t xml:space="preserve"> J. R</w:t>
      </w:r>
      <w:r>
        <w:rPr>
          <w:rFonts w:ascii="Arial" w:cs="Arial" w:eastAsia="Arial" w:hAnsi="Arial"/>
          <w:sz w:val="13"/>
          <w:szCs w:val="13"/>
          <w:color w:val="auto"/>
        </w:rPr>
        <w:t>APP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281241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221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Edward J. Rapp</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F</w:t>
      </w:r>
      <w:r>
        <w:rPr>
          <w:rFonts w:ascii="Arial" w:cs="Arial" w:eastAsia="Arial" w:hAnsi="Arial"/>
          <w:sz w:val="13"/>
          <w:szCs w:val="13"/>
          <w:color w:val="auto"/>
        </w:rPr>
        <w:t>REDERICK</w:t>
      </w:r>
      <w:r>
        <w:rPr>
          <w:rFonts w:ascii="Arial" w:cs="Arial" w:eastAsia="Arial" w:hAnsi="Arial"/>
          <w:sz w:val="20"/>
          <w:szCs w:val="20"/>
          <w:color w:val="auto"/>
        </w:rPr>
        <w:t xml:space="preserve"> H. W</w:t>
      </w:r>
      <w:r>
        <w:rPr>
          <w:rFonts w:ascii="Arial" w:cs="Arial" w:eastAsia="Arial" w:hAnsi="Arial"/>
          <w:sz w:val="13"/>
          <w:szCs w:val="13"/>
          <w:color w:val="auto"/>
        </w:rPr>
        <w:t>ADDELL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281241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221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Frederick H. Waddell</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S</w:t>
      </w:r>
      <w:r>
        <w:rPr>
          <w:rFonts w:ascii="Arial" w:cs="Arial" w:eastAsia="Arial" w:hAnsi="Arial"/>
          <w:sz w:val="13"/>
          <w:szCs w:val="13"/>
          <w:color w:val="auto"/>
        </w:rPr>
        <w:t>COTT</w:t>
      </w:r>
      <w:r>
        <w:rPr>
          <w:rFonts w:ascii="Arial" w:cs="Arial" w:eastAsia="Arial" w:hAnsi="Arial"/>
          <w:sz w:val="20"/>
          <w:szCs w:val="20"/>
          <w:color w:val="auto"/>
        </w:rPr>
        <w:t xml:space="preserve"> T. R</w:t>
      </w:r>
      <w:r>
        <w:rPr>
          <w:rFonts w:ascii="Arial" w:cs="Arial" w:eastAsia="Arial" w:hAnsi="Arial"/>
          <w:sz w:val="13"/>
          <w:szCs w:val="13"/>
          <w:color w:val="auto"/>
        </w:rPr>
        <w:t>EENTS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281305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305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221.5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Scott T. Reents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(Principal Financial Officer)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 R</w:t>
      </w:r>
      <w:r>
        <w:rPr>
          <w:rFonts w:ascii="Arial" w:cs="Arial" w:eastAsia="Arial" w:hAnsi="Arial"/>
          <w:sz w:val="13"/>
          <w:szCs w:val="13"/>
          <w:color w:val="auto"/>
        </w:rPr>
        <w:t>OBERT</w:t>
      </w:r>
      <w:r>
        <w:rPr>
          <w:rFonts w:ascii="Arial" w:cs="Arial" w:eastAsia="Arial" w:hAnsi="Arial"/>
          <w:sz w:val="20"/>
          <w:szCs w:val="20"/>
          <w:color w:val="auto"/>
        </w:rPr>
        <w:t xml:space="preserve"> J. A</w:t>
      </w:r>
      <w:r>
        <w:rPr>
          <w:rFonts w:ascii="Arial" w:cs="Arial" w:eastAsia="Arial" w:hAnsi="Arial"/>
          <w:sz w:val="13"/>
          <w:szCs w:val="13"/>
          <w:color w:val="auto"/>
        </w:rPr>
        <w:t>LPERN</w:t>
      </w:r>
      <w:r>
        <w:rPr>
          <w:rFonts w:ascii="Arial" w:cs="Arial" w:eastAsia="Arial" w:hAnsi="Arial"/>
          <w:sz w:val="20"/>
          <w:szCs w:val="20"/>
          <w:color w:val="auto"/>
        </w:rPr>
        <w:t>,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281305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305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221.5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Robert J. Alpern, M.D.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 W</w:t>
      </w:r>
      <w:r>
        <w:rPr>
          <w:rFonts w:ascii="Arial" w:cs="Arial" w:eastAsia="Arial" w:hAnsi="Arial"/>
          <w:sz w:val="13"/>
          <w:szCs w:val="13"/>
          <w:color w:val="auto"/>
        </w:rPr>
        <w:t>ILLIAM</w:t>
      </w:r>
      <w:r>
        <w:rPr>
          <w:rFonts w:ascii="Arial" w:cs="Arial" w:eastAsia="Arial" w:hAnsi="Arial"/>
          <w:sz w:val="20"/>
          <w:szCs w:val="20"/>
          <w:color w:val="auto"/>
        </w:rPr>
        <w:t xml:space="preserve"> H.L. B</w:t>
      </w:r>
      <w:r>
        <w:rPr>
          <w:rFonts w:ascii="Arial" w:cs="Arial" w:eastAsia="Arial" w:hAnsi="Arial"/>
          <w:sz w:val="13"/>
          <w:szCs w:val="13"/>
          <w:color w:val="auto"/>
        </w:rPr>
        <w:t>URNSIDE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281305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305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221.5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William H.L. Burnside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T</w:t>
      </w:r>
      <w:r>
        <w:rPr>
          <w:rFonts w:ascii="Arial" w:cs="Arial" w:eastAsia="Arial" w:hAnsi="Arial"/>
          <w:sz w:val="13"/>
          <w:szCs w:val="13"/>
          <w:color w:val="auto"/>
        </w:rPr>
        <w:t>HOMAS</w:t>
      </w:r>
      <w:r>
        <w:rPr>
          <w:rFonts w:ascii="Arial" w:cs="Arial" w:eastAsia="Arial" w:hAnsi="Arial"/>
          <w:sz w:val="20"/>
          <w:szCs w:val="20"/>
          <w:color w:val="auto"/>
        </w:rPr>
        <w:t xml:space="preserve"> J. F</w:t>
      </w:r>
      <w:r>
        <w:rPr>
          <w:rFonts w:ascii="Arial" w:cs="Arial" w:eastAsia="Arial" w:hAnsi="Arial"/>
          <w:sz w:val="13"/>
          <w:szCs w:val="13"/>
          <w:color w:val="auto"/>
        </w:rPr>
        <w:t>ALK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281305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305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221.5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Thomas J. Falk</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B</w:t>
      </w:r>
      <w:r>
        <w:rPr>
          <w:rFonts w:ascii="Arial" w:cs="Arial" w:eastAsia="Arial" w:hAnsi="Arial"/>
          <w:sz w:val="13"/>
          <w:szCs w:val="13"/>
          <w:color w:val="auto"/>
        </w:rPr>
        <w:t>RETT</w:t>
      </w:r>
      <w:r>
        <w:rPr>
          <w:rFonts w:ascii="Arial" w:cs="Arial" w:eastAsia="Arial" w:hAnsi="Arial"/>
          <w:sz w:val="20"/>
          <w:szCs w:val="20"/>
          <w:color w:val="auto"/>
        </w:rPr>
        <w:t xml:space="preserve"> J. H</w:t>
      </w:r>
      <w:r>
        <w:rPr>
          <w:rFonts w:ascii="Arial" w:cs="Arial" w:eastAsia="Arial" w:hAnsi="Arial"/>
          <w:sz w:val="13"/>
          <w:szCs w:val="13"/>
          <w:color w:val="auto"/>
        </w:rPr>
        <w:t>ART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281305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305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221.5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Brett J. Hart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S</w:t>
      </w:r>
      <w:r>
        <w:rPr>
          <w:rFonts w:ascii="Arial" w:cs="Arial" w:eastAsia="Arial" w:hAnsi="Arial"/>
          <w:sz w:val="13"/>
          <w:szCs w:val="13"/>
          <w:color w:val="auto"/>
        </w:rPr>
        <w:t>USAN</w:t>
      </w:r>
      <w:r>
        <w:rPr>
          <w:rFonts w:ascii="Arial" w:cs="Arial" w:eastAsia="Arial" w:hAnsi="Arial"/>
          <w:sz w:val="20"/>
          <w:szCs w:val="20"/>
          <w:color w:val="auto"/>
        </w:rPr>
        <w:t xml:space="preserve"> E. Q</w:t>
      </w:r>
      <w:r>
        <w:rPr>
          <w:rFonts w:ascii="Arial" w:cs="Arial" w:eastAsia="Arial" w:hAnsi="Arial"/>
          <w:sz w:val="13"/>
          <w:szCs w:val="13"/>
          <w:color w:val="auto"/>
        </w:rPr>
        <w:t>UAGGIN</w:t>
      </w:r>
      <w:r>
        <w:rPr>
          <w:rFonts w:ascii="Arial" w:cs="Arial" w:eastAsia="Arial" w:hAnsi="Arial"/>
          <w:sz w:val="20"/>
          <w:szCs w:val="20"/>
          <w:color w:val="auto"/>
        </w:rPr>
        <w:t>,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281305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305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221.5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Susan E. Quaggin, M.D.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R</w:t>
      </w:r>
      <w:r>
        <w:rPr>
          <w:rFonts w:ascii="Arial" w:cs="Arial" w:eastAsia="Arial" w:hAnsi="Arial"/>
          <w:sz w:val="13"/>
          <w:szCs w:val="13"/>
          <w:color w:val="auto"/>
        </w:rPr>
        <w:t>EBECCA</w:t>
      </w:r>
      <w:r>
        <w:rPr>
          <w:rFonts w:ascii="Arial" w:cs="Arial" w:eastAsia="Arial" w:hAnsi="Arial"/>
          <w:sz w:val="20"/>
          <w:szCs w:val="20"/>
          <w:color w:val="auto"/>
        </w:rPr>
        <w:t xml:space="preserve"> B. R</w:t>
      </w:r>
      <w:r>
        <w:rPr>
          <w:rFonts w:ascii="Arial" w:cs="Arial" w:eastAsia="Arial" w:hAnsi="Arial"/>
          <w:sz w:val="13"/>
          <w:szCs w:val="13"/>
          <w:color w:val="auto"/>
        </w:rPr>
        <w:t>OBERTS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281305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305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221.5pt,1.95pt" o:allowincell="f" strokecolor="#000000" strokeweight="0.499pt"/>
            </w:pict>
          </mc:Fallback>
        </mc:AlternateConten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Rebecca B. Roberts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Director of AbbVie Inc.</w:t>
      </w:r>
    </w:p>
    <w:p>
      <w:pPr>
        <w:spacing w:after="0" w:line="1137" w:lineRule="exact"/>
        <w:rPr>
          <w:sz w:val="20"/>
          <w:szCs w:val="20"/>
          <w:color w:val="auto"/>
        </w:rPr>
      </w:pPr>
    </w:p>
    <w:p>
      <w:pPr>
        <w:sectPr>
          <w:pgSz w:w="11880" w:h="15480" w:orient="portrait"/>
          <w:cols w:equalWidth="0" w:num="2">
            <w:col w:w="3940" w:space="720"/>
            <w:col w:w="4440"/>
          </w:cols>
          <w:pgMar w:left="1400" w:top="1019" w:right="1380" w:bottom="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 xml:space="preserve">2025 Form 10-K </w:t>
      </w:r>
      <w:r>
        <w:rPr>
          <w:rFonts w:ascii="Arial" w:cs="Arial" w:eastAsia="Arial" w:hAnsi="Arial"/>
          <w:sz w:val="23"/>
          <w:szCs w:val="23"/>
          <w:color w:val="000039"/>
        </w:rPr>
        <w:t xml:space="preserve">| </w:t>
      </w:r>
      <w:r>
        <w:rPr>
          <w:sz w:val="1"/>
          <w:szCs w:val="1"/>
          <w:color w:val="auto"/>
        </w:rPr>
        <w:drawing>
          <wp:inline distT="0" distB="0" distL="0" distR="0">
            <wp:extent cx="615950" cy="12827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9">
                      <a:extLst>
                        <a:ext uri="{28A0092B-C50C-407E-A947-70E740481C1C}"/>
                      </a:extLst>
                    </a:blip>
                    <a:srcRect/>
                    <a:stretch>
                      <a:fillRect/>
                    </a:stretch>
                  </pic:blipFill>
                  <pic:spPr bwMode="auto">
                    <a:xfrm>
                      <a:off x="0" y="0"/>
                      <a:ext cx="615950" cy="128270"/>
                    </a:xfrm>
                    <a:prstGeom prst="rect">
                      <a:avLst/>
                    </a:prstGeom>
                    <a:noFill/>
                    <a:ln>
                      <a:noFill/>
                    </a:ln>
                  </pic:spPr>
                </pic:pic>
              </a:graphicData>
            </a:graphic>
          </wp:inline>
        </w:drawing>
      </w:r>
      <w:r>
        <w:rPr>
          <w:rFonts w:ascii="Arial" w:cs="Arial" w:eastAsia="Arial" w:hAnsi="Arial"/>
          <w:sz w:val="18"/>
          <w:szCs w:val="18"/>
          <w:color w:val="auto"/>
        </w:rPr>
        <w:t xml:space="preserve">  121</w:t>
      </w:r>
    </w:p>
    <w:p>
      <w:pPr>
        <w:sectPr>
          <w:pgSz w:w="11880" w:h="15480" w:orient="portrait"/>
          <w:cols w:equalWidth="0" w:num="1">
            <w:col w:w="9100"/>
          </w:cols>
          <w:pgMar w:left="1400" w:top="1019" w:right="1380" w:bottom="87" w:gutter="0" w:footer="0" w:header="0"/>
          <w:type w:val="continuous"/>
        </w:sectPr>
      </w:pPr>
    </w:p>
    <w:bookmarkStart w:id="127" w:name="page128"/>
    <w:bookmarkEnd w:id="127"/>
    <w:p>
      <w:pPr>
        <w:spacing w:after="0"/>
        <w:rPr>
          <w:sz w:val="20"/>
          <w:szCs w:val="20"/>
          <w:color w:val="auto"/>
        </w:rPr>
      </w:pPr>
      <w:r>
        <w:rPr>
          <w:rFonts w:ascii="Arial" w:cs="Arial" w:eastAsia="Arial" w:hAnsi="Arial"/>
          <w:sz w:val="40"/>
          <w:szCs w:val="40"/>
          <w:b w:val="1"/>
          <w:bCs w:val="1"/>
          <w:color w:val="808080"/>
        </w:rPr>
        <w:t xml:space="preserve">Notice of </w:t>
      </w:r>
      <w:r>
        <w:rPr>
          <w:rFonts w:ascii="Arial" w:cs="Arial" w:eastAsia="Arial" w:hAnsi="Arial"/>
          <w:sz w:val="44"/>
          <w:szCs w:val="44"/>
          <w:b w:val="1"/>
          <w:bCs w:val="1"/>
          <w:color w:val="000039"/>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20955</wp:posOffset>
            </wp:positionV>
            <wp:extent cx="2361565" cy="431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0">
                      <a:extLst>
                        <a:ext uri="{28A0092B-C50C-407E-A947-70E740481C1C}"/>
                      </a:extLst>
                    </a:blip>
                    <a:srcRect/>
                    <a:stretch>
                      <a:fillRect/>
                    </a:stretch>
                  </pic:blipFill>
                  <pic:spPr bwMode="auto">
                    <a:xfrm>
                      <a:off x="0" y="0"/>
                      <a:ext cx="2361565" cy="43180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40"/>
          <w:szCs w:val="40"/>
          <w:b w:val="1"/>
          <w:bCs w:val="1"/>
          <w:color w:val="808080"/>
        </w:rPr>
        <w:t>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40"/>
          <w:szCs w:val="40"/>
          <w:b w:val="1"/>
          <w:bCs w:val="1"/>
          <w:color w:val="808080"/>
        </w:rPr>
        <w:t>of Stockholders</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of our company:</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You are cordially invited to attend the 2026 Annual Meeting of Stockholders to be held on May 8, 2026, where we will be voting on the below matters. You will be able to attend the Annual Meeting, vote, and submit questions via live webcast by visiting </w:t>
      </w:r>
      <w:r>
        <w:rPr>
          <w:rFonts w:ascii="Arial" w:cs="Arial" w:eastAsia="Arial" w:hAnsi="Arial"/>
          <w:sz w:val="20"/>
          <w:szCs w:val="20"/>
          <w:b w:val="1"/>
          <w:bCs w:val="1"/>
          <w:color w:val="000039"/>
        </w:rPr>
        <w:t>www.virtualshareholdermeeting.com/ABBV2026</w:t>
      </w:r>
      <w:r>
        <w:rPr>
          <w:rFonts w:ascii="Arial" w:cs="Arial" w:eastAsia="Arial" w:hAnsi="Arial"/>
          <w:sz w:val="20"/>
          <w:szCs w:val="20"/>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of business</w:t>
      </w:r>
    </w:p>
    <w:p>
      <w:pPr>
        <w:spacing w:after="0" w:line="138" w:lineRule="exact"/>
        <w:rPr>
          <w:sz w:val="20"/>
          <w:szCs w:val="20"/>
          <w:color w:val="auto"/>
        </w:rPr>
      </w:pPr>
    </w:p>
    <w:p>
      <w:pPr>
        <w:ind w:left="720" w:hanging="360"/>
        <w:spacing w:after="0"/>
        <w:tabs>
          <w:tab w:leader="none" w:pos="720" w:val="left"/>
        </w:tabs>
        <w:numPr>
          <w:ilvl w:val="0"/>
          <w:numId w:val="47"/>
        </w:numPr>
        <w:rPr>
          <w:rFonts w:ascii="Arial" w:cs="Arial" w:eastAsia="Arial" w:hAnsi="Arial"/>
          <w:sz w:val="20"/>
          <w:szCs w:val="20"/>
          <w:color w:val="000039"/>
        </w:rPr>
      </w:pPr>
      <w:r>
        <w:rPr>
          <w:rFonts w:ascii="Arial" w:cs="Arial" w:eastAsia="Arial" w:hAnsi="Arial"/>
          <w:sz w:val="20"/>
          <w:szCs w:val="20"/>
          <w:color w:val="auto"/>
        </w:rPr>
        <w:t>To elect four directors to hold office until the 2029 Annual Meeting or until their successors are elected.</w:t>
      </w:r>
    </w:p>
    <w:p>
      <w:pPr>
        <w:spacing w:after="0" w:line="92" w:lineRule="exact"/>
        <w:rPr>
          <w:rFonts w:ascii="Arial" w:cs="Arial" w:eastAsia="Arial" w:hAnsi="Arial"/>
          <w:sz w:val="20"/>
          <w:szCs w:val="20"/>
          <w:color w:val="000039"/>
        </w:rPr>
      </w:pPr>
    </w:p>
    <w:p>
      <w:pPr>
        <w:ind w:left="720" w:right="380" w:hanging="360"/>
        <w:spacing w:after="0" w:line="282" w:lineRule="auto"/>
        <w:tabs>
          <w:tab w:leader="none" w:pos="720" w:val="left"/>
        </w:tabs>
        <w:numPr>
          <w:ilvl w:val="0"/>
          <w:numId w:val="47"/>
        </w:numPr>
        <w:rPr>
          <w:rFonts w:ascii="Arial" w:cs="Arial" w:eastAsia="Arial" w:hAnsi="Arial"/>
          <w:sz w:val="20"/>
          <w:szCs w:val="20"/>
          <w:color w:val="000039"/>
        </w:rPr>
      </w:pPr>
      <w:r>
        <w:rPr>
          <w:rFonts w:ascii="Arial" w:cs="Arial" w:eastAsia="Arial" w:hAnsi="Arial"/>
          <w:sz w:val="20"/>
          <w:szCs w:val="20"/>
          <w:color w:val="auto"/>
        </w:rPr>
        <w:t>To ratify the appointment of Ernst &amp; Young LLP as AbbVie’s independent registered public accounting firm for 2026.</w:t>
      </w:r>
    </w:p>
    <w:p>
      <w:pPr>
        <w:spacing w:after="0" w:line="12" w:lineRule="exact"/>
        <w:rPr>
          <w:rFonts w:ascii="Arial" w:cs="Arial" w:eastAsia="Arial" w:hAnsi="Arial"/>
          <w:sz w:val="20"/>
          <w:szCs w:val="20"/>
          <w:color w:val="000039"/>
        </w:rPr>
      </w:pPr>
    </w:p>
    <w:p>
      <w:pPr>
        <w:ind w:left="720" w:hanging="360"/>
        <w:spacing w:after="0"/>
        <w:tabs>
          <w:tab w:leader="none" w:pos="720" w:val="left"/>
        </w:tabs>
        <w:numPr>
          <w:ilvl w:val="0"/>
          <w:numId w:val="47"/>
        </w:numPr>
        <w:rPr>
          <w:rFonts w:ascii="Arial" w:cs="Arial" w:eastAsia="Arial" w:hAnsi="Arial"/>
          <w:sz w:val="20"/>
          <w:szCs w:val="20"/>
          <w:color w:val="000039"/>
        </w:rPr>
      </w:pPr>
      <w:r>
        <w:rPr>
          <w:rFonts w:ascii="Arial" w:cs="Arial" w:eastAsia="Arial" w:hAnsi="Arial"/>
          <w:sz w:val="20"/>
          <w:szCs w:val="20"/>
          <w:color w:val="auto"/>
        </w:rPr>
        <w:t>To vote on an advisory basis on the approval of executive compensation.</w:t>
      </w:r>
    </w:p>
    <w:p>
      <w:pPr>
        <w:spacing w:after="0" w:line="94" w:lineRule="exact"/>
        <w:rPr>
          <w:rFonts w:ascii="Arial" w:cs="Arial" w:eastAsia="Arial" w:hAnsi="Arial"/>
          <w:sz w:val="20"/>
          <w:szCs w:val="20"/>
          <w:color w:val="000039"/>
        </w:rPr>
      </w:pPr>
    </w:p>
    <w:p>
      <w:pPr>
        <w:ind w:left="720" w:hanging="360"/>
        <w:spacing w:after="0"/>
        <w:tabs>
          <w:tab w:leader="none" w:pos="720" w:val="left"/>
        </w:tabs>
        <w:numPr>
          <w:ilvl w:val="0"/>
          <w:numId w:val="47"/>
        </w:numPr>
        <w:rPr>
          <w:rFonts w:ascii="Arial" w:cs="Arial" w:eastAsia="Arial" w:hAnsi="Arial"/>
          <w:sz w:val="20"/>
          <w:szCs w:val="20"/>
          <w:color w:val="000039"/>
        </w:rPr>
      </w:pPr>
      <w:r>
        <w:rPr>
          <w:rFonts w:ascii="Arial" w:cs="Arial" w:eastAsia="Arial" w:hAnsi="Arial"/>
          <w:sz w:val="20"/>
          <w:szCs w:val="20"/>
          <w:color w:val="auto"/>
        </w:rPr>
        <w:t>To vote on a management proposal to eliminate supermajority voting.</w:t>
      </w:r>
    </w:p>
    <w:p>
      <w:pPr>
        <w:spacing w:after="0" w:line="92" w:lineRule="exact"/>
        <w:rPr>
          <w:rFonts w:ascii="Arial" w:cs="Arial" w:eastAsia="Arial" w:hAnsi="Arial"/>
          <w:sz w:val="20"/>
          <w:szCs w:val="20"/>
          <w:color w:val="000039"/>
        </w:rPr>
      </w:pPr>
    </w:p>
    <w:p>
      <w:pPr>
        <w:ind w:left="720" w:right="140" w:hanging="360"/>
        <w:spacing w:after="0" w:line="283" w:lineRule="auto"/>
        <w:tabs>
          <w:tab w:leader="none" w:pos="720" w:val="left"/>
        </w:tabs>
        <w:numPr>
          <w:ilvl w:val="0"/>
          <w:numId w:val="47"/>
        </w:numPr>
        <w:rPr>
          <w:rFonts w:ascii="Arial" w:cs="Arial" w:eastAsia="Arial" w:hAnsi="Arial"/>
          <w:sz w:val="20"/>
          <w:szCs w:val="20"/>
          <w:color w:val="000039"/>
        </w:rPr>
      </w:pPr>
      <w:r>
        <w:rPr>
          <w:rFonts w:ascii="Arial" w:cs="Arial" w:eastAsia="Arial" w:hAnsi="Arial"/>
          <w:sz w:val="20"/>
          <w:szCs w:val="20"/>
          <w:color w:val="auto"/>
        </w:rPr>
        <w:t>To consider any other matters that may properly come before the meeting, including one stockholder proposal, if presented during the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45720</wp:posOffset>
                </wp:positionV>
                <wp:extent cx="687006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006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pt" to="540.95pt,3.6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2000250</wp:posOffset>
                </wp:positionH>
                <wp:positionV relativeFrom="paragraph">
                  <wp:posOffset>113665</wp:posOffset>
                </wp:positionV>
                <wp:extent cx="0" cy="449961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99610"/>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5pt,8.95pt" to="157.5pt,363.25pt" o:allowincell="f" strokecolor="#000000" strokeweight="1.5pt"/>
            </w:pict>
          </mc:Fallback>
        </mc:AlternateContent>
      </w:r>
    </w:p>
    <w:p>
      <w:pPr>
        <w:sectPr>
          <w:pgSz w:w="11880" w:h="15480" w:orient="portrait"/>
          <w:cols w:equalWidth="0" w:num="1">
            <w:col w:w="10780"/>
          </w:cols>
          <w:pgMar w:left="540" w:top="932" w:right="560"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Your vote is important.</w:t>
      </w:r>
    </w:p>
    <w:p>
      <w:pPr>
        <w:spacing w:after="0" w:line="29"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Please vote promptly using one of the methods mentioned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522605" cy="3924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1">
                      <a:extLst>
                        <a:ext uri="{28A0092B-C50C-407E-A947-70E740481C1C}"/>
                      </a:extLst>
                    </a:blip>
                    <a:srcRect/>
                    <a:stretch>
                      <a:fillRect/>
                    </a:stretch>
                  </pic:blipFill>
                  <pic:spPr bwMode="auto">
                    <a:xfrm>
                      <a:off x="0" y="0"/>
                      <a:ext cx="522605" cy="39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Internet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Visit www.proxyvote.com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571500" cy="3644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2">
                      <a:extLst>
                        <a:ext uri="{28A0092B-C50C-407E-A947-70E740481C1C}"/>
                      </a:extLst>
                    </a:blip>
                    <a:srcRect/>
                    <a:stretch>
                      <a:fillRect/>
                    </a:stretch>
                  </pic:blipFill>
                  <pic:spPr bwMode="auto">
                    <a:xfrm>
                      <a:off x="0" y="0"/>
                      <a:ext cx="571500"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Mail</w:t>
      </w:r>
    </w:p>
    <w:p>
      <w:pPr>
        <w:spacing w:after="0" w:line="29"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Sign and return your proxy card in the enclosed envelope if you received a printed version of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311150" cy="501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3">
                      <a:extLst>
                        <a:ext uri="{28A0092B-C50C-407E-A947-70E740481C1C}"/>
                      </a:extLst>
                    </a:blip>
                    <a:srcRect/>
                    <a:stretch>
                      <a:fillRect/>
                    </a:stretch>
                  </pic:blipFill>
                  <pic:spPr bwMode="auto">
                    <a:xfrm>
                      <a:off x="0" y="0"/>
                      <a:ext cx="311150"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Telephone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Call toll-free 1-800-690-6903 in the U.S.</w:t>
      </w:r>
    </w:p>
    <w:p>
      <w:pPr>
        <w:spacing w:after="0"/>
        <w:rPr>
          <w:sz w:val="20"/>
          <w:szCs w:val="20"/>
          <w:color w:val="auto"/>
        </w:rPr>
      </w:pPr>
      <w:r>
        <w:rPr>
          <w:rFonts w:ascii="Arial" w:cs="Arial" w:eastAsia="Arial" w:hAnsi="Arial"/>
          <w:sz w:val="16"/>
          <w:szCs w:val="16"/>
          <w:color w:val="auto"/>
        </w:rPr>
        <w:t>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539750" cy="4330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4">
                      <a:extLst>
                        <a:ext uri="{28A0092B-C50C-407E-A947-70E740481C1C}"/>
                      </a:extLst>
                    </a:blip>
                    <a:srcRect/>
                    <a:stretch>
                      <a:fillRect/>
                    </a:stretch>
                  </pic:blipFill>
                  <pic:spPr bwMode="auto">
                    <a:xfrm>
                      <a:off x="0" y="0"/>
                      <a:ext cx="539750"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 the virtual meeting</w:t>
      </w:r>
    </w:p>
    <w:p>
      <w:pPr>
        <w:spacing w:after="0" w:line="2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To be admitted to the virtual meeting, you must enter the control number found on your proxy card, voting instructions form, or notice you received.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left="20" w:right="80"/>
        <w:spacing w:after="0" w:line="262" w:lineRule="auto"/>
        <w:rPr>
          <w:sz w:val="20"/>
          <w:szCs w:val="20"/>
          <w:color w:val="auto"/>
        </w:rPr>
      </w:pPr>
      <w:r>
        <w:rPr>
          <w:rFonts w:ascii="Arial" w:cs="Arial" w:eastAsia="Arial" w:hAnsi="Arial"/>
          <w:sz w:val="20"/>
          <w:szCs w:val="20"/>
          <w:color w:val="auto"/>
        </w:rPr>
        <w:t>The Annual Meeting of Stockholders of AbbVie Inc. (the “Annual Meeting”) will be held on Friday, May 8, 2026 at 9:00 a.m. CT. This year’s Annual Meeting will be a virtual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86995</wp:posOffset>
            </wp:positionV>
            <wp:extent cx="478155" cy="545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5">
                      <a:extLst>
                        <a:ext uri="{28A0092B-C50C-407E-A947-70E740481C1C}"/>
                      </a:extLst>
                    </a:blip>
                    <a:srcRect/>
                    <a:stretch>
                      <a:fillRect/>
                    </a:stretch>
                  </pic:blipFill>
                  <pic:spPr bwMode="auto">
                    <a:xfrm>
                      <a:off x="0" y="0"/>
                      <a:ext cx="478155" cy="54546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89535</wp:posOffset>
            </wp:positionV>
            <wp:extent cx="461010" cy="537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6">
                      <a:extLst>
                        <a:ext uri="{28A0092B-C50C-407E-A947-70E740481C1C}"/>
                      </a:extLst>
                    </a:blip>
                    <a:srcRect/>
                    <a:stretch>
                      <a:fillRect/>
                    </a:stretch>
                  </pic:blipFill>
                  <pic:spPr bwMode="auto">
                    <a:xfrm>
                      <a:off x="0" y="0"/>
                      <a:ext cx="461010" cy="53721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64770</wp:posOffset>
            </wp:positionV>
            <wp:extent cx="601980" cy="5880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7">
                      <a:extLst>
                        <a:ext uri="{28A0092B-C50C-407E-A947-70E740481C1C}"/>
                      </a:extLst>
                    </a:blip>
                    <a:srcRect/>
                    <a:stretch>
                      <a:fillRect/>
                    </a:stretch>
                  </pic:blipFill>
                  <pic:spPr bwMode="auto">
                    <a:xfrm>
                      <a:off x="0" y="0"/>
                      <a:ext cx="601980" cy="58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720" w:type="dxa"/>
            <w:vAlign w:val="bottom"/>
          </w:tcPr>
          <w:p>
            <w:pPr>
              <w:jc w:val="center"/>
              <w:spacing w:after="0"/>
              <w:rPr>
                <w:sz w:val="20"/>
                <w:szCs w:val="20"/>
                <w:color w:val="auto"/>
              </w:rPr>
            </w:pPr>
            <w:r>
              <w:rPr>
                <w:rFonts w:ascii="Arial" w:cs="Arial" w:eastAsia="Arial" w:hAnsi="Arial"/>
                <w:sz w:val="20"/>
                <w:szCs w:val="20"/>
                <w:b w:val="1"/>
                <w:bCs w:val="1"/>
                <w:color w:val="auto"/>
              </w:rPr>
              <w:t>DATE AND TIME:</w:t>
            </w:r>
          </w:p>
        </w:tc>
        <w:tc>
          <w:tcPr>
            <w:tcW w:w="3640" w:type="dxa"/>
            <w:vAlign w:val="bottom"/>
          </w:tcPr>
          <w:p>
            <w:pPr>
              <w:jc w:val="center"/>
              <w:spacing w:after="0"/>
              <w:rPr>
                <w:sz w:val="20"/>
                <w:szCs w:val="20"/>
                <w:color w:val="auto"/>
              </w:rPr>
            </w:pPr>
            <w:r>
              <w:rPr>
                <w:rFonts w:ascii="Arial" w:cs="Arial" w:eastAsia="Arial" w:hAnsi="Arial"/>
                <w:sz w:val="20"/>
                <w:szCs w:val="20"/>
                <w:b w:val="1"/>
                <w:bCs w:val="1"/>
                <w:color w:val="auto"/>
                <w:w w:val="98"/>
              </w:rPr>
              <w:t>WHERE:</w:t>
            </w:r>
          </w:p>
        </w:tc>
        <w:tc>
          <w:tcPr>
            <w:tcW w:w="1860" w:type="dxa"/>
            <w:vAlign w:val="bottom"/>
          </w:tcPr>
          <w:p>
            <w:pPr>
              <w:jc w:val="center"/>
              <w:ind w:left="17"/>
              <w:spacing w:after="0"/>
              <w:rPr>
                <w:sz w:val="20"/>
                <w:szCs w:val="20"/>
                <w:color w:val="auto"/>
              </w:rPr>
            </w:pPr>
            <w:r>
              <w:rPr>
                <w:rFonts w:ascii="Arial" w:cs="Arial" w:eastAsia="Arial" w:hAnsi="Arial"/>
                <w:sz w:val="20"/>
                <w:szCs w:val="20"/>
                <w:b w:val="1"/>
                <w:bCs w:val="1"/>
                <w:color w:val="auto"/>
                <w:w w:val="99"/>
              </w:rPr>
              <w:t>ADMISSION:</w:t>
            </w:r>
          </w:p>
        </w:tc>
      </w:tr>
      <w:tr>
        <w:trPr>
          <w:trHeight w:val="197"/>
        </w:trPr>
        <w:tc>
          <w:tcPr>
            <w:tcW w:w="1720" w:type="dxa"/>
            <w:vAlign w:val="bottom"/>
          </w:tcPr>
          <w:p>
            <w:pPr>
              <w:jc w:val="center"/>
              <w:ind w:right="13"/>
              <w:spacing w:after="0"/>
              <w:rPr>
                <w:sz w:val="20"/>
                <w:szCs w:val="20"/>
                <w:color w:val="auto"/>
              </w:rPr>
            </w:pPr>
            <w:r>
              <w:rPr>
                <w:rFonts w:ascii="Arial" w:cs="Arial" w:eastAsia="Arial" w:hAnsi="Arial"/>
                <w:sz w:val="16"/>
                <w:szCs w:val="16"/>
                <w:color w:val="auto"/>
              </w:rPr>
              <w:t>Friday, May 8, 2026</w:t>
            </w:r>
          </w:p>
        </w:tc>
        <w:tc>
          <w:tcPr>
            <w:tcW w:w="3640" w:type="dxa"/>
            <w:vAlign w:val="bottom"/>
          </w:tcPr>
          <w:p>
            <w:pPr>
              <w:jc w:val="center"/>
              <w:spacing w:after="0"/>
              <w:rPr>
                <w:sz w:val="20"/>
                <w:szCs w:val="20"/>
                <w:color w:val="auto"/>
              </w:rPr>
            </w:pPr>
            <w:r>
              <w:rPr>
                <w:rFonts w:ascii="Arial" w:cs="Arial" w:eastAsia="Arial" w:hAnsi="Arial"/>
                <w:sz w:val="16"/>
                <w:szCs w:val="16"/>
                <w:color w:val="auto"/>
              </w:rPr>
              <w:t>Via live webcast online at</w:t>
            </w:r>
          </w:p>
        </w:tc>
        <w:tc>
          <w:tcPr>
            <w:tcW w:w="1860" w:type="dxa"/>
            <w:vAlign w:val="bottom"/>
          </w:tcPr>
          <w:p>
            <w:pPr>
              <w:jc w:val="center"/>
              <w:spacing w:after="0"/>
              <w:rPr>
                <w:sz w:val="20"/>
                <w:szCs w:val="20"/>
                <w:color w:val="auto"/>
              </w:rPr>
            </w:pPr>
            <w:r>
              <w:rPr>
                <w:rFonts w:ascii="Arial" w:cs="Arial" w:eastAsia="Arial" w:hAnsi="Arial"/>
                <w:sz w:val="16"/>
                <w:szCs w:val="16"/>
                <w:color w:val="auto"/>
              </w:rPr>
              <w:t>Stockholders of record at</w:t>
            </w:r>
          </w:p>
        </w:tc>
      </w:tr>
      <w:tr>
        <w:trPr>
          <w:trHeight w:val="184"/>
        </w:trPr>
        <w:tc>
          <w:tcPr>
            <w:tcW w:w="1720" w:type="dxa"/>
            <w:vAlign w:val="bottom"/>
          </w:tcPr>
          <w:p>
            <w:pPr>
              <w:jc w:val="center"/>
              <w:spacing w:after="0"/>
              <w:rPr>
                <w:sz w:val="20"/>
                <w:szCs w:val="20"/>
                <w:color w:val="auto"/>
              </w:rPr>
            </w:pPr>
            <w:r>
              <w:rPr>
                <w:rFonts w:ascii="Arial" w:cs="Arial" w:eastAsia="Arial" w:hAnsi="Arial"/>
                <w:sz w:val="16"/>
                <w:szCs w:val="16"/>
                <w:color w:val="auto"/>
                <w:w w:val="99"/>
              </w:rPr>
              <w:t>9:00 a.m. CT</w:t>
            </w:r>
          </w:p>
        </w:tc>
        <w:tc>
          <w:tcPr>
            <w:tcW w:w="3640" w:type="dxa"/>
            <w:vAlign w:val="bottom"/>
          </w:tcPr>
          <w:p>
            <w:pPr>
              <w:jc w:val="center"/>
              <w:spacing w:after="0"/>
              <w:rPr>
                <w:sz w:val="20"/>
                <w:szCs w:val="20"/>
                <w:color w:val="auto"/>
              </w:rPr>
            </w:pPr>
            <w:r>
              <w:rPr>
                <w:rFonts w:ascii="Arial" w:cs="Arial" w:eastAsia="Arial" w:hAnsi="Arial"/>
                <w:sz w:val="16"/>
                <w:szCs w:val="16"/>
                <w:color w:val="auto"/>
                <w:w w:val="99"/>
              </w:rPr>
              <w:t>www.virtualshareholdermeeting.com/ABBV2026.</w:t>
            </w: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the close of business on</w:t>
            </w:r>
          </w:p>
        </w:tc>
      </w:tr>
      <w:tr>
        <w:trPr>
          <w:trHeight w:val="185"/>
        </w:trPr>
        <w:tc>
          <w:tcPr>
            <w:tcW w:w="17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March 9, 2026 are</w:t>
            </w:r>
          </w:p>
        </w:tc>
      </w:tr>
      <w:tr>
        <w:trPr>
          <w:trHeight w:val="184"/>
        </w:trPr>
        <w:tc>
          <w:tcPr>
            <w:tcW w:w="17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entitled to notice of and</w:t>
            </w:r>
          </w:p>
        </w:tc>
      </w:tr>
      <w:tr>
        <w:trPr>
          <w:trHeight w:val="184"/>
        </w:trPr>
        <w:tc>
          <w:tcPr>
            <w:tcW w:w="17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to vote at the annual</w:t>
            </w:r>
          </w:p>
        </w:tc>
      </w:tr>
      <w:tr>
        <w:trPr>
          <w:trHeight w:val="214"/>
        </w:trPr>
        <w:tc>
          <w:tcPr>
            <w:tcW w:w="1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meeting.</w:t>
            </w:r>
          </w:p>
        </w:tc>
      </w:tr>
    </w:tbl>
    <w:p>
      <w:pPr>
        <w:spacing w:after="0" w:line="315" w:lineRule="exact"/>
        <w:rPr>
          <w:sz w:val="20"/>
          <w:szCs w:val="20"/>
          <w:color w:val="auto"/>
        </w:rPr>
      </w:pPr>
    </w:p>
    <w:p>
      <w:pPr>
        <w:jc w:val="right"/>
        <w:ind w:left="20" w:right="1180"/>
        <w:spacing w:after="0" w:line="409" w:lineRule="auto"/>
        <w:rPr>
          <w:sz w:val="20"/>
          <w:szCs w:val="20"/>
          <w:color w:val="auto"/>
        </w:rPr>
      </w:pPr>
      <w:r>
        <w:rPr>
          <w:rFonts w:ascii="Arial" w:cs="Arial" w:eastAsia="Arial" w:hAnsi="Arial"/>
          <w:sz w:val="20"/>
          <w:szCs w:val="20"/>
          <w:color w:val="auto"/>
        </w:rPr>
        <w:t>Thank you for your continued support of and interest in the company. By Order of the Board of Directors,</w:t>
      </w:r>
    </w:p>
    <w:p>
      <w:pPr>
        <w:spacing w:after="0" w:line="142"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Perry C. Siatis</w:t>
      </w:r>
    </w:p>
    <w:p>
      <w:pPr>
        <w:spacing w:after="0" w:line="123"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Secretary</w:t>
      </w:r>
    </w:p>
    <w:p>
      <w:pPr>
        <w:spacing w:after="0" w:line="26"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March 23, 2026</w:t>
      </w:r>
    </w:p>
    <w:p>
      <w:pPr>
        <w:sectPr>
          <w:pgSz w:w="11880" w:h="15480" w:orient="portrait"/>
          <w:cols w:equalWidth="0" w:num="2">
            <w:col w:w="2880" w:space="600"/>
            <w:col w:w="7300"/>
          </w:cols>
          <w:pgMar w:left="540" w:top="932" w:right="560" w:bottom="1440" w:gutter="0" w:footer="0" w:header="0"/>
          <w:type w:val="continuous"/>
        </w:sectPr>
      </w:pPr>
    </w:p>
    <w:bookmarkStart w:id="128" w:name="page129"/>
    <w:bookmarkEnd w:id="12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2712085</wp:posOffset>
            </wp:positionH>
            <wp:positionV relativeFrom="page">
              <wp:posOffset>450850</wp:posOffset>
            </wp:positionV>
            <wp:extent cx="2118360" cy="415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8">
                      <a:extLst>
                        <a:ext uri="{28A0092B-C50C-407E-A947-70E740481C1C}"/>
                      </a:extLst>
                    </a:blip>
                    <a:srcRect/>
                    <a:stretch>
                      <a:fillRect/>
                    </a:stretch>
                  </pic:blipFill>
                  <pic:spPr bwMode="auto">
                    <a:xfrm>
                      <a:off x="0" y="0"/>
                      <a:ext cx="2118360" cy="415925"/>
                    </a:xfrm>
                    <a:prstGeom prst="rect">
                      <a:avLst/>
                    </a:prstGeom>
                    <a:noFill/>
                  </pic:spPr>
                </pic:pic>
              </a:graphicData>
            </a:graphic>
          </wp:anchor>
        </w:drawing>
      </w:r>
    </w:p>
    <w:p>
      <w:pPr>
        <w:spacing w:after="0"/>
        <w:rPr>
          <w:sz w:val="20"/>
          <w:szCs w:val="20"/>
          <w:color w:val="auto"/>
        </w:rPr>
      </w:pPr>
      <w:r>
        <w:rPr>
          <w:rFonts w:ascii="Arial" w:cs="Arial" w:eastAsia="Arial" w:hAnsi="Arial"/>
          <w:sz w:val="48"/>
          <w:szCs w:val="48"/>
          <w:color w:val="000039"/>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51435</wp:posOffset>
                </wp:positionV>
                <wp:extent cx="643890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4.05pt" to="505.5pt,4.05pt" o:allowincell="f" strokecolor="#000039" strokeweight="1.5pt"/>
            </w:pict>
          </mc:Fallback>
        </mc:AlternateContent>
      </w:r>
    </w:p>
    <w:p>
      <w:pPr>
        <w:sectPr>
          <w:pgSz w:w="11880" w:h="15480" w:orient="portrait"/>
          <w:cols w:equalWidth="0" w:num="1">
            <w:col w:w="10080"/>
          </w:cols>
          <w:pgMar w:left="900" w:top="1440" w:right="900" w:bottom="1440" w:gutter="0" w:footer="0" w:header="0"/>
        </w:sect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PROXY SUMMARY</w:t>
            </w:r>
          </w:p>
        </w:tc>
        <w:tc>
          <w:tcPr>
            <w:tcW w:w="38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1</w:t>
            </w:r>
          </w:p>
        </w:tc>
        <w:tc>
          <w:tcPr>
            <w:tcW w:w="0" w:type="dxa"/>
            <w:vAlign w:val="bottom"/>
          </w:tcPr>
          <w:p>
            <w:pPr>
              <w:spacing w:after="0"/>
              <w:rPr>
                <w:sz w:val="1"/>
                <w:szCs w:val="1"/>
                <w:color w:val="auto"/>
              </w:rPr>
            </w:pPr>
          </w:p>
        </w:tc>
      </w:tr>
      <w:tr>
        <w:trPr>
          <w:trHeight w:val="211"/>
        </w:trPr>
        <w:tc>
          <w:tcPr>
            <w:tcW w:w="4300" w:type="dxa"/>
            <w:vAlign w:val="bottom"/>
          </w:tcPr>
          <w:p>
            <w:pPr>
              <w:ind w:left="360"/>
              <w:spacing w:after="0" w:line="210" w:lineRule="exact"/>
              <w:rPr>
                <w:sz w:val="20"/>
                <w:szCs w:val="20"/>
                <w:color w:val="auto"/>
              </w:rPr>
            </w:pPr>
            <w:r>
              <w:rPr>
                <w:rFonts w:ascii="Arial" w:cs="Arial" w:eastAsia="Arial" w:hAnsi="Arial"/>
                <w:sz w:val="20"/>
                <w:szCs w:val="20"/>
                <w:color w:val="auto"/>
              </w:rPr>
              <w:t>About the Meeting</w:t>
            </w:r>
          </w:p>
        </w:tc>
        <w:tc>
          <w:tcPr>
            <w:tcW w:w="380" w:type="dxa"/>
            <w:vAlign w:val="bottom"/>
          </w:tcPr>
          <w:p>
            <w:pPr>
              <w:jc w:val="right"/>
              <w:spacing w:after="0" w:line="210"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20"/>
                <w:szCs w:val="20"/>
                <w:color w:val="auto"/>
              </w:rPr>
              <w:t>Who We Are</w:t>
            </w:r>
          </w:p>
        </w:tc>
        <w:tc>
          <w:tcPr>
            <w:tcW w:w="38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20"/>
                <w:szCs w:val="20"/>
                <w:color w:val="auto"/>
              </w:rPr>
              <w:t>Our Business Performance</w:t>
            </w:r>
          </w:p>
        </w:tc>
        <w:tc>
          <w:tcPr>
            <w:tcW w:w="38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20"/>
                <w:szCs w:val="20"/>
                <w:color w:val="auto"/>
              </w:rPr>
              <w:t>Our Governance Highlights</w:t>
            </w:r>
          </w:p>
        </w:tc>
        <w:tc>
          <w:tcPr>
            <w:tcW w:w="38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20"/>
                <w:szCs w:val="20"/>
                <w:color w:val="auto"/>
              </w:rPr>
              <w:t>Our Approach to ESG</w:t>
            </w:r>
          </w:p>
        </w:tc>
        <w:tc>
          <w:tcPr>
            <w:tcW w:w="38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72"/>
        </w:trPr>
        <w:tc>
          <w:tcPr>
            <w:tcW w:w="4300" w:type="dxa"/>
            <w:vAlign w:val="bottom"/>
          </w:tcPr>
          <w:p>
            <w:pPr>
              <w:ind w:left="360"/>
              <w:spacing w:after="0"/>
              <w:rPr>
                <w:sz w:val="20"/>
                <w:szCs w:val="20"/>
                <w:color w:val="auto"/>
              </w:rPr>
            </w:pPr>
            <w:r>
              <w:rPr>
                <w:rFonts w:ascii="Arial" w:cs="Arial" w:eastAsia="Arial" w:hAnsi="Arial"/>
                <w:sz w:val="20"/>
                <w:szCs w:val="20"/>
                <w:color w:val="auto"/>
              </w:rPr>
              <w:t>Executive Compensation Highlights</w:t>
            </w:r>
          </w:p>
        </w:tc>
        <w:tc>
          <w:tcPr>
            <w:tcW w:w="38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415"/>
        </w:trPr>
        <w:tc>
          <w:tcPr>
            <w:tcW w:w="4300" w:type="dxa"/>
            <w:vAlign w:val="bottom"/>
          </w:tcPr>
          <w:p>
            <w:pPr>
              <w:spacing w:after="0"/>
              <w:rPr>
                <w:sz w:val="20"/>
                <w:szCs w:val="20"/>
                <w:color w:val="auto"/>
              </w:rPr>
            </w:pPr>
            <w:r>
              <w:rPr>
                <w:rFonts w:ascii="Arial" w:cs="Arial" w:eastAsia="Arial" w:hAnsi="Arial"/>
                <w:sz w:val="20"/>
                <w:szCs w:val="20"/>
                <w:b w:val="1"/>
                <w:bCs w:val="1"/>
                <w:color w:val="000039"/>
              </w:rPr>
              <w:t>INFORMATION CONCERNING DIRECTOR</w:t>
            </w:r>
          </w:p>
        </w:tc>
        <w:tc>
          <w:tcPr>
            <w:tcW w:w="380" w:type="dxa"/>
            <w:vAlign w:val="bottom"/>
            <w:vMerge w:val="restart"/>
          </w:tcPr>
          <w:p>
            <w:pPr>
              <w:jc w:val="right"/>
              <w:spacing w:after="0"/>
              <w:rPr>
                <w:sz w:val="20"/>
                <w:szCs w:val="20"/>
                <w:color w:val="auto"/>
              </w:rPr>
            </w:pPr>
            <w:r>
              <w:rPr>
                <w:rFonts w:ascii="Arial" w:cs="Arial" w:eastAsia="Arial" w:hAnsi="Arial"/>
                <w:sz w:val="20"/>
                <w:szCs w:val="20"/>
                <w:b w:val="1"/>
                <w:bCs w:val="1"/>
                <w:color w:val="000039"/>
              </w:rPr>
              <w:t>10</w:t>
            </w:r>
          </w:p>
        </w:tc>
        <w:tc>
          <w:tcPr>
            <w:tcW w:w="0" w:type="dxa"/>
            <w:vAlign w:val="bottom"/>
          </w:tcPr>
          <w:p>
            <w:pPr>
              <w:spacing w:after="0"/>
              <w:rPr>
                <w:sz w:val="1"/>
                <w:szCs w:val="1"/>
                <w:color w:val="auto"/>
              </w:rPr>
            </w:pPr>
          </w:p>
        </w:tc>
      </w:tr>
      <w:tr>
        <w:trPr>
          <w:trHeight w:val="253"/>
        </w:trPr>
        <w:tc>
          <w:tcPr>
            <w:tcW w:w="430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NOMINEES</w:t>
            </w:r>
          </w:p>
        </w:tc>
        <w:tc>
          <w:tcPr>
            <w:tcW w:w="380" w:type="dxa"/>
            <w:vAlign w:val="bottom"/>
            <w:tcBorders>
              <w:bottom w:val="single" w:sz="8" w:color="000039"/>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4300" w:type="dxa"/>
            <w:vAlign w:val="bottom"/>
          </w:tcPr>
          <w:p>
            <w:pPr>
              <w:spacing w:after="0"/>
              <w:rPr>
                <w:sz w:val="20"/>
                <w:szCs w:val="20"/>
                <w:color w:val="auto"/>
              </w:rPr>
            </w:pPr>
            <w:r>
              <w:rPr>
                <w:rFonts w:ascii="Arial" w:cs="Arial" w:eastAsia="Arial" w:hAnsi="Arial"/>
                <w:sz w:val="20"/>
                <w:szCs w:val="20"/>
                <w:b w:val="1"/>
                <w:bCs w:val="1"/>
                <w:color w:val="000039"/>
              </w:rPr>
              <w:t>THE BOARD OF DIRECTORS AND ITS</w:t>
            </w:r>
          </w:p>
        </w:tc>
        <w:tc>
          <w:tcPr>
            <w:tcW w:w="380" w:type="dxa"/>
            <w:vAlign w:val="bottom"/>
            <w:vMerge w:val="restart"/>
          </w:tcPr>
          <w:p>
            <w:pPr>
              <w:jc w:val="right"/>
              <w:spacing w:after="0"/>
              <w:rPr>
                <w:sz w:val="20"/>
                <w:szCs w:val="20"/>
                <w:color w:val="auto"/>
              </w:rPr>
            </w:pPr>
            <w:r>
              <w:rPr>
                <w:rFonts w:ascii="Arial" w:cs="Arial" w:eastAsia="Arial" w:hAnsi="Arial"/>
                <w:sz w:val="20"/>
                <w:szCs w:val="20"/>
                <w:b w:val="1"/>
                <w:bCs w:val="1"/>
                <w:color w:val="000039"/>
              </w:rPr>
              <w:t>18</w:t>
            </w:r>
          </w:p>
        </w:tc>
        <w:tc>
          <w:tcPr>
            <w:tcW w:w="0" w:type="dxa"/>
            <w:vAlign w:val="bottom"/>
          </w:tcPr>
          <w:p>
            <w:pPr>
              <w:spacing w:after="0"/>
              <w:rPr>
                <w:sz w:val="1"/>
                <w:szCs w:val="1"/>
                <w:color w:val="auto"/>
              </w:rPr>
            </w:pPr>
          </w:p>
        </w:tc>
      </w:tr>
      <w:tr>
        <w:trPr>
          <w:trHeight w:val="253"/>
        </w:trPr>
        <w:tc>
          <w:tcPr>
            <w:tcW w:w="430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COMMITTEES</w:t>
            </w:r>
          </w:p>
        </w:tc>
        <w:tc>
          <w:tcPr>
            <w:tcW w:w="380" w:type="dxa"/>
            <w:vAlign w:val="bottom"/>
            <w:tcBorders>
              <w:bottom w:val="single" w:sz="8" w:color="000039"/>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4300" w:type="dxa"/>
            <w:vAlign w:val="bottom"/>
          </w:tcPr>
          <w:p>
            <w:pPr>
              <w:spacing w:after="0"/>
              <w:rPr>
                <w:sz w:val="20"/>
                <w:szCs w:val="20"/>
                <w:color w:val="auto"/>
              </w:rPr>
            </w:pPr>
            <w:r>
              <w:rPr>
                <w:rFonts w:ascii="Arial" w:cs="Arial" w:eastAsia="Arial" w:hAnsi="Arial"/>
                <w:sz w:val="20"/>
                <w:szCs w:val="20"/>
                <w:b w:val="1"/>
                <w:bCs w:val="1"/>
                <w:color w:val="000039"/>
              </w:rPr>
              <w:t>COMMUNICATING WITH THE BOARD OF</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30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DIRECTORS</w:t>
            </w:r>
          </w:p>
        </w:tc>
        <w:tc>
          <w:tcPr>
            <w:tcW w:w="38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25</w:t>
            </w:r>
          </w:p>
        </w:tc>
        <w:tc>
          <w:tcPr>
            <w:tcW w:w="0" w:type="dxa"/>
            <w:vAlign w:val="bottom"/>
          </w:tcPr>
          <w:p>
            <w:pPr>
              <w:spacing w:after="0"/>
              <w:rPr>
                <w:sz w:val="1"/>
                <w:szCs w:val="1"/>
                <w:color w:val="auto"/>
              </w:rPr>
            </w:pPr>
          </w:p>
        </w:tc>
      </w:tr>
      <w:tr>
        <w:trPr>
          <w:trHeight w:val="506"/>
        </w:trPr>
        <w:tc>
          <w:tcPr>
            <w:tcW w:w="430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DIRECTOR COMPENSATION</w:t>
            </w:r>
          </w:p>
        </w:tc>
        <w:tc>
          <w:tcPr>
            <w:tcW w:w="38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26</w:t>
            </w:r>
          </w:p>
        </w:tc>
        <w:tc>
          <w:tcPr>
            <w:tcW w:w="0" w:type="dxa"/>
            <w:vAlign w:val="bottom"/>
          </w:tcPr>
          <w:p>
            <w:pPr>
              <w:spacing w:after="0"/>
              <w:rPr>
                <w:sz w:val="1"/>
                <w:szCs w:val="1"/>
                <w:color w:val="auto"/>
              </w:rPr>
            </w:pPr>
          </w:p>
        </w:tc>
      </w:tr>
      <w:tr>
        <w:trPr>
          <w:trHeight w:val="507"/>
        </w:trPr>
        <w:tc>
          <w:tcPr>
            <w:tcW w:w="430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SECURITIES OWNERSHIP</w:t>
            </w:r>
          </w:p>
        </w:tc>
        <w:tc>
          <w:tcPr>
            <w:tcW w:w="38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29</w:t>
            </w:r>
          </w:p>
        </w:tc>
        <w:tc>
          <w:tcPr>
            <w:tcW w:w="0" w:type="dxa"/>
            <w:vAlign w:val="bottom"/>
          </w:tcPr>
          <w:p>
            <w:pPr>
              <w:spacing w:after="0"/>
              <w:rPr>
                <w:sz w:val="1"/>
                <w:szCs w:val="1"/>
                <w:color w:val="auto"/>
              </w:rPr>
            </w:pPr>
          </w:p>
        </w:tc>
      </w:tr>
      <w:tr>
        <w:trPr>
          <w:trHeight w:val="506"/>
        </w:trPr>
        <w:tc>
          <w:tcPr>
            <w:tcW w:w="430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EXECUTIVE COMPENSATION</w:t>
            </w:r>
          </w:p>
        </w:tc>
        <w:tc>
          <w:tcPr>
            <w:tcW w:w="38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31</w:t>
            </w:r>
          </w:p>
        </w:tc>
        <w:tc>
          <w:tcPr>
            <w:tcW w:w="0" w:type="dxa"/>
            <w:vAlign w:val="bottom"/>
          </w:tcPr>
          <w:p>
            <w:pPr>
              <w:spacing w:after="0"/>
              <w:rPr>
                <w:sz w:val="1"/>
                <w:szCs w:val="1"/>
                <w:color w:val="auto"/>
              </w:rPr>
            </w:pPr>
          </w:p>
        </w:tc>
      </w:tr>
      <w:tr>
        <w:trPr>
          <w:trHeight w:val="210"/>
        </w:trPr>
        <w:tc>
          <w:tcPr>
            <w:tcW w:w="4300" w:type="dxa"/>
            <w:vAlign w:val="bottom"/>
          </w:tcPr>
          <w:p>
            <w:pPr>
              <w:ind w:left="360"/>
              <w:spacing w:after="0" w:line="210" w:lineRule="exact"/>
              <w:rPr>
                <w:sz w:val="20"/>
                <w:szCs w:val="20"/>
                <w:color w:val="auto"/>
              </w:rPr>
            </w:pPr>
            <w:r>
              <w:rPr>
                <w:rFonts w:ascii="Arial" w:cs="Arial" w:eastAsia="Arial" w:hAnsi="Arial"/>
                <w:sz w:val="20"/>
                <w:szCs w:val="20"/>
                <w:color w:val="auto"/>
              </w:rPr>
              <w:t>Compensation Discussion and Analysis</w:t>
            </w:r>
          </w:p>
        </w:tc>
        <w:tc>
          <w:tcPr>
            <w:tcW w:w="380" w:type="dxa"/>
            <w:vAlign w:val="bottom"/>
          </w:tcPr>
          <w:p>
            <w:pPr>
              <w:jc w:val="right"/>
              <w:spacing w:after="0" w:line="210" w:lineRule="exact"/>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20"/>
                <w:szCs w:val="20"/>
                <w:color w:val="auto"/>
              </w:rPr>
              <w:t>Compensation Committee Report</w:t>
            </w:r>
          </w:p>
        </w:tc>
        <w:tc>
          <w:tcPr>
            <w:tcW w:w="38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20"/>
                <w:szCs w:val="20"/>
                <w:color w:val="auto"/>
              </w:rPr>
              <w:t>Compensation Risk Assessment</w:t>
            </w:r>
          </w:p>
        </w:tc>
        <w:tc>
          <w:tcPr>
            <w:tcW w:w="38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31"/>
        </w:trPr>
        <w:tc>
          <w:tcPr>
            <w:tcW w:w="4300" w:type="dxa"/>
            <w:vAlign w:val="bottom"/>
          </w:tcPr>
          <w:p>
            <w:pPr>
              <w:ind w:left="360"/>
              <w:spacing w:after="0"/>
              <w:rPr>
                <w:sz w:val="20"/>
                <w:szCs w:val="20"/>
                <w:color w:val="auto"/>
              </w:rPr>
            </w:pPr>
            <w:r>
              <w:rPr>
                <w:rFonts w:ascii="Arial" w:cs="Arial" w:eastAsia="Arial" w:hAnsi="Arial"/>
                <w:sz w:val="20"/>
                <w:szCs w:val="20"/>
                <w:color w:val="auto"/>
              </w:rPr>
              <w:t>Summary Compensation Table</w:t>
            </w:r>
          </w:p>
        </w:tc>
        <w:tc>
          <w:tcPr>
            <w:tcW w:w="3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20"/>
                <w:szCs w:val="20"/>
                <w:color w:val="auto"/>
              </w:rPr>
              <w:t>2025 Grants of Plan-Based Awards</w:t>
            </w:r>
          </w:p>
        </w:tc>
        <w:tc>
          <w:tcPr>
            <w:tcW w:w="38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20"/>
                <w:szCs w:val="20"/>
                <w:color w:val="auto"/>
              </w:rPr>
              <w:t>2025 Outstanding Equity Awards at Fiscal</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80"/>
              <w:spacing w:after="0"/>
              <w:rPr>
                <w:sz w:val="20"/>
                <w:szCs w:val="20"/>
                <w:color w:val="auto"/>
              </w:rPr>
            </w:pPr>
            <w:r>
              <w:rPr>
                <w:rFonts w:ascii="Arial" w:cs="Arial" w:eastAsia="Arial" w:hAnsi="Arial"/>
                <w:sz w:val="20"/>
                <w:szCs w:val="20"/>
                <w:color w:val="auto"/>
              </w:rPr>
              <w:t>Year End</w:t>
            </w:r>
          </w:p>
        </w:tc>
        <w:tc>
          <w:tcPr>
            <w:tcW w:w="38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20"/>
                <w:szCs w:val="20"/>
                <w:color w:val="auto"/>
              </w:rPr>
              <w:t>2025 Option Exercises and Stock Vested</w:t>
            </w:r>
          </w:p>
        </w:tc>
        <w:tc>
          <w:tcPr>
            <w:tcW w:w="38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20"/>
                <w:szCs w:val="20"/>
                <w:color w:val="auto"/>
              </w:rPr>
              <w:t>Potential Payments upon Termination or</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300" w:type="dxa"/>
            <w:vAlign w:val="bottom"/>
          </w:tcPr>
          <w:p>
            <w:pPr>
              <w:ind w:left="580"/>
              <w:spacing w:after="0"/>
              <w:rPr>
                <w:sz w:val="20"/>
                <w:szCs w:val="20"/>
                <w:color w:val="auto"/>
              </w:rPr>
            </w:pPr>
            <w:r>
              <w:rPr>
                <w:rFonts w:ascii="Arial" w:cs="Arial" w:eastAsia="Arial" w:hAnsi="Arial"/>
                <w:sz w:val="20"/>
                <w:szCs w:val="20"/>
                <w:color w:val="auto"/>
              </w:rPr>
              <w:t>Change in Control</w:t>
            </w:r>
          </w:p>
        </w:tc>
        <w:tc>
          <w:tcPr>
            <w:tcW w:w="38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460"/>
        </w:trPr>
        <w:tc>
          <w:tcPr>
            <w:tcW w:w="4300" w:type="dxa"/>
            <w:vAlign w:val="bottom"/>
          </w:tcPr>
          <w:p>
            <w:pPr>
              <w:spacing w:after="0"/>
              <w:rPr>
                <w:sz w:val="20"/>
                <w:szCs w:val="20"/>
                <w:color w:val="auto"/>
              </w:rPr>
            </w:pPr>
            <w:r>
              <w:rPr>
                <w:rFonts w:ascii="Arial" w:cs="Arial" w:eastAsia="Arial" w:hAnsi="Arial"/>
                <w:sz w:val="20"/>
                <w:szCs w:val="20"/>
                <w:b w:val="1"/>
                <w:bCs w:val="1"/>
                <w:color w:val="000039"/>
              </w:rPr>
              <w:t>RATIFICATION OF ERNST &amp; YOUNG LLP</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20"/>
                <w:szCs w:val="20"/>
                <w:b w:val="1"/>
                <w:bCs w:val="1"/>
                <w:color w:val="000039"/>
              </w:rPr>
              <w:t>AS ABBVIE’S INDEPENDENT REGISTERED</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30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PUBLIC ACCOUNTING FIRM</w:t>
            </w:r>
          </w:p>
        </w:tc>
        <w:tc>
          <w:tcPr>
            <w:tcW w:w="38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428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AUDIT INFORMATION</w:t>
            </w:r>
          </w:p>
        </w:tc>
        <w:tc>
          <w:tcPr>
            <w:tcW w:w="40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71</w:t>
            </w:r>
          </w:p>
        </w:tc>
      </w:tr>
      <w:tr>
        <w:trPr>
          <w:trHeight w:val="211"/>
        </w:trPr>
        <w:tc>
          <w:tcPr>
            <w:tcW w:w="4280" w:type="dxa"/>
            <w:vAlign w:val="bottom"/>
          </w:tcPr>
          <w:p>
            <w:pPr>
              <w:ind w:left="360"/>
              <w:spacing w:after="0" w:line="210" w:lineRule="exact"/>
              <w:rPr>
                <w:sz w:val="20"/>
                <w:szCs w:val="20"/>
                <w:color w:val="auto"/>
              </w:rPr>
            </w:pPr>
            <w:r>
              <w:rPr>
                <w:rFonts w:ascii="Arial" w:cs="Arial" w:eastAsia="Arial" w:hAnsi="Arial"/>
                <w:sz w:val="20"/>
                <w:szCs w:val="20"/>
                <w:color w:val="auto"/>
              </w:rPr>
              <w:t>Audit Fees and Non-Audit Fees</w:t>
            </w:r>
          </w:p>
        </w:tc>
        <w:tc>
          <w:tcPr>
            <w:tcW w:w="400" w:type="dxa"/>
            <w:vAlign w:val="bottom"/>
          </w:tcPr>
          <w:p>
            <w:pPr>
              <w:jc w:val="right"/>
              <w:spacing w:after="0" w:line="210" w:lineRule="exact"/>
              <w:rPr>
                <w:sz w:val="20"/>
                <w:szCs w:val="20"/>
                <w:color w:val="auto"/>
              </w:rPr>
            </w:pPr>
            <w:r>
              <w:rPr>
                <w:rFonts w:ascii="Arial" w:cs="Arial" w:eastAsia="Arial" w:hAnsi="Arial"/>
                <w:sz w:val="20"/>
                <w:szCs w:val="20"/>
                <w:color w:val="auto"/>
              </w:rPr>
              <w:t>71</w:t>
            </w:r>
          </w:p>
        </w:tc>
      </w:tr>
      <w:tr>
        <w:trPr>
          <w:trHeight w:val="229"/>
        </w:trPr>
        <w:tc>
          <w:tcPr>
            <w:tcW w:w="4280" w:type="dxa"/>
            <w:vAlign w:val="bottom"/>
          </w:tcPr>
          <w:p>
            <w:pPr>
              <w:ind w:left="360"/>
              <w:spacing w:after="0"/>
              <w:rPr>
                <w:sz w:val="20"/>
                <w:szCs w:val="20"/>
                <w:color w:val="auto"/>
              </w:rPr>
            </w:pPr>
            <w:r>
              <w:rPr>
                <w:rFonts w:ascii="Arial" w:cs="Arial" w:eastAsia="Arial" w:hAnsi="Arial"/>
                <w:sz w:val="20"/>
                <w:szCs w:val="20"/>
                <w:color w:val="auto"/>
              </w:rPr>
              <w:t>Policy on Audit Committee Pre-Approval</w:t>
            </w:r>
          </w:p>
        </w:tc>
        <w:tc>
          <w:tcPr>
            <w:tcW w:w="400" w:type="dxa"/>
            <w:vAlign w:val="bottom"/>
          </w:tcPr>
          <w:p>
            <w:pPr>
              <w:spacing w:after="0"/>
              <w:rPr>
                <w:sz w:val="19"/>
                <w:szCs w:val="19"/>
                <w:color w:val="auto"/>
              </w:rPr>
            </w:pPr>
          </w:p>
        </w:tc>
      </w:tr>
      <w:tr>
        <w:trPr>
          <w:trHeight w:val="230"/>
        </w:trPr>
        <w:tc>
          <w:tcPr>
            <w:tcW w:w="4280" w:type="dxa"/>
            <w:vAlign w:val="bottom"/>
          </w:tcPr>
          <w:p>
            <w:pPr>
              <w:ind w:left="580"/>
              <w:spacing w:after="0"/>
              <w:rPr>
                <w:sz w:val="20"/>
                <w:szCs w:val="20"/>
                <w:color w:val="auto"/>
              </w:rPr>
            </w:pPr>
            <w:r>
              <w:rPr>
                <w:rFonts w:ascii="Arial" w:cs="Arial" w:eastAsia="Arial" w:hAnsi="Arial"/>
                <w:sz w:val="20"/>
                <w:szCs w:val="20"/>
                <w:color w:val="auto"/>
              </w:rPr>
              <w:t>of Audit and Permissible Non-Audit</w:t>
            </w:r>
          </w:p>
        </w:tc>
        <w:tc>
          <w:tcPr>
            <w:tcW w:w="400" w:type="dxa"/>
            <w:vAlign w:val="bottom"/>
          </w:tcPr>
          <w:p>
            <w:pPr>
              <w:spacing w:after="0"/>
              <w:rPr>
                <w:sz w:val="20"/>
                <w:szCs w:val="20"/>
                <w:color w:val="auto"/>
              </w:rPr>
            </w:pPr>
          </w:p>
        </w:tc>
      </w:tr>
      <w:tr>
        <w:trPr>
          <w:trHeight w:val="230"/>
        </w:trPr>
        <w:tc>
          <w:tcPr>
            <w:tcW w:w="4280" w:type="dxa"/>
            <w:vAlign w:val="bottom"/>
          </w:tcPr>
          <w:p>
            <w:pPr>
              <w:ind w:left="580"/>
              <w:spacing w:after="0"/>
              <w:rPr>
                <w:sz w:val="20"/>
                <w:szCs w:val="20"/>
                <w:color w:val="auto"/>
              </w:rPr>
            </w:pPr>
            <w:r>
              <w:rPr>
                <w:rFonts w:ascii="Arial" w:cs="Arial" w:eastAsia="Arial" w:hAnsi="Arial"/>
                <w:sz w:val="20"/>
                <w:szCs w:val="20"/>
                <w:color w:val="auto"/>
              </w:rPr>
              <w:t>Services of the Independent Registered</w:t>
            </w:r>
          </w:p>
        </w:tc>
        <w:tc>
          <w:tcPr>
            <w:tcW w:w="400" w:type="dxa"/>
            <w:vAlign w:val="bottom"/>
          </w:tcPr>
          <w:p>
            <w:pPr>
              <w:spacing w:after="0"/>
              <w:rPr>
                <w:sz w:val="19"/>
                <w:szCs w:val="19"/>
                <w:color w:val="auto"/>
              </w:rPr>
            </w:pPr>
          </w:p>
        </w:tc>
      </w:tr>
      <w:tr>
        <w:trPr>
          <w:trHeight w:val="229"/>
        </w:trPr>
        <w:tc>
          <w:tcPr>
            <w:tcW w:w="4280" w:type="dxa"/>
            <w:vAlign w:val="bottom"/>
          </w:tcPr>
          <w:p>
            <w:pPr>
              <w:ind w:left="580"/>
              <w:spacing w:after="0"/>
              <w:rPr>
                <w:sz w:val="20"/>
                <w:szCs w:val="20"/>
                <w:color w:val="auto"/>
              </w:rPr>
            </w:pPr>
            <w:r>
              <w:rPr>
                <w:rFonts w:ascii="Arial" w:cs="Arial" w:eastAsia="Arial" w:hAnsi="Arial"/>
                <w:sz w:val="20"/>
                <w:szCs w:val="20"/>
                <w:color w:val="auto"/>
              </w:rPr>
              <w:t>Public Accounting Firm</w:t>
            </w:r>
          </w:p>
        </w:tc>
        <w:tc>
          <w:tcPr>
            <w:tcW w:w="40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72"/>
        </w:trPr>
        <w:tc>
          <w:tcPr>
            <w:tcW w:w="4280" w:type="dxa"/>
            <w:vAlign w:val="bottom"/>
          </w:tcPr>
          <w:p>
            <w:pPr>
              <w:ind w:left="360"/>
              <w:spacing w:after="0"/>
              <w:rPr>
                <w:sz w:val="20"/>
                <w:szCs w:val="20"/>
                <w:color w:val="auto"/>
              </w:rPr>
            </w:pPr>
            <w:r>
              <w:rPr>
                <w:rFonts w:ascii="Arial" w:cs="Arial" w:eastAsia="Arial" w:hAnsi="Arial"/>
                <w:sz w:val="20"/>
                <w:szCs w:val="20"/>
                <w:color w:val="auto"/>
              </w:rPr>
              <w:t>Audit Committee Report</w:t>
            </w:r>
          </w:p>
        </w:tc>
        <w:tc>
          <w:tcPr>
            <w:tcW w:w="4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461"/>
        </w:trPr>
        <w:tc>
          <w:tcPr>
            <w:tcW w:w="4280" w:type="dxa"/>
            <w:vAlign w:val="bottom"/>
          </w:tcPr>
          <w:p>
            <w:pPr>
              <w:spacing w:after="0"/>
              <w:rPr>
                <w:sz w:val="20"/>
                <w:szCs w:val="20"/>
                <w:color w:val="auto"/>
              </w:rPr>
            </w:pPr>
            <w:r>
              <w:rPr>
                <w:rFonts w:ascii="Arial" w:cs="Arial" w:eastAsia="Arial" w:hAnsi="Arial"/>
                <w:sz w:val="20"/>
                <w:szCs w:val="20"/>
                <w:b w:val="1"/>
                <w:bCs w:val="1"/>
                <w:color w:val="000039"/>
              </w:rPr>
              <w:t>SAY ON PAY—ADVISORY VOTE ON THE</w:t>
            </w:r>
          </w:p>
        </w:tc>
        <w:tc>
          <w:tcPr>
            <w:tcW w:w="400" w:type="dxa"/>
            <w:vAlign w:val="bottom"/>
          </w:tcPr>
          <w:p>
            <w:pPr>
              <w:spacing w:after="0"/>
              <w:rPr>
                <w:sz w:val="24"/>
                <w:szCs w:val="24"/>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20"/>
                <w:szCs w:val="20"/>
                <w:b w:val="1"/>
                <w:bCs w:val="1"/>
                <w:color w:val="000039"/>
              </w:rPr>
              <w:t>APPROVAL OF EXECUTIVE</w:t>
            </w:r>
          </w:p>
        </w:tc>
        <w:tc>
          <w:tcPr>
            <w:tcW w:w="400" w:type="dxa"/>
            <w:vAlign w:val="bottom"/>
          </w:tcPr>
          <w:p>
            <w:pPr>
              <w:spacing w:after="0"/>
              <w:rPr>
                <w:sz w:val="19"/>
                <w:szCs w:val="19"/>
                <w:color w:val="auto"/>
              </w:rPr>
            </w:pPr>
          </w:p>
        </w:tc>
      </w:tr>
      <w:tr>
        <w:trPr>
          <w:trHeight w:val="253"/>
        </w:trPr>
        <w:tc>
          <w:tcPr>
            <w:tcW w:w="428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COMPENSATION</w:t>
            </w:r>
          </w:p>
        </w:tc>
        <w:tc>
          <w:tcPr>
            <w:tcW w:w="40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73</w:t>
            </w:r>
          </w:p>
        </w:tc>
      </w:tr>
      <w:tr>
        <w:trPr>
          <w:trHeight w:val="483"/>
        </w:trPr>
        <w:tc>
          <w:tcPr>
            <w:tcW w:w="4280" w:type="dxa"/>
            <w:vAlign w:val="bottom"/>
          </w:tcPr>
          <w:p>
            <w:pPr>
              <w:spacing w:after="0"/>
              <w:rPr>
                <w:sz w:val="20"/>
                <w:szCs w:val="20"/>
                <w:color w:val="auto"/>
              </w:rPr>
            </w:pPr>
            <w:r>
              <w:rPr>
                <w:rFonts w:ascii="Arial" w:cs="Arial" w:eastAsia="Arial" w:hAnsi="Arial"/>
                <w:sz w:val="20"/>
                <w:szCs w:val="20"/>
                <w:b w:val="1"/>
                <w:bCs w:val="1"/>
                <w:color w:val="000039"/>
              </w:rPr>
              <w:t>MANAGEMENT PROPOSAL TO ELIMINATE</w:t>
            </w:r>
          </w:p>
        </w:tc>
        <w:tc>
          <w:tcPr>
            <w:tcW w:w="400" w:type="dxa"/>
            <w:vAlign w:val="bottom"/>
          </w:tcPr>
          <w:p>
            <w:pPr>
              <w:spacing w:after="0"/>
              <w:rPr>
                <w:sz w:val="24"/>
                <w:szCs w:val="24"/>
                <w:color w:val="auto"/>
              </w:rPr>
            </w:pPr>
          </w:p>
        </w:tc>
      </w:tr>
      <w:tr>
        <w:trPr>
          <w:trHeight w:val="253"/>
        </w:trPr>
        <w:tc>
          <w:tcPr>
            <w:tcW w:w="428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SUPERMAJORITY VOTING</w:t>
            </w:r>
          </w:p>
        </w:tc>
        <w:tc>
          <w:tcPr>
            <w:tcW w:w="40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74</w:t>
            </w:r>
          </w:p>
        </w:tc>
      </w:tr>
      <w:tr>
        <w:trPr>
          <w:trHeight w:val="506"/>
        </w:trPr>
        <w:tc>
          <w:tcPr>
            <w:tcW w:w="428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STOCKHOLDER PROPOSAL</w:t>
            </w:r>
          </w:p>
        </w:tc>
        <w:tc>
          <w:tcPr>
            <w:tcW w:w="40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76</w:t>
            </w:r>
          </w:p>
        </w:tc>
      </w:tr>
      <w:tr>
        <w:trPr>
          <w:trHeight w:val="211"/>
        </w:trPr>
        <w:tc>
          <w:tcPr>
            <w:tcW w:w="4280" w:type="dxa"/>
            <w:vAlign w:val="bottom"/>
          </w:tcPr>
          <w:p>
            <w:pPr>
              <w:ind w:left="360"/>
              <w:spacing w:after="0" w:line="210" w:lineRule="exact"/>
              <w:rPr>
                <w:sz w:val="20"/>
                <w:szCs w:val="20"/>
                <w:color w:val="auto"/>
              </w:rPr>
            </w:pPr>
            <w:r>
              <w:rPr>
                <w:rFonts w:ascii="Arial" w:cs="Arial" w:eastAsia="Arial" w:hAnsi="Arial"/>
                <w:sz w:val="20"/>
                <w:szCs w:val="20"/>
                <w:color w:val="auto"/>
              </w:rPr>
              <w:t>Stockholder Proposal on Independent</w:t>
            </w:r>
          </w:p>
        </w:tc>
        <w:tc>
          <w:tcPr>
            <w:tcW w:w="400" w:type="dxa"/>
            <w:vAlign w:val="bottom"/>
          </w:tcPr>
          <w:p>
            <w:pPr>
              <w:spacing w:after="0"/>
              <w:rPr>
                <w:sz w:val="18"/>
                <w:szCs w:val="18"/>
                <w:color w:val="auto"/>
              </w:rPr>
            </w:pPr>
          </w:p>
        </w:tc>
      </w:tr>
      <w:tr>
        <w:trPr>
          <w:trHeight w:val="271"/>
        </w:trPr>
        <w:tc>
          <w:tcPr>
            <w:tcW w:w="4280" w:type="dxa"/>
            <w:vAlign w:val="bottom"/>
          </w:tcPr>
          <w:p>
            <w:pPr>
              <w:ind w:left="580"/>
              <w:spacing w:after="0"/>
              <w:rPr>
                <w:sz w:val="20"/>
                <w:szCs w:val="20"/>
                <w:color w:val="auto"/>
              </w:rPr>
            </w:pPr>
            <w:r>
              <w:rPr>
                <w:rFonts w:ascii="Arial" w:cs="Arial" w:eastAsia="Arial" w:hAnsi="Arial"/>
                <w:sz w:val="20"/>
                <w:szCs w:val="20"/>
                <w:color w:val="auto"/>
              </w:rPr>
              <w:t>Board Chair</w:t>
            </w:r>
          </w:p>
        </w:tc>
        <w:tc>
          <w:tcPr>
            <w:tcW w:w="4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484"/>
        </w:trPr>
        <w:tc>
          <w:tcPr>
            <w:tcW w:w="428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ADDITIONAL INFORMATION</w:t>
            </w:r>
          </w:p>
        </w:tc>
        <w:tc>
          <w:tcPr>
            <w:tcW w:w="40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79</w:t>
            </w:r>
          </w:p>
        </w:tc>
      </w:tr>
      <w:tr>
        <w:trPr>
          <w:trHeight w:val="483"/>
        </w:trPr>
        <w:tc>
          <w:tcPr>
            <w:tcW w:w="4280" w:type="dxa"/>
            <w:vAlign w:val="bottom"/>
          </w:tcPr>
          <w:p>
            <w:pPr>
              <w:spacing w:after="0"/>
              <w:rPr>
                <w:sz w:val="20"/>
                <w:szCs w:val="20"/>
                <w:color w:val="auto"/>
              </w:rPr>
            </w:pPr>
            <w:r>
              <w:rPr>
                <w:rFonts w:ascii="Arial" w:cs="Arial" w:eastAsia="Arial" w:hAnsi="Arial"/>
                <w:sz w:val="20"/>
                <w:szCs w:val="20"/>
                <w:b w:val="1"/>
                <w:bCs w:val="1"/>
                <w:color w:val="000039"/>
              </w:rPr>
              <w:t>INFORMATION ABOUT THE ANNUAL</w:t>
            </w:r>
          </w:p>
        </w:tc>
        <w:tc>
          <w:tcPr>
            <w:tcW w:w="400" w:type="dxa"/>
            <w:vAlign w:val="bottom"/>
          </w:tcPr>
          <w:p>
            <w:pPr>
              <w:spacing w:after="0"/>
              <w:rPr>
                <w:sz w:val="24"/>
                <w:szCs w:val="24"/>
                <w:color w:val="auto"/>
              </w:rPr>
            </w:pPr>
          </w:p>
        </w:tc>
      </w:tr>
      <w:tr>
        <w:trPr>
          <w:trHeight w:val="253"/>
        </w:trPr>
        <w:tc>
          <w:tcPr>
            <w:tcW w:w="4280" w:type="dxa"/>
            <w:vAlign w:val="bottom"/>
            <w:tcBorders>
              <w:bottom w:val="single" w:sz="8" w:color="000039"/>
            </w:tcBorders>
          </w:tcPr>
          <w:p>
            <w:pPr>
              <w:spacing w:after="0"/>
              <w:rPr>
                <w:sz w:val="20"/>
                <w:szCs w:val="20"/>
                <w:color w:val="auto"/>
              </w:rPr>
            </w:pPr>
            <w:r>
              <w:rPr>
                <w:rFonts w:ascii="Arial" w:cs="Arial" w:eastAsia="Arial" w:hAnsi="Arial"/>
                <w:sz w:val="20"/>
                <w:szCs w:val="20"/>
                <w:b w:val="1"/>
                <w:bCs w:val="1"/>
                <w:color w:val="000039"/>
              </w:rPr>
              <w:t>MEETING</w:t>
            </w:r>
          </w:p>
        </w:tc>
        <w:tc>
          <w:tcPr>
            <w:tcW w:w="400" w:type="dxa"/>
            <w:vAlign w:val="bottom"/>
            <w:tcBorders>
              <w:bottom w:val="single" w:sz="8" w:color="000039"/>
            </w:tcBorders>
          </w:tcPr>
          <w:p>
            <w:pPr>
              <w:jc w:val="right"/>
              <w:spacing w:after="0"/>
              <w:rPr>
                <w:sz w:val="20"/>
                <w:szCs w:val="20"/>
                <w:color w:val="auto"/>
              </w:rPr>
            </w:pPr>
            <w:r>
              <w:rPr>
                <w:rFonts w:ascii="Arial" w:cs="Arial" w:eastAsia="Arial" w:hAnsi="Arial"/>
                <w:sz w:val="20"/>
                <w:szCs w:val="20"/>
                <w:b w:val="1"/>
                <w:bCs w:val="1"/>
                <w:color w:val="000039"/>
              </w:rPr>
              <w:t>83</w:t>
            </w:r>
          </w:p>
        </w:tc>
      </w:tr>
      <w:tr>
        <w:trPr>
          <w:trHeight w:val="211"/>
        </w:trPr>
        <w:tc>
          <w:tcPr>
            <w:tcW w:w="4280" w:type="dxa"/>
            <w:vAlign w:val="bottom"/>
          </w:tcPr>
          <w:p>
            <w:pPr>
              <w:ind w:left="360"/>
              <w:spacing w:after="0" w:line="210" w:lineRule="exact"/>
              <w:rPr>
                <w:sz w:val="20"/>
                <w:szCs w:val="20"/>
                <w:color w:val="auto"/>
              </w:rPr>
            </w:pPr>
            <w:r>
              <w:rPr>
                <w:rFonts w:ascii="Arial" w:cs="Arial" w:eastAsia="Arial" w:hAnsi="Arial"/>
                <w:sz w:val="20"/>
                <w:szCs w:val="20"/>
                <w:color w:val="auto"/>
              </w:rPr>
              <w:t>Who Can Vote</w:t>
            </w:r>
          </w:p>
        </w:tc>
        <w:tc>
          <w:tcPr>
            <w:tcW w:w="400" w:type="dxa"/>
            <w:vAlign w:val="bottom"/>
          </w:tcPr>
          <w:p>
            <w:pPr>
              <w:jc w:val="right"/>
              <w:spacing w:after="0" w:line="210" w:lineRule="exact"/>
              <w:rPr>
                <w:sz w:val="20"/>
                <w:szCs w:val="20"/>
                <w:color w:val="auto"/>
              </w:rPr>
            </w:pPr>
            <w:r>
              <w:rPr>
                <w:rFonts w:ascii="Arial" w:cs="Arial" w:eastAsia="Arial" w:hAnsi="Arial"/>
                <w:sz w:val="20"/>
                <w:szCs w:val="20"/>
                <w:color w:val="auto"/>
              </w:rPr>
              <w:t>83</w:t>
            </w:r>
          </w:p>
        </w:tc>
      </w:tr>
      <w:tr>
        <w:trPr>
          <w:trHeight w:val="230"/>
        </w:trPr>
        <w:tc>
          <w:tcPr>
            <w:tcW w:w="4280" w:type="dxa"/>
            <w:vAlign w:val="bottom"/>
          </w:tcPr>
          <w:p>
            <w:pPr>
              <w:ind w:left="360"/>
              <w:spacing w:after="0"/>
              <w:rPr>
                <w:sz w:val="20"/>
                <w:szCs w:val="20"/>
                <w:color w:val="auto"/>
              </w:rPr>
            </w:pPr>
            <w:r>
              <w:rPr>
                <w:rFonts w:ascii="Arial" w:cs="Arial" w:eastAsia="Arial" w:hAnsi="Arial"/>
                <w:sz w:val="20"/>
                <w:szCs w:val="20"/>
                <w:color w:val="auto"/>
              </w:rPr>
              <w:t>Notice and Access</w:t>
            </w:r>
          </w:p>
        </w:tc>
        <w:tc>
          <w:tcPr>
            <w:tcW w:w="4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29"/>
        </w:trPr>
        <w:tc>
          <w:tcPr>
            <w:tcW w:w="4280" w:type="dxa"/>
            <w:vAlign w:val="bottom"/>
          </w:tcPr>
          <w:p>
            <w:pPr>
              <w:ind w:left="360"/>
              <w:spacing w:after="0"/>
              <w:rPr>
                <w:sz w:val="20"/>
                <w:szCs w:val="20"/>
                <w:color w:val="auto"/>
              </w:rPr>
            </w:pPr>
            <w:r>
              <w:rPr>
                <w:rFonts w:ascii="Arial" w:cs="Arial" w:eastAsia="Arial" w:hAnsi="Arial"/>
                <w:sz w:val="20"/>
                <w:szCs w:val="20"/>
                <w:color w:val="auto"/>
              </w:rPr>
              <w:t>Voting by Proxy</w:t>
            </w:r>
          </w:p>
        </w:tc>
        <w:tc>
          <w:tcPr>
            <w:tcW w:w="4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30"/>
        </w:trPr>
        <w:tc>
          <w:tcPr>
            <w:tcW w:w="4280" w:type="dxa"/>
            <w:vAlign w:val="bottom"/>
          </w:tcPr>
          <w:p>
            <w:pPr>
              <w:ind w:left="360"/>
              <w:spacing w:after="0"/>
              <w:rPr>
                <w:sz w:val="20"/>
                <w:szCs w:val="20"/>
                <w:color w:val="auto"/>
              </w:rPr>
            </w:pPr>
            <w:r>
              <w:rPr>
                <w:rFonts w:ascii="Arial" w:cs="Arial" w:eastAsia="Arial" w:hAnsi="Arial"/>
                <w:sz w:val="20"/>
                <w:szCs w:val="20"/>
                <w:color w:val="auto"/>
              </w:rPr>
              <w:t>Revoking a Proxy</w:t>
            </w:r>
          </w:p>
        </w:tc>
        <w:tc>
          <w:tcPr>
            <w:tcW w:w="4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31"/>
        </w:trPr>
        <w:tc>
          <w:tcPr>
            <w:tcW w:w="4280" w:type="dxa"/>
            <w:vAlign w:val="bottom"/>
          </w:tcPr>
          <w:p>
            <w:pPr>
              <w:ind w:left="360"/>
              <w:spacing w:after="0"/>
              <w:rPr>
                <w:sz w:val="20"/>
                <w:szCs w:val="20"/>
                <w:color w:val="auto"/>
              </w:rPr>
            </w:pPr>
            <w:r>
              <w:rPr>
                <w:rFonts w:ascii="Arial" w:cs="Arial" w:eastAsia="Arial" w:hAnsi="Arial"/>
                <w:sz w:val="20"/>
                <w:szCs w:val="20"/>
                <w:color w:val="auto"/>
              </w:rPr>
              <w:t>Discretionary Voting Authority</w:t>
            </w:r>
          </w:p>
        </w:tc>
        <w:tc>
          <w:tcPr>
            <w:tcW w:w="4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29"/>
        </w:trPr>
        <w:tc>
          <w:tcPr>
            <w:tcW w:w="4280" w:type="dxa"/>
            <w:vAlign w:val="bottom"/>
          </w:tcPr>
          <w:p>
            <w:pPr>
              <w:ind w:left="360"/>
              <w:spacing w:after="0"/>
              <w:rPr>
                <w:sz w:val="20"/>
                <w:szCs w:val="20"/>
                <w:color w:val="auto"/>
              </w:rPr>
            </w:pPr>
            <w:r>
              <w:rPr>
                <w:rFonts w:ascii="Arial" w:cs="Arial" w:eastAsia="Arial" w:hAnsi="Arial"/>
                <w:sz w:val="20"/>
                <w:szCs w:val="20"/>
                <w:color w:val="auto"/>
              </w:rPr>
              <w:t>Quorum</w:t>
            </w:r>
          </w:p>
        </w:tc>
        <w:tc>
          <w:tcPr>
            <w:tcW w:w="40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30"/>
        </w:trPr>
        <w:tc>
          <w:tcPr>
            <w:tcW w:w="4280" w:type="dxa"/>
            <w:vAlign w:val="bottom"/>
          </w:tcPr>
          <w:p>
            <w:pPr>
              <w:ind w:left="360"/>
              <w:spacing w:after="0"/>
              <w:rPr>
                <w:sz w:val="20"/>
                <w:szCs w:val="20"/>
                <w:color w:val="auto"/>
              </w:rPr>
            </w:pPr>
            <w:r>
              <w:rPr>
                <w:rFonts w:ascii="Arial" w:cs="Arial" w:eastAsia="Arial" w:hAnsi="Arial"/>
                <w:sz w:val="20"/>
                <w:szCs w:val="20"/>
                <w:color w:val="auto"/>
              </w:rPr>
              <w:t>Votes Required for Each Item</w:t>
            </w:r>
          </w:p>
        </w:tc>
        <w:tc>
          <w:tcPr>
            <w:tcW w:w="40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30"/>
        </w:trPr>
        <w:tc>
          <w:tcPr>
            <w:tcW w:w="4280" w:type="dxa"/>
            <w:vAlign w:val="bottom"/>
          </w:tcPr>
          <w:p>
            <w:pPr>
              <w:ind w:left="360"/>
              <w:spacing w:after="0"/>
              <w:rPr>
                <w:sz w:val="20"/>
                <w:szCs w:val="20"/>
                <w:color w:val="auto"/>
              </w:rPr>
            </w:pPr>
            <w:r>
              <w:rPr>
                <w:rFonts w:ascii="Arial" w:cs="Arial" w:eastAsia="Arial" w:hAnsi="Arial"/>
                <w:sz w:val="20"/>
                <w:szCs w:val="20"/>
                <w:color w:val="auto"/>
              </w:rPr>
              <w:t>Inspectors of Election</w:t>
            </w:r>
          </w:p>
        </w:tc>
        <w:tc>
          <w:tcPr>
            <w:tcW w:w="40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29"/>
        </w:trPr>
        <w:tc>
          <w:tcPr>
            <w:tcW w:w="4280" w:type="dxa"/>
            <w:vAlign w:val="bottom"/>
          </w:tcPr>
          <w:p>
            <w:pPr>
              <w:ind w:left="360"/>
              <w:spacing w:after="0"/>
              <w:rPr>
                <w:sz w:val="20"/>
                <w:szCs w:val="20"/>
                <w:color w:val="auto"/>
              </w:rPr>
            </w:pPr>
            <w:r>
              <w:rPr>
                <w:rFonts w:ascii="Arial" w:cs="Arial" w:eastAsia="Arial" w:hAnsi="Arial"/>
                <w:sz w:val="20"/>
                <w:szCs w:val="20"/>
                <w:color w:val="auto"/>
              </w:rPr>
              <w:t>Cost of Soliciting Proxies</w:t>
            </w:r>
          </w:p>
        </w:tc>
        <w:tc>
          <w:tcPr>
            <w:tcW w:w="40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72"/>
        </w:trPr>
        <w:tc>
          <w:tcPr>
            <w:tcW w:w="4280" w:type="dxa"/>
            <w:vAlign w:val="bottom"/>
          </w:tcPr>
          <w:p>
            <w:pPr>
              <w:ind w:left="360"/>
              <w:spacing w:after="0"/>
              <w:rPr>
                <w:sz w:val="20"/>
                <w:szCs w:val="20"/>
                <w:color w:val="auto"/>
              </w:rPr>
            </w:pPr>
            <w:r>
              <w:rPr>
                <w:rFonts w:ascii="Arial" w:cs="Arial" w:eastAsia="Arial" w:hAnsi="Arial"/>
                <w:sz w:val="20"/>
                <w:szCs w:val="20"/>
                <w:color w:val="auto"/>
              </w:rPr>
              <w:t>AbbVie Savings Plan</w:t>
            </w:r>
          </w:p>
        </w:tc>
        <w:tc>
          <w:tcPr>
            <w:tcW w:w="400" w:type="dxa"/>
            <w:vAlign w:val="bottom"/>
          </w:tcPr>
          <w:p>
            <w:pPr>
              <w:jc w:val="right"/>
              <w:spacing w:after="0"/>
              <w:rPr>
                <w:sz w:val="20"/>
                <w:szCs w:val="20"/>
                <w:color w:val="auto"/>
              </w:rPr>
            </w:pPr>
            <w:r>
              <w:rPr>
                <w:rFonts w:ascii="Arial" w:cs="Arial" w:eastAsia="Arial" w:hAnsi="Arial"/>
                <w:sz w:val="20"/>
                <w:szCs w:val="20"/>
                <w:color w:val="auto"/>
              </w:rPr>
              <w:t>85</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2"/>
          <w:szCs w:val="2"/>
          <w:color w:val="auto"/>
        </w:rPr>
        <w:t>f</w:t>
      </w:r>
    </w:p>
    <w:p>
      <w:pPr>
        <w:sectPr>
          <w:pgSz w:w="11880" w:h="15480" w:orient="portrait"/>
          <w:cols w:equalWidth="0" w:num="2">
            <w:col w:w="4680" w:space="720"/>
            <w:col w:w="4680"/>
          </w:cols>
          <w:pgMar w:left="900" w:top="1440" w:right="900"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40"/>
          <w:szCs w:val="40"/>
          <w:color w:val="000039"/>
        </w:rPr>
        <w:t>PROXY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46355</wp:posOffset>
                </wp:positionV>
                <wp:extent cx="643890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65pt" to="505.5pt,3.65pt" o:allowincell="f" strokecolor="#000039" strokeweight="1.5pt"/>
            </w:pict>
          </mc:Fallback>
        </mc:AlternateContent>
      </w:r>
    </w:p>
    <w:p>
      <w:pPr>
        <w:sectPr>
          <w:pgSz w:w="11880" w:h="15480" w:orient="portrait"/>
          <w:cols w:equalWidth="0" w:num="1">
            <w:col w:w="10080"/>
          </w:cols>
          <w:pgMar w:left="900" w:top="861" w:right="900" w:bottom="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36"/>
          <w:szCs w:val="36"/>
          <w:color w:val="auto"/>
        </w:rPr>
        <w:t>About the Meeting</w:t>
      </w:r>
    </w:p>
    <w:p>
      <w:pPr>
        <w:spacing w:after="0" w:line="247"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This proxy statement and the accompanying proxy are being made available to stockholders on or about March 23, 2026. The accompanying proxy is solicited on behalf of the Board of Directors for use at the Annual Meeting of Stockholders. This summary highlights selected information in the proxy statement. Please review the entire proxy statement and the AbbVie 2025 Annual Report before voting. The voting items expected to be proposed at the meeting are listed below along with the Board’s voting recommendations.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2026 Annual Meeting of Stockholders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-64135</wp:posOffset>
                </wp:positionH>
                <wp:positionV relativeFrom="paragraph">
                  <wp:posOffset>-217170</wp:posOffset>
                </wp:positionV>
                <wp:extent cx="363283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283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99pt,-17.0999pt" to="281pt,-17.09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3559175</wp:posOffset>
                </wp:positionH>
                <wp:positionV relativeFrom="paragraph">
                  <wp:posOffset>-226695</wp:posOffset>
                </wp:positionV>
                <wp:extent cx="0" cy="106489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489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25pt,-17.8499pt" to="280.25pt,66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-54610</wp:posOffset>
                </wp:positionH>
                <wp:positionV relativeFrom="paragraph">
                  <wp:posOffset>-226695</wp:posOffset>
                </wp:positionV>
                <wp:extent cx="0" cy="106489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489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99pt,-17.8499pt" to="-4.2999pt,66pt" o:allowincell="f" strokecolor="#000039" strokeweight="1.5pt"/>
            </w:pict>
          </mc:Fallback>
        </mc:AlternateConten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and Time: </w:t>
      </w:r>
      <w:r>
        <w:rPr>
          <w:rFonts w:ascii="Arial" w:cs="Arial" w:eastAsia="Arial" w:hAnsi="Arial"/>
          <w:sz w:val="18"/>
          <w:szCs w:val="18"/>
          <w:color w:val="auto"/>
        </w:rPr>
        <w:t>Friday, May 8, 2026 at 9:00 a.m. CT</w:t>
      </w:r>
    </w:p>
    <w:p>
      <w:pPr>
        <w:spacing w:after="0" w:line="101" w:lineRule="exact"/>
        <w:rPr>
          <w:sz w:val="20"/>
          <w:szCs w:val="20"/>
          <w:color w:val="auto"/>
        </w:rPr>
      </w:pPr>
    </w:p>
    <w:p>
      <w:pPr>
        <w:ind w:right="1780"/>
        <w:spacing w:after="0" w:line="286" w:lineRule="auto"/>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Via live webcast online at</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www.virtualshareholdermeeting.com/ABBV2026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March 9,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-64135</wp:posOffset>
                </wp:positionH>
                <wp:positionV relativeFrom="paragraph">
                  <wp:posOffset>60325</wp:posOffset>
                </wp:positionV>
                <wp:extent cx="363283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283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99pt,4.75pt" to="281pt,4.75pt" o:allowincell="f" strokecolor="#000039" strokeweight="1.5pt"/>
            </w:pict>
          </mc:Fallback>
        </mc:AlternateContent>
      </w:r>
    </w:p>
    <w:p>
      <w:pPr>
        <w:spacing w:after="0" w:line="1461" w:lineRule="exact"/>
        <w:rPr>
          <w:sz w:val="20"/>
          <w:szCs w:val="20"/>
          <w:color w:val="auto"/>
        </w:rPr>
      </w:pPr>
    </w:p>
    <w:p>
      <w:pPr>
        <w:sectPr>
          <w:pgSz w:w="11880" w:h="15480" w:orient="portrait"/>
          <w:cols w:equalWidth="0" w:num="2">
            <w:col w:w="4140" w:space="320"/>
            <w:col w:w="5620"/>
          </w:cols>
          <w:pgMar w:left="900" w:top="861" w:right="900" w:bottom="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Proposal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525907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5907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414.1pt,1.95pt" o:allowincell="f" strokecolor="#000039" strokeweight="1.5pt"/>
            </w:pict>
          </mc:Fallback>
        </mc:AlternateContent>
      </w:r>
    </w:p>
    <w:p>
      <w:pPr>
        <w:spacing w:after="0" w:line="40" w:lineRule="exact"/>
        <w:rPr>
          <w:sz w:val="20"/>
          <w:szCs w:val="20"/>
          <w:color w:val="auto"/>
        </w:rPr>
      </w:pPr>
    </w:p>
    <w:p>
      <w:pPr>
        <w:ind w:left="140"/>
        <w:spacing w:after="0"/>
        <w:tabs>
          <w:tab w:leader="none" w:pos="1940" w:val="left"/>
          <w:tab w:leader="none" w:pos="3840" w:val="left"/>
          <w:tab w:leader="none" w:pos="5820" w:val="left"/>
        </w:tabs>
        <w:rPr>
          <w:sz w:val="20"/>
          <w:szCs w:val="20"/>
          <w:color w:val="auto"/>
        </w:rPr>
      </w:pPr>
      <w:r>
        <w:rPr>
          <w:rFonts w:ascii="Arial" w:cs="Arial" w:eastAsia="Arial" w:hAnsi="Arial"/>
          <w:sz w:val="18"/>
          <w:szCs w:val="18"/>
          <w:color w:val="000039"/>
        </w:rPr>
        <w:t>Jennifer L. Davis</w:t>
      </w:r>
      <w:r>
        <w:rPr>
          <w:sz w:val="20"/>
          <w:szCs w:val="20"/>
          <w:color w:val="auto"/>
        </w:rPr>
        <w:tab/>
      </w:r>
      <w:r>
        <w:rPr>
          <w:rFonts w:ascii="Arial" w:cs="Arial" w:eastAsia="Arial" w:hAnsi="Arial"/>
          <w:sz w:val="18"/>
          <w:szCs w:val="18"/>
          <w:color w:val="000039"/>
        </w:rPr>
        <w:t>Melody B. Meyer</w:t>
      </w:r>
      <w:r>
        <w:rPr>
          <w:sz w:val="20"/>
          <w:szCs w:val="20"/>
          <w:color w:val="auto"/>
        </w:rPr>
        <w:tab/>
      </w:r>
      <w:r>
        <w:rPr>
          <w:rFonts w:ascii="Arial" w:cs="Arial" w:eastAsia="Arial" w:hAnsi="Arial"/>
          <w:sz w:val="18"/>
          <w:szCs w:val="18"/>
          <w:color w:val="000039"/>
        </w:rPr>
        <w:t>Robert A. Michael</w:t>
      </w:r>
      <w:r>
        <w:rPr>
          <w:sz w:val="20"/>
          <w:szCs w:val="20"/>
          <w:color w:val="auto"/>
        </w:rPr>
        <w:tab/>
      </w:r>
      <w:r>
        <w:rPr>
          <w:rFonts w:ascii="Arial" w:cs="Arial" w:eastAsia="Arial" w:hAnsi="Arial"/>
          <w:sz w:val="17"/>
          <w:szCs w:val="17"/>
          <w:color w:val="000039"/>
        </w:rPr>
        <w:t>Frederick H. Waddell</w:t>
      </w:r>
    </w:p>
    <w:p>
      <w:pPr>
        <w:spacing w:after="0" w:line="117" w:lineRule="exact"/>
        <w:rPr>
          <w:sz w:val="20"/>
          <w:szCs w:val="20"/>
          <w:color w:val="auto"/>
        </w:rPr>
      </w:pPr>
    </w:p>
    <w:p>
      <w:pPr>
        <w:ind w:left="180" w:right="140"/>
        <w:spacing w:after="0" w:line="257" w:lineRule="auto"/>
        <w:rPr>
          <w:sz w:val="20"/>
          <w:szCs w:val="20"/>
          <w:color w:val="auto"/>
        </w:rPr>
      </w:pPr>
      <w:r>
        <w:rPr>
          <w:rFonts w:ascii="Arial" w:cs="Arial" w:eastAsia="Arial" w:hAnsi="Arial"/>
          <w:sz w:val="20"/>
          <w:szCs w:val="20"/>
          <w:i w:val="1"/>
          <w:iCs w:val="1"/>
          <w:color w:val="auto"/>
        </w:rPr>
        <w:t xml:space="preserve">Each of the nominees has the skills and experience necessary to fulfill their oversight role with respect to AbbVie’s business and culture. See the </w:t>
      </w:r>
      <w:r>
        <w:rPr>
          <w:rFonts w:ascii="Arial" w:cs="Arial" w:eastAsia="Arial" w:hAnsi="Arial"/>
          <w:sz w:val="20"/>
          <w:szCs w:val="20"/>
          <w:color w:val="auto"/>
        </w:rPr>
        <w:t>Information Concerning Director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Nominees </w:t>
      </w:r>
      <w:r>
        <w:rPr>
          <w:rFonts w:ascii="Arial" w:cs="Arial" w:eastAsia="Arial" w:hAnsi="Arial"/>
          <w:sz w:val="20"/>
          <w:szCs w:val="20"/>
          <w:i w:val="1"/>
          <w:iCs w:val="1"/>
          <w:color w:val="auto"/>
        </w:rPr>
        <w:t>section for more information about the qualifications of our directors.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Proposal 2: Ratification of Independent Auditor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525907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5907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414.1pt,1.95pt" o:allowincell="f" strokecolor="#000039" strokeweight="1.5pt"/>
            </w:pict>
          </mc:Fallback>
        </mc:AlternateContent>
      </w:r>
    </w:p>
    <w:p>
      <w:pPr>
        <w:spacing w:after="0" w:line="40" w:lineRule="exact"/>
        <w:rPr>
          <w:sz w:val="20"/>
          <w:szCs w:val="20"/>
          <w:color w:val="auto"/>
        </w:rPr>
      </w:pPr>
    </w:p>
    <w:p>
      <w:pPr>
        <w:ind w:left="140"/>
        <w:spacing w:after="0" w:line="244" w:lineRule="auto"/>
        <w:rPr>
          <w:sz w:val="20"/>
          <w:szCs w:val="20"/>
          <w:color w:val="auto"/>
        </w:rPr>
      </w:pPr>
      <w:r>
        <w:rPr>
          <w:rFonts w:ascii="Arial" w:cs="Arial" w:eastAsia="Arial" w:hAnsi="Arial"/>
          <w:sz w:val="20"/>
          <w:szCs w:val="20"/>
          <w:i w:val="1"/>
          <w:iCs w:val="1"/>
          <w:color w:val="auto"/>
        </w:rPr>
        <w:t xml:space="preserve">Ernst &amp; Young LLP has served as our independent auditor since 2013. The Board and the audit committee believe it is in the best interests of the company and its stockholders to retain Ernst &amp; Young LLP as the company’s independent auditor. See the </w:t>
      </w:r>
      <w:r>
        <w:rPr>
          <w:rFonts w:ascii="Arial" w:cs="Arial" w:eastAsia="Arial" w:hAnsi="Arial"/>
          <w:sz w:val="20"/>
          <w:szCs w:val="20"/>
          <w:color w:val="auto"/>
        </w:rPr>
        <w:t>Ratification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Ernst &amp; Young LLP as AbbVie’s Independent Registered Public Accounting Firm </w:t>
      </w:r>
      <w:r>
        <w:rPr>
          <w:rFonts w:ascii="Arial" w:cs="Arial" w:eastAsia="Arial" w:hAnsi="Arial"/>
          <w:sz w:val="20"/>
          <w:szCs w:val="20"/>
          <w:i w:val="1"/>
          <w:iCs w:val="1"/>
          <w:color w:val="auto"/>
        </w:rPr>
        <w:t>section for</w:t>
      </w:r>
      <w:r>
        <w:rPr>
          <w:rFonts w:ascii="Arial" w:cs="Arial" w:eastAsia="Arial" w:hAnsi="Arial"/>
          <w:sz w:val="20"/>
          <w:szCs w:val="20"/>
          <w:color w:val="auto"/>
        </w:rPr>
        <w:t xml:space="preserve"> </w:t>
      </w:r>
      <w:r>
        <w:rPr>
          <w:rFonts w:ascii="Arial" w:cs="Arial" w:eastAsia="Arial" w:hAnsi="Arial"/>
          <w:sz w:val="20"/>
          <w:szCs w:val="20"/>
          <w:i w:val="1"/>
          <w:iCs w:val="1"/>
          <w:color w:val="auto"/>
        </w:rPr>
        <w:t>more information.</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Proposal 3: Say on Pay – Advisory Vote on 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525907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5907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414.1pt,1.95pt" o:allowincell="f" strokecolor="#000039" strokeweight="1.5pt"/>
            </w:pict>
          </mc:Fallback>
        </mc:AlternateContent>
      </w:r>
    </w:p>
    <w:p>
      <w:pPr>
        <w:spacing w:after="0" w:line="40" w:lineRule="exact"/>
        <w:rPr>
          <w:sz w:val="20"/>
          <w:szCs w:val="20"/>
          <w:color w:val="auto"/>
        </w:rPr>
      </w:pPr>
    </w:p>
    <w:p>
      <w:pPr>
        <w:jc w:val="both"/>
        <w:ind w:left="140" w:right="240"/>
        <w:spacing w:after="0" w:line="245" w:lineRule="auto"/>
        <w:rPr>
          <w:sz w:val="20"/>
          <w:szCs w:val="20"/>
          <w:color w:val="auto"/>
        </w:rPr>
      </w:pPr>
      <w:r>
        <w:rPr>
          <w:rFonts w:ascii="Arial" w:cs="Arial" w:eastAsia="Arial" w:hAnsi="Arial"/>
          <w:sz w:val="20"/>
          <w:szCs w:val="20"/>
          <w:i w:val="1"/>
          <w:iCs w:val="1"/>
          <w:color w:val="auto"/>
        </w:rPr>
        <w:t xml:space="preserve">AbbVie’s compensation program aligns executive interests with the drivers of long-term, sustainable growth. Our program balances short- and long-term strategic objectives and directly links compensation to stockholder value. See the </w:t>
      </w:r>
      <w:r>
        <w:rPr>
          <w:rFonts w:ascii="Arial" w:cs="Arial" w:eastAsia="Arial" w:hAnsi="Arial"/>
          <w:sz w:val="20"/>
          <w:szCs w:val="20"/>
          <w:color w:val="auto"/>
        </w:rPr>
        <w:t>Say on Pay – Advisory Vote 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Approval of Executive Compensation </w:t>
      </w:r>
      <w:r>
        <w:rPr>
          <w:rFonts w:ascii="Arial" w:cs="Arial" w:eastAsia="Arial" w:hAnsi="Arial"/>
          <w:sz w:val="20"/>
          <w:szCs w:val="20"/>
          <w:i w:val="1"/>
          <w:iCs w:val="1"/>
          <w:color w:val="auto"/>
        </w:rPr>
        <w:t>section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000039"/>
        </w:rPr>
        <w:t>Proposal 4: Management Proposal to Eliminate Supermajority Voting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39370</wp:posOffset>
                </wp:positionV>
                <wp:extent cx="525907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5907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pt" to="414.1pt,3.1pt" o:allowincell="f" strokecolor="#000039" strokeweight="1.5pt"/>
            </w:pict>
          </mc:Fallback>
        </mc:AlternateContent>
      </w:r>
    </w:p>
    <w:p>
      <w:pPr>
        <w:spacing w:after="0" w:line="46" w:lineRule="exact"/>
        <w:rPr>
          <w:sz w:val="20"/>
          <w:szCs w:val="20"/>
          <w:color w:val="auto"/>
        </w:rPr>
      </w:pPr>
    </w:p>
    <w:p>
      <w:pPr>
        <w:ind w:left="140" w:right="140"/>
        <w:spacing w:after="0" w:line="257" w:lineRule="auto"/>
        <w:rPr>
          <w:sz w:val="20"/>
          <w:szCs w:val="20"/>
          <w:color w:val="auto"/>
        </w:rPr>
      </w:pPr>
      <w:r>
        <w:rPr>
          <w:rFonts w:ascii="Arial" w:cs="Arial" w:eastAsia="Arial" w:hAnsi="Arial"/>
          <w:sz w:val="20"/>
          <w:szCs w:val="20"/>
          <w:i w:val="1"/>
          <w:iCs w:val="1"/>
          <w:color w:val="auto"/>
        </w:rPr>
        <w:t xml:space="preserve">AbbVie is again seeking stockholder approval to eliminate supermajority voting thresholds in our charter and by-laws. See the </w:t>
      </w:r>
      <w:r>
        <w:rPr>
          <w:rFonts w:ascii="Arial" w:cs="Arial" w:eastAsia="Arial" w:hAnsi="Arial"/>
          <w:sz w:val="20"/>
          <w:szCs w:val="20"/>
          <w:color w:val="auto"/>
        </w:rPr>
        <w:t>Management Proposal to Eliminate Supermajority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Voting </w:t>
      </w:r>
      <w:r>
        <w:rPr>
          <w:rFonts w:ascii="Arial" w:cs="Arial" w:eastAsia="Arial" w:hAnsi="Arial"/>
          <w:sz w:val="20"/>
          <w:szCs w:val="20"/>
          <w:i w:val="1"/>
          <w:iCs w:val="1"/>
          <w:color w:val="auto"/>
        </w:rPr>
        <w:t>section for more information.</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120"/>
        <w:spacing w:after="0"/>
        <w:rPr>
          <w:sz w:val="20"/>
          <w:szCs w:val="20"/>
          <w:color w:val="auto"/>
        </w:rPr>
      </w:pPr>
      <w:r>
        <w:rPr>
          <w:rFonts w:ascii="Arial" w:cs="Arial" w:eastAsia="Arial" w:hAnsi="Arial"/>
          <w:sz w:val="24"/>
          <w:szCs w:val="24"/>
          <w:b w:val="1"/>
          <w:bCs w:val="1"/>
          <w:color w:val="000039"/>
        </w:rPr>
        <w:t>FOR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30480</wp:posOffset>
            </wp:positionV>
            <wp:extent cx="351155" cy="292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9">
                      <a:extLst>
                        <a:ext uri="{28A0092B-C50C-407E-A947-70E740481C1C}"/>
                      </a:extLst>
                    </a:blip>
                    <a:srcRect/>
                    <a:stretch>
                      <a:fillRect/>
                    </a:stretch>
                  </pic:blipFill>
                  <pic:spPr bwMode="auto">
                    <a:xfrm>
                      <a:off x="0" y="0"/>
                      <a:ext cx="351155" cy="29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000039"/>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8255</wp:posOffset>
            </wp:positionV>
            <wp:extent cx="384810" cy="3200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0">
                      <a:extLst>
                        <a:ext uri="{28A0092B-C50C-407E-A947-70E740481C1C}"/>
                      </a:extLst>
                    </a:blip>
                    <a:srcRect/>
                    <a:stretch>
                      <a:fillRect/>
                    </a:stretch>
                  </pic:blipFill>
                  <pic:spPr bwMode="auto">
                    <a:xfrm>
                      <a:off x="0" y="0"/>
                      <a:ext cx="38481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000039"/>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8255</wp:posOffset>
            </wp:positionV>
            <wp:extent cx="384810" cy="3200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1">
                      <a:extLst>
                        <a:ext uri="{28A0092B-C50C-407E-A947-70E740481C1C}"/>
                      </a:extLst>
                    </a:blip>
                    <a:srcRect/>
                    <a:stretch>
                      <a:fillRect/>
                    </a:stretch>
                  </pic:blipFill>
                  <pic:spPr bwMode="auto">
                    <a:xfrm>
                      <a:off x="0" y="0"/>
                      <a:ext cx="38481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000039"/>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7620</wp:posOffset>
            </wp:positionV>
            <wp:extent cx="384810" cy="3206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2">
                      <a:extLst>
                        <a:ext uri="{28A0092B-C50C-407E-A947-70E740481C1C}"/>
                      </a:extLst>
                    </a:blip>
                    <a:srcRect/>
                    <a:stretch>
                      <a:fillRect/>
                    </a:stretch>
                  </pic:blipFill>
                  <pic:spPr bwMode="auto">
                    <a:xfrm>
                      <a:off x="0" y="0"/>
                      <a:ext cx="384810" cy="320675"/>
                    </a:xfrm>
                    <a:prstGeom prst="rect">
                      <a:avLst/>
                    </a:prstGeom>
                    <a:noFill/>
                  </pic:spPr>
                </pic:pic>
              </a:graphicData>
            </a:graphic>
          </wp:anchor>
        </w:drawing>
      </w:r>
    </w:p>
    <w:p>
      <w:pPr>
        <w:spacing w:after="0" w:line="756" w:lineRule="exact"/>
        <w:rPr>
          <w:sz w:val="20"/>
          <w:szCs w:val="20"/>
          <w:color w:val="auto"/>
        </w:rPr>
      </w:pPr>
    </w:p>
    <w:p>
      <w:pPr>
        <w:sectPr>
          <w:pgSz w:w="11880" w:h="15480" w:orient="portrait"/>
          <w:cols w:equalWidth="0" w:num="2">
            <w:col w:w="8220" w:space="360"/>
            <w:col w:w="1500"/>
          </w:cols>
          <w:pgMar w:left="900" w:top="861" w:right="900"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b w:val="1"/>
          <w:bCs w:val="1"/>
          <w:color w:val="808080"/>
        </w:rPr>
        <w:t>Stockholder Proposal</w:t>
      </w:r>
    </w:p>
    <w:p>
      <w:pPr>
        <w:spacing w:after="0" w:line="54" w:lineRule="exact"/>
        <w:rPr>
          <w:sz w:val="20"/>
          <w:szCs w:val="20"/>
          <w:color w:val="auto"/>
        </w:rPr>
      </w:pPr>
    </w:p>
    <w:p>
      <w:pPr>
        <w:spacing w:after="0"/>
        <w:tabs>
          <w:tab w:leader="none" w:pos="8760" w:val="left"/>
        </w:tabs>
        <w:rPr>
          <w:sz w:val="20"/>
          <w:szCs w:val="20"/>
          <w:color w:val="auto"/>
        </w:rPr>
      </w:pPr>
      <w:r>
        <w:rPr>
          <w:rFonts w:ascii="Arial" w:cs="Arial" w:eastAsia="Arial" w:hAnsi="Arial"/>
          <w:sz w:val="20"/>
          <w:szCs w:val="20"/>
          <w:b w:val="1"/>
          <w:bCs w:val="1"/>
          <w:color w:val="808080"/>
        </w:rPr>
        <w:t>Proposal 5: Stockholder Proposal on Independent Board Chair</w:t>
      </w:r>
      <w:r>
        <w:rPr>
          <w:sz w:val="20"/>
          <w:szCs w:val="20"/>
          <w:color w:val="auto"/>
        </w:rPr>
        <w:tab/>
      </w:r>
      <w:r>
        <w:rPr>
          <w:rFonts w:ascii="Arial" w:cs="Arial" w:eastAsia="Arial" w:hAnsi="Arial"/>
          <w:sz w:val="21"/>
          <w:szCs w:val="21"/>
          <w:b w:val="1"/>
          <w:bCs w:val="1"/>
          <w:color w:val="808080"/>
        </w:rPr>
        <w:t>AGAINST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525907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59070" cy="4763"/>
                        </a:xfrm>
                        <a:prstGeom prst="line">
                          <a:avLst/>
                        </a:prstGeom>
                        <a:solidFill>
                          <a:srgbClr val="FFFFFF"/>
                        </a:solidFill>
                        <a:ln w="19050">
                          <a:solidFill>
                            <a:srgbClr val="80808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414.1pt,0.95pt" o:allowincell="f" strokecolor="#80808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5600" w:type="dxa"/>
        <w:tblCellMar>
          <w:top w:w="0" w:type="dxa"/>
          <w:left w:w="0" w:type="dxa"/>
          <w:bottom w:w="0" w:type="dxa"/>
          <w:right w:w="0" w:type="dxa"/>
        </w:tblCellMar>
      </w:tblPr>
      <w:tr>
        <w:trPr>
          <w:trHeight w:val="408"/>
        </w:trPr>
        <w:tc>
          <w:tcPr>
            <w:tcW w:w="336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00003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-222250</wp:posOffset>
            </wp:positionV>
            <wp:extent cx="993140" cy="2006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3">
                      <a:extLst>
                        <a:ext uri="{28A0092B-C50C-407E-A947-70E740481C1C}"/>
                      </a:extLst>
                    </a:blip>
                    <a:srcRect/>
                    <a:stretch>
                      <a:fillRect/>
                    </a:stretch>
                  </pic:blipFill>
                  <pic:spPr bwMode="auto">
                    <a:xfrm>
                      <a:off x="0" y="0"/>
                      <a:ext cx="993140" cy="200660"/>
                    </a:xfrm>
                    <a:prstGeom prst="rect">
                      <a:avLst/>
                    </a:prstGeom>
                    <a:noFill/>
                  </pic:spPr>
                </pic:pic>
              </a:graphicData>
            </a:graphic>
          </wp:anchor>
        </w:drawing>
      </w:r>
    </w:p>
    <w:p>
      <w:pPr>
        <w:sectPr>
          <w:pgSz w:w="11880" w:h="15480" w:orient="portrait"/>
          <w:cols w:equalWidth="0" w:num="1">
            <w:col w:w="10080"/>
          </w:cols>
          <w:pgMar w:left="900" w:top="861" w:right="90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color w:val="808080"/>
        </w:rPr>
        <w:t>PROXY SUMMARY</w:t>
      </w:r>
    </w:p>
    <w:p>
      <w:pPr>
        <w:spacing w:after="0" w:line="213" w:lineRule="exact"/>
        <w:rPr>
          <w:sz w:val="20"/>
          <w:szCs w:val="20"/>
          <w:color w:val="auto"/>
        </w:rPr>
      </w:pPr>
    </w:p>
    <w:p>
      <w:pPr>
        <w:spacing w:after="0"/>
        <w:rPr>
          <w:sz w:val="20"/>
          <w:szCs w:val="20"/>
          <w:color w:val="auto"/>
        </w:rPr>
      </w:pPr>
      <w:r>
        <w:rPr>
          <w:rFonts w:ascii="Arial" w:cs="Arial" w:eastAsia="Arial" w:hAnsi="Arial"/>
          <w:sz w:val="35"/>
          <w:szCs w:val="35"/>
          <w:color w:val="auto"/>
        </w:rPr>
        <w:t>Who We 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157480</wp:posOffset>
                </wp:positionV>
                <wp:extent cx="76200" cy="392747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 cy="3927475"/>
                        </a:xfrm>
                        <a:prstGeom prst="rect">
                          <a:avLst/>
                        </a:prstGeom>
                        <a:solidFill>
                          <a:srgbClr val="000039"/>
                        </a:solidFill>
                      </wps:spPr>
                      <wps:bodyPr/>
                    </wps:wsp>
                  </a:graphicData>
                </a:graphic>
              </wp:anchor>
            </w:drawing>
          </mc:Choice>
          <mc:Fallback>
            <w:pict>
              <v:rect id="Shape 198" o:spid="_x0000_s1223" style="position:absolute;margin-left:0pt;margin-top:12.4pt;width:6pt;height:30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1463675</wp:posOffset>
                </wp:positionH>
                <wp:positionV relativeFrom="paragraph">
                  <wp:posOffset>157480</wp:posOffset>
                </wp:positionV>
                <wp:extent cx="0" cy="3927475"/>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2747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25pt,12.4pt" to="115.25pt,321.65pt" o:allowincell="f" strokecolor="#000039" strokeweight="1.5pt"/>
            </w:pict>
          </mc:Fallback>
        </mc:AlternateContent>
        <w:drawing>
          <wp:anchor simplePos="0" relativeHeight="251657728" behindDoc="1" locked="0" layoutInCell="0" allowOverlap="1">
            <wp:simplePos x="0" y="0"/>
            <wp:positionH relativeFrom="column">
              <wp:posOffset>448945</wp:posOffset>
            </wp:positionH>
            <wp:positionV relativeFrom="paragraph">
              <wp:posOffset>164465</wp:posOffset>
            </wp:positionV>
            <wp:extent cx="576580" cy="5861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54">
                      <a:extLst>
                        <a:ext uri="{28A0092B-C50C-407E-A947-70E740481C1C}"/>
                      </a:extLst>
                    </a:blip>
                    <a:srcRect/>
                    <a:stretch>
                      <a:fillRect/>
                    </a:stretch>
                  </pic:blipFill>
                  <pic:spPr bwMode="auto">
                    <a:xfrm>
                      <a:off x="0" y="0"/>
                      <a:ext cx="57658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spacing w:after="0"/>
        <w:rPr>
          <w:sz w:val="20"/>
          <w:szCs w:val="20"/>
          <w:color w:val="auto"/>
        </w:rPr>
      </w:pPr>
      <w:r>
        <w:rPr>
          <w:rFonts w:ascii="Arial" w:cs="Arial" w:eastAsia="Arial" w:hAnsi="Arial"/>
          <w:sz w:val="28"/>
          <w:szCs w:val="28"/>
          <w:b w:val="1"/>
          <w:bCs w:val="1"/>
          <w:color w:val="auto"/>
        </w:rPr>
        <w:t>~ 57,000</w:t>
      </w:r>
    </w:p>
    <w:p>
      <w:pPr>
        <w:spacing w:after="0" w:line="3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employees</w:t>
      </w:r>
    </w:p>
    <w:p>
      <w:pPr>
        <w:ind w:left="720"/>
        <w:spacing w:after="0"/>
        <w:rPr>
          <w:sz w:val="20"/>
          <w:szCs w:val="20"/>
          <w:color w:val="auto"/>
        </w:rPr>
      </w:pPr>
      <w:r>
        <w:rPr>
          <w:rFonts w:ascii="Arial" w:cs="Arial" w:eastAsia="Arial" w:hAnsi="Arial"/>
          <w:sz w:val="20"/>
          <w:szCs w:val="20"/>
          <w:color w:val="auto"/>
        </w:rPr>
        <w:t>worldwide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191770</wp:posOffset>
                </wp:positionH>
                <wp:positionV relativeFrom="paragraph">
                  <wp:posOffset>151130</wp:posOffset>
                </wp:positionV>
                <wp:extent cx="109728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728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pt,11.9pt" to="101.5pt,11.9pt" o:allowincell="f" strokecolor="#000039" strokeweight="1.5pt"/>
            </w:pict>
          </mc:Fallback>
        </mc:AlternateContent>
        <w:drawing>
          <wp:anchor simplePos="0" relativeHeight="251657728" behindDoc="1" locked="0" layoutInCell="0" allowOverlap="1">
            <wp:simplePos x="0" y="0"/>
            <wp:positionH relativeFrom="column">
              <wp:posOffset>381000</wp:posOffset>
            </wp:positionH>
            <wp:positionV relativeFrom="paragraph">
              <wp:posOffset>324485</wp:posOffset>
            </wp:positionV>
            <wp:extent cx="713105" cy="7118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55">
                      <a:extLst>
                        <a:ext uri="{28A0092B-C50C-407E-A947-70E740481C1C}"/>
                      </a:extLst>
                    </a:blip>
                    <a:srcRect/>
                    <a:stretch>
                      <a:fillRect/>
                    </a:stretch>
                  </pic:blipFill>
                  <pic:spPr bwMode="auto">
                    <a:xfrm>
                      <a:off x="0" y="0"/>
                      <a:ext cx="71310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Launched in</w:t>
      </w:r>
    </w:p>
    <w:p>
      <w:pPr>
        <w:spacing w:after="0" w:line="29" w:lineRule="exact"/>
        <w:rPr>
          <w:sz w:val="20"/>
          <w:szCs w:val="20"/>
          <w:color w:val="auto"/>
        </w:rPr>
      </w:pPr>
    </w:p>
    <w:p>
      <w:pPr>
        <w:ind w:left="860"/>
        <w:spacing w:after="0"/>
        <w:rPr>
          <w:sz w:val="20"/>
          <w:szCs w:val="20"/>
          <w:color w:val="auto"/>
        </w:rPr>
      </w:pPr>
      <w:r>
        <w:rPr>
          <w:rFonts w:ascii="Arial" w:cs="Arial" w:eastAsia="Arial" w:hAnsi="Arial"/>
          <w:sz w:val="28"/>
          <w:szCs w:val="28"/>
          <w:b w:val="1"/>
          <w:bCs w:val="1"/>
          <w:color w:val="auto"/>
        </w:rPr>
        <w:t>2013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191770</wp:posOffset>
                </wp:positionH>
                <wp:positionV relativeFrom="paragraph">
                  <wp:posOffset>134620</wp:posOffset>
                </wp:positionV>
                <wp:extent cx="109728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728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pt,10.6pt" to="101.5pt,10.6pt" o:allowincell="f" strokecolor="#000039" strokeweight="1.5pt"/>
            </w:pict>
          </mc:Fallback>
        </mc:AlternateContent>
        <w:drawing>
          <wp:anchor simplePos="0" relativeHeight="251657728" behindDoc="1" locked="0" layoutInCell="0" allowOverlap="1">
            <wp:simplePos x="0" y="0"/>
            <wp:positionH relativeFrom="column">
              <wp:posOffset>291465</wp:posOffset>
            </wp:positionH>
            <wp:positionV relativeFrom="paragraph">
              <wp:posOffset>279400</wp:posOffset>
            </wp:positionV>
            <wp:extent cx="883920" cy="642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56">
                      <a:extLst>
                        <a:ext uri="{28A0092B-C50C-407E-A947-70E740481C1C}"/>
                      </a:extLst>
                    </a:blip>
                    <a:srcRect/>
                    <a:stretch>
                      <a:fillRect/>
                    </a:stretch>
                  </pic:blipFill>
                  <pic:spPr bwMode="auto">
                    <a:xfrm>
                      <a:off x="0" y="0"/>
                      <a:ext cx="88392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300"/>
        <w:spacing w:after="0"/>
        <w:rPr>
          <w:sz w:val="20"/>
          <w:szCs w:val="20"/>
          <w:color w:val="auto"/>
        </w:rPr>
      </w:pPr>
      <w:r>
        <w:rPr>
          <w:rFonts w:ascii="Arial" w:cs="Arial" w:eastAsia="Arial" w:hAnsi="Arial"/>
          <w:sz w:val="28"/>
          <w:szCs w:val="28"/>
          <w:b w:val="1"/>
          <w:bCs w:val="1"/>
          <w:color w:val="auto"/>
        </w:rPr>
        <w:t>Millions</w:t>
      </w:r>
    </w:p>
    <w:p>
      <w:pPr>
        <w:spacing w:after="0" w:line="38" w:lineRule="exact"/>
        <w:rPr>
          <w:sz w:val="20"/>
          <w:szCs w:val="20"/>
          <w:color w:val="auto"/>
        </w:rPr>
      </w:pPr>
    </w:p>
    <w:p>
      <w:pPr>
        <w:jc w:val="center"/>
        <w:ind w:left="280"/>
        <w:spacing w:after="0"/>
        <w:rPr>
          <w:sz w:val="20"/>
          <w:szCs w:val="20"/>
          <w:color w:val="auto"/>
        </w:rPr>
      </w:pPr>
      <w:r>
        <w:rPr>
          <w:rFonts w:ascii="Arial" w:cs="Arial" w:eastAsia="Arial" w:hAnsi="Arial"/>
          <w:sz w:val="20"/>
          <w:szCs w:val="20"/>
          <w:color w:val="auto"/>
        </w:rPr>
        <w:t>of patient lives</w:t>
      </w:r>
    </w:p>
    <w:p>
      <w:pPr>
        <w:jc w:val="center"/>
        <w:ind w:left="300"/>
        <w:spacing w:after="0"/>
        <w:rPr>
          <w:sz w:val="20"/>
          <w:szCs w:val="20"/>
          <w:color w:val="auto"/>
        </w:rPr>
      </w:pPr>
      <w:r>
        <w:rPr>
          <w:rFonts w:ascii="Arial" w:cs="Arial" w:eastAsia="Arial" w:hAnsi="Arial"/>
          <w:sz w:val="20"/>
          <w:szCs w:val="20"/>
          <w:color w:val="auto"/>
        </w:rPr>
        <w:t>touched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820"/>
        <w:spacing w:after="0" w:line="268" w:lineRule="auto"/>
        <w:rPr>
          <w:sz w:val="20"/>
          <w:szCs w:val="20"/>
          <w:color w:val="auto"/>
        </w:rPr>
      </w:pPr>
      <w:r>
        <w:rPr>
          <w:rFonts w:ascii="Arial" w:cs="Arial" w:eastAsia="Arial" w:hAnsi="Arial"/>
          <w:sz w:val="28"/>
          <w:szCs w:val="28"/>
          <w:b w:val="1"/>
          <w:bCs w:val="1"/>
          <w:color w:val="000039"/>
        </w:rPr>
        <w:t>In more than 70 countries, AbbVie employees are working every day to advance health solutions for people around the world.</w:t>
      </w:r>
    </w:p>
    <w:p>
      <w:pPr>
        <w:spacing w:after="0" w:line="291"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AbbVie is a global, diversified research-based biopharmaceutical company with a mission to discover and deliver innovative medicines and solutions that solve serious health issues today and address the medical challenges of tomorrow.</w:t>
      </w:r>
    </w:p>
    <w:p>
      <w:pPr>
        <w:spacing w:after="0" w:line="2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AbbVie is positioned for success with a comprehensive product portfolio that has leadership positions across immunology, neuroscience, oncology, and aesthetics. Our products help patients and customers in more than 180 countries and territories around the world. Since our inception, we’ve invested over $85 billion to research, develop, and discover new medicines and solutions.</w:t>
      </w:r>
    </w:p>
    <w:p>
      <w:pPr>
        <w:spacing w:after="0" w:line="32" w:lineRule="exact"/>
        <w:rPr>
          <w:sz w:val="20"/>
          <w:szCs w:val="20"/>
          <w:color w:val="auto"/>
        </w:rPr>
      </w:pPr>
    </w:p>
    <w:p>
      <w:pPr>
        <w:ind w:right="380"/>
        <w:spacing w:after="0" w:line="254" w:lineRule="auto"/>
        <w:rPr>
          <w:sz w:val="20"/>
          <w:szCs w:val="20"/>
          <w:color w:val="auto"/>
        </w:rPr>
      </w:pPr>
      <w:r>
        <w:rPr>
          <w:rFonts w:ascii="Arial" w:cs="Arial" w:eastAsia="Arial" w:hAnsi="Arial"/>
          <w:sz w:val="20"/>
          <w:szCs w:val="20"/>
          <w:color w:val="auto"/>
        </w:rPr>
        <w:t>Our approximately 57,000 employees are driven by our compassion for people, commitment to innovation and inclusion, service to the community and uncompromising integrity. We constantly strive to do the right thing, pursuing the highest standards in quality, compliance, safety, and performance.</w:t>
      </w:r>
    </w:p>
    <w:p>
      <w:pPr>
        <w:spacing w:after="0" w:line="26"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AbbVie employees are united in the same mission — to make a remarkable impact for our patients, communities, and people. We are committed to making a real difference in people’s lives and creating a positive impact on the world for generations to come.</w:t>
      </w:r>
    </w:p>
    <w:p>
      <w:pPr>
        <w:spacing w:after="0" w:line="828" w:lineRule="exact"/>
        <w:rPr>
          <w:sz w:val="20"/>
          <w:szCs w:val="20"/>
          <w:color w:val="auto"/>
        </w:rPr>
      </w:pPr>
    </w:p>
    <w:p>
      <w:pPr>
        <w:sectPr>
          <w:pgSz w:w="11880" w:h="15480" w:orient="portrait"/>
          <w:cols w:equalWidth="0" w:num="2">
            <w:col w:w="2040" w:space="560"/>
            <w:col w:w="7480"/>
          </w:cols>
          <w:pgMar w:left="900" w:top="702" w:right="900" w:bottom="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32"/>
          <w:szCs w:val="32"/>
          <w:color w:val="FFFFFF"/>
        </w:rPr>
        <w:t>AbbVie’s Principles are foundational: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-212725</wp:posOffset>
                </wp:positionV>
                <wp:extent cx="6400800" cy="233045"/>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233045"/>
                        </a:xfrm>
                        <a:prstGeom prst="rect">
                          <a:avLst/>
                        </a:prstGeom>
                        <a:solidFill>
                          <a:srgbClr val="000039"/>
                        </a:solidFill>
                      </wps:spPr>
                      <wps:bodyPr/>
                    </wps:wsp>
                  </a:graphicData>
                </a:graphic>
              </wp:anchor>
            </w:drawing>
          </mc:Choice>
          <mc:Fallback>
            <w:pict>
              <v:rect id="Shape 205" o:spid="_x0000_s1230" style="position:absolute;margin-left:0pt;margin-top:-16.7499pt;width:504pt;height:1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165735</wp:posOffset>
                </wp:positionV>
                <wp:extent cx="0" cy="224917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4917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5pt" to="0pt,190.15pt" o:allowincell="f" strokecolor="#000039" strokeweight="1.5pt"/>
            </w:pict>
          </mc:Fallback>
        </mc:AlternateConten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900" w:type="dxa"/>
            <w:vAlign w:val="bottom"/>
            <w:tcBorders>
              <w:right w:val="single" w:sz="8" w:color="000039"/>
            </w:tcBorders>
          </w:tcPr>
          <w:p>
            <w:pPr>
              <w:spacing w:after="0"/>
              <w:rPr>
                <w:sz w:val="20"/>
                <w:szCs w:val="20"/>
                <w:color w:val="auto"/>
              </w:rPr>
            </w:pPr>
            <w:r>
              <w:rPr>
                <w:rFonts w:ascii="Arial" w:cs="Arial" w:eastAsia="Arial" w:hAnsi="Arial"/>
                <w:sz w:val="24"/>
                <w:szCs w:val="24"/>
                <w:b w:val="1"/>
                <w:bCs w:val="1"/>
                <w:color w:val="auto"/>
              </w:rPr>
              <w:t>Transforming</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4"/>
                <w:szCs w:val="24"/>
                <w:b w:val="1"/>
                <w:bCs w:val="1"/>
                <w:color w:val="auto"/>
              </w:rPr>
              <w:t>Acting with</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4"/>
                <w:szCs w:val="24"/>
                <w:b w:val="1"/>
                <w:bCs w:val="1"/>
                <w:color w:val="auto"/>
              </w:rPr>
              <w:t>Driving</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4"/>
                <w:szCs w:val="24"/>
                <w:b w:val="1"/>
                <w:bCs w:val="1"/>
                <w:color w:val="auto"/>
              </w:rPr>
              <w:t>Embracing</w:t>
            </w:r>
          </w:p>
        </w:tc>
        <w:tc>
          <w:tcPr>
            <w:tcW w:w="1860" w:type="dxa"/>
            <w:vAlign w:val="bottom"/>
          </w:tcPr>
          <w:p>
            <w:pPr>
              <w:ind w:left="140"/>
              <w:spacing w:after="0"/>
              <w:rPr>
                <w:sz w:val="20"/>
                <w:szCs w:val="20"/>
                <w:color w:val="auto"/>
              </w:rPr>
            </w:pPr>
            <w:r>
              <w:rPr>
                <w:rFonts w:ascii="Arial" w:cs="Arial" w:eastAsia="Arial" w:hAnsi="Arial"/>
                <w:sz w:val="24"/>
                <w:szCs w:val="24"/>
                <w:b w:val="1"/>
                <w:bCs w:val="1"/>
                <w:color w:val="auto"/>
              </w:rPr>
              <w:t>Serving the</w:t>
            </w:r>
          </w:p>
        </w:tc>
      </w:tr>
      <w:tr>
        <w:trPr>
          <w:trHeight w:val="276"/>
        </w:trPr>
        <w:tc>
          <w:tcPr>
            <w:tcW w:w="1900" w:type="dxa"/>
            <w:vAlign w:val="bottom"/>
            <w:tcBorders>
              <w:right w:val="single" w:sz="8" w:color="000039"/>
            </w:tcBorders>
          </w:tcPr>
          <w:p>
            <w:pPr>
              <w:spacing w:after="0"/>
              <w:rPr>
                <w:sz w:val="20"/>
                <w:szCs w:val="20"/>
                <w:color w:val="auto"/>
              </w:rPr>
            </w:pPr>
            <w:r>
              <w:rPr>
                <w:rFonts w:ascii="Arial" w:cs="Arial" w:eastAsia="Arial" w:hAnsi="Arial"/>
                <w:sz w:val="24"/>
                <w:szCs w:val="24"/>
                <w:b w:val="1"/>
                <w:bCs w:val="1"/>
                <w:color w:val="auto"/>
              </w:rPr>
              <w:t>Lives</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4"/>
                <w:szCs w:val="24"/>
                <w:b w:val="1"/>
                <w:bCs w:val="1"/>
                <w:color w:val="auto"/>
              </w:rPr>
              <w:t>Integrity</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4"/>
                <w:szCs w:val="24"/>
                <w:b w:val="1"/>
                <w:bCs w:val="1"/>
                <w:color w:val="auto"/>
              </w:rPr>
              <w:t>Innovation</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4"/>
                <w:szCs w:val="24"/>
                <w:b w:val="1"/>
                <w:bCs w:val="1"/>
                <w:color w:val="auto"/>
              </w:rPr>
              <w:t>Diversity &amp;</w:t>
            </w:r>
          </w:p>
        </w:tc>
        <w:tc>
          <w:tcPr>
            <w:tcW w:w="1860" w:type="dxa"/>
            <w:vAlign w:val="bottom"/>
          </w:tcPr>
          <w:p>
            <w:pPr>
              <w:ind w:left="140"/>
              <w:spacing w:after="0"/>
              <w:rPr>
                <w:sz w:val="20"/>
                <w:szCs w:val="20"/>
                <w:color w:val="auto"/>
              </w:rPr>
            </w:pPr>
            <w:r>
              <w:rPr>
                <w:rFonts w:ascii="Arial" w:cs="Arial" w:eastAsia="Arial" w:hAnsi="Arial"/>
                <w:sz w:val="24"/>
                <w:szCs w:val="24"/>
                <w:b w:val="1"/>
                <w:bCs w:val="1"/>
                <w:color w:val="auto"/>
              </w:rPr>
              <w:t>Community</w:t>
            </w:r>
          </w:p>
        </w:tc>
      </w:tr>
      <w:tr>
        <w:trPr>
          <w:trHeight w:val="253"/>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We inspire hope</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We strive to always</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We innovate</w:t>
            </w:r>
          </w:p>
        </w:tc>
        <w:tc>
          <w:tcPr>
            <w:tcW w:w="2040" w:type="dxa"/>
            <w:vAlign w:val="bottom"/>
            <w:tcBorders>
              <w:right w:val="single" w:sz="8" w:color="000039"/>
            </w:tcBorders>
          </w:tcPr>
          <w:p>
            <w:pPr>
              <w:ind w:left="140"/>
              <w:spacing w:after="0" w:line="253" w:lineRule="exact"/>
              <w:rPr>
                <w:sz w:val="20"/>
                <w:szCs w:val="20"/>
                <w:color w:val="auto"/>
              </w:rPr>
            </w:pPr>
            <w:r>
              <w:rPr>
                <w:rFonts w:ascii="Arial" w:cs="Arial" w:eastAsia="Arial" w:hAnsi="Arial"/>
                <w:sz w:val="24"/>
                <w:szCs w:val="24"/>
                <w:b w:val="1"/>
                <w:bCs w:val="1"/>
                <w:color w:val="auto"/>
              </w:rPr>
              <w:t>Inclusion</w:t>
            </w:r>
          </w:p>
        </w:tc>
        <w:tc>
          <w:tcPr>
            <w:tcW w:w="1860" w:type="dxa"/>
            <w:vAlign w:val="bottom"/>
          </w:tcPr>
          <w:p>
            <w:pPr>
              <w:ind w:left="140"/>
              <w:spacing w:after="0"/>
              <w:rPr>
                <w:sz w:val="20"/>
                <w:szCs w:val="20"/>
                <w:color w:val="auto"/>
              </w:rPr>
            </w:pPr>
            <w:r>
              <w:rPr>
                <w:rFonts w:ascii="Arial" w:cs="Arial" w:eastAsia="Arial" w:hAnsi="Arial"/>
                <w:sz w:val="20"/>
                <w:szCs w:val="20"/>
                <w:color w:val="auto"/>
              </w:rPr>
              <w:t>We are proud to</w:t>
            </w:r>
          </w:p>
        </w:tc>
      </w:tr>
      <w:tr>
        <w:trPr>
          <w:trHeight w:val="239"/>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and transform lives</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do the right thing.</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relentlessly in</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We treat everyone</w:t>
            </w:r>
          </w:p>
        </w:tc>
        <w:tc>
          <w:tcPr>
            <w:tcW w:w="1860" w:type="dxa"/>
            <w:vAlign w:val="bottom"/>
          </w:tcPr>
          <w:p>
            <w:pPr>
              <w:ind w:left="140"/>
              <w:spacing w:after="0"/>
              <w:rPr>
                <w:sz w:val="20"/>
                <w:szCs w:val="20"/>
                <w:color w:val="auto"/>
              </w:rPr>
            </w:pPr>
            <w:r>
              <w:rPr>
                <w:rFonts w:ascii="Arial" w:cs="Arial" w:eastAsia="Arial" w:hAnsi="Arial"/>
                <w:sz w:val="20"/>
                <w:szCs w:val="20"/>
                <w:color w:val="auto"/>
              </w:rPr>
              <w:t>serve and support</w:t>
            </w:r>
          </w:p>
        </w:tc>
      </w:tr>
      <w:tr>
        <w:trPr>
          <w:trHeight w:val="229"/>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every day. We</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With</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everything we do to</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equally, with dignity</w:t>
            </w:r>
          </w:p>
        </w:tc>
        <w:tc>
          <w:tcPr>
            <w:tcW w:w="1860" w:type="dxa"/>
            <w:vAlign w:val="bottom"/>
          </w:tcPr>
          <w:p>
            <w:pPr>
              <w:ind w:left="140"/>
              <w:spacing w:after="0"/>
              <w:rPr>
                <w:sz w:val="20"/>
                <w:szCs w:val="20"/>
                <w:color w:val="auto"/>
              </w:rPr>
            </w:pPr>
            <w:r>
              <w:rPr>
                <w:rFonts w:ascii="Arial" w:cs="Arial" w:eastAsia="Arial" w:hAnsi="Arial"/>
                <w:sz w:val="20"/>
                <w:szCs w:val="20"/>
                <w:color w:val="auto"/>
              </w:rPr>
              <w:t>the community and</w:t>
            </w:r>
          </w:p>
        </w:tc>
      </w:tr>
      <w:tr>
        <w:trPr>
          <w:trHeight w:val="230"/>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make decisions</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uncompromising</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tackle unmet</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and respect.</w:t>
            </w:r>
          </w:p>
        </w:tc>
        <w:tc>
          <w:tcPr>
            <w:tcW w:w="1860" w:type="dxa"/>
            <w:vAlign w:val="bottom"/>
          </w:tcPr>
          <w:p>
            <w:pPr>
              <w:ind w:left="140"/>
              <w:spacing w:after="0"/>
              <w:rPr>
                <w:sz w:val="20"/>
                <w:szCs w:val="20"/>
                <w:color w:val="auto"/>
              </w:rPr>
            </w:pPr>
            <w:r>
              <w:rPr>
                <w:rFonts w:ascii="Arial" w:cs="Arial" w:eastAsia="Arial" w:hAnsi="Arial"/>
                <w:sz w:val="20"/>
                <w:szCs w:val="20"/>
                <w:color w:val="auto"/>
              </w:rPr>
              <w:t>do our part to</w:t>
            </w:r>
          </w:p>
        </w:tc>
      </w:tr>
      <w:tr>
        <w:trPr>
          <w:trHeight w:val="230"/>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based on our deep</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integrity at the</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needs. We invest in</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Around the world,</w:t>
            </w:r>
          </w:p>
        </w:tc>
        <w:tc>
          <w:tcPr>
            <w:tcW w:w="1860" w:type="dxa"/>
            <w:vAlign w:val="bottom"/>
          </w:tcPr>
          <w:p>
            <w:pPr>
              <w:ind w:left="140"/>
              <w:spacing w:after="0"/>
              <w:rPr>
                <w:sz w:val="20"/>
                <w:szCs w:val="20"/>
                <w:color w:val="auto"/>
              </w:rPr>
            </w:pPr>
            <w:r>
              <w:rPr>
                <w:rFonts w:ascii="Arial" w:cs="Arial" w:eastAsia="Arial" w:hAnsi="Arial"/>
                <w:sz w:val="20"/>
                <w:szCs w:val="20"/>
                <w:color w:val="auto"/>
              </w:rPr>
              <w:t>protect the</w:t>
            </w:r>
          </w:p>
        </w:tc>
      </w:tr>
      <w:tr>
        <w:trPr>
          <w:trHeight w:val="229"/>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caring and</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heart of everything</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the discovery and</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our employees</w:t>
            </w:r>
          </w:p>
        </w:tc>
        <w:tc>
          <w:tcPr>
            <w:tcW w:w="1860" w:type="dxa"/>
            <w:vAlign w:val="bottom"/>
          </w:tcPr>
          <w:p>
            <w:pPr>
              <w:ind w:left="140"/>
              <w:spacing w:after="0"/>
              <w:rPr>
                <w:sz w:val="20"/>
                <w:szCs w:val="20"/>
                <w:color w:val="auto"/>
              </w:rPr>
            </w:pPr>
            <w:r>
              <w:rPr>
                <w:rFonts w:ascii="Arial" w:cs="Arial" w:eastAsia="Arial" w:hAnsi="Arial"/>
                <w:sz w:val="20"/>
                <w:szCs w:val="20"/>
                <w:color w:val="auto"/>
              </w:rPr>
              <w:t>environment. We</w:t>
            </w:r>
          </w:p>
        </w:tc>
      </w:tr>
      <w:tr>
        <w:trPr>
          <w:trHeight w:val="230"/>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compassion for</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we do, we pursue</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development of</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embrace diverse</w:t>
            </w:r>
          </w:p>
        </w:tc>
        <w:tc>
          <w:tcPr>
            <w:tcW w:w="1860" w:type="dxa"/>
            <w:vAlign w:val="bottom"/>
          </w:tcPr>
          <w:p>
            <w:pPr>
              <w:ind w:left="140"/>
              <w:spacing w:after="0"/>
              <w:rPr>
                <w:sz w:val="20"/>
                <w:szCs w:val="20"/>
                <w:color w:val="auto"/>
              </w:rPr>
            </w:pPr>
            <w:r>
              <w:rPr>
                <w:rFonts w:ascii="Arial" w:cs="Arial" w:eastAsia="Arial" w:hAnsi="Arial"/>
                <w:sz w:val="20"/>
                <w:szCs w:val="20"/>
                <w:color w:val="auto"/>
                <w:w w:val="99"/>
              </w:rPr>
              <w:t>make a remarkable</w:t>
            </w:r>
          </w:p>
        </w:tc>
      </w:tr>
      <w:tr>
        <w:trPr>
          <w:trHeight w:val="230"/>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people, delivering a</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the highest</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new medicines and</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backgrounds and</w:t>
            </w:r>
          </w:p>
        </w:tc>
        <w:tc>
          <w:tcPr>
            <w:tcW w:w="1860" w:type="dxa"/>
            <w:vAlign w:val="bottom"/>
          </w:tcPr>
          <w:p>
            <w:pPr>
              <w:ind w:left="140"/>
              <w:spacing w:after="0"/>
              <w:rPr>
                <w:sz w:val="20"/>
                <w:szCs w:val="20"/>
                <w:color w:val="auto"/>
              </w:rPr>
            </w:pPr>
            <w:r>
              <w:rPr>
                <w:rFonts w:ascii="Arial" w:cs="Arial" w:eastAsia="Arial" w:hAnsi="Arial"/>
                <w:sz w:val="20"/>
                <w:szCs w:val="20"/>
                <w:color w:val="auto"/>
              </w:rPr>
              <w:t>impact that's felt</w:t>
            </w:r>
          </w:p>
        </w:tc>
      </w:tr>
      <w:tr>
        <w:trPr>
          <w:trHeight w:val="229"/>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lasting impact to</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standards in</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healthcare</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perspectives, which</w:t>
            </w:r>
          </w:p>
        </w:tc>
        <w:tc>
          <w:tcPr>
            <w:tcW w:w="1860" w:type="dxa"/>
            <w:vAlign w:val="bottom"/>
          </w:tcPr>
          <w:p>
            <w:pPr>
              <w:ind w:left="140"/>
              <w:spacing w:after="0"/>
              <w:rPr>
                <w:sz w:val="20"/>
                <w:szCs w:val="20"/>
                <w:color w:val="auto"/>
              </w:rPr>
            </w:pPr>
            <w:r>
              <w:rPr>
                <w:rFonts w:ascii="Arial" w:cs="Arial" w:eastAsia="Arial" w:hAnsi="Arial"/>
                <w:sz w:val="20"/>
                <w:szCs w:val="20"/>
                <w:color w:val="auto"/>
              </w:rPr>
              <w:t>within healthcare</w:t>
            </w:r>
          </w:p>
        </w:tc>
      </w:tr>
      <w:tr>
        <w:trPr>
          <w:trHeight w:val="230"/>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our patients, their</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quality,</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approaches for a</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allows us all to</w:t>
            </w:r>
          </w:p>
        </w:tc>
        <w:tc>
          <w:tcPr>
            <w:tcW w:w="1860" w:type="dxa"/>
            <w:vAlign w:val="bottom"/>
          </w:tcPr>
          <w:p>
            <w:pPr>
              <w:ind w:left="140"/>
              <w:spacing w:after="0"/>
              <w:rPr>
                <w:sz w:val="20"/>
                <w:szCs w:val="20"/>
                <w:color w:val="auto"/>
              </w:rPr>
            </w:pPr>
            <w:r>
              <w:rPr>
                <w:rFonts w:ascii="Arial" w:cs="Arial" w:eastAsia="Arial" w:hAnsi="Arial"/>
                <w:sz w:val="20"/>
                <w:szCs w:val="20"/>
                <w:color w:val="auto"/>
              </w:rPr>
              <w:t>and beyond.</w:t>
            </w:r>
          </w:p>
        </w:tc>
      </w:tr>
      <w:tr>
        <w:trPr>
          <w:trHeight w:val="230"/>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families, our</w:t>
            </w:r>
          </w:p>
        </w:tc>
        <w:tc>
          <w:tcPr>
            <w:tcW w:w="202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compliance, safety</w:t>
            </w:r>
          </w:p>
        </w:tc>
        <w:tc>
          <w:tcPr>
            <w:tcW w:w="2040" w:type="dxa"/>
            <w:vAlign w:val="bottom"/>
            <w:tcBorders>
              <w:right w:val="single" w:sz="8" w:color="000039"/>
            </w:tcBorders>
          </w:tcPr>
          <w:p>
            <w:pPr>
              <w:ind w:left="160"/>
              <w:spacing w:after="0"/>
              <w:rPr>
                <w:sz w:val="20"/>
                <w:szCs w:val="20"/>
                <w:color w:val="auto"/>
              </w:rPr>
            </w:pPr>
            <w:r>
              <w:rPr>
                <w:rFonts w:ascii="Arial" w:cs="Arial" w:eastAsia="Arial" w:hAnsi="Arial"/>
                <w:sz w:val="20"/>
                <w:szCs w:val="20"/>
                <w:color w:val="auto"/>
              </w:rPr>
              <w:t>healthier world.</w:t>
            </w:r>
          </w:p>
        </w:tc>
        <w:tc>
          <w:tcPr>
            <w:tcW w:w="2040" w:type="dxa"/>
            <w:vAlign w:val="bottom"/>
            <w:tcBorders>
              <w:right w:val="single" w:sz="8" w:color="000039"/>
            </w:tcBorders>
          </w:tcPr>
          <w:p>
            <w:pPr>
              <w:ind w:left="140"/>
              <w:spacing w:after="0"/>
              <w:rPr>
                <w:sz w:val="20"/>
                <w:szCs w:val="20"/>
                <w:color w:val="auto"/>
              </w:rPr>
            </w:pPr>
            <w:r>
              <w:rPr>
                <w:rFonts w:ascii="Arial" w:cs="Arial" w:eastAsia="Arial" w:hAnsi="Arial"/>
                <w:sz w:val="20"/>
                <w:szCs w:val="20"/>
                <w:color w:val="auto"/>
              </w:rPr>
              <w:t>achieve our best.</w:t>
            </w:r>
          </w:p>
        </w:tc>
        <w:tc>
          <w:tcPr>
            <w:tcW w:w="1860" w:type="dxa"/>
            <w:vAlign w:val="bottom"/>
          </w:tcPr>
          <w:p>
            <w:pPr>
              <w:spacing w:after="0"/>
              <w:rPr>
                <w:sz w:val="20"/>
                <w:szCs w:val="20"/>
                <w:color w:val="auto"/>
              </w:rPr>
            </w:pPr>
          </w:p>
        </w:tc>
      </w:tr>
      <w:tr>
        <w:trPr>
          <w:trHeight w:val="205"/>
        </w:trPr>
        <w:tc>
          <w:tcPr>
            <w:tcW w:w="1900" w:type="dxa"/>
            <w:vAlign w:val="bottom"/>
            <w:tcBorders>
              <w:right w:val="single" w:sz="8" w:color="000039"/>
            </w:tcBorders>
          </w:tcPr>
          <w:p>
            <w:pPr>
              <w:spacing w:after="0" w:line="206" w:lineRule="exact"/>
              <w:rPr>
                <w:sz w:val="20"/>
                <w:szCs w:val="20"/>
                <w:color w:val="auto"/>
              </w:rPr>
            </w:pPr>
            <w:r>
              <w:rPr>
                <w:rFonts w:ascii="Arial" w:cs="Arial" w:eastAsia="Arial" w:hAnsi="Arial"/>
                <w:sz w:val="20"/>
                <w:szCs w:val="20"/>
                <w:color w:val="auto"/>
              </w:rPr>
              <w:t>employees and the</w:t>
            </w:r>
          </w:p>
        </w:tc>
        <w:tc>
          <w:tcPr>
            <w:tcW w:w="2020" w:type="dxa"/>
            <w:vAlign w:val="bottom"/>
            <w:tcBorders>
              <w:right w:val="single" w:sz="8" w:color="000039"/>
            </w:tcBorders>
          </w:tcPr>
          <w:p>
            <w:pPr>
              <w:ind w:left="140"/>
              <w:spacing w:after="0" w:line="206" w:lineRule="exact"/>
              <w:rPr>
                <w:sz w:val="20"/>
                <w:szCs w:val="20"/>
                <w:color w:val="auto"/>
              </w:rPr>
            </w:pPr>
            <w:r>
              <w:rPr>
                <w:rFonts w:ascii="Arial" w:cs="Arial" w:eastAsia="Arial" w:hAnsi="Arial"/>
                <w:sz w:val="20"/>
                <w:szCs w:val="20"/>
                <w:color w:val="auto"/>
              </w:rPr>
              <w:t>and performance.</w:t>
            </w:r>
          </w:p>
        </w:tc>
        <w:tc>
          <w:tcPr>
            <w:tcW w:w="2040" w:type="dxa"/>
            <w:vAlign w:val="bottom"/>
            <w:tcBorders>
              <w:right w:val="single" w:sz="8" w:color="000039"/>
            </w:tcBorders>
          </w:tcPr>
          <w:p>
            <w:pPr>
              <w:spacing w:after="0"/>
              <w:rPr>
                <w:sz w:val="17"/>
                <w:szCs w:val="17"/>
                <w:color w:val="auto"/>
              </w:rPr>
            </w:pPr>
          </w:p>
        </w:tc>
        <w:tc>
          <w:tcPr>
            <w:tcW w:w="2040" w:type="dxa"/>
            <w:vAlign w:val="bottom"/>
            <w:tcBorders>
              <w:right w:val="single" w:sz="8" w:color="000039"/>
            </w:tcBorders>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900" w:type="dxa"/>
            <w:vAlign w:val="bottom"/>
            <w:tcBorders>
              <w:right w:val="single" w:sz="8" w:color="000039"/>
            </w:tcBorders>
          </w:tcPr>
          <w:p>
            <w:pPr>
              <w:spacing w:after="0"/>
              <w:rPr>
                <w:sz w:val="20"/>
                <w:szCs w:val="20"/>
                <w:color w:val="auto"/>
              </w:rPr>
            </w:pPr>
            <w:r>
              <w:rPr>
                <w:rFonts w:ascii="Arial" w:cs="Arial" w:eastAsia="Arial" w:hAnsi="Arial"/>
                <w:sz w:val="20"/>
                <w:szCs w:val="20"/>
                <w:color w:val="auto"/>
              </w:rPr>
              <w:t>community.</w:t>
            </w:r>
          </w:p>
        </w:tc>
        <w:tc>
          <w:tcPr>
            <w:tcW w:w="2020" w:type="dxa"/>
            <w:vAlign w:val="bottom"/>
            <w:tcBorders>
              <w:right w:val="single" w:sz="8" w:color="000039"/>
            </w:tcBorders>
          </w:tcPr>
          <w:p>
            <w:pPr>
              <w:spacing w:after="0"/>
              <w:rPr>
                <w:sz w:val="21"/>
                <w:szCs w:val="21"/>
                <w:color w:val="auto"/>
              </w:rPr>
            </w:pPr>
          </w:p>
        </w:tc>
        <w:tc>
          <w:tcPr>
            <w:tcW w:w="2040" w:type="dxa"/>
            <w:vAlign w:val="bottom"/>
            <w:tcBorders>
              <w:right w:val="single" w:sz="8" w:color="000039"/>
            </w:tcBorders>
          </w:tcPr>
          <w:p>
            <w:pPr>
              <w:spacing w:after="0"/>
              <w:rPr>
                <w:sz w:val="21"/>
                <w:szCs w:val="21"/>
                <w:color w:val="auto"/>
              </w:rPr>
            </w:pPr>
          </w:p>
        </w:tc>
        <w:tc>
          <w:tcPr>
            <w:tcW w:w="2040" w:type="dxa"/>
            <w:vAlign w:val="bottom"/>
            <w:tcBorders>
              <w:right w:val="single" w:sz="8" w:color="000039"/>
            </w:tcBorders>
          </w:tcPr>
          <w:p>
            <w:pPr>
              <w:spacing w:after="0"/>
              <w:rPr>
                <w:sz w:val="21"/>
                <w:szCs w:val="21"/>
                <w:color w:val="auto"/>
              </w:rPr>
            </w:pPr>
          </w:p>
        </w:tc>
        <w:tc>
          <w:tcPr>
            <w:tcW w:w="18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2480" w:val="left"/>
        </w:tabs>
        <w:rPr>
          <w:sz w:val="20"/>
          <w:szCs w:val="20"/>
          <w:color w:val="auto"/>
        </w:rPr>
      </w:pPr>
      <w:r>
        <w:rPr>
          <w:rFonts w:ascii="Arial" w:cs="Arial" w:eastAsia="Arial" w:hAnsi="Arial"/>
          <w:sz w:val="20"/>
          <w:szCs w:val="20"/>
          <w:color w:val="auto"/>
        </w:rPr>
        <w:t xml:space="preserve">2  </w:t>
      </w:r>
      <w:r>
        <w:rPr>
          <w:sz w:val="1"/>
          <w:szCs w:val="1"/>
          <w:color w:val="auto"/>
        </w:rPr>
        <w:drawing>
          <wp:inline distT="0" distB="0" distL="0" distR="0">
            <wp:extent cx="992505" cy="2006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57">
                      <a:extLst>
                        <a:ext uri="{28A0092B-C50C-407E-A947-70E740481C1C}"/>
                      </a:extLst>
                    </a:blip>
                    <a:srcRect/>
                    <a:stretch>
                      <a:fillRect/>
                    </a:stretch>
                  </pic:blipFill>
                  <pic:spPr bwMode="auto">
                    <a:xfrm>
                      <a:off x="0" y="0"/>
                      <a:ext cx="992505"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20"/>
          <w:szCs w:val="20"/>
          <w:color w:val="808080"/>
        </w:rPr>
        <w:t>PROXY SUMMARY</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Our Business Performance</w:t>
      </w:r>
    </w:p>
    <w:p>
      <w:pPr>
        <w:spacing w:after="0" w:line="169" w:lineRule="exact"/>
        <w:rPr>
          <w:sz w:val="20"/>
          <w:szCs w:val="20"/>
          <w:color w:val="auto"/>
        </w:rPr>
      </w:pPr>
    </w:p>
    <w:p>
      <w:pPr>
        <w:ind w:right="280"/>
        <w:spacing w:after="0" w:line="298" w:lineRule="auto"/>
        <w:rPr>
          <w:sz w:val="20"/>
          <w:szCs w:val="20"/>
          <w:color w:val="auto"/>
        </w:rPr>
      </w:pPr>
      <w:r>
        <w:rPr>
          <w:rFonts w:ascii="Arial" w:cs="Arial" w:eastAsia="Arial" w:hAnsi="Arial"/>
          <w:sz w:val="24"/>
          <w:szCs w:val="24"/>
          <w:b w:val="1"/>
          <w:bCs w:val="1"/>
          <w:color w:val="000039"/>
        </w:rPr>
        <w:t>Advanced our strategy through outstanding operational execution and investments in innovation during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Total Net Revenues</w:t>
            </w:r>
          </w:p>
        </w:tc>
        <w:tc>
          <w:tcPr>
            <w:tcW w:w="140" w:type="dxa"/>
            <w:vAlign w:val="bottom"/>
          </w:tcPr>
          <w:p>
            <w:pPr>
              <w:spacing w:after="0"/>
              <w:rPr>
                <w:sz w:val="22"/>
                <w:szCs w:val="22"/>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Growth Platform Net Revenues</w:t>
            </w:r>
          </w:p>
        </w:tc>
        <w:tc>
          <w:tcPr>
            <w:tcW w:w="12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Arial" w:cs="Arial" w:eastAsia="Arial" w:hAnsi="Arial"/>
                <w:sz w:val="20"/>
                <w:szCs w:val="20"/>
                <w:b w:val="1"/>
                <w:bCs w:val="1"/>
                <w:color w:val="auto"/>
                <w:w w:val="99"/>
              </w:rPr>
              <w:t>Operating Cash Flow</w:t>
            </w:r>
          </w:p>
        </w:tc>
        <w:tc>
          <w:tcPr>
            <w:tcW w:w="0" w:type="dxa"/>
            <w:vAlign w:val="bottom"/>
          </w:tcPr>
          <w:p>
            <w:pPr>
              <w:spacing w:after="0"/>
              <w:rPr>
                <w:sz w:val="1"/>
                <w:szCs w:val="1"/>
                <w:color w:val="auto"/>
              </w:rPr>
            </w:pPr>
          </w:p>
        </w:tc>
      </w:tr>
      <w:tr>
        <w:trPr>
          <w:trHeight w:val="812"/>
        </w:trPr>
        <w:tc>
          <w:tcPr>
            <w:tcW w:w="3340" w:type="dxa"/>
            <w:vAlign w:val="bottom"/>
            <w:gridSpan w:val="2"/>
          </w:tcPr>
          <w:p>
            <w:pPr>
              <w:jc w:val="center"/>
              <w:ind w:right="100"/>
              <w:spacing w:after="0" w:line="811" w:lineRule="exact"/>
              <w:rPr>
                <w:sz w:val="20"/>
                <w:szCs w:val="20"/>
                <w:color w:val="auto"/>
              </w:rPr>
            </w:pPr>
            <w:r>
              <w:rPr>
                <w:rFonts w:ascii="Arial" w:cs="Arial" w:eastAsia="Arial" w:hAnsi="Arial"/>
                <w:sz w:val="72"/>
                <w:szCs w:val="72"/>
                <w:color w:val="000039"/>
                <w:w w:val="99"/>
              </w:rPr>
              <w:t>$61.2BN</w:t>
            </w:r>
          </w:p>
        </w:tc>
        <w:tc>
          <w:tcPr>
            <w:tcW w:w="140" w:type="dxa"/>
            <w:vAlign w:val="bottom"/>
            <w:tcBorders>
              <w:left w:val="single" w:sz="8" w:color="000039"/>
            </w:tcBorders>
          </w:tcPr>
          <w:p>
            <w:pPr>
              <w:spacing w:after="0"/>
              <w:rPr>
                <w:sz w:val="24"/>
                <w:szCs w:val="24"/>
                <w:color w:val="auto"/>
              </w:rPr>
            </w:pPr>
          </w:p>
        </w:tc>
        <w:tc>
          <w:tcPr>
            <w:tcW w:w="3360" w:type="dxa"/>
            <w:vAlign w:val="bottom"/>
            <w:gridSpan w:val="2"/>
          </w:tcPr>
          <w:p>
            <w:pPr>
              <w:jc w:val="center"/>
              <w:ind w:right="120"/>
              <w:spacing w:after="0" w:line="811" w:lineRule="exact"/>
              <w:rPr>
                <w:sz w:val="20"/>
                <w:szCs w:val="20"/>
                <w:color w:val="auto"/>
              </w:rPr>
            </w:pPr>
            <w:r>
              <w:rPr>
                <w:rFonts w:ascii="Arial" w:cs="Arial" w:eastAsia="Arial" w:hAnsi="Arial"/>
                <w:sz w:val="72"/>
                <w:szCs w:val="72"/>
                <w:color w:val="000039"/>
                <w:w w:val="99"/>
              </w:rPr>
              <w:t>$56.6BN</w:t>
            </w:r>
          </w:p>
        </w:tc>
        <w:tc>
          <w:tcPr>
            <w:tcW w:w="120" w:type="dxa"/>
            <w:vAlign w:val="bottom"/>
            <w:tcBorders>
              <w:left w:val="single" w:sz="8" w:color="000039"/>
            </w:tcBorders>
          </w:tcPr>
          <w:p>
            <w:pPr>
              <w:spacing w:after="0"/>
              <w:rPr>
                <w:sz w:val="24"/>
                <w:szCs w:val="24"/>
                <w:color w:val="auto"/>
              </w:rPr>
            </w:pPr>
          </w:p>
        </w:tc>
        <w:tc>
          <w:tcPr>
            <w:tcW w:w="3120" w:type="dxa"/>
            <w:vAlign w:val="bottom"/>
          </w:tcPr>
          <w:p>
            <w:pPr>
              <w:jc w:val="center"/>
              <w:spacing w:after="0" w:line="811" w:lineRule="exact"/>
              <w:rPr>
                <w:sz w:val="20"/>
                <w:szCs w:val="20"/>
                <w:color w:val="auto"/>
              </w:rPr>
            </w:pPr>
            <w:r>
              <w:rPr>
                <w:rFonts w:ascii="Arial" w:cs="Arial" w:eastAsia="Arial" w:hAnsi="Arial"/>
                <w:sz w:val="72"/>
                <w:szCs w:val="72"/>
                <w:color w:val="000039"/>
                <w:w w:val="99"/>
              </w:rPr>
              <w:t>$19.0BN</w:t>
            </w:r>
          </w:p>
        </w:tc>
        <w:tc>
          <w:tcPr>
            <w:tcW w:w="0" w:type="dxa"/>
            <w:vAlign w:val="bottom"/>
          </w:tcPr>
          <w:p>
            <w:pPr>
              <w:spacing w:after="0"/>
              <w:rPr>
                <w:sz w:val="1"/>
                <w:szCs w:val="1"/>
                <w:color w:val="auto"/>
              </w:rPr>
            </w:pPr>
          </w:p>
        </w:tc>
      </w:tr>
      <w:tr>
        <w:trPr>
          <w:trHeight w:val="199"/>
        </w:trPr>
        <w:tc>
          <w:tcPr>
            <w:tcW w:w="3340" w:type="dxa"/>
            <w:vAlign w:val="bottom"/>
            <w:gridSpan w:val="2"/>
          </w:tcPr>
          <w:p>
            <w:pPr>
              <w:jc w:val="center"/>
              <w:ind w:right="120"/>
              <w:spacing w:after="0"/>
              <w:rPr>
                <w:sz w:val="20"/>
                <w:szCs w:val="20"/>
                <w:color w:val="auto"/>
              </w:rPr>
            </w:pPr>
            <w:r>
              <w:rPr>
                <w:rFonts w:ascii="Arial" w:cs="Arial" w:eastAsia="Arial" w:hAnsi="Arial"/>
                <w:sz w:val="16"/>
                <w:szCs w:val="16"/>
                <w:color w:val="auto"/>
              </w:rPr>
              <w:t>+8.5% operational growth compared to 2024*</w:t>
            </w:r>
          </w:p>
        </w:tc>
        <w:tc>
          <w:tcPr>
            <w:tcW w:w="140" w:type="dxa"/>
            <w:vAlign w:val="bottom"/>
            <w:tcBorders>
              <w:left w:val="single" w:sz="8" w:color="000039"/>
            </w:tcBorders>
          </w:tcPr>
          <w:p>
            <w:pPr>
              <w:spacing w:after="0"/>
              <w:rPr>
                <w:sz w:val="17"/>
                <w:szCs w:val="17"/>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+19.6% compared to 2024**</w:t>
            </w:r>
          </w:p>
        </w:tc>
        <w:tc>
          <w:tcPr>
            <w:tcW w:w="120" w:type="dxa"/>
            <w:vAlign w:val="bottom"/>
            <w:tcBorders>
              <w:left w:val="single" w:sz="8" w:color="000039"/>
            </w:tcBorders>
          </w:tcPr>
          <w:p>
            <w:pPr>
              <w:spacing w:after="0"/>
              <w:rPr>
                <w:sz w:val="17"/>
                <w:szCs w:val="17"/>
                <w:color w:val="auto"/>
              </w:rPr>
            </w:pPr>
          </w:p>
        </w:tc>
        <w:tc>
          <w:tcPr>
            <w:tcW w:w="3120" w:type="dxa"/>
            <w:vAlign w:val="bottom"/>
          </w:tcPr>
          <w:p>
            <w:pPr>
              <w:jc w:val="center"/>
              <w:spacing w:after="0"/>
              <w:rPr>
                <w:sz w:val="20"/>
                <w:szCs w:val="20"/>
                <w:color w:val="auto"/>
              </w:rPr>
            </w:pPr>
            <w:r>
              <w:rPr>
                <w:rFonts w:ascii="Arial" w:cs="Arial" w:eastAsia="Arial" w:hAnsi="Arial"/>
                <w:sz w:val="16"/>
                <w:szCs w:val="16"/>
                <w:color w:val="auto"/>
                <w:w w:val="98"/>
              </w:rPr>
              <w:t>in 2025</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000039"/>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tcBorders>
              <w:bottom w:val="single" w:sz="8" w:color="000039"/>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Borders>
              <w:bottom w:val="single" w:sz="8" w:color="000039"/>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4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rPr>
              <w:t>Blockbuster Products</w:t>
            </w:r>
          </w:p>
        </w:tc>
        <w:tc>
          <w:tcPr>
            <w:tcW w:w="140" w:type="dxa"/>
            <w:vAlign w:val="bottom"/>
          </w:tcPr>
          <w:p>
            <w:pPr>
              <w:spacing w:after="0"/>
              <w:rPr>
                <w:sz w:val="18"/>
                <w:szCs w:val="18"/>
                <w:color w:val="auto"/>
              </w:rPr>
            </w:pPr>
          </w:p>
        </w:tc>
        <w:tc>
          <w:tcPr>
            <w:tcW w:w="336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rPr>
              <w:t>Adjusted R&amp;D Investment</w:t>
            </w:r>
          </w:p>
        </w:tc>
        <w:tc>
          <w:tcPr>
            <w:tcW w:w="120" w:type="dxa"/>
            <w:vAlign w:val="bottom"/>
          </w:tcPr>
          <w:p>
            <w:pPr>
              <w:spacing w:after="0"/>
              <w:rPr>
                <w:sz w:val="18"/>
                <w:szCs w:val="18"/>
                <w:color w:val="auto"/>
              </w:rPr>
            </w:pPr>
          </w:p>
        </w:tc>
        <w:tc>
          <w:tcPr>
            <w:tcW w:w="312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Development Pipeline</w:t>
            </w:r>
          </w:p>
        </w:tc>
        <w:tc>
          <w:tcPr>
            <w:tcW w:w="0" w:type="dxa"/>
            <w:vAlign w:val="bottom"/>
          </w:tcPr>
          <w:p>
            <w:pPr>
              <w:spacing w:after="0"/>
              <w:rPr>
                <w:sz w:val="1"/>
                <w:szCs w:val="1"/>
                <w:color w:val="auto"/>
              </w:rPr>
            </w:pPr>
          </w:p>
        </w:tc>
      </w:tr>
      <w:tr>
        <w:trPr>
          <w:trHeight w:val="229"/>
        </w:trPr>
        <w:tc>
          <w:tcPr>
            <w:tcW w:w="3340" w:type="dxa"/>
            <w:vAlign w:val="bottom"/>
            <w:gridSpan w:val="2"/>
            <w:vMerge w:val="continue"/>
          </w:tcPr>
          <w:p>
            <w:pPr>
              <w:spacing w:after="0"/>
              <w:rPr>
                <w:sz w:val="19"/>
                <w:szCs w:val="19"/>
                <w:color w:val="auto"/>
              </w:rPr>
            </w:pPr>
          </w:p>
        </w:tc>
        <w:tc>
          <w:tcPr>
            <w:tcW w:w="140" w:type="dxa"/>
            <w:vAlign w:val="bottom"/>
            <w:tcBorders>
              <w:left w:val="single" w:sz="8" w:color="auto"/>
            </w:tcBorders>
          </w:tcPr>
          <w:p>
            <w:pPr>
              <w:spacing w:after="0"/>
              <w:rPr>
                <w:sz w:val="19"/>
                <w:szCs w:val="19"/>
                <w:color w:val="auto"/>
              </w:rPr>
            </w:pPr>
          </w:p>
        </w:tc>
        <w:tc>
          <w:tcPr>
            <w:tcW w:w="3360" w:type="dxa"/>
            <w:vAlign w:val="bottom"/>
            <w:gridSpan w:val="2"/>
            <w:vMerge w:val="continue"/>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28"/>
        </w:trPr>
        <w:tc>
          <w:tcPr>
            <w:tcW w:w="3240" w:type="dxa"/>
            <w:vAlign w:val="bottom"/>
          </w:tcPr>
          <w:p>
            <w:pPr>
              <w:jc w:val="right"/>
              <w:ind w:right="1040"/>
              <w:spacing w:after="0"/>
              <w:rPr>
                <w:sz w:val="20"/>
                <w:szCs w:val="20"/>
                <w:color w:val="auto"/>
              </w:rPr>
            </w:pPr>
            <w:r>
              <w:rPr>
                <w:rFonts w:ascii="Arial" w:cs="Arial" w:eastAsia="Arial" w:hAnsi="Arial"/>
                <w:sz w:val="72"/>
                <w:szCs w:val="72"/>
                <w:color w:val="000039"/>
              </w:rPr>
              <w:t>12</w:t>
            </w:r>
          </w:p>
        </w:tc>
        <w:tc>
          <w:tcPr>
            <w:tcW w:w="100" w:type="dxa"/>
            <w:vAlign w:val="bottom"/>
          </w:tcPr>
          <w:p>
            <w:pPr>
              <w:spacing w:after="0"/>
              <w:rPr>
                <w:sz w:val="24"/>
                <w:szCs w:val="24"/>
                <w:color w:val="auto"/>
              </w:rPr>
            </w:pPr>
          </w:p>
        </w:tc>
        <w:tc>
          <w:tcPr>
            <w:tcW w:w="140" w:type="dxa"/>
            <w:vAlign w:val="bottom"/>
            <w:tcBorders>
              <w:left w:val="single" w:sz="8" w:color="000039"/>
            </w:tcBorders>
          </w:tcPr>
          <w:p>
            <w:pPr>
              <w:spacing w:after="0"/>
              <w:rPr>
                <w:sz w:val="24"/>
                <w:szCs w:val="24"/>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72"/>
                <w:szCs w:val="72"/>
                <w:color w:val="000039"/>
                <w:w w:val="99"/>
              </w:rPr>
              <w:t>$13.8BN</w:t>
            </w:r>
          </w:p>
        </w:tc>
        <w:tc>
          <w:tcPr>
            <w:tcW w:w="3240" w:type="dxa"/>
            <w:vAlign w:val="bottom"/>
            <w:tcBorders>
              <w:left w:val="single" w:sz="8" w:color="000039"/>
            </w:tcBorders>
            <w:gridSpan w:val="2"/>
          </w:tcPr>
          <w:p>
            <w:pPr>
              <w:jc w:val="right"/>
              <w:ind w:right="796"/>
              <w:spacing w:after="0"/>
              <w:rPr>
                <w:sz w:val="20"/>
                <w:szCs w:val="20"/>
                <w:color w:val="auto"/>
              </w:rPr>
            </w:pPr>
            <w:r>
              <w:rPr>
                <w:rFonts w:ascii="Arial" w:cs="Arial" w:eastAsia="Arial" w:hAnsi="Arial"/>
                <w:sz w:val="72"/>
                <w:szCs w:val="72"/>
                <w:color w:val="000039"/>
              </w:rPr>
              <w:t>~90</w:t>
            </w:r>
          </w:p>
        </w:tc>
        <w:tc>
          <w:tcPr>
            <w:tcW w:w="0" w:type="dxa"/>
            <w:vAlign w:val="bottom"/>
          </w:tcPr>
          <w:p>
            <w:pPr>
              <w:spacing w:after="0"/>
              <w:rPr>
                <w:sz w:val="1"/>
                <w:szCs w:val="1"/>
                <w:color w:val="auto"/>
              </w:rPr>
            </w:pPr>
          </w:p>
        </w:tc>
      </w:tr>
      <w:tr>
        <w:trPr>
          <w:trHeight w:val="214"/>
        </w:trPr>
        <w:tc>
          <w:tcPr>
            <w:tcW w:w="3340" w:type="dxa"/>
            <w:vAlign w:val="bottom"/>
            <w:gridSpan w:val="2"/>
          </w:tcPr>
          <w:p>
            <w:pPr>
              <w:jc w:val="center"/>
              <w:ind w:right="100"/>
              <w:spacing w:after="0"/>
              <w:rPr>
                <w:sz w:val="20"/>
                <w:szCs w:val="20"/>
                <w:color w:val="auto"/>
              </w:rPr>
            </w:pPr>
            <w:r>
              <w:rPr>
                <w:rFonts w:ascii="Arial" w:cs="Arial" w:eastAsia="Arial" w:hAnsi="Arial"/>
                <w:sz w:val="16"/>
                <w:szCs w:val="16"/>
                <w:color w:val="auto"/>
              </w:rPr>
              <w:t>assets with 2025 net revenues &gt; $1.0BN</w:t>
            </w:r>
          </w:p>
        </w:tc>
        <w:tc>
          <w:tcPr>
            <w:tcW w:w="140" w:type="dxa"/>
            <w:vAlign w:val="bottom"/>
          </w:tcPr>
          <w:p>
            <w:pPr>
              <w:spacing w:after="0"/>
              <w:rPr>
                <w:sz w:val="18"/>
                <w:szCs w:val="18"/>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 substantial increase compared to 2024*</w:t>
            </w:r>
          </w:p>
        </w:tc>
        <w:tc>
          <w:tcPr>
            <w:tcW w:w="12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6"/>
                <w:szCs w:val="16"/>
                <w:color w:val="auto"/>
                <w:w w:val="99"/>
              </w:rPr>
              <w:t>active clinical and device programs***</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measures set forth in this table were calculated as of 12/31/2025.</w:t>
      </w:r>
    </w:p>
    <w:p>
      <w:pPr>
        <w:spacing w:after="0" w:line="187" w:lineRule="exact"/>
        <w:rPr>
          <w:sz w:val="20"/>
          <w:szCs w:val="20"/>
          <w:color w:val="auto"/>
        </w:rPr>
      </w:pPr>
    </w:p>
    <w:p>
      <w:pPr>
        <w:ind w:left="260" w:right="220" w:hanging="260"/>
        <w:spacing w:after="0" w:line="225" w:lineRule="auto"/>
        <w:tabs>
          <w:tab w:leader="none" w:pos="260" w:val="left"/>
        </w:tabs>
        <w:numPr>
          <w:ilvl w:val="0"/>
          <w:numId w:val="48"/>
        </w:numPr>
        <w:rPr>
          <w:rFonts w:ascii="Arial" w:cs="Arial" w:eastAsia="Arial" w:hAnsi="Arial"/>
          <w:sz w:val="20"/>
          <w:szCs w:val="20"/>
          <w:color w:val="auto"/>
          <w:vertAlign w:val="superscript"/>
        </w:rPr>
      </w:pPr>
      <w:r>
        <w:rPr>
          <w:rFonts w:ascii="Arial" w:cs="Arial" w:eastAsia="Arial" w:hAnsi="Arial"/>
          <w:sz w:val="16"/>
          <w:szCs w:val="16"/>
          <w:color w:val="auto"/>
        </w:rPr>
        <w:t>Reflects a non-GAAP measure and is adjusted for certain items, which are reconciled in Appendix B. Operational growth is presented at constant currency rates that reflect comparative local currency net revenues at the prior year’s foreign exchange rates.</w:t>
      </w:r>
    </w:p>
    <w:p>
      <w:pPr>
        <w:ind w:left="260" w:hanging="260"/>
        <w:spacing w:after="0" w:line="191" w:lineRule="auto"/>
        <w:tabs>
          <w:tab w:leader="none" w:pos="260" w:val="left"/>
        </w:tabs>
        <w:numPr>
          <w:ilvl w:val="0"/>
          <w:numId w:val="49"/>
        </w:numPr>
        <w:rPr>
          <w:rFonts w:ascii="Arial" w:cs="Arial" w:eastAsia="Arial" w:hAnsi="Arial"/>
          <w:sz w:val="20"/>
          <w:szCs w:val="20"/>
          <w:color w:val="auto"/>
          <w:vertAlign w:val="superscript"/>
        </w:rPr>
      </w:pPr>
      <w:r>
        <w:rPr>
          <w:rFonts w:ascii="Arial" w:cs="Arial" w:eastAsia="Arial" w:hAnsi="Arial"/>
          <w:sz w:val="16"/>
          <w:szCs w:val="16"/>
          <w:color w:val="auto"/>
        </w:rPr>
        <w:t>Growth Platform reflects total net revenues less Humira net revenues.</w:t>
      </w:r>
    </w:p>
    <w:p>
      <w:pPr>
        <w:ind w:left="260" w:hanging="260"/>
        <w:spacing w:after="0" w:line="202" w:lineRule="auto"/>
        <w:tabs>
          <w:tab w:leader="none" w:pos="260" w:val="left"/>
        </w:tabs>
        <w:numPr>
          <w:ilvl w:val="0"/>
          <w:numId w:val="50"/>
        </w:numPr>
        <w:rPr>
          <w:rFonts w:ascii="Arial" w:cs="Arial" w:eastAsia="Arial" w:hAnsi="Arial"/>
          <w:sz w:val="20"/>
          <w:szCs w:val="20"/>
          <w:color w:val="auto"/>
          <w:vertAlign w:val="superscript"/>
        </w:rPr>
      </w:pPr>
      <w:r>
        <w:rPr>
          <w:rFonts w:ascii="Arial" w:cs="Arial" w:eastAsia="Arial" w:hAnsi="Arial"/>
          <w:sz w:val="16"/>
          <w:szCs w:val="16"/>
          <w:color w:val="auto"/>
        </w:rPr>
        <w:t>Compounds, devices or indications in development individually or under collaboration or license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Strong operational execution</w:t>
      </w:r>
    </w:p>
    <w:p>
      <w:pPr>
        <w:spacing w:after="0" w:line="47" w:lineRule="exact"/>
        <w:rPr>
          <w:sz w:val="20"/>
          <w:szCs w:val="20"/>
          <w:color w:val="auto"/>
        </w:rPr>
      </w:pPr>
    </w:p>
    <w:p>
      <w:pPr>
        <w:ind w:left="640" w:right="20" w:hanging="370"/>
        <w:spacing w:after="0" w:line="259" w:lineRule="auto"/>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Total net revenues of $61.2 billion, driven by strong performance from our Growth Platform, exceeded their previous peak in just the second full year following the U.S. Humira loss of exclusivity (LOE).</w:t>
      </w:r>
    </w:p>
    <w:p>
      <w:pPr>
        <w:ind w:left="1080" w:right="340" w:hanging="360"/>
        <w:spacing w:after="0" w:line="23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Key asset performance drove Growth Platform net revenues of $56.6 billion, an increase of 19.6%</w:t>
      </w:r>
      <w:r>
        <w:rPr>
          <w:rFonts w:ascii="Courier New" w:cs="Courier New" w:eastAsia="Courier New" w:hAnsi="Courier New"/>
          <w:sz w:val="20"/>
          <w:szCs w:val="20"/>
          <w:color w:val="auto"/>
        </w:rPr>
        <w:t xml:space="preserve"> </w:t>
      </w:r>
      <w:r>
        <w:rPr>
          <w:rFonts w:ascii="Arial" w:cs="Arial" w:eastAsia="Arial" w:hAnsi="Arial"/>
          <w:sz w:val="20"/>
          <w:szCs w:val="20"/>
          <w:color w:val="auto"/>
        </w:rPr>
        <w:t>compared to 2024.</w:t>
      </w:r>
    </w:p>
    <w:p>
      <w:pPr>
        <w:spacing w:after="0" w:line="1" w:lineRule="exact"/>
        <w:rPr>
          <w:rFonts w:ascii="Arial" w:cs="Arial" w:eastAsia="Arial" w:hAnsi="Arial"/>
          <w:sz w:val="20"/>
          <w:szCs w:val="20"/>
          <w:color w:val="auto"/>
        </w:rPr>
      </w:pPr>
    </w:p>
    <w:p>
      <w:pPr>
        <w:jc w:val="right"/>
        <w:ind w:left="1080" w:right="440" w:hanging="360"/>
        <w:spacing w:after="0" w:line="23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AbbVie’s Growth Platform comprised 93% of total net revenues in 2025, with at least double-digit</w:t>
      </w:r>
      <w:r>
        <w:rPr>
          <w:rFonts w:ascii="Courier New" w:cs="Courier New" w:eastAsia="Courier New" w:hAnsi="Courier New"/>
          <w:sz w:val="20"/>
          <w:szCs w:val="20"/>
          <w:color w:val="auto"/>
        </w:rPr>
        <w:t xml:space="preserve"> </w:t>
      </w:r>
      <w:r>
        <w:rPr>
          <w:rFonts w:ascii="Arial" w:cs="Arial" w:eastAsia="Arial" w:hAnsi="Arial"/>
          <w:sz w:val="20"/>
          <w:szCs w:val="20"/>
          <w:color w:val="auto"/>
        </w:rPr>
        <w:t>sales growth for nine key assets, including growth of nearly 50% for Skyrizi and 40% for Rinvoq.</w:t>
      </w:r>
    </w:p>
    <w:p>
      <w:pPr>
        <w:spacing w:after="0" w:line="1" w:lineRule="exact"/>
        <w:rPr>
          <w:rFonts w:ascii="Arial" w:cs="Arial" w:eastAsia="Arial" w:hAnsi="Arial"/>
          <w:sz w:val="20"/>
          <w:szCs w:val="20"/>
          <w:color w:val="auto"/>
        </w:rPr>
      </w:pPr>
    </w:p>
    <w:p>
      <w:pPr>
        <w:ind w:left="640" w:right="120" w:hanging="352"/>
        <w:spacing w:after="0" w:line="257" w:lineRule="auto"/>
        <w:tabs>
          <w:tab w:leader="none" w:pos="6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Reported diluted EPS of $2.36 on a GAAP basis and adjusted diluted EPS of $10.00. See Appendix B for the reconciliation.</w:t>
      </w:r>
    </w:p>
    <w:p>
      <w:pPr>
        <w:ind w:left="640" w:hanging="352"/>
        <w:spacing w:after="0"/>
        <w:tabs>
          <w:tab w:leader="none" w:pos="6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Generated operating cash flow of $19.0 billion.</w:t>
      </w:r>
    </w:p>
    <w:p>
      <w:pPr>
        <w:spacing w:after="0" w:line="214"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Advancing new medicines and strengthening our innovative R&amp;D pipeline</w:t>
      </w:r>
    </w:p>
    <w:p>
      <w:pPr>
        <w:spacing w:after="0" w:line="46" w:lineRule="exact"/>
        <w:rPr>
          <w:sz w:val="20"/>
          <w:szCs w:val="20"/>
          <w:color w:val="auto"/>
        </w:rPr>
      </w:pPr>
    </w:p>
    <w:p>
      <w:pPr>
        <w:ind w:left="640" w:hanging="352"/>
        <w:spacing w:after="0" w:line="249" w:lineRule="auto"/>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Achieved several significant regulatory approvals, including Rinvoq for the treatment of adults with giant cell arteritis (GCA); Epkinly in combination with rituximab and lenalidomide for the second line treatment of adults with follicular lymphoma (FL); and Emrelis for adults with previously treated advanced non-small cell lung cancer (NSCLC).</w:t>
      </w:r>
    </w:p>
    <w:p>
      <w:pPr>
        <w:spacing w:after="0" w:line="2" w:lineRule="exact"/>
        <w:rPr>
          <w:rFonts w:ascii="Arial" w:cs="Arial" w:eastAsia="Arial" w:hAnsi="Arial"/>
          <w:sz w:val="20"/>
          <w:szCs w:val="20"/>
          <w:color w:val="auto"/>
        </w:rPr>
      </w:pPr>
    </w:p>
    <w:p>
      <w:pPr>
        <w:ind w:left="640" w:right="20" w:hanging="352"/>
        <w:spacing w:after="0" w:line="248" w:lineRule="auto"/>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Submitted regulatory applications in key development programs, including tavapadon for the treatment of Parkinson’s disease (PD); trenibotulinumtoxinE for the treatment of moderate to severe glabellar lines; pivekimab sunirine for the treatment of blastic plasmacytoid dendritic cell neoplasm (BPDCN); and Aquipta for the acute treatment of adults with migraine across Europe.</w:t>
      </w:r>
    </w:p>
    <w:p>
      <w:pPr>
        <w:spacing w:after="0" w:line="3" w:lineRule="exact"/>
        <w:rPr>
          <w:rFonts w:ascii="Arial" w:cs="Arial" w:eastAsia="Arial" w:hAnsi="Arial"/>
          <w:sz w:val="20"/>
          <w:szCs w:val="20"/>
          <w:color w:val="auto"/>
        </w:rPr>
      </w:pPr>
    </w:p>
    <w:p>
      <w:pPr>
        <w:ind w:left="640" w:right="280" w:hanging="352"/>
        <w:spacing w:after="0" w:line="251" w:lineRule="auto"/>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Generated positive late-stage data across key assets, including Rinvoq in adult and adolescent patients with severe alopecia areata (AA); Rinvoq in adult and adolescent patients with non-segmental vitiligo (NSV); and Qulipta compared to topiramate for the preventive treatment of migraine in adult patients.</w:t>
      </w:r>
    </w:p>
    <w:p>
      <w:pPr>
        <w:spacing w:after="0" w:line="2" w:lineRule="exact"/>
        <w:rPr>
          <w:rFonts w:ascii="Arial" w:cs="Arial" w:eastAsia="Arial" w:hAnsi="Arial"/>
          <w:sz w:val="20"/>
          <w:szCs w:val="20"/>
          <w:color w:val="auto"/>
        </w:rPr>
      </w:pPr>
    </w:p>
    <w:p>
      <w:pPr>
        <w:ind w:left="640" w:right="240" w:hanging="352"/>
        <w:spacing w:after="0" w:line="251" w:lineRule="auto"/>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Strengthened our pipeline with business development, including execution of approximately fifteen collaborations, licensing agreements, or other asset acquisitions. These transactions, combined with the company’s commitment to invest in research and development, position AbbVie for continued long-term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5600" w:type="dxa"/>
        <w:tblCellMar>
          <w:top w:w="0" w:type="dxa"/>
          <w:left w:w="0" w:type="dxa"/>
          <w:bottom w:w="0" w:type="dxa"/>
          <w:right w:w="0" w:type="dxa"/>
        </w:tblCellMar>
      </w:tblPr>
      <w:tr>
        <w:trPr>
          <w:trHeight w:val="408"/>
        </w:trPr>
        <w:tc>
          <w:tcPr>
            <w:tcW w:w="336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-222250</wp:posOffset>
            </wp:positionV>
            <wp:extent cx="993140" cy="2006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58">
                      <a:extLst>
                        <a:ext uri="{28A0092B-C50C-407E-A947-70E740481C1C}"/>
                      </a:extLst>
                    </a:blip>
                    <a:srcRect/>
                    <a:stretch>
                      <a:fillRect/>
                    </a:stretch>
                  </pic:blipFill>
                  <pic:spPr bwMode="auto">
                    <a:xfrm>
                      <a:off x="0" y="0"/>
                      <a:ext cx="99314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32" w:name="page133"/>
    <w:bookmarkEnd w:id="132"/>
    <w:p>
      <w:pPr>
        <w:spacing w:after="0"/>
        <w:rPr>
          <w:sz w:val="20"/>
          <w:szCs w:val="20"/>
          <w:color w:val="auto"/>
        </w:rPr>
      </w:pPr>
      <w:r>
        <w:rPr>
          <w:rFonts w:ascii="Arial" w:cs="Arial" w:eastAsia="Arial" w:hAnsi="Arial"/>
          <w:sz w:val="20"/>
          <w:szCs w:val="20"/>
          <w:color w:val="808080"/>
        </w:rPr>
        <w:t>PROXY SUMMARY</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Significant long-term value creation</w:t>
      </w:r>
    </w:p>
    <w:p>
      <w:pPr>
        <w:spacing w:after="0" w:line="236" w:lineRule="exact"/>
        <w:rPr>
          <w:sz w:val="20"/>
          <w:szCs w:val="20"/>
          <w:color w:val="auto"/>
        </w:rPr>
      </w:pPr>
    </w:p>
    <w:p>
      <w:pPr>
        <w:ind w:left="620"/>
        <w:spacing w:after="0"/>
        <w:tabs>
          <w:tab w:leader="none" w:pos="4200" w:val="left"/>
          <w:tab w:leader="none" w:pos="7300" w:val="left"/>
        </w:tabs>
        <w:rPr>
          <w:sz w:val="20"/>
          <w:szCs w:val="20"/>
          <w:color w:val="auto"/>
        </w:rPr>
      </w:pPr>
      <w:r>
        <w:rPr>
          <w:rFonts w:ascii="Arial" w:cs="Arial" w:eastAsia="Arial" w:hAnsi="Arial"/>
          <w:sz w:val="20"/>
          <w:szCs w:val="20"/>
          <w:b w:val="1"/>
          <w:bCs w:val="1"/>
          <w:color w:val="auto"/>
        </w:rPr>
        <w:t>Market Capitalization</w:t>
      </w:r>
      <w:r>
        <w:rPr>
          <w:sz w:val="20"/>
          <w:szCs w:val="20"/>
          <w:color w:val="auto"/>
        </w:rPr>
        <w:tab/>
      </w:r>
      <w:r>
        <w:rPr>
          <w:rFonts w:ascii="Arial" w:cs="Arial" w:eastAsia="Arial" w:hAnsi="Arial"/>
          <w:sz w:val="20"/>
          <w:szCs w:val="20"/>
          <w:b w:val="1"/>
          <w:bCs w:val="1"/>
          <w:color w:val="auto"/>
        </w:rPr>
        <w:t>Quarterly Dividend</w:t>
      </w:r>
      <w:r>
        <w:rPr>
          <w:sz w:val="20"/>
          <w:szCs w:val="20"/>
          <w:color w:val="auto"/>
        </w:rPr>
        <w:tab/>
      </w:r>
      <w:r>
        <w:rPr>
          <w:rFonts w:ascii="Arial" w:cs="Arial" w:eastAsia="Arial" w:hAnsi="Arial"/>
          <w:sz w:val="20"/>
          <w:szCs w:val="20"/>
          <w:b w:val="1"/>
          <w:bCs w:val="1"/>
          <w:color w:val="auto"/>
        </w:rPr>
        <w:t>Total Stockholder Return</w:t>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828"/>
        </w:trPr>
        <w:tc>
          <w:tcPr>
            <w:tcW w:w="3280" w:type="dxa"/>
            <w:vAlign w:val="bottom"/>
            <w:tcBorders>
              <w:right w:val="single" w:sz="8" w:color="000039"/>
            </w:tcBorders>
          </w:tcPr>
          <w:p>
            <w:pPr>
              <w:jc w:val="center"/>
              <w:ind w:right="80"/>
              <w:spacing w:after="0"/>
              <w:rPr>
                <w:sz w:val="20"/>
                <w:szCs w:val="20"/>
                <w:color w:val="auto"/>
              </w:rPr>
            </w:pPr>
            <w:r>
              <w:rPr>
                <w:rFonts w:ascii="Arial" w:cs="Arial" w:eastAsia="Arial" w:hAnsi="Arial"/>
                <w:sz w:val="72"/>
                <w:szCs w:val="72"/>
                <w:color w:val="000039"/>
                <w:w w:val="99"/>
              </w:rPr>
              <w:t>+$309BN</w:t>
            </w:r>
          </w:p>
        </w:tc>
        <w:tc>
          <w:tcPr>
            <w:tcW w:w="3480" w:type="dxa"/>
            <w:vAlign w:val="bottom"/>
            <w:tcBorders>
              <w:right w:val="single" w:sz="8" w:color="000039"/>
            </w:tcBorders>
          </w:tcPr>
          <w:p>
            <w:pPr>
              <w:jc w:val="center"/>
              <w:spacing w:after="0"/>
              <w:rPr>
                <w:sz w:val="20"/>
                <w:szCs w:val="20"/>
                <w:color w:val="auto"/>
              </w:rPr>
            </w:pPr>
            <w:r>
              <w:rPr>
                <w:rFonts w:ascii="Arial" w:cs="Arial" w:eastAsia="Arial" w:hAnsi="Arial"/>
                <w:sz w:val="72"/>
                <w:szCs w:val="72"/>
                <w:color w:val="000039"/>
                <w:w w:val="99"/>
              </w:rPr>
              <w:t>+204%</w:t>
            </w:r>
          </w:p>
        </w:tc>
        <w:tc>
          <w:tcPr>
            <w:tcW w:w="2800" w:type="dxa"/>
            <w:vAlign w:val="bottom"/>
          </w:tcPr>
          <w:p>
            <w:pPr>
              <w:jc w:val="right"/>
              <w:spacing w:after="0"/>
              <w:rPr>
                <w:sz w:val="20"/>
                <w:szCs w:val="20"/>
                <w:color w:val="auto"/>
              </w:rPr>
            </w:pPr>
            <w:r>
              <w:rPr>
                <w:rFonts w:ascii="Arial" w:cs="Arial" w:eastAsia="Arial" w:hAnsi="Arial"/>
                <w:sz w:val="72"/>
                <w:szCs w:val="72"/>
                <w:color w:val="000039"/>
              </w:rPr>
              <w:t>+485%</w:t>
            </w:r>
          </w:p>
        </w:tc>
      </w:tr>
      <w:tr>
        <w:trPr>
          <w:trHeight w:val="188"/>
        </w:trPr>
        <w:tc>
          <w:tcPr>
            <w:tcW w:w="3280" w:type="dxa"/>
            <w:vAlign w:val="bottom"/>
            <w:tcBorders>
              <w:right w:val="single" w:sz="8" w:color="auto"/>
            </w:tcBorders>
          </w:tcPr>
          <w:p>
            <w:pPr>
              <w:jc w:val="center"/>
              <w:ind w:right="60"/>
              <w:spacing w:after="0" w:line="188" w:lineRule="exact"/>
              <w:rPr>
                <w:sz w:val="20"/>
                <w:szCs w:val="20"/>
                <w:color w:val="auto"/>
              </w:rPr>
            </w:pPr>
            <w:r>
              <w:rPr>
                <w:rFonts w:ascii="Arial" w:cs="Arial" w:eastAsia="Arial" w:hAnsi="Arial"/>
                <w:sz w:val="18"/>
                <w:szCs w:val="18"/>
                <w:color w:val="auto"/>
              </w:rPr>
              <w:t>10-year increase, adding significant</w:t>
            </w:r>
          </w:p>
        </w:tc>
        <w:tc>
          <w:tcPr>
            <w:tcW w:w="34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9"/>
              </w:rPr>
              <w:t>raised to $1.73 per share from $0.57 per</w:t>
            </w:r>
          </w:p>
        </w:tc>
        <w:tc>
          <w:tcPr>
            <w:tcW w:w="2800" w:type="dxa"/>
            <w:vAlign w:val="bottom"/>
          </w:tcPr>
          <w:p>
            <w:pPr>
              <w:jc w:val="center"/>
              <w:ind w:left="315"/>
              <w:spacing w:after="0" w:line="188" w:lineRule="exact"/>
              <w:rPr>
                <w:sz w:val="20"/>
                <w:szCs w:val="20"/>
                <w:color w:val="auto"/>
              </w:rPr>
            </w:pPr>
            <w:r>
              <w:rPr>
                <w:rFonts w:ascii="Arial" w:cs="Arial" w:eastAsia="Arial" w:hAnsi="Arial"/>
                <w:sz w:val="18"/>
                <w:szCs w:val="18"/>
                <w:color w:val="auto"/>
                <w:w w:val="99"/>
              </w:rPr>
              <w:t>over the last decade</w:t>
            </w:r>
          </w:p>
        </w:tc>
      </w:tr>
      <w:tr>
        <w:trPr>
          <w:trHeight w:val="226"/>
        </w:trPr>
        <w:tc>
          <w:tcPr>
            <w:tcW w:w="3280" w:type="dxa"/>
            <w:vAlign w:val="bottom"/>
            <w:tcBorders>
              <w:right w:val="single" w:sz="8" w:color="auto"/>
            </w:tcBorders>
          </w:tcPr>
          <w:p>
            <w:pPr>
              <w:jc w:val="center"/>
              <w:ind w:right="60"/>
              <w:spacing w:after="0"/>
              <w:rPr>
                <w:sz w:val="20"/>
                <w:szCs w:val="20"/>
                <w:color w:val="auto"/>
              </w:rPr>
            </w:pPr>
            <w:r>
              <w:rPr>
                <w:rFonts w:ascii="Arial" w:cs="Arial" w:eastAsia="Arial" w:hAnsi="Arial"/>
                <w:sz w:val="18"/>
                <w:szCs w:val="18"/>
                <w:color w:val="auto"/>
                <w:w w:val="99"/>
              </w:rPr>
              <w:t>stockholder value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share over the last decade</w:t>
            </w:r>
          </w:p>
        </w:tc>
        <w:tc>
          <w:tcPr>
            <w:tcW w:w="2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140335</wp:posOffset>
                </wp:positionV>
                <wp:extent cx="205422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422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5pt" to="161.75pt,11.0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2215515</wp:posOffset>
                </wp:positionH>
                <wp:positionV relativeFrom="paragraph">
                  <wp:posOffset>140335</wp:posOffset>
                </wp:positionV>
                <wp:extent cx="205422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422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45pt,11.05pt" to="336.2pt,11.0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4424045</wp:posOffset>
                </wp:positionH>
                <wp:positionV relativeFrom="paragraph">
                  <wp:posOffset>140335</wp:posOffset>
                </wp:positionV>
                <wp:extent cx="197675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675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35pt,11.05pt" to="504pt,11.05pt" o:allowincell="f" strokecolor="#000039" strokeweight="1.5pt"/>
            </w:pict>
          </mc:Fallback>
        </mc:AlternateContent>
      </w:r>
    </w:p>
    <w:p>
      <w:pPr>
        <w:spacing w:after="0" w:line="218" w:lineRule="exact"/>
        <w:rPr>
          <w:sz w:val="20"/>
          <w:szCs w:val="20"/>
          <w:color w:val="auto"/>
        </w:rPr>
      </w:pPr>
    </w:p>
    <w:p>
      <w:pPr>
        <w:ind w:right="800"/>
        <w:spacing w:after="0" w:line="297" w:lineRule="auto"/>
        <w:rPr>
          <w:sz w:val="20"/>
          <w:szCs w:val="20"/>
          <w:color w:val="auto"/>
        </w:rPr>
      </w:pPr>
      <w:r>
        <w:rPr>
          <w:rFonts w:ascii="Arial" w:cs="Arial" w:eastAsia="Arial" w:hAnsi="Arial"/>
          <w:sz w:val="16"/>
          <w:szCs w:val="16"/>
          <w:b w:val="1"/>
          <w:bCs w:val="1"/>
          <w:color w:val="auto"/>
        </w:rPr>
        <w:t>The measures set forth in this table were calculated as of 12/31/2025 versus 12/31/2015. The quarterly dividend increase is calculated on a declared basis.</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Total stockholder return (TSR)</w:t>
      </w:r>
    </w:p>
    <w:p>
      <w:pPr>
        <w:spacing w:after="0" w:line="54"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AbbVie has a track record of robust total stockholder returns, with strong performance relative to peers. Over the last decade, AbbVie’s TSR surpasses the cumulative total returns of the Standard &amp; Poor’s 500 Index and the NYSE Arca Pharmaceutical Index, as shown in the chart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Borders>
              <w:right w:val="single" w:sz="8" w:color="000039"/>
            </w:tcBorders>
          </w:tcPr>
          <w:p>
            <w:pPr>
              <w:ind w:left="940"/>
              <w:spacing w:after="0"/>
              <w:rPr>
                <w:sz w:val="20"/>
                <w:szCs w:val="20"/>
                <w:color w:val="auto"/>
              </w:rPr>
            </w:pPr>
            <w:r>
              <w:rPr>
                <w:rFonts w:ascii="Arial" w:cs="Arial" w:eastAsia="Arial" w:hAnsi="Arial"/>
                <w:sz w:val="20"/>
                <w:szCs w:val="20"/>
                <w:b w:val="1"/>
                <w:bCs w:val="1"/>
                <w:color w:val="auto"/>
              </w:rPr>
              <w:t>1-Year</w:t>
            </w:r>
          </w:p>
        </w:tc>
        <w:tc>
          <w:tcPr>
            <w:tcW w:w="2520" w:type="dxa"/>
            <w:vAlign w:val="bottom"/>
            <w:tcBorders>
              <w:right w:val="single" w:sz="8" w:color="000039"/>
            </w:tcBorders>
          </w:tcPr>
          <w:p>
            <w:pPr>
              <w:jc w:val="center"/>
              <w:spacing w:after="0"/>
              <w:rPr>
                <w:sz w:val="20"/>
                <w:szCs w:val="20"/>
                <w:color w:val="auto"/>
              </w:rPr>
            </w:pPr>
            <w:r>
              <w:rPr>
                <w:rFonts w:ascii="Arial" w:cs="Arial" w:eastAsia="Arial" w:hAnsi="Arial"/>
                <w:sz w:val="20"/>
                <w:szCs w:val="20"/>
                <w:b w:val="1"/>
                <w:bCs w:val="1"/>
                <w:color w:val="auto"/>
              </w:rPr>
              <w:t>3-Year</w:t>
            </w:r>
          </w:p>
        </w:tc>
        <w:tc>
          <w:tcPr>
            <w:tcW w:w="2500" w:type="dxa"/>
            <w:vAlign w:val="bottom"/>
            <w:tcBorders>
              <w:right w:val="single" w:sz="8" w:color="000039"/>
            </w:tcBorders>
          </w:tcPr>
          <w:p>
            <w:pPr>
              <w:jc w:val="center"/>
              <w:spacing w:after="0"/>
              <w:rPr>
                <w:sz w:val="20"/>
                <w:szCs w:val="20"/>
                <w:color w:val="auto"/>
              </w:rPr>
            </w:pPr>
            <w:r>
              <w:rPr>
                <w:rFonts w:ascii="Arial" w:cs="Arial" w:eastAsia="Arial" w:hAnsi="Arial"/>
                <w:sz w:val="20"/>
                <w:szCs w:val="20"/>
                <w:b w:val="1"/>
                <w:bCs w:val="1"/>
                <w:color w:val="auto"/>
              </w:rPr>
              <w:t>5-Year</w:t>
            </w:r>
          </w:p>
        </w:tc>
        <w:tc>
          <w:tcPr>
            <w:tcW w:w="2540" w:type="dxa"/>
            <w:vAlign w:val="bottom"/>
          </w:tcPr>
          <w:p>
            <w:pPr>
              <w:jc w:val="center"/>
              <w:spacing w:after="0"/>
              <w:rPr>
                <w:sz w:val="20"/>
                <w:szCs w:val="20"/>
                <w:color w:val="auto"/>
              </w:rPr>
            </w:pPr>
            <w:r>
              <w:rPr>
                <w:rFonts w:ascii="Arial" w:cs="Arial" w:eastAsia="Arial" w:hAnsi="Arial"/>
                <w:sz w:val="20"/>
                <w:szCs w:val="20"/>
                <w:b w:val="1"/>
                <w:bCs w:val="1"/>
                <w:color w:val="auto"/>
                <w:w w:val="99"/>
              </w:rPr>
              <w:t>10-Year</w:t>
            </w:r>
          </w:p>
        </w:tc>
      </w:tr>
      <w:tr>
        <w:trPr>
          <w:trHeight w:val="686"/>
        </w:trPr>
        <w:tc>
          <w:tcPr>
            <w:tcW w:w="2520" w:type="dxa"/>
            <w:vAlign w:val="bottom"/>
            <w:tcBorders>
              <w:right w:val="single" w:sz="8" w:color="000039"/>
            </w:tcBorders>
          </w:tcPr>
          <w:p>
            <w:pPr>
              <w:jc w:val="right"/>
              <w:ind w:right="447"/>
              <w:spacing w:after="0"/>
              <w:rPr>
                <w:sz w:val="20"/>
                <w:szCs w:val="20"/>
                <w:color w:val="auto"/>
              </w:rPr>
            </w:pPr>
            <w:r>
              <w:rPr>
                <w:rFonts w:ascii="Arial" w:cs="Arial" w:eastAsia="Arial" w:hAnsi="Arial"/>
                <w:sz w:val="52"/>
                <w:szCs w:val="52"/>
                <w:color w:val="000039"/>
              </w:rPr>
              <w:t>+33%</w:t>
            </w:r>
          </w:p>
        </w:tc>
        <w:tc>
          <w:tcPr>
            <w:tcW w:w="2520" w:type="dxa"/>
            <w:vAlign w:val="bottom"/>
            <w:tcBorders>
              <w:right w:val="single" w:sz="8" w:color="000039"/>
            </w:tcBorders>
          </w:tcPr>
          <w:p>
            <w:pPr>
              <w:jc w:val="right"/>
              <w:ind w:right="433"/>
              <w:spacing w:after="0"/>
              <w:rPr>
                <w:sz w:val="20"/>
                <w:szCs w:val="20"/>
                <w:color w:val="auto"/>
              </w:rPr>
            </w:pPr>
            <w:r>
              <w:rPr>
                <w:rFonts w:ascii="Arial" w:cs="Arial" w:eastAsia="Arial" w:hAnsi="Arial"/>
                <w:sz w:val="52"/>
                <w:szCs w:val="52"/>
                <w:color w:val="000039"/>
              </w:rPr>
              <w:t>+58%</w:t>
            </w:r>
          </w:p>
        </w:tc>
        <w:tc>
          <w:tcPr>
            <w:tcW w:w="2500" w:type="dxa"/>
            <w:vAlign w:val="bottom"/>
            <w:tcBorders>
              <w:right w:val="single" w:sz="8" w:color="000039"/>
            </w:tcBorders>
          </w:tcPr>
          <w:p>
            <w:pPr>
              <w:jc w:val="right"/>
              <w:ind w:right="287"/>
              <w:spacing w:after="0"/>
              <w:rPr>
                <w:sz w:val="20"/>
                <w:szCs w:val="20"/>
                <w:color w:val="auto"/>
              </w:rPr>
            </w:pPr>
            <w:r>
              <w:rPr>
                <w:rFonts w:ascii="Arial" w:cs="Arial" w:eastAsia="Arial" w:hAnsi="Arial"/>
                <w:sz w:val="52"/>
                <w:szCs w:val="52"/>
                <w:color w:val="000039"/>
              </w:rPr>
              <w:t>+159%</w:t>
            </w:r>
          </w:p>
        </w:tc>
        <w:tc>
          <w:tcPr>
            <w:tcW w:w="2540" w:type="dxa"/>
            <w:vAlign w:val="bottom"/>
          </w:tcPr>
          <w:p>
            <w:pPr>
              <w:jc w:val="right"/>
              <w:ind w:right="300"/>
              <w:spacing w:after="0"/>
              <w:rPr>
                <w:sz w:val="20"/>
                <w:szCs w:val="20"/>
                <w:color w:val="auto"/>
              </w:rPr>
            </w:pPr>
            <w:r>
              <w:rPr>
                <w:rFonts w:ascii="Arial" w:cs="Arial" w:eastAsia="Arial" w:hAnsi="Arial"/>
                <w:sz w:val="52"/>
                <w:szCs w:val="52"/>
                <w:color w:val="000039"/>
              </w:rPr>
              <w:t>+485%</w:t>
            </w:r>
          </w:p>
        </w:tc>
      </w:tr>
      <w:tr>
        <w:trPr>
          <w:trHeight w:val="326"/>
        </w:trPr>
        <w:tc>
          <w:tcPr>
            <w:tcW w:w="2520" w:type="dxa"/>
            <w:vAlign w:val="bottom"/>
          </w:tcPr>
          <w:p>
            <w:pPr>
              <w:spacing w:after="0"/>
              <w:rPr>
                <w:sz w:val="24"/>
                <w:szCs w:val="24"/>
                <w:color w:val="auto"/>
              </w:rPr>
            </w:pPr>
          </w:p>
        </w:tc>
        <w:tc>
          <w:tcPr>
            <w:tcW w:w="5020" w:type="dxa"/>
            <w:vAlign w:val="bottom"/>
            <w:gridSpan w:val="2"/>
          </w:tcPr>
          <w:p>
            <w:pPr>
              <w:spacing w:after="0"/>
              <w:rPr>
                <w:sz w:val="24"/>
                <w:szCs w:val="24"/>
                <w:color w:val="auto"/>
              </w:rPr>
            </w:pPr>
          </w:p>
        </w:tc>
        <w:tc>
          <w:tcPr>
            <w:tcW w:w="2540" w:type="dxa"/>
            <w:vAlign w:val="bottom"/>
          </w:tcPr>
          <w:p>
            <w:pPr>
              <w:spacing w:after="0"/>
              <w:rPr>
                <w:sz w:val="24"/>
                <w:szCs w:val="24"/>
                <w:color w:val="auto"/>
              </w:rPr>
            </w:pPr>
          </w:p>
        </w:tc>
      </w:tr>
      <w:tr>
        <w:trPr>
          <w:trHeight w:val="322"/>
        </w:trPr>
        <w:tc>
          <w:tcPr>
            <w:tcW w:w="2520" w:type="dxa"/>
            <w:vAlign w:val="bottom"/>
            <w:tcBorders>
              <w:right w:val="single" w:sz="8" w:color="000039"/>
            </w:tcBorders>
            <w:shd w:val="clear" w:color="auto" w:fill="000039"/>
          </w:tcPr>
          <w:p>
            <w:pPr>
              <w:spacing w:after="0"/>
              <w:rPr>
                <w:sz w:val="24"/>
                <w:szCs w:val="24"/>
                <w:color w:val="auto"/>
              </w:rPr>
            </w:pPr>
          </w:p>
        </w:tc>
        <w:tc>
          <w:tcPr>
            <w:tcW w:w="5020" w:type="dxa"/>
            <w:vAlign w:val="bottom"/>
            <w:tcBorders>
              <w:right w:val="single" w:sz="8" w:color="000039"/>
            </w:tcBorders>
            <w:gridSpan w:val="2"/>
            <w:shd w:val="clear" w:color="auto" w:fill="000039"/>
          </w:tcPr>
          <w:p>
            <w:pPr>
              <w:ind w:left="140"/>
              <w:spacing w:after="0"/>
              <w:rPr>
                <w:sz w:val="20"/>
                <w:szCs w:val="20"/>
                <w:color w:val="auto"/>
              </w:rPr>
            </w:pPr>
            <w:r>
              <w:rPr>
                <w:rFonts w:ascii="Arial" w:cs="Arial" w:eastAsia="Arial" w:hAnsi="Arial"/>
                <w:sz w:val="28"/>
                <w:szCs w:val="28"/>
                <w:b w:val="1"/>
                <w:bCs w:val="1"/>
                <w:color w:val="FFFFFF"/>
              </w:rPr>
              <w:t>AbbVie’s Relative TSR Performance</w:t>
            </w:r>
          </w:p>
        </w:tc>
        <w:tc>
          <w:tcPr>
            <w:tcW w:w="2540" w:type="dxa"/>
            <w:vAlign w:val="bottom"/>
            <w:shd w:val="clear" w:color="auto" w:fill="000039"/>
          </w:tcPr>
          <w:p>
            <w:pPr>
              <w:spacing w:after="0"/>
              <w:rPr>
                <w:sz w:val="24"/>
                <w:szCs w:val="24"/>
                <w:color w:val="auto"/>
              </w:rPr>
            </w:pPr>
          </w:p>
        </w:tc>
      </w:tr>
      <w:tr>
        <w:trPr>
          <w:trHeight w:val="382"/>
        </w:trPr>
        <w:tc>
          <w:tcPr>
            <w:tcW w:w="5040" w:type="dxa"/>
            <w:vAlign w:val="bottom"/>
            <w:gridSpan w:val="2"/>
          </w:tcPr>
          <w:p>
            <w:pPr>
              <w:ind w:left="860"/>
              <w:spacing w:after="0"/>
              <w:rPr>
                <w:sz w:val="20"/>
                <w:szCs w:val="20"/>
                <w:color w:val="auto"/>
              </w:rPr>
            </w:pPr>
            <w:r>
              <w:rPr>
                <w:rFonts w:ascii="Arial" w:cs="Arial" w:eastAsia="Arial" w:hAnsi="Arial"/>
                <w:sz w:val="20"/>
                <w:szCs w:val="20"/>
                <w:b w:val="1"/>
                <w:bCs w:val="1"/>
                <w:color w:val="auto"/>
              </w:rPr>
              <w:t>Versus Peer Group (Multi-Year)</w:t>
            </w:r>
          </w:p>
        </w:tc>
        <w:tc>
          <w:tcPr>
            <w:tcW w:w="5040" w:type="dxa"/>
            <w:vAlign w:val="bottom"/>
            <w:gridSpan w:val="2"/>
          </w:tcPr>
          <w:p>
            <w:pPr>
              <w:ind w:left="1240"/>
              <w:spacing w:after="0"/>
              <w:rPr>
                <w:sz w:val="20"/>
                <w:szCs w:val="20"/>
                <w:color w:val="auto"/>
              </w:rPr>
            </w:pPr>
            <w:r>
              <w:rPr>
                <w:rFonts w:ascii="Arial" w:cs="Arial" w:eastAsia="Arial" w:hAnsi="Arial"/>
                <w:sz w:val="20"/>
                <w:szCs w:val="20"/>
                <w:b w:val="1"/>
                <w:bCs w:val="1"/>
                <w:color w:val="auto"/>
              </w:rPr>
              <w:t>Versus Select Indices (10-Year)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3218815</wp:posOffset>
                </wp:positionH>
                <wp:positionV relativeFrom="paragraph">
                  <wp:posOffset>55245</wp:posOffset>
                </wp:positionV>
                <wp:extent cx="0" cy="206502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6502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45pt,4.35pt" to="253.45pt,166.95pt" o:allowincell="f" strokecolor="#000039" strokeweight="1.5pt"/>
            </w:pict>
          </mc:Fallback>
        </mc:AlternateConten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602615</wp:posOffset>
                </wp:positionH>
                <wp:positionV relativeFrom="paragraph">
                  <wp:posOffset>40005</wp:posOffset>
                </wp:positionV>
                <wp:extent cx="275590" cy="14605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146050"/>
                        </a:xfrm>
                        <a:prstGeom prst="rect">
                          <a:avLst/>
                        </a:prstGeom>
                        <a:solidFill>
                          <a:srgbClr val="000039"/>
                        </a:solidFill>
                      </wps:spPr>
                      <wps:bodyPr/>
                    </wps:wsp>
                  </a:graphicData>
                </a:graphic>
              </wp:anchor>
            </w:drawing>
          </mc:Choice>
          <mc:Fallback>
            <w:pict>
              <v:rect id="Shape 213" o:spid="_x0000_s1238" style="position:absolute;margin-left:47.45pt;margin-top:3.15pt;width:21.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1791970</wp:posOffset>
                </wp:positionH>
                <wp:positionV relativeFrom="paragraph">
                  <wp:posOffset>40005</wp:posOffset>
                </wp:positionV>
                <wp:extent cx="282575" cy="14605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 cy="146050"/>
                        </a:xfrm>
                        <a:prstGeom prst="rect">
                          <a:avLst/>
                        </a:prstGeom>
                        <a:solidFill>
                          <a:srgbClr val="BFBFBF"/>
                        </a:solidFill>
                      </wps:spPr>
                      <wps:bodyPr/>
                    </wps:wsp>
                  </a:graphicData>
                </a:graphic>
              </wp:anchor>
            </w:drawing>
          </mc:Choice>
          <mc:Fallback>
            <w:pict>
              <v:rect id="Shape 214" o:spid="_x0000_s1239" style="position:absolute;margin-left:141.1pt;margin-top:3.15pt;width:22.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2093595</wp:posOffset>
                </wp:positionH>
                <wp:positionV relativeFrom="paragraph">
                  <wp:posOffset>40005</wp:posOffset>
                </wp:positionV>
                <wp:extent cx="280035" cy="14605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035" cy="146050"/>
                        </a:xfrm>
                        <a:prstGeom prst="rect">
                          <a:avLst/>
                        </a:prstGeom>
                        <a:solidFill>
                          <a:srgbClr val="BFBFBF"/>
                        </a:solidFill>
                      </wps:spPr>
                      <wps:bodyPr/>
                    </wps:wsp>
                  </a:graphicData>
                </a:graphic>
              </wp:anchor>
            </w:drawing>
          </mc:Choice>
          <mc:Fallback>
            <w:pict>
              <v:rect id="Shape 215" o:spid="_x0000_s1240" style="position:absolute;margin-left:164.85pt;margin-top:3.15pt;width:22.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2392680</wp:posOffset>
                </wp:positionH>
                <wp:positionV relativeFrom="paragraph">
                  <wp:posOffset>40005</wp:posOffset>
                </wp:positionV>
                <wp:extent cx="278130" cy="14605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6050"/>
                        </a:xfrm>
                        <a:prstGeom prst="rect">
                          <a:avLst/>
                        </a:prstGeom>
                        <a:solidFill>
                          <a:srgbClr val="BFBFBF"/>
                        </a:solidFill>
                      </wps:spPr>
                      <wps:bodyPr/>
                    </wps:wsp>
                  </a:graphicData>
                </a:graphic>
              </wp:anchor>
            </w:drawing>
          </mc:Choice>
          <mc:Fallback>
            <w:pict>
              <v:rect id="Shape 216" o:spid="_x0000_s1241" style="position:absolute;margin-left:188.4pt;margin-top:3.15pt;width:21.9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2689860</wp:posOffset>
                </wp:positionH>
                <wp:positionV relativeFrom="paragraph">
                  <wp:posOffset>40005</wp:posOffset>
                </wp:positionV>
                <wp:extent cx="288290" cy="14605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 cy="146050"/>
                        </a:xfrm>
                        <a:prstGeom prst="rect">
                          <a:avLst/>
                        </a:prstGeom>
                        <a:solidFill>
                          <a:srgbClr val="BFBFBF"/>
                        </a:solidFill>
                      </wps:spPr>
                      <wps:bodyPr/>
                    </wps:wsp>
                  </a:graphicData>
                </a:graphic>
              </wp:anchor>
            </w:drawing>
          </mc:Choice>
          <mc:Fallback>
            <w:pict>
              <v:rect id="Shape 217" o:spid="_x0000_s1242" style="position:absolute;margin-left:211.8pt;margin-top:3.15pt;width:22.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40005</wp:posOffset>
                </wp:positionV>
                <wp:extent cx="277495" cy="14605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6050"/>
                        </a:xfrm>
                        <a:prstGeom prst="rect">
                          <a:avLst/>
                        </a:prstGeom>
                        <a:solidFill>
                          <a:srgbClr val="000039"/>
                        </a:solidFill>
                      </wps:spPr>
                      <wps:bodyPr/>
                    </wps:wsp>
                  </a:graphicData>
                </a:graphic>
              </wp:anchor>
            </w:drawing>
          </mc:Choice>
          <mc:Fallback>
            <w:pict>
              <v:rect id="Shape 218" o:spid="_x0000_s1243" style="position:absolute;margin-left:0.75pt;margin-top:3.15pt;width:21.8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295910</wp:posOffset>
                </wp:positionH>
                <wp:positionV relativeFrom="paragraph">
                  <wp:posOffset>40005</wp:posOffset>
                </wp:positionV>
                <wp:extent cx="0" cy="14605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pt,3.15pt" to="23.3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306070</wp:posOffset>
                </wp:positionH>
                <wp:positionV relativeFrom="paragraph">
                  <wp:posOffset>40005</wp:posOffset>
                </wp:positionV>
                <wp:extent cx="277495" cy="14605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6050"/>
                        </a:xfrm>
                        <a:prstGeom prst="rect">
                          <a:avLst/>
                        </a:prstGeom>
                        <a:solidFill>
                          <a:srgbClr val="000039"/>
                        </a:solidFill>
                      </wps:spPr>
                      <wps:bodyPr/>
                    </wps:wsp>
                  </a:graphicData>
                </a:graphic>
              </wp:anchor>
            </w:drawing>
          </mc:Choice>
          <mc:Fallback>
            <w:pict>
              <v:rect id="Shape 220" o:spid="_x0000_s1245" style="position:absolute;margin-left:24.1pt;margin-top:3.15pt;width:21.8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592455</wp:posOffset>
                </wp:positionH>
                <wp:positionV relativeFrom="paragraph">
                  <wp:posOffset>40005</wp:posOffset>
                </wp:positionV>
                <wp:extent cx="0" cy="14605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pt,3.15pt" to="46.65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897255</wp:posOffset>
                </wp:positionH>
                <wp:positionV relativeFrom="paragraph">
                  <wp:posOffset>40005</wp:posOffset>
                </wp:positionV>
                <wp:extent cx="277495" cy="14605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6050"/>
                        </a:xfrm>
                        <a:prstGeom prst="rect">
                          <a:avLst/>
                        </a:prstGeom>
                        <a:solidFill>
                          <a:srgbClr val="000039"/>
                        </a:solidFill>
                      </wps:spPr>
                      <wps:bodyPr/>
                    </wps:wsp>
                  </a:graphicData>
                </a:graphic>
              </wp:anchor>
            </w:drawing>
          </mc:Choice>
          <mc:Fallback>
            <w:pict>
              <v:rect id="Shape 222" o:spid="_x0000_s1247" style="position:absolute;margin-left:70.65pt;margin-top:3.15pt;width:21.8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1183640</wp:posOffset>
                </wp:positionH>
                <wp:positionV relativeFrom="paragraph">
                  <wp:posOffset>40005</wp:posOffset>
                </wp:positionV>
                <wp:extent cx="0" cy="14605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pt,3.15pt" to="93.2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1193800</wp:posOffset>
                </wp:positionH>
                <wp:positionV relativeFrom="paragraph">
                  <wp:posOffset>40005</wp:posOffset>
                </wp:positionV>
                <wp:extent cx="281940" cy="14605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 cy="146050"/>
                        </a:xfrm>
                        <a:prstGeom prst="rect">
                          <a:avLst/>
                        </a:prstGeom>
                        <a:solidFill>
                          <a:srgbClr val="000039"/>
                        </a:solidFill>
                      </wps:spPr>
                      <wps:bodyPr/>
                    </wps:wsp>
                  </a:graphicData>
                </a:graphic>
              </wp:anchor>
            </w:drawing>
          </mc:Choice>
          <mc:Fallback>
            <w:pict>
              <v:rect id="Shape 224" o:spid="_x0000_s1249" style="position:absolute;margin-left:94pt;margin-top:3.15pt;width:22.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1484630</wp:posOffset>
                </wp:positionH>
                <wp:positionV relativeFrom="paragraph">
                  <wp:posOffset>40005</wp:posOffset>
                </wp:positionV>
                <wp:extent cx="0" cy="14605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9pt,3.15pt" to="116.9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1494790</wp:posOffset>
                </wp:positionH>
                <wp:positionV relativeFrom="paragraph">
                  <wp:posOffset>40005</wp:posOffset>
                </wp:positionV>
                <wp:extent cx="278130" cy="14605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6050"/>
                        </a:xfrm>
                        <a:prstGeom prst="rect">
                          <a:avLst/>
                        </a:prstGeom>
                        <a:solidFill>
                          <a:srgbClr val="BFBFBF"/>
                        </a:solidFill>
                      </wps:spPr>
                      <wps:bodyPr/>
                    </wps:wsp>
                  </a:graphicData>
                </a:graphic>
              </wp:anchor>
            </w:drawing>
          </mc:Choice>
          <mc:Fallback>
            <w:pict>
              <v:rect id="Shape 226" o:spid="_x0000_s1251" style="position:absolute;margin-left:117.7pt;margin-top:3.15pt;width:21.9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1781810</wp:posOffset>
                </wp:positionH>
                <wp:positionV relativeFrom="paragraph">
                  <wp:posOffset>40005</wp:posOffset>
                </wp:positionV>
                <wp:extent cx="0" cy="14605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3pt,3.15pt" to="140.3pt,14.65pt" o:allowincell="f" strokecolor="#FFFFFF" strokeweight="1.5pt"/>
            </w:pict>
          </mc:Fallback>
        </mc:AlternateContent>
      </w:r>
    </w:p>
    <w:p>
      <w:pPr>
        <w:spacing w:after="0" w:line="198"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485%</w:t>
      </w:r>
    </w:p>
    <w:p>
      <w:pPr>
        <w:spacing w:after="0" w:line="201" w:lineRule="auto"/>
        <w:rPr>
          <w:sz w:val="20"/>
          <w:szCs w:val="20"/>
          <w:color w:val="auto"/>
        </w:rPr>
      </w:pPr>
      <w:r>
        <w:rPr>
          <w:rFonts w:ascii="Arial" w:cs="Arial" w:eastAsia="Arial" w:hAnsi="Arial"/>
          <w:sz w:val="32"/>
          <w:szCs w:val="32"/>
          <w:b w:val="1"/>
          <w:bCs w:val="1"/>
          <w:color w:val="000039"/>
        </w:rPr>
        <w:t>6</w:t>
      </w:r>
      <w:r>
        <w:rPr>
          <w:rFonts w:ascii="Arial" w:cs="Arial" w:eastAsia="Arial" w:hAnsi="Arial"/>
          <w:sz w:val="42"/>
          <w:szCs w:val="42"/>
          <w:b w:val="1"/>
          <w:bCs w:val="1"/>
          <w:color w:val="000039"/>
          <w:vertAlign w:val="superscript"/>
        </w:rPr>
        <w:t>th</w:t>
      </w:r>
      <w:r>
        <w:rPr>
          <w:rFonts w:ascii="Arial" w:cs="Arial" w:eastAsia="Arial" w:hAnsi="Arial"/>
          <w:sz w:val="32"/>
          <w:szCs w:val="32"/>
          <w:b w:val="1"/>
          <w:bCs w:val="1"/>
          <w:color w:val="000039"/>
        </w:rPr>
        <w:t xml:space="preserve"> </w:t>
      </w:r>
      <w:r>
        <w:rPr>
          <w:rFonts w:ascii="Arial" w:cs="Arial" w:eastAsia="Arial" w:hAnsi="Arial"/>
          <w:sz w:val="20"/>
          <w:szCs w:val="20"/>
          <w:color w:val="000000"/>
        </w:rPr>
        <w:t>place out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-213995</wp:posOffset>
            </wp:positionV>
            <wp:extent cx="2661920" cy="18738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59">
                      <a:extLst>
                        <a:ext uri="{28A0092B-C50C-407E-A947-70E740481C1C}"/>
                      </a:extLst>
                    </a:blip>
                    <a:srcRect/>
                    <a:stretch>
                      <a:fillRect/>
                    </a:stretch>
                  </pic:blipFill>
                  <pic:spPr bwMode="auto">
                    <a:xfrm>
                      <a:off x="0" y="0"/>
                      <a:ext cx="2661920" cy="187388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602615</wp:posOffset>
                </wp:positionH>
                <wp:positionV relativeFrom="paragraph">
                  <wp:posOffset>39370</wp:posOffset>
                </wp:positionV>
                <wp:extent cx="275590" cy="146685"/>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146685"/>
                        </a:xfrm>
                        <a:prstGeom prst="rect">
                          <a:avLst/>
                        </a:prstGeom>
                        <a:solidFill>
                          <a:srgbClr val="000039"/>
                        </a:solidFill>
                      </wps:spPr>
                      <wps:bodyPr/>
                    </wps:wsp>
                  </a:graphicData>
                </a:graphic>
              </wp:anchor>
            </w:drawing>
          </mc:Choice>
          <mc:Fallback>
            <w:pict>
              <v:rect id="Shape 229" o:spid="_x0000_s1254" style="position:absolute;margin-left:47.45pt;margin-top:3.1pt;width:21.7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1791970</wp:posOffset>
                </wp:positionH>
                <wp:positionV relativeFrom="paragraph">
                  <wp:posOffset>39370</wp:posOffset>
                </wp:positionV>
                <wp:extent cx="282575" cy="146685"/>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 cy="146685"/>
                        </a:xfrm>
                        <a:prstGeom prst="rect">
                          <a:avLst/>
                        </a:prstGeom>
                        <a:solidFill>
                          <a:srgbClr val="000039"/>
                        </a:solidFill>
                      </wps:spPr>
                      <wps:bodyPr/>
                    </wps:wsp>
                  </a:graphicData>
                </a:graphic>
              </wp:anchor>
            </w:drawing>
          </mc:Choice>
          <mc:Fallback>
            <w:pict>
              <v:rect id="Shape 230" o:spid="_x0000_s1255" style="position:absolute;margin-left:141.1pt;margin-top:3.1pt;width:22.2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2093595</wp:posOffset>
                </wp:positionH>
                <wp:positionV relativeFrom="paragraph">
                  <wp:posOffset>39370</wp:posOffset>
                </wp:positionV>
                <wp:extent cx="280035" cy="146685"/>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035" cy="146685"/>
                        </a:xfrm>
                        <a:prstGeom prst="rect">
                          <a:avLst/>
                        </a:prstGeom>
                        <a:solidFill>
                          <a:srgbClr val="BFBFBF"/>
                        </a:solidFill>
                      </wps:spPr>
                      <wps:bodyPr/>
                    </wps:wsp>
                  </a:graphicData>
                </a:graphic>
              </wp:anchor>
            </w:drawing>
          </mc:Choice>
          <mc:Fallback>
            <w:pict>
              <v:rect id="Shape 231" o:spid="_x0000_s1256" style="position:absolute;margin-left:164.85pt;margin-top:3.1pt;width:22.0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2392680</wp:posOffset>
                </wp:positionH>
                <wp:positionV relativeFrom="paragraph">
                  <wp:posOffset>39370</wp:posOffset>
                </wp:positionV>
                <wp:extent cx="278130" cy="146685"/>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6685"/>
                        </a:xfrm>
                        <a:prstGeom prst="rect">
                          <a:avLst/>
                        </a:prstGeom>
                        <a:solidFill>
                          <a:srgbClr val="BFBFBF"/>
                        </a:solidFill>
                      </wps:spPr>
                      <wps:bodyPr/>
                    </wps:wsp>
                  </a:graphicData>
                </a:graphic>
              </wp:anchor>
            </w:drawing>
          </mc:Choice>
          <mc:Fallback>
            <w:pict>
              <v:rect id="Shape 232" o:spid="_x0000_s1257" style="position:absolute;margin-left:188.4pt;margin-top:3.1pt;width:21.9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2689860</wp:posOffset>
                </wp:positionH>
                <wp:positionV relativeFrom="paragraph">
                  <wp:posOffset>39370</wp:posOffset>
                </wp:positionV>
                <wp:extent cx="288290" cy="146685"/>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 cy="146685"/>
                        </a:xfrm>
                        <a:prstGeom prst="rect">
                          <a:avLst/>
                        </a:prstGeom>
                        <a:solidFill>
                          <a:srgbClr val="BFBFBF"/>
                        </a:solidFill>
                      </wps:spPr>
                      <wps:bodyPr/>
                    </wps:wsp>
                  </a:graphicData>
                </a:graphic>
              </wp:anchor>
            </w:drawing>
          </mc:Choice>
          <mc:Fallback>
            <w:pict>
              <v:rect id="Shape 233" o:spid="_x0000_s1258" style="position:absolute;margin-left:211.8pt;margin-top:3.1pt;width:22.7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39370</wp:posOffset>
                </wp:positionV>
                <wp:extent cx="287020" cy="146685"/>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020" cy="146685"/>
                        </a:xfrm>
                        <a:prstGeom prst="rect">
                          <a:avLst/>
                        </a:prstGeom>
                        <a:solidFill>
                          <a:srgbClr val="000039"/>
                        </a:solidFill>
                      </wps:spPr>
                      <wps:bodyPr/>
                    </wps:wsp>
                  </a:graphicData>
                </a:graphic>
              </wp:anchor>
            </w:drawing>
          </mc:Choice>
          <mc:Fallback>
            <w:pict>
              <v:rect id="Shape 234" o:spid="_x0000_s1259" style="position:absolute;margin-left:0pt;margin-top:3.1pt;width:22.6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295910</wp:posOffset>
                </wp:positionH>
                <wp:positionV relativeFrom="paragraph">
                  <wp:posOffset>39370</wp:posOffset>
                </wp:positionV>
                <wp:extent cx="0" cy="146685"/>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pt,3.1pt" to="23.3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306070</wp:posOffset>
                </wp:positionH>
                <wp:positionV relativeFrom="paragraph">
                  <wp:posOffset>39370</wp:posOffset>
                </wp:positionV>
                <wp:extent cx="277495" cy="146685"/>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6685"/>
                        </a:xfrm>
                        <a:prstGeom prst="rect">
                          <a:avLst/>
                        </a:prstGeom>
                        <a:solidFill>
                          <a:srgbClr val="000039"/>
                        </a:solidFill>
                      </wps:spPr>
                      <wps:bodyPr/>
                    </wps:wsp>
                  </a:graphicData>
                </a:graphic>
              </wp:anchor>
            </w:drawing>
          </mc:Choice>
          <mc:Fallback>
            <w:pict>
              <v:rect id="Shape 236" o:spid="_x0000_s1261" style="position:absolute;margin-left:24.1pt;margin-top:3.1pt;width:21.8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592455</wp:posOffset>
                </wp:positionH>
                <wp:positionV relativeFrom="paragraph">
                  <wp:posOffset>39370</wp:posOffset>
                </wp:positionV>
                <wp:extent cx="0" cy="146685"/>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pt,3.1pt" to="46.65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897255</wp:posOffset>
                </wp:positionH>
                <wp:positionV relativeFrom="paragraph">
                  <wp:posOffset>39370</wp:posOffset>
                </wp:positionV>
                <wp:extent cx="277495" cy="146685"/>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6685"/>
                        </a:xfrm>
                        <a:prstGeom prst="rect">
                          <a:avLst/>
                        </a:prstGeom>
                        <a:solidFill>
                          <a:srgbClr val="000039"/>
                        </a:solidFill>
                      </wps:spPr>
                      <wps:bodyPr/>
                    </wps:wsp>
                  </a:graphicData>
                </a:graphic>
              </wp:anchor>
            </w:drawing>
          </mc:Choice>
          <mc:Fallback>
            <w:pict>
              <v:rect id="Shape 238" o:spid="_x0000_s1263" style="position:absolute;margin-left:70.65pt;margin-top:3.1pt;width:21.8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1183640</wp:posOffset>
                </wp:positionH>
                <wp:positionV relativeFrom="paragraph">
                  <wp:posOffset>39370</wp:posOffset>
                </wp:positionV>
                <wp:extent cx="0" cy="146685"/>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pt,3.1pt" to="93.2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1193800</wp:posOffset>
                </wp:positionH>
                <wp:positionV relativeFrom="paragraph">
                  <wp:posOffset>39370</wp:posOffset>
                </wp:positionV>
                <wp:extent cx="281940" cy="146685"/>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 cy="146685"/>
                        </a:xfrm>
                        <a:prstGeom prst="rect">
                          <a:avLst/>
                        </a:prstGeom>
                        <a:solidFill>
                          <a:srgbClr val="000039"/>
                        </a:solidFill>
                      </wps:spPr>
                      <wps:bodyPr/>
                    </wps:wsp>
                  </a:graphicData>
                </a:graphic>
              </wp:anchor>
            </w:drawing>
          </mc:Choice>
          <mc:Fallback>
            <w:pict>
              <v:rect id="Shape 240" o:spid="_x0000_s1265" style="position:absolute;margin-left:94pt;margin-top:3.1pt;width:22.2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1484630</wp:posOffset>
                </wp:positionH>
                <wp:positionV relativeFrom="paragraph">
                  <wp:posOffset>39370</wp:posOffset>
                </wp:positionV>
                <wp:extent cx="0" cy="146685"/>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9pt,3.1pt" to="116.9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1494790</wp:posOffset>
                </wp:positionH>
                <wp:positionV relativeFrom="paragraph">
                  <wp:posOffset>39370</wp:posOffset>
                </wp:positionV>
                <wp:extent cx="278130" cy="146685"/>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6685"/>
                        </a:xfrm>
                        <a:prstGeom prst="rect">
                          <a:avLst/>
                        </a:prstGeom>
                        <a:solidFill>
                          <a:srgbClr val="000039"/>
                        </a:solidFill>
                      </wps:spPr>
                      <wps:bodyPr/>
                    </wps:wsp>
                  </a:graphicData>
                </a:graphic>
              </wp:anchor>
            </w:drawing>
          </mc:Choice>
          <mc:Fallback>
            <w:pict>
              <v:rect id="Shape 242" o:spid="_x0000_s1267" style="position:absolute;margin-left:117.7pt;margin-top:3.1pt;width:21.9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1781810</wp:posOffset>
                </wp:positionH>
                <wp:positionV relativeFrom="paragraph">
                  <wp:posOffset>39370</wp:posOffset>
                </wp:positionV>
                <wp:extent cx="0" cy="146685"/>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3pt,3.1pt" to="140.3pt,14.65pt" o:allowincell="f" strokecolor="#FFFFFF" strokeweight="1.5pt"/>
            </w:pict>
          </mc:Fallback>
        </mc:AlternateContent>
      </w:r>
    </w:p>
    <w:p>
      <w:pPr>
        <w:spacing w:after="0" w:line="197"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298%</w:t>
      </w:r>
    </w:p>
    <w:p>
      <w:pPr>
        <w:spacing w:after="0" w:line="202" w:lineRule="auto"/>
        <w:rPr>
          <w:sz w:val="20"/>
          <w:szCs w:val="20"/>
          <w:color w:val="auto"/>
        </w:rPr>
      </w:pPr>
      <w:r>
        <w:rPr>
          <w:rFonts w:ascii="Arial" w:cs="Arial" w:eastAsia="Arial" w:hAnsi="Arial"/>
          <w:sz w:val="32"/>
          <w:szCs w:val="32"/>
          <w:b w:val="1"/>
          <w:bCs w:val="1"/>
          <w:color w:val="000039"/>
        </w:rPr>
        <w:t>4</w:t>
      </w:r>
      <w:r>
        <w:rPr>
          <w:rFonts w:ascii="Arial" w:cs="Arial" w:eastAsia="Arial" w:hAnsi="Arial"/>
          <w:sz w:val="42"/>
          <w:szCs w:val="42"/>
          <w:b w:val="1"/>
          <w:bCs w:val="1"/>
          <w:color w:val="000039"/>
          <w:vertAlign w:val="superscript"/>
        </w:rPr>
        <w:t>th</w:t>
      </w:r>
      <w:r>
        <w:rPr>
          <w:rFonts w:ascii="Arial" w:cs="Arial" w:eastAsia="Arial" w:hAnsi="Arial"/>
          <w:sz w:val="32"/>
          <w:szCs w:val="32"/>
          <w:b w:val="1"/>
          <w:bCs w:val="1"/>
          <w:color w:val="000039"/>
        </w:rPr>
        <w:t xml:space="preserve"> </w:t>
      </w:r>
      <w:r>
        <w:rPr>
          <w:rFonts w:ascii="Arial" w:cs="Arial" w:eastAsia="Arial" w:hAnsi="Arial"/>
          <w:sz w:val="20"/>
          <w:szCs w:val="20"/>
          <w:color w:val="000000"/>
        </w:rPr>
        <w:t>place out of 10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920" w:type="dxa"/>
            <w:vAlign w:val="bottom"/>
            <w:gridSpan w:val="3"/>
          </w:tcPr>
          <w:p>
            <w:pPr>
              <w:spacing w:after="0"/>
              <w:rPr>
                <w:sz w:val="20"/>
                <w:szCs w:val="20"/>
                <w:color w:val="auto"/>
              </w:rPr>
            </w:pPr>
            <w:r>
              <w:rPr>
                <w:rFonts w:ascii="Arial" w:cs="Arial" w:eastAsia="Arial" w:hAnsi="Arial"/>
                <w:sz w:val="20"/>
                <w:szCs w:val="20"/>
                <w:b w:val="1"/>
                <w:bCs w:val="1"/>
                <w:color w:val="auto"/>
              </w:rPr>
              <w:t>5 Years</w:t>
            </w:r>
          </w:p>
        </w:tc>
        <w:tc>
          <w:tcPr>
            <w:tcW w:w="8400" w:type="dxa"/>
            <w:vAlign w:val="bottom"/>
            <w:gridSpan w:val="17"/>
          </w:tcPr>
          <w:p>
            <w:pPr>
              <w:jc w:val="right"/>
              <w:spacing w:after="0"/>
              <w:rPr>
                <w:sz w:val="20"/>
                <w:szCs w:val="20"/>
                <w:color w:val="auto"/>
              </w:rPr>
            </w:pPr>
            <w:r>
              <w:rPr>
                <w:rFonts w:ascii="Arial" w:cs="Arial" w:eastAsia="Arial" w:hAnsi="Arial"/>
                <w:sz w:val="16"/>
                <w:szCs w:val="16"/>
                <w:color w:val="auto"/>
              </w:rPr>
              <w:t>176%</w:t>
            </w:r>
          </w:p>
        </w:tc>
      </w:tr>
      <w:tr>
        <w:trPr>
          <w:trHeight w:val="229"/>
        </w:trPr>
        <w:tc>
          <w:tcPr>
            <w:tcW w:w="460" w:type="dxa"/>
            <w:vAlign w:val="bottom"/>
            <w:shd w:val="clear" w:color="auto" w:fill="000039"/>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000039"/>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000039"/>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000039"/>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000039"/>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000039"/>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000039"/>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000039"/>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000039"/>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shd w:val="clear" w:color="auto" w:fill="BFBFBF"/>
          </w:tcPr>
          <w:p>
            <w:pPr>
              <w:spacing w:after="0"/>
              <w:rPr>
                <w:sz w:val="19"/>
                <w:szCs w:val="19"/>
                <w:color w:val="auto"/>
              </w:rPr>
            </w:pPr>
          </w:p>
        </w:tc>
        <w:tc>
          <w:tcPr>
            <w:tcW w:w="4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295910</wp:posOffset>
                </wp:positionH>
                <wp:positionV relativeFrom="paragraph">
                  <wp:posOffset>-145415</wp:posOffset>
                </wp:positionV>
                <wp:extent cx="0" cy="145415"/>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pt,-11.4499pt" to="23.3pt,0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592455</wp:posOffset>
                </wp:positionH>
                <wp:positionV relativeFrom="paragraph">
                  <wp:posOffset>-145415</wp:posOffset>
                </wp:positionV>
                <wp:extent cx="0" cy="145415"/>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pt,-11.4499pt" to="46.65pt,0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1183640</wp:posOffset>
                </wp:positionH>
                <wp:positionV relativeFrom="paragraph">
                  <wp:posOffset>-145415</wp:posOffset>
                </wp:positionV>
                <wp:extent cx="0" cy="145415"/>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pt,-11.4499pt" to="93.2pt,0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1484630</wp:posOffset>
                </wp:positionH>
                <wp:positionV relativeFrom="paragraph">
                  <wp:posOffset>-145415</wp:posOffset>
                </wp:positionV>
                <wp:extent cx="0" cy="145415"/>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9pt,-11.4499pt" to="116.9pt,0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1781810</wp:posOffset>
                </wp:positionH>
                <wp:positionV relativeFrom="paragraph">
                  <wp:posOffset>-145415</wp:posOffset>
                </wp:positionV>
                <wp:extent cx="0" cy="145415"/>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3pt,-11.4499pt" to="140.3pt,0pt" o:allowincell="f" strokecolor="#FFFFFF" strokeweight="1.5pt"/>
            </w:pict>
          </mc:Fallback>
        </mc:AlternateContent>
      </w:r>
    </w:p>
    <w:p>
      <w:pPr>
        <w:spacing w:after="0"/>
        <w:rPr>
          <w:sz w:val="20"/>
          <w:szCs w:val="20"/>
          <w:color w:val="auto"/>
        </w:rPr>
      </w:pPr>
      <w:r>
        <w:rPr>
          <w:rFonts w:ascii="Arial" w:cs="Arial" w:eastAsia="Arial" w:hAnsi="Arial"/>
          <w:sz w:val="32"/>
          <w:szCs w:val="32"/>
          <w:b w:val="1"/>
          <w:bCs w:val="1"/>
          <w:color w:val="000039"/>
        </w:rPr>
        <w:t>2</w:t>
      </w:r>
      <w:r>
        <w:rPr>
          <w:rFonts w:ascii="Arial" w:cs="Arial" w:eastAsia="Arial" w:hAnsi="Arial"/>
          <w:sz w:val="42"/>
          <w:szCs w:val="42"/>
          <w:b w:val="1"/>
          <w:bCs w:val="1"/>
          <w:color w:val="000039"/>
          <w:vertAlign w:val="superscript"/>
        </w:rPr>
        <w:t>nd</w:t>
      </w:r>
      <w:r>
        <w:rPr>
          <w:rFonts w:ascii="Arial" w:cs="Arial" w:eastAsia="Arial" w:hAnsi="Arial"/>
          <w:sz w:val="32"/>
          <w:szCs w:val="32"/>
          <w:b w:val="1"/>
          <w:bCs w:val="1"/>
          <w:color w:val="000039"/>
        </w:rPr>
        <w:t xml:space="preserve"> </w:t>
      </w:r>
      <w:r>
        <w:rPr>
          <w:rFonts w:ascii="Arial" w:cs="Arial" w:eastAsia="Arial" w:hAnsi="Arial"/>
          <w:sz w:val="20"/>
          <w:szCs w:val="20"/>
          <w:color w:val="000000"/>
        </w:rPr>
        <w:t>place out of 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3218815</wp:posOffset>
                </wp:positionH>
                <wp:positionV relativeFrom="paragraph">
                  <wp:posOffset>-22225</wp:posOffset>
                </wp:positionV>
                <wp:extent cx="0" cy="301625"/>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625"/>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45pt,-1.7499pt" to="253.45pt,22pt" o:allowincell="f" strokecolor="#000000" strokeweight="1.5pt"/>
            </w:pict>
          </mc:Fallback>
        </mc:AlternateConten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Years</w:t>
      </w:r>
    </w:p>
    <w:p>
      <w:pPr>
        <w:spacing w:after="0" w:line="69" w:lineRule="exact"/>
        <w:rPr>
          <w:sz w:val="20"/>
          <w:szCs w:val="20"/>
          <w:color w:val="auto"/>
        </w:rPr>
      </w:pPr>
    </w:p>
    <w:p>
      <w:pPr>
        <w:ind w:left="6100"/>
        <w:spacing w:after="0"/>
        <w:tabs>
          <w:tab w:leader="none" w:pos="7440" w:val="left"/>
          <w:tab w:leader="none" w:pos="8300" w:val="left"/>
        </w:tabs>
        <w:rPr>
          <w:sz w:val="20"/>
          <w:szCs w:val="20"/>
          <w:color w:val="auto"/>
        </w:rPr>
      </w:pPr>
      <w:r>
        <w:rPr>
          <w:rFonts w:ascii="Arial" w:cs="Arial" w:eastAsia="Arial" w:hAnsi="Arial"/>
          <w:sz w:val="13"/>
          <w:szCs w:val="13"/>
          <w:b w:val="1"/>
          <w:bCs w:val="1"/>
          <w:color w:val="auto"/>
        </w:rPr>
        <w:t>AbbVie</w:t>
      </w:r>
      <w:r>
        <w:rPr>
          <w:sz w:val="20"/>
          <w:szCs w:val="20"/>
          <w:color w:val="auto"/>
        </w:rPr>
        <w:tab/>
      </w:r>
      <w:r>
        <w:rPr>
          <w:rFonts w:ascii="Arial" w:cs="Arial" w:eastAsia="Arial" w:hAnsi="Arial"/>
          <w:sz w:val="13"/>
          <w:szCs w:val="13"/>
          <w:b w:val="1"/>
          <w:bCs w:val="1"/>
          <w:color w:val="auto"/>
        </w:rPr>
        <w:t>S&amp;P 500</w:t>
      </w:r>
      <w:r>
        <w:rPr>
          <w:sz w:val="20"/>
          <w:szCs w:val="20"/>
          <w:color w:val="auto"/>
        </w:rPr>
        <w:tab/>
      </w:r>
      <w:r>
        <w:rPr>
          <w:rFonts w:ascii="Arial" w:cs="Arial" w:eastAsia="Arial" w:hAnsi="Arial"/>
          <w:sz w:val="13"/>
          <w:szCs w:val="13"/>
          <w:b w:val="1"/>
          <w:bCs w:val="1"/>
          <w:color w:val="auto"/>
        </w:rPr>
        <w:t>NYSE Arca Pharma Index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602615</wp:posOffset>
                </wp:positionH>
                <wp:positionV relativeFrom="paragraph">
                  <wp:posOffset>-83820</wp:posOffset>
                </wp:positionV>
                <wp:extent cx="275590" cy="145415"/>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145415"/>
                        </a:xfrm>
                        <a:prstGeom prst="rect">
                          <a:avLst/>
                        </a:prstGeom>
                        <a:solidFill>
                          <a:srgbClr val="000039"/>
                        </a:solidFill>
                      </wps:spPr>
                      <wps:bodyPr/>
                    </wps:wsp>
                  </a:graphicData>
                </a:graphic>
              </wp:anchor>
            </w:drawing>
          </mc:Choice>
          <mc:Fallback>
            <w:pict>
              <v:rect id="Shape 250" o:spid="_x0000_s1275" style="position:absolute;margin-left:47.45pt;margin-top:-6.5999pt;width:21.7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1791970</wp:posOffset>
                </wp:positionH>
                <wp:positionV relativeFrom="paragraph">
                  <wp:posOffset>-83820</wp:posOffset>
                </wp:positionV>
                <wp:extent cx="282575" cy="145415"/>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 cy="145415"/>
                        </a:xfrm>
                        <a:prstGeom prst="rect">
                          <a:avLst/>
                        </a:prstGeom>
                        <a:solidFill>
                          <a:srgbClr val="000039"/>
                        </a:solidFill>
                      </wps:spPr>
                      <wps:bodyPr/>
                    </wps:wsp>
                  </a:graphicData>
                </a:graphic>
              </wp:anchor>
            </w:drawing>
          </mc:Choice>
          <mc:Fallback>
            <w:pict>
              <v:rect id="Shape 251" o:spid="_x0000_s1276" style="position:absolute;margin-left:141.1pt;margin-top:-6.5999pt;width:22.2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2093595</wp:posOffset>
                </wp:positionH>
                <wp:positionV relativeFrom="paragraph">
                  <wp:posOffset>-83820</wp:posOffset>
                </wp:positionV>
                <wp:extent cx="280035" cy="145415"/>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035" cy="145415"/>
                        </a:xfrm>
                        <a:prstGeom prst="rect">
                          <a:avLst/>
                        </a:prstGeom>
                        <a:solidFill>
                          <a:srgbClr val="000039"/>
                        </a:solidFill>
                      </wps:spPr>
                      <wps:bodyPr/>
                    </wps:wsp>
                  </a:graphicData>
                </a:graphic>
              </wp:anchor>
            </w:drawing>
          </mc:Choice>
          <mc:Fallback>
            <w:pict>
              <v:rect id="Shape 252" o:spid="_x0000_s1277" style="position:absolute;margin-left:164.85pt;margin-top:-6.5999pt;width:22.0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2392680</wp:posOffset>
                </wp:positionH>
                <wp:positionV relativeFrom="paragraph">
                  <wp:posOffset>-83820</wp:posOffset>
                </wp:positionV>
                <wp:extent cx="278130" cy="145415"/>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5415"/>
                        </a:xfrm>
                        <a:prstGeom prst="rect">
                          <a:avLst/>
                        </a:prstGeom>
                        <a:solidFill>
                          <a:srgbClr val="000039"/>
                        </a:solidFill>
                      </wps:spPr>
                      <wps:bodyPr/>
                    </wps:wsp>
                  </a:graphicData>
                </a:graphic>
              </wp:anchor>
            </w:drawing>
          </mc:Choice>
          <mc:Fallback>
            <w:pict>
              <v:rect id="Shape 253" o:spid="_x0000_s1278" style="position:absolute;margin-left:188.4pt;margin-top:-6.5999pt;width:21.9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2689860</wp:posOffset>
                </wp:positionH>
                <wp:positionV relativeFrom="paragraph">
                  <wp:posOffset>-83820</wp:posOffset>
                </wp:positionV>
                <wp:extent cx="288290" cy="145415"/>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 cy="145415"/>
                        </a:xfrm>
                        <a:prstGeom prst="rect">
                          <a:avLst/>
                        </a:prstGeom>
                        <a:solidFill>
                          <a:srgbClr val="BFBFBF"/>
                        </a:solidFill>
                      </wps:spPr>
                      <wps:bodyPr/>
                    </wps:wsp>
                  </a:graphicData>
                </a:graphic>
              </wp:anchor>
            </w:drawing>
          </mc:Choice>
          <mc:Fallback>
            <w:pict>
              <v:rect id="Shape 254" o:spid="_x0000_s1279" style="position:absolute;margin-left:211.8pt;margin-top:-6.5999pt;width:22.7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-83820</wp:posOffset>
                </wp:positionV>
                <wp:extent cx="287020" cy="145415"/>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020" cy="145415"/>
                        </a:xfrm>
                        <a:prstGeom prst="rect">
                          <a:avLst/>
                        </a:prstGeom>
                        <a:solidFill>
                          <a:srgbClr val="000039"/>
                        </a:solidFill>
                      </wps:spPr>
                      <wps:bodyPr/>
                    </wps:wsp>
                  </a:graphicData>
                </a:graphic>
              </wp:anchor>
            </w:drawing>
          </mc:Choice>
          <mc:Fallback>
            <w:pict>
              <v:rect id="Shape 255" o:spid="_x0000_s1280" style="position:absolute;margin-left:0pt;margin-top:-6.5999pt;width:22.6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295910</wp:posOffset>
                </wp:positionH>
                <wp:positionV relativeFrom="paragraph">
                  <wp:posOffset>-83820</wp:posOffset>
                </wp:positionV>
                <wp:extent cx="0" cy="145415"/>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pt,-6.5999pt" to="23.3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306070</wp:posOffset>
                </wp:positionH>
                <wp:positionV relativeFrom="paragraph">
                  <wp:posOffset>-83820</wp:posOffset>
                </wp:positionV>
                <wp:extent cx="277495" cy="145415"/>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5415"/>
                        </a:xfrm>
                        <a:prstGeom prst="rect">
                          <a:avLst/>
                        </a:prstGeom>
                        <a:solidFill>
                          <a:srgbClr val="000039"/>
                        </a:solidFill>
                      </wps:spPr>
                      <wps:bodyPr/>
                    </wps:wsp>
                  </a:graphicData>
                </a:graphic>
              </wp:anchor>
            </w:drawing>
          </mc:Choice>
          <mc:Fallback>
            <w:pict>
              <v:rect id="Shape 257" o:spid="_x0000_s1282" style="position:absolute;margin-left:24.1pt;margin-top:-6.5999pt;width:21.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592455</wp:posOffset>
                </wp:positionH>
                <wp:positionV relativeFrom="paragraph">
                  <wp:posOffset>-83820</wp:posOffset>
                </wp:positionV>
                <wp:extent cx="0" cy="145415"/>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pt,-6.5999pt" to="46.65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897255</wp:posOffset>
                </wp:positionH>
                <wp:positionV relativeFrom="paragraph">
                  <wp:posOffset>-83820</wp:posOffset>
                </wp:positionV>
                <wp:extent cx="277495" cy="145415"/>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5415"/>
                        </a:xfrm>
                        <a:prstGeom prst="rect">
                          <a:avLst/>
                        </a:prstGeom>
                        <a:solidFill>
                          <a:srgbClr val="000039"/>
                        </a:solidFill>
                      </wps:spPr>
                      <wps:bodyPr/>
                    </wps:wsp>
                  </a:graphicData>
                </a:graphic>
              </wp:anchor>
            </w:drawing>
          </mc:Choice>
          <mc:Fallback>
            <w:pict>
              <v:rect id="Shape 259" o:spid="_x0000_s1284" style="position:absolute;margin-left:70.65pt;margin-top:-6.5999pt;width:21.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1183640</wp:posOffset>
                </wp:positionH>
                <wp:positionV relativeFrom="paragraph">
                  <wp:posOffset>-83820</wp:posOffset>
                </wp:positionV>
                <wp:extent cx="0" cy="145415"/>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pt,-6.5999pt" to="93.2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1193800</wp:posOffset>
                </wp:positionH>
                <wp:positionV relativeFrom="paragraph">
                  <wp:posOffset>-83820</wp:posOffset>
                </wp:positionV>
                <wp:extent cx="281940" cy="145415"/>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 cy="145415"/>
                        </a:xfrm>
                        <a:prstGeom prst="rect">
                          <a:avLst/>
                        </a:prstGeom>
                        <a:solidFill>
                          <a:srgbClr val="000039"/>
                        </a:solidFill>
                      </wps:spPr>
                      <wps:bodyPr/>
                    </wps:wsp>
                  </a:graphicData>
                </a:graphic>
              </wp:anchor>
            </w:drawing>
          </mc:Choice>
          <mc:Fallback>
            <w:pict>
              <v:rect id="Shape 261" o:spid="_x0000_s1286" style="position:absolute;margin-left:94pt;margin-top:-6.5999pt;width:22.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1484630</wp:posOffset>
                </wp:positionH>
                <wp:positionV relativeFrom="paragraph">
                  <wp:posOffset>-83820</wp:posOffset>
                </wp:positionV>
                <wp:extent cx="0" cy="145415"/>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9pt,-6.5999pt" to="116.9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1494790</wp:posOffset>
                </wp:positionH>
                <wp:positionV relativeFrom="paragraph">
                  <wp:posOffset>-83820</wp:posOffset>
                </wp:positionV>
                <wp:extent cx="278130" cy="145415"/>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5415"/>
                        </a:xfrm>
                        <a:prstGeom prst="rect">
                          <a:avLst/>
                        </a:prstGeom>
                        <a:solidFill>
                          <a:srgbClr val="000039"/>
                        </a:solidFill>
                      </wps:spPr>
                      <wps:bodyPr/>
                    </wps:wsp>
                  </a:graphicData>
                </a:graphic>
              </wp:anchor>
            </w:drawing>
          </mc:Choice>
          <mc:Fallback>
            <w:pict>
              <v:rect id="Shape 263" o:spid="_x0000_s1288" style="position:absolute;margin-left:117.7pt;margin-top:-6.5999pt;width:21.9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1781810</wp:posOffset>
                </wp:positionH>
                <wp:positionV relativeFrom="paragraph">
                  <wp:posOffset>-83820</wp:posOffset>
                </wp:positionV>
                <wp:extent cx="0" cy="145415"/>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3pt,-6.5999pt" to="140.3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3218815</wp:posOffset>
                </wp:positionH>
                <wp:positionV relativeFrom="paragraph">
                  <wp:posOffset>-83820</wp:posOffset>
                </wp:positionV>
                <wp:extent cx="0" cy="429895"/>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989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45pt,-6.5999pt" to="253.45pt,27.25pt" o:allowincell="f" strokecolor="#000039" strokeweight="1.5pt"/>
            </w:pict>
          </mc:Fallback>
        </mc:AlternateContent>
      </w:r>
    </w:p>
    <w:p>
      <w:pPr>
        <w:spacing w:after="0" w:line="79" w:lineRule="exact"/>
        <w:rPr>
          <w:sz w:val="20"/>
          <w:szCs w:val="20"/>
          <w:color w:val="auto"/>
        </w:rPr>
      </w:pPr>
    </w:p>
    <w:p>
      <w:pPr>
        <w:spacing w:after="0"/>
        <w:rPr>
          <w:sz w:val="20"/>
          <w:szCs w:val="20"/>
          <w:color w:val="auto"/>
        </w:rPr>
      </w:pPr>
      <w:r>
        <w:rPr>
          <w:rFonts w:ascii="Arial" w:cs="Arial" w:eastAsia="Arial" w:hAnsi="Arial"/>
          <w:sz w:val="32"/>
          <w:szCs w:val="32"/>
          <w:b w:val="1"/>
          <w:bCs w:val="1"/>
          <w:color w:val="000039"/>
        </w:rPr>
        <w:t>2</w:t>
      </w:r>
      <w:r>
        <w:rPr>
          <w:rFonts w:ascii="Arial" w:cs="Arial" w:eastAsia="Arial" w:hAnsi="Arial"/>
          <w:sz w:val="42"/>
          <w:szCs w:val="42"/>
          <w:b w:val="1"/>
          <w:bCs w:val="1"/>
          <w:color w:val="000039"/>
          <w:vertAlign w:val="superscript"/>
        </w:rPr>
        <w:t>nd</w:t>
      </w:r>
      <w:r>
        <w:rPr>
          <w:rFonts w:ascii="Arial" w:cs="Arial" w:eastAsia="Arial" w:hAnsi="Arial"/>
          <w:sz w:val="32"/>
          <w:szCs w:val="32"/>
          <w:b w:val="1"/>
          <w:bCs w:val="1"/>
          <w:color w:val="000039"/>
        </w:rPr>
        <w:t xml:space="preserve"> </w:t>
      </w:r>
      <w:r>
        <w:rPr>
          <w:rFonts w:ascii="Arial" w:cs="Arial" w:eastAsia="Arial" w:hAnsi="Arial"/>
          <w:sz w:val="20"/>
          <w:szCs w:val="20"/>
          <w:color w:val="000000"/>
        </w:rPr>
        <w:t>place out of 10</w:t>
      </w:r>
    </w:p>
    <w:p>
      <w:pPr>
        <w:spacing w:after="0" w:line="108" w:lineRule="exact"/>
        <w:rPr>
          <w:sz w:val="20"/>
          <w:szCs w:val="20"/>
          <w:color w:val="auto"/>
        </w:rPr>
      </w:pPr>
    </w:p>
    <w:p>
      <w:pPr>
        <w:ind w:right="840"/>
        <w:spacing w:after="0" w:line="253" w:lineRule="auto"/>
        <w:rPr>
          <w:sz w:val="20"/>
          <w:szCs w:val="20"/>
          <w:color w:val="auto"/>
        </w:rPr>
      </w:pPr>
      <w:r>
        <w:rPr>
          <w:rFonts w:ascii="Arial" w:cs="Arial" w:eastAsia="Arial" w:hAnsi="Arial"/>
          <w:sz w:val="16"/>
          <w:szCs w:val="16"/>
          <w:b w:val="1"/>
          <w:bCs w:val="1"/>
          <w:color w:val="auto"/>
        </w:rPr>
        <w:t xml:space="preserve">AbbVie’s peer group above includes: </w:t>
      </w:r>
      <w:r>
        <w:rPr>
          <w:rFonts w:ascii="Arial" w:cs="Arial" w:eastAsia="Arial" w:hAnsi="Arial"/>
          <w:sz w:val="16"/>
          <w:szCs w:val="16"/>
          <w:color w:val="auto"/>
        </w:rPr>
        <w:t>Amgen, Inc; Bristol-Myers Squibb Company; Eli Lilly and Company; Gilead Sciences, Inc.;</w:t>
      </w:r>
      <w:r>
        <w:rPr>
          <w:rFonts w:ascii="Arial" w:cs="Arial" w:eastAsia="Arial" w:hAnsi="Arial"/>
          <w:sz w:val="16"/>
          <w:szCs w:val="16"/>
          <w:b w:val="1"/>
          <w:bCs w:val="1"/>
          <w:color w:val="auto"/>
        </w:rPr>
        <w:t xml:space="preserve"> </w:t>
      </w:r>
      <w:r>
        <w:rPr>
          <w:rFonts w:ascii="Arial" w:cs="Arial" w:eastAsia="Arial" w:hAnsi="Arial"/>
          <w:sz w:val="16"/>
          <w:szCs w:val="16"/>
          <w:color w:val="auto"/>
        </w:rPr>
        <w:t>GlaxoSmithKline plc; Johnson &amp; Johnson; Merck &amp; Company, Inc; Novartis AG; and Pfizer Inc. TSR measured as of 12/31/25.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2480" w:val="left"/>
        </w:tabs>
        <w:rPr>
          <w:sz w:val="20"/>
          <w:szCs w:val="20"/>
          <w:color w:val="auto"/>
        </w:rPr>
      </w:pPr>
      <w:r>
        <w:rPr>
          <w:rFonts w:ascii="Arial" w:cs="Arial" w:eastAsia="Arial" w:hAnsi="Arial"/>
          <w:sz w:val="20"/>
          <w:szCs w:val="20"/>
          <w:color w:val="auto"/>
        </w:rPr>
        <w:t xml:space="preserve">4  </w:t>
      </w:r>
      <w:r>
        <w:rPr>
          <w:sz w:val="1"/>
          <w:szCs w:val="1"/>
          <w:color w:val="auto"/>
        </w:rPr>
        <w:drawing>
          <wp:inline distT="0" distB="0" distL="0" distR="0">
            <wp:extent cx="992505" cy="2006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60">
                      <a:extLst>
                        <a:ext uri="{28A0092B-C50C-407E-A947-70E740481C1C}"/>
                      </a:extLst>
                    </a:blip>
                    <a:srcRect/>
                    <a:stretch>
                      <a:fillRect/>
                    </a:stretch>
                  </pic:blipFill>
                  <pic:spPr bwMode="auto">
                    <a:xfrm>
                      <a:off x="0" y="0"/>
                      <a:ext cx="992505"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33" w:name="page134"/>
    <w:bookmarkEnd w:id="133"/>
    <w:p>
      <w:pPr>
        <w:ind w:left="8300"/>
        <w:spacing w:after="0"/>
        <w:rPr>
          <w:sz w:val="20"/>
          <w:szCs w:val="20"/>
          <w:color w:val="auto"/>
        </w:rPr>
      </w:pPr>
      <w:r>
        <w:rPr>
          <w:rFonts w:ascii="Arial" w:cs="Arial" w:eastAsia="Arial" w:hAnsi="Arial"/>
          <w:sz w:val="20"/>
          <w:szCs w:val="20"/>
          <w:color w:val="808080"/>
        </w:rPr>
        <w:t>PROXY SUMMARY</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Our Governance Highlights</w:t>
      </w:r>
    </w:p>
    <w:p>
      <w:pPr>
        <w:spacing w:after="0" w:line="217"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color w:val="auto"/>
        </w:rPr>
        <w:t>Our Board of Directors is committed to strong corporate governance tailored to meet the needs of AbbVie and its stockholders to enhance long-term stockholder value. Each year, AbbVie completes a robust investor engagement program with governance investment teams. Our engagements in 2025 included discussions on</w:t>
      </w:r>
    </w:p>
    <w:p>
      <w:pPr>
        <w:ind w:left="300" w:hanging="300"/>
        <w:spacing w:after="0"/>
        <w:tabs>
          <w:tab w:leader="none" w:pos="3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Board’s composition, including recent refreshment and balance of tenure and skills on the Board,</w:t>
      </w:r>
    </w:p>
    <w:p>
      <w:pPr>
        <w:ind w:right="380"/>
        <w:spacing w:after="0" w:line="239" w:lineRule="auto"/>
        <w:tabs>
          <w:tab w:leader="none" w:pos="3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AbbVie’s CEO and Chairman transition, (3) the Board’s leadership structure, including a robust lead independent director role with expansive responsibilities, (4) AbbVie’s executive compensation programs, and</w:t>
      </w:r>
    </w:p>
    <w:p>
      <w:pPr>
        <w:spacing w:after="0" w:line="1" w:lineRule="exact"/>
        <w:rPr>
          <w:rFonts w:ascii="Arial" w:cs="Arial" w:eastAsia="Arial" w:hAnsi="Arial"/>
          <w:sz w:val="20"/>
          <w:szCs w:val="20"/>
          <w:color w:val="auto"/>
        </w:rPr>
      </w:pPr>
    </w:p>
    <w:p>
      <w:pPr>
        <w:ind w:right="320"/>
        <w:spacing w:after="0" w:line="255" w:lineRule="auto"/>
        <w:tabs>
          <w:tab w:leader="none" w:pos="3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AbbVie’s environmental, social, and governance (ESG) strategy and initiatives. AbbVie also engages each year with each of its stockholders who submit proposals for the annual meeting.</w:t>
      </w:r>
    </w:p>
    <w:p>
      <w:pPr>
        <w:spacing w:after="0" w:line="145"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Each year, the Board reviews feedback from our investor engagements and discusses opportunities to improve AbbVie’s governance practices. The following chart summarizes some of the governance practices that the Board has adopted over the past several years as a result of dialogue with our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113030</wp:posOffset>
                </wp:positionV>
                <wp:extent cx="76200" cy="507365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 cy="5073650"/>
                        </a:xfrm>
                        <a:prstGeom prst="rect">
                          <a:avLst/>
                        </a:prstGeom>
                        <a:solidFill>
                          <a:srgbClr val="000039"/>
                        </a:solidFill>
                      </wps:spPr>
                      <wps:bodyPr/>
                    </wps:wsp>
                  </a:graphicData>
                </a:graphic>
              </wp:anchor>
            </w:drawing>
          </mc:Choice>
          <mc:Fallback>
            <w:pict>
              <v:rect id="Shape 267" o:spid="_x0000_s1292" style="position:absolute;margin-left:-3pt;margin-top:8.9pt;width:6pt;height:3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w:r>
    </w:p>
    <w:p>
      <w:pPr>
        <w:spacing w:after="0" w:line="159" w:lineRule="exact"/>
        <w:rPr>
          <w:sz w:val="20"/>
          <w:szCs w:val="20"/>
          <w:color w:val="auto"/>
        </w:rPr>
      </w:pPr>
    </w:p>
    <w:tbl>
      <w:tblPr>
        <w:tblLayout w:type="fixed"/>
        <w:tblInd w:w="240" w:type="dxa"/>
        <w:tblCellMar>
          <w:top w:w="0" w:type="dxa"/>
          <w:left w:w="0" w:type="dxa"/>
          <w:bottom w:w="0" w:type="dxa"/>
          <w:right w:w="0" w:type="dxa"/>
        </w:tblCellMar>
      </w:tblPr>
      <w:tr>
        <w:trPr>
          <w:trHeight w:val="396"/>
        </w:trPr>
        <w:tc>
          <w:tcPr>
            <w:tcW w:w="1660" w:type="dxa"/>
            <w:vAlign w:val="bottom"/>
            <w:tcBorders>
              <w:right w:val="single" w:sz="8" w:color="000039"/>
            </w:tcBorders>
          </w:tcPr>
          <w:p>
            <w:pPr>
              <w:ind w:left="160"/>
              <w:spacing w:after="0"/>
              <w:rPr>
                <w:sz w:val="20"/>
                <w:szCs w:val="20"/>
                <w:color w:val="auto"/>
              </w:rPr>
            </w:pPr>
            <w:r>
              <w:rPr>
                <w:rFonts w:ascii="Arial" w:cs="Arial" w:eastAsia="Arial" w:hAnsi="Arial"/>
                <w:sz w:val="24"/>
                <w:szCs w:val="24"/>
                <w:b w:val="1"/>
                <w:bCs w:val="1"/>
                <w:color w:val="auto"/>
              </w:rPr>
              <w:t>Topic:</w:t>
            </w:r>
          </w:p>
        </w:tc>
        <w:tc>
          <w:tcPr>
            <w:tcW w:w="8180" w:type="dxa"/>
            <w:vAlign w:val="bottom"/>
          </w:tcPr>
          <w:p>
            <w:pPr>
              <w:ind w:left="140"/>
              <w:spacing w:after="0"/>
              <w:rPr>
                <w:sz w:val="20"/>
                <w:szCs w:val="20"/>
                <w:color w:val="auto"/>
              </w:rPr>
            </w:pPr>
            <w:r>
              <w:rPr>
                <w:rFonts w:ascii="Arial" w:cs="Arial" w:eastAsia="Arial" w:hAnsi="Arial"/>
                <w:sz w:val="24"/>
                <w:szCs w:val="24"/>
                <w:b w:val="1"/>
                <w:bCs w:val="1"/>
                <w:color w:val="auto"/>
              </w:rPr>
              <w:t>Actions taken by our Board:</w:t>
            </w:r>
          </w:p>
        </w:tc>
        <w:tc>
          <w:tcPr>
            <w:tcW w:w="0" w:type="dxa"/>
            <w:vAlign w:val="bottom"/>
          </w:tcPr>
          <w:p>
            <w:pPr>
              <w:spacing w:after="0"/>
              <w:rPr>
                <w:sz w:val="1"/>
                <w:szCs w:val="1"/>
                <w:color w:val="auto"/>
              </w:rPr>
            </w:pPr>
          </w:p>
        </w:tc>
      </w:tr>
      <w:tr>
        <w:trPr>
          <w:trHeight w:val="50"/>
        </w:trPr>
        <w:tc>
          <w:tcPr>
            <w:tcW w:w="1660" w:type="dxa"/>
            <w:vAlign w:val="bottom"/>
            <w:tcBorders>
              <w:bottom w:val="single" w:sz="8" w:color="000039"/>
              <w:right w:val="single" w:sz="8" w:color="000039"/>
            </w:tcBorders>
          </w:tcPr>
          <w:p>
            <w:pPr>
              <w:spacing w:after="0"/>
              <w:rPr>
                <w:sz w:val="4"/>
                <w:szCs w:val="4"/>
                <w:color w:val="auto"/>
              </w:rPr>
            </w:pPr>
          </w:p>
        </w:tc>
        <w:tc>
          <w:tcPr>
            <w:tcW w:w="8180" w:type="dxa"/>
            <w:vAlign w:val="bottom"/>
            <w:tcBorders>
              <w:bottom w:val="single" w:sz="8" w:color="000039"/>
            </w:tcBorders>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1660" w:type="dxa"/>
            <w:vAlign w:val="bottom"/>
            <w:tcBorders>
              <w:right w:val="single" w:sz="8" w:color="000039"/>
            </w:tcBorders>
          </w:tcPr>
          <w:p>
            <w:pPr>
              <w:spacing w:after="0"/>
              <w:rPr>
                <w:sz w:val="24"/>
                <w:szCs w:val="24"/>
                <w:color w:val="auto"/>
              </w:rPr>
            </w:pPr>
          </w:p>
        </w:tc>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 xml:space="preserve">approved a management proposal to eliminate supermajority voting </w:t>
            </w:r>
            <w:r>
              <w:rPr>
                <w:rFonts w:ascii="Arial" w:cs="Arial" w:eastAsia="Arial" w:hAnsi="Arial"/>
                <w:sz w:val="19"/>
                <w:szCs w:val="19"/>
                <w:color w:val="auto"/>
              </w:rPr>
              <w:t>(Item 4) to seek</w:t>
            </w:r>
          </w:p>
        </w:tc>
        <w:tc>
          <w:tcPr>
            <w:tcW w:w="0" w:type="dxa"/>
            <w:vAlign w:val="bottom"/>
          </w:tcPr>
          <w:p>
            <w:pPr>
              <w:spacing w:after="0"/>
              <w:rPr>
                <w:sz w:val="1"/>
                <w:szCs w:val="1"/>
                <w:color w:val="auto"/>
              </w:rPr>
            </w:pPr>
          </w:p>
        </w:tc>
      </w:tr>
      <w:tr>
        <w:trPr>
          <w:trHeight w:val="295"/>
        </w:trPr>
        <w:tc>
          <w:tcPr>
            <w:tcW w:w="166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rPr>
              <w:t>Stockholder</w:t>
            </w:r>
          </w:p>
        </w:tc>
        <w:tc>
          <w:tcPr>
            <w:tcW w:w="8180" w:type="dxa"/>
            <w:vAlign w:val="bottom"/>
          </w:tcPr>
          <w:p>
            <w:pPr>
              <w:ind w:left="140"/>
              <w:spacing w:after="0"/>
              <w:rPr>
                <w:sz w:val="20"/>
                <w:szCs w:val="20"/>
                <w:color w:val="auto"/>
              </w:rPr>
            </w:pPr>
            <w:r>
              <w:rPr>
                <w:rFonts w:ascii="Arial" w:cs="Arial" w:eastAsia="Arial" w:hAnsi="Arial"/>
                <w:sz w:val="19"/>
                <w:szCs w:val="19"/>
                <w:color w:val="auto"/>
              </w:rPr>
              <w:t>stockholder approval to amend the company’s Amended and Restated Certificate of</w:t>
            </w:r>
          </w:p>
        </w:tc>
        <w:tc>
          <w:tcPr>
            <w:tcW w:w="0" w:type="dxa"/>
            <w:vAlign w:val="bottom"/>
          </w:tcPr>
          <w:p>
            <w:pPr>
              <w:spacing w:after="0"/>
              <w:rPr>
                <w:sz w:val="1"/>
                <w:szCs w:val="1"/>
                <w:color w:val="auto"/>
              </w:rPr>
            </w:pPr>
          </w:p>
        </w:tc>
      </w:tr>
      <w:tr>
        <w:trPr>
          <w:trHeight w:val="142"/>
        </w:trPr>
        <w:tc>
          <w:tcPr>
            <w:tcW w:w="166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rPr>
              <w:t>Voting Rights</w:t>
            </w:r>
          </w:p>
        </w:tc>
        <w:tc>
          <w:tcPr>
            <w:tcW w:w="8180" w:type="dxa"/>
            <w:vAlign w:val="bottom"/>
          </w:tcPr>
          <w:p>
            <w:pPr>
              <w:ind w:left="140"/>
              <w:spacing w:after="0" w:line="142" w:lineRule="exact"/>
              <w:rPr>
                <w:sz w:val="20"/>
                <w:szCs w:val="20"/>
                <w:color w:val="auto"/>
              </w:rPr>
            </w:pPr>
            <w:r>
              <w:rPr>
                <w:rFonts w:ascii="Arial" w:cs="Arial" w:eastAsia="Arial" w:hAnsi="Arial"/>
                <w:sz w:val="16"/>
                <w:szCs w:val="16"/>
                <w:color w:val="auto"/>
              </w:rPr>
              <w:t>Incorporation to provide for a simple majority of shares outstanding for all provisions previously</w:t>
            </w:r>
          </w:p>
        </w:tc>
        <w:tc>
          <w:tcPr>
            <w:tcW w:w="0" w:type="dxa"/>
            <w:vAlign w:val="bottom"/>
          </w:tcPr>
          <w:p>
            <w:pPr>
              <w:spacing w:after="0"/>
              <w:rPr>
                <w:sz w:val="1"/>
                <w:szCs w:val="1"/>
                <w:color w:val="auto"/>
              </w:rPr>
            </w:pPr>
          </w:p>
        </w:tc>
      </w:tr>
      <w:tr>
        <w:trPr>
          <w:trHeight w:val="220"/>
        </w:trPr>
        <w:tc>
          <w:tcPr>
            <w:tcW w:w="1660" w:type="dxa"/>
            <w:vAlign w:val="bottom"/>
            <w:tcBorders>
              <w:right w:val="single" w:sz="8" w:color="000039"/>
            </w:tcBorders>
            <w:vMerge w:val="continue"/>
          </w:tcPr>
          <w:p>
            <w:pPr>
              <w:spacing w:after="0"/>
              <w:rPr>
                <w:sz w:val="19"/>
                <w:szCs w:val="19"/>
                <w:color w:val="auto"/>
              </w:rPr>
            </w:pPr>
          </w:p>
        </w:tc>
        <w:tc>
          <w:tcPr>
            <w:tcW w:w="8180" w:type="dxa"/>
            <w:vAlign w:val="bottom"/>
          </w:tcPr>
          <w:p>
            <w:pPr>
              <w:ind w:left="140"/>
              <w:spacing w:after="0"/>
              <w:rPr>
                <w:sz w:val="20"/>
                <w:szCs w:val="20"/>
                <w:color w:val="auto"/>
              </w:rPr>
            </w:pPr>
            <w:r>
              <w:rPr>
                <w:rFonts w:ascii="Arial" w:cs="Arial" w:eastAsia="Arial" w:hAnsi="Arial"/>
                <w:sz w:val="19"/>
                <w:szCs w:val="19"/>
                <w:color w:val="auto"/>
              </w:rPr>
              <w:t>subject to a supermajority provision and previously submitted the same proposal from 2018 to</w:t>
            </w:r>
          </w:p>
        </w:tc>
        <w:tc>
          <w:tcPr>
            <w:tcW w:w="0" w:type="dxa"/>
            <w:vAlign w:val="bottom"/>
          </w:tcPr>
          <w:p>
            <w:pPr>
              <w:spacing w:after="0"/>
              <w:rPr>
                <w:sz w:val="1"/>
                <w:szCs w:val="1"/>
                <w:color w:val="auto"/>
              </w:rPr>
            </w:pPr>
          </w:p>
        </w:tc>
      </w:tr>
      <w:tr>
        <w:trPr>
          <w:trHeight w:val="256"/>
        </w:trPr>
        <w:tc>
          <w:tcPr>
            <w:tcW w:w="1660" w:type="dxa"/>
            <w:vAlign w:val="bottom"/>
            <w:tcBorders>
              <w:right w:val="single" w:sz="8" w:color="000039"/>
            </w:tcBorders>
          </w:tcPr>
          <w:p>
            <w:pPr>
              <w:spacing w:after="0"/>
              <w:rPr>
                <w:sz w:val="22"/>
                <w:szCs w:val="22"/>
                <w:color w:val="auto"/>
              </w:rPr>
            </w:pPr>
          </w:p>
        </w:tc>
        <w:tc>
          <w:tcPr>
            <w:tcW w:w="8180" w:type="dxa"/>
            <w:vAlign w:val="bottom"/>
          </w:tcPr>
          <w:p>
            <w:pPr>
              <w:ind w:left="140"/>
              <w:spacing w:after="0"/>
              <w:rPr>
                <w:sz w:val="20"/>
                <w:szCs w:val="20"/>
                <w:color w:val="auto"/>
              </w:rPr>
            </w:pPr>
            <w:r>
              <w:rPr>
                <w:rFonts w:ascii="Arial" w:cs="Arial" w:eastAsia="Arial" w:hAnsi="Arial"/>
                <w:sz w:val="19"/>
                <w:szCs w:val="19"/>
                <w:color w:val="auto"/>
              </w:rPr>
              <w:t>2025 as well as a declassification management proposal from 2016 to 2018</w:t>
            </w:r>
          </w:p>
        </w:tc>
        <w:tc>
          <w:tcPr>
            <w:tcW w:w="0" w:type="dxa"/>
            <w:vAlign w:val="bottom"/>
          </w:tcPr>
          <w:p>
            <w:pPr>
              <w:spacing w:after="0"/>
              <w:rPr>
                <w:sz w:val="1"/>
                <w:szCs w:val="1"/>
                <w:color w:val="auto"/>
              </w:rPr>
            </w:pPr>
          </w:p>
        </w:tc>
      </w:tr>
      <w:tr>
        <w:trPr>
          <w:trHeight w:val="110"/>
        </w:trPr>
        <w:tc>
          <w:tcPr>
            <w:tcW w:w="1660" w:type="dxa"/>
            <w:vAlign w:val="bottom"/>
            <w:tcBorders>
              <w:bottom w:val="single" w:sz="8" w:color="000039"/>
              <w:right w:val="single" w:sz="8" w:color="000039"/>
            </w:tcBorders>
          </w:tcPr>
          <w:p>
            <w:pPr>
              <w:spacing w:after="0"/>
              <w:rPr>
                <w:sz w:val="9"/>
                <w:szCs w:val="9"/>
                <w:color w:val="auto"/>
              </w:rPr>
            </w:pPr>
          </w:p>
        </w:tc>
        <w:tc>
          <w:tcPr>
            <w:tcW w:w="818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66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w w:val="99"/>
              </w:rPr>
              <w:t>CEO and</w:t>
            </w:r>
          </w:p>
        </w:tc>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appointed Robert Michael as AbbVie’s CEO in July 2024 and as the Board’s Chairman in</w:t>
            </w:r>
          </w:p>
        </w:tc>
        <w:tc>
          <w:tcPr>
            <w:tcW w:w="0" w:type="dxa"/>
            <w:vAlign w:val="bottom"/>
          </w:tcPr>
          <w:p>
            <w:pPr>
              <w:spacing w:after="0"/>
              <w:rPr>
                <w:sz w:val="1"/>
                <w:szCs w:val="1"/>
                <w:color w:val="auto"/>
              </w:rPr>
            </w:pPr>
          </w:p>
        </w:tc>
      </w:tr>
      <w:tr>
        <w:trPr>
          <w:trHeight w:val="139"/>
        </w:trPr>
        <w:tc>
          <w:tcPr>
            <w:tcW w:w="1660" w:type="dxa"/>
            <w:vAlign w:val="bottom"/>
            <w:tcBorders>
              <w:right w:val="single" w:sz="8" w:color="000039"/>
            </w:tcBorders>
            <w:vMerge w:val="continue"/>
          </w:tcPr>
          <w:p>
            <w:pPr>
              <w:spacing w:after="0"/>
              <w:rPr>
                <w:sz w:val="12"/>
                <w:szCs w:val="12"/>
                <w:color w:val="auto"/>
              </w:rPr>
            </w:pPr>
          </w:p>
        </w:tc>
        <w:tc>
          <w:tcPr>
            <w:tcW w:w="8180" w:type="dxa"/>
            <w:vAlign w:val="bottom"/>
            <w:vMerge w:val="restart"/>
          </w:tcPr>
          <w:p>
            <w:pPr>
              <w:ind w:left="140"/>
              <w:spacing w:after="0"/>
              <w:rPr>
                <w:sz w:val="20"/>
                <w:szCs w:val="20"/>
                <w:color w:val="auto"/>
              </w:rPr>
            </w:pPr>
            <w:r>
              <w:rPr>
                <w:rFonts w:ascii="Arial" w:cs="Arial" w:eastAsia="Arial" w:hAnsi="Arial"/>
                <w:sz w:val="19"/>
                <w:szCs w:val="19"/>
                <w:b w:val="1"/>
                <w:bCs w:val="1"/>
                <w:color w:val="auto"/>
              </w:rPr>
              <w:t xml:space="preserve">July 2025, </w:t>
            </w:r>
            <w:r>
              <w:rPr>
                <w:rFonts w:ascii="Arial" w:cs="Arial" w:eastAsia="Arial" w:hAnsi="Arial"/>
                <w:sz w:val="19"/>
                <w:szCs w:val="19"/>
                <w:color w:val="auto"/>
              </w:rPr>
              <w:t>succeeding Richard Gonzalez</w:t>
            </w:r>
          </w:p>
        </w:tc>
        <w:tc>
          <w:tcPr>
            <w:tcW w:w="0" w:type="dxa"/>
            <w:vAlign w:val="bottom"/>
          </w:tcPr>
          <w:p>
            <w:pPr>
              <w:spacing w:after="0"/>
              <w:rPr>
                <w:sz w:val="1"/>
                <w:szCs w:val="1"/>
                <w:color w:val="auto"/>
              </w:rPr>
            </w:pPr>
          </w:p>
        </w:tc>
      </w:tr>
      <w:tr>
        <w:trPr>
          <w:trHeight w:val="131"/>
        </w:trPr>
        <w:tc>
          <w:tcPr>
            <w:tcW w:w="166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w w:val="99"/>
              </w:rPr>
              <w:t>Chairman</w:t>
            </w:r>
          </w:p>
        </w:tc>
        <w:tc>
          <w:tcPr>
            <w:tcW w:w="8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60" w:type="dxa"/>
            <w:vAlign w:val="bottom"/>
            <w:tcBorders>
              <w:right w:val="single" w:sz="8" w:color="000039"/>
            </w:tcBorders>
            <w:vMerge w:val="continue"/>
          </w:tcPr>
          <w:p>
            <w:pPr>
              <w:spacing w:after="0"/>
              <w:rPr>
                <w:sz w:val="12"/>
                <w:szCs w:val="12"/>
                <w:color w:val="auto"/>
              </w:rPr>
            </w:pPr>
          </w:p>
        </w:tc>
        <w:tc>
          <w:tcPr>
            <w:tcW w:w="8180" w:type="dxa"/>
            <w:vAlign w:val="bottom"/>
            <w:vMerge w:val="restart"/>
          </w:tcPr>
          <w:p>
            <w:pPr>
              <w:ind w:left="140"/>
              <w:spacing w:after="0"/>
              <w:rPr>
                <w:sz w:val="20"/>
                <w:szCs w:val="20"/>
                <w:color w:val="auto"/>
              </w:rPr>
            </w:pPr>
            <w:r>
              <w:rPr>
                <w:rFonts w:ascii="Arial" w:cs="Arial" w:eastAsia="Arial" w:hAnsi="Arial"/>
                <w:sz w:val="19"/>
                <w:szCs w:val="19"/>
                <w:color w:val="auto"/>
              </w:rPr>
              <w:t xml:space="preserve">provided disclosure on the </w:t>
            </w:r>
            <w:r>
              <w:rPr>
                <w:rFonts w:ascii="Arial" w:cs="Arial" w:eastAsia="Arial" w:hAnsi="Arial"/>
                <w:sz w:val="19"/>
                <w:szCs w:val="19"/>
                <w:b w:val="1"/>
                <w:bCs w:val="1"/>
                <w:color w:val="auto"/>
              </w:rPr>
              <w:t>CEO and Board succession planning processes</w:t>
            </w:r>
            <w:r>
              <w:rPr>
                <w:rFonts w:ascii="Arial" w:cs="Arial" w:eastAsia="Arial" w:hAnsi="Arial"/>
                <w:sz w:val="19"/>
                <w:szCs w:val="19"/>
                <w:color w:val="auto"/>
              </w:rPr>
              <w:t xml:space="preserve"> in the 2024 and</w:t>
            </w:r>
          </w:p>
        </w:tc>
        <w:tc>
          <w:tcPr>
            <w:tcW w:w="0" w:type="dxa"/>
            <w:vAlign w:val="bottom"/>
          </w:tcPr>
          <w:p>
            <w:pPr>
              <w:spacing w:after="0"/>
              <w:rPr>
                <w:sz w:val="1"/>
                <w:szCs w:val="1"/>
                <w:color w:val="auto"/>
              </w:rPr>
            </w:pPr>
          </w:p>
        </w:tc>
      </w:tr>
      <w:tr>
        <w:trPr>
          <w:trHeight w:val="147"/>
        </w:trPr>
        <w:tc>
          <w:tcPr>
            <w:tcW w:w="166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rPr>
              <w:t>Transition</w:t>
            </w:r>
          </w:p>
        </w:tc>
        <w:tc>
          <w:tcPr>
            <w:tcW w:w="8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60" w:type="dxa"/>
            <w:vAlign w:val="bottom"/>
            <w:tcBorders>
              <w:right w:val="single" w:sz="8" w:color="000039"/>
            </w:tcBorders>
            <w:vMerge w:val="continue"/>
          </w:tcPr>
          <w:p>
            <w:pPr>
              <w:spacing w:after="0"/>
              <w:rPr>
                <w:sz w:val="15"/>
                <w:szCs w:val="15"/>
                <w:color w:val="auto"/>
              </w:rPr>
            </w:pPr>
          </w:p>
        </w:tc>
        <w:tc>
          <w:tcPr>
            <w:tcW w:w="8180" w:type="dxa"/>
            <w:vAlign w:val="bottom"/>
            <w:vMerge w:val="restart"/>
          </w:tcPr>
          <w:p>
            <w:pPr>
              <w:ind w:left="140"/>
              <w:spacing w:after="0"/>
              <w:rPr>
                <w:sz w:val="20"/>
                <w:szCs w:val="20"/>
                <w:color w:val="auto"/>
              </w:rPr>
            </w:pPr>
            <w:r>
              <w:rPr>
                <w:rFonts w:ascii="Arial" w:cs="Arial" w:eastAsia="Arial" w:hAnsi="Arial"/>
                <w:sz w:val="19"/>
                <w:szCs w:val="19"/>
                <w:color w:val="auto"/>
              </w:rPr>
              <w:t>2025 proxy statements and this proxy statement</w:t>
            </w:r>
          </w:p>
        </w:tc>
        <w:tc>
          <w:tcPr>
            <w:tcW w:w="0" w:type="dxa"/>
            <w:vAlign w:val="bottom"/>
          </w:tcPr>
          <w:p>
            <w:pPr>
              <w:spacing w:after="0"/>
              <w:rPr>
                <w:sz w:val="1"/>
                <w:szCs w:val="1"/>
                <w:color w:val="auto"/>
              </w:rPr>
            </w:pPr>
          </w:p>
        </w:tc>
      </w:tr>
      <w:tr>
        <w:trPr>
          <w:trHeight w:val="78"/>
        </w:trPr>
        <w:tc>
          <w:tcPr>
            <w:tcW w:w="1660" w:type="dxa"/>
            <w:vAlign w:val="bottom"/>
            <w:tcBorders>
              <w:right w:val="single" w:sz="8" w:color="000039"/>
            </w:tcBorders>
          </w:tcPr>
          <w:p>
            <w:pPr>
              <w:spacing w:after="0"/>
              <w:rPr>
                <w:sz w:val="6"/>
                <w:szCs w:val="6"/>
                <w:color w:val="auto"/>
              </w:rPr>
            </w:pPr>
          </w:p>
        </w:tc>
        <w:tc>
          <w:tcPr>
            <w:tcW w:w="8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660" w:type="dxa"/>
            <w:vAlign w:val="bottom"/>
            <w:tcBorders>
              <w:bottom w:val="single" w:sz="8" w:color="000039"/>
              <w:right w:val="single" w:sz="8" w:color="000039"/>
            </w:tcBorders>
          </w:tcPr>
          <w:p>
            <w:pPr>
              <w:spacing w:after="0"/>
              <w:rPr>
                <w:sz w:val="9"/>
                <w:szCs w:val="9"/>
                <w:color w:val="auto"/>
              </w:rPr>
            </w:pPr>
          </w:p>
        </w:tc>
        <w:tc>
          <w:tcPr>
            <w:tcW w:w="818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660" w:type="dxa"/>
            <w:vAlign w:val="bottom"/>
            <w:tcBorders>
              <w:right w:val="single" w:sz="8" w:color="000039"/>
            </w:tcBorders>
          </w:tcPr>
          <w:p>
            <w:pPr>
              <w:spacing w:after="0"/>
              <w:rPr>
                <w:sz w:val="24"/>
                <w:szCs w:val="24"/>
                <w:color w:val="auto"/>
              </w:rPr>
            </w:pPr>
          </w:p>
        </w:tc>
        <w:tc>
          <w:tcPr>
            <w:tcW w:w="8180" w:type="dxa"/>
            <w:vAlign w:val="bottom"/>
          </w:tcPr>
          <w:p>
            <w:pPr>
              <w:ind w:left="140"/>
              <w:spacing w:after="0"/>
              <w:rPr>
                <w:sz w:val="20"/>
                <w:szCs w:val="20"/>
                <w:color w:val="auto"/>
              </w:rPr>
            </w:pPr>
            <w:r>
              <w:rPr>
                <w:rFonts w:ascii="Arial" w:cs="Arial" w:eastAsia="Arial" w:hAnsi="Arial"/>
                <w:sz w:val="19"/>
                <w:szCs w:val="19"/>
                <w:color w:val="auto"/>
              </w:rPr>
              <w:t xml:space="preserve">appointed </w:t>
            </w:r>
            <w:r>
              <w:rPr>
                <w:rFonts w:ascii="Arial" w:cs="Arial" w:eastAsia="Arial" w:hAnsi="Arial"/>
                <w:sz w:val="19"/>
                <w:szCs w:val="19"/>
                <w:b w:val="1"/>
                <w:bCs w:val="1"/>
                <w:color w:val="auto"/>
              </w:rPr>
              <w:t>Roxanne Austin as the new Lead Independent Director in 2024,</w:t>
            </w:r>
            <w:r>
              <w:rPr>
                <w:rFonts w:ascii="Arial" w:cs="Arial" w:eastAsia="Arial" w:hAnsi="Arial"/>
                <w:sz w:val="19"/>
                <w:szCs w:val="19"/>
                <w:color w:val="auto"/>
              </w:rPr>
              <w:t xml:space="preserve"> AbbVie’s first</w:t>
            </w:r>
          </w:p>
        </w:tc>
        <w:tc>
          <w:tcPr>
            <w:tcW w:w="0" w:type="dxa"/>
            <w:vAlign w:val="bottom"/>
          </w:tcPr>
          <w:p>
            <w:pPr>
              <w:spacing w:after="0"/>
              <w:rPr>
                <w:sz w:val="1"/>
                <w:szCs w:val="1"/>
                <w:color w:val="auto"/>
              </w:rPr>
            </w:pPr>
          </w:p>
        </w:tc>
      </w:tr>
      <w:tr>
        <w:trPr>
          <w:trHeight w:val="256"/>
        </w:trPr>
        <w:tc>
          <w:tcPr>
            <w:tcW w:w="1660" w:type="dxa"/>
            <w:vAlign w:val="bottom"/>
            <w:tcBorders>
              <w:right w:val="single" w:sz="8" w:color="000039"/>
            </w:tcBorders>
          </w:tcPr>
          <w:p>
            <w:pPr>
              <w:spacing w:after="0"/>
              <w:rPr>
                <w:sz w:val="22"/>
                <w:szCs w:val="22"/>
                <w:color w:val="auto"/>
              </w:rPr>
            </w:pPr>
          </w:p>
        </w:tc>
        <w:tc>
          <w:tcPr>
            <w:tcW w:w="8180" w:type="dxa"/>
            <w:vAlign w:val="bottom"/>
          </w:tcPr>
          <w:p>
            <w:pPr>
              <w:ind w:left="140"/>
              <w:spacing w:after="0"/>
              <w:rPr>
                <w:sz w:val="20"/>
                <w:szCs w:val="20"/>
                <w:color w:val="auto"/>
              </w:rPr>
            </w:pPr>
            <w:r>
              <w:rPr>
                <w:rFonts w:ascii="Arial" w:cs="Arial" w:eastAsia="Arial" w:hAnsi="Arial"/>
                <w:sz w:val="19"/>
                <w:szCs w:val="19"/>
                <w:color w:val="auto"/>
              </w:rPr>
              <w:t>new Lead Independent Director since its inception in 2013</w:t>
            </w:r>
          </w:p>
        </w:tc>
        <w:tc>
          <w:tcPr>
            <w:tcW w:w="0" w:type="dxa"/>
            <w:vAlign w:val="bottom"/>
          </w:tcPr>
          <w:p>
            <w:pPr>
              <w:spacing w:after="0"/>
              <w:rPr>
                <w:sz w:val="1"/>
                <w:szCs w:val="1"/>
                <w:color w:val="auto"/>
              </w:rPr>
            </w:pPr>
          </w:p>
        </w:tc>
      </w:tr>
      <w:tr>
        <w:trPr>
          <w:trHeight w:val="354"/>
        </w:trPr>
        <w:tc>
          <w:tcPr>
            <w:tcW w:w="166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w w:val="99"/>
              </w:rPr>
              <w:t>Board</w:t>
            </w:r>
          </w:p>
        </w:tc>
        <w:tc>
          <w:tcPr>
            <w:tcW w:w="8180" w:type="dxa"/>
            <w:vAlign w:val="bottom"/>
          </w:tcPr>
          <w:p>
            <w:pPr>
              <w:ind w:left="140"/>
              <w:spacing w:after="0"/>
              <w:rPr>
                <w:sz w:val="20"/>
                <w:szCs w:val="20"/>
                <w:color w:val="auto"/>
              </w:rPr>
            </w:pPr>
            <w:r>
              <w:rPr>
                <w:rFonts w:ascii="Arial" w:cs="Arial" w:eastAsia="Arial" w:hAnsi="Arial"/>
                <w:sz w:val="19"/>
                <w:szCs w:val="19"/>
                <w:color w:val="auto"/>
              </w:rPr>
              <w:t xml:space="preserve">added </w:t>
            </w:r>
            <w:r>
              <w:rPr>
                <w:rFonts w:ascii="Arial" w:cs="Arial" w:eastAsia="Arial" w:hAnsi="Arial"/>
                <w:sz w:val="19"/>
                <w:szCs w:val="19"/>
                <w:b w:val="1"/>
                <w:bCs w:val="1"/>
                <w:color w:val="auto"/>
              </w:rPr>
              <w:t>four new directors</w:t>
            </w:r>
            <w:r>
              <w:rPr>
                <w:rFonts w:ascii="Arial" w:cs="Arial" w:eastAsia="Arial" w:hAnsi="Arial"/>
                <w:sz w:val="19"/>
                <w:szCs w:val="19"/>
                <w:color w:val="auto"/>
              </w:rPr>
              <w:t xml:space="preserve"> between 2023 and 2025, including three independent directors</w:t>
            </w:r>
          </w:p>
        </w:tc>
        <w:tc>
          <w:tcPr>
            <w:tcW w:w="0" w:type="dxa"/>
            <w:vAlign w:val="bottom"/>
          </w:tcPr>
          <w:p>
            <w:pPr>
              <w:spacing w:after="0"/>
              <w:rPr>
                <w:sz w:val="1"/>
                <w:szCs w:val="1"/>
                <w:color w:val="auto"/>
              </w:rPr>
            </w:pPr>
          </w:p>
        </w:tc>
      </w:tr>
      <w:tr>
        <w:trPr>
          <w:trHeight w:val="332"/>
        </w:trPr>
        <w:tc>
          <w:tcPr>
            <w:tcW w:w="166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rPr>
              <w:t>Refreshment</w:t>
            </w:r>
          </w:p>
        </w:tc>
        <w:tc>
          <w:tcPr>
            <w:tcW w:w="8180" w:type="dxa"/>
            <w:vAlign w:val="bottom"/>
          </w:tcPr>
          <w:p>
            <w:pPr>
              <w:ind w:left="140"/>
              <w:spacing w:after="0"/>
              <w:rPr>
                <w:sz w:val="20"/>
                <w:szCs w:val="20"/>
                <w:color w:val="auto"/>
              </w:rPr>
            </w:pPr>
            <w:r>
              <w:rPr>
                <w:rFonts w:ascii="Arial" w:cs="Arial" w:eastAsia="Arial" w:hAnsi="Arial"/>
                <w:sz w:val="19"/>
                <w:szCs w:val="19"/>
                <w:color w:val="auto"/>
              </w:rPr>
              <w:t xml:space="preserve">appointed </w:t>
            </w:r>
            <w:r>
              <w:rPr>
                <w:rFonts w:ascii="Arial" w:cs="Arial" w:eastAsia="Arial" w:hAnsi="Arial"/>
                <w:sz w:val="19"/>
                <w:szCs w:val="19"/>
                <w:b w:val="1"/>
                <w:bCs w:val="1"/>
                <w:color w:val="auto"/>
              </w:rPr>
              <w:t>all new committee chairs</w:t>
            </w:r>
            <w:r>
              <w:rPr>
                <w:rFonts w:ascii="Arial" w:cs="Arial" w:eastAsia="Arial" w:hAnsi="Arial"/>
                <w:sz w:val="19"/>
                <w:szCs w:val="19"/>
                <w:color w:val="auto"/>
              </w:rPr>
              <w:t xml:space="preserve"> in 2024</w:t>
            </w:r>
          </w:p>
        </w:tc>
        <w:tc>
          <w:tcPr>
            <w:tcW w:w="0" w:type="dxa"/>
            <w:vAlign w:val="bottom"/>
          </w:tcPr>
          <w:p>
            <w:pPr>
              <w:spacing w:after="0"/>
              <w:rPr>
                <w:sz w:val="1"/>
                <w:szCs w:val="1"/>
                <w:color w:val="auto"/>
              </w:rPr>
            </w:pPr>
          </w:p>
        </w:tc>
      </w:tr>
      <w:tr>
        <w:trPr>
          <w:trHeight w:val="291"/>
        </w:trPr>
        <w:tc>
          <w:tcPr>
            <w:tcW w:w="1660" w:type="dxa"/>
            <w:vAlign w:val="bottom"/>
            <w:tcBorders>
              <w:right w:val="single" w:sz="8" w:color="000039"/>
            </w:tcBorders>
          </w:tcPr>
          <w:p>
            <w:pPr>
              <w:spacing w:after="0"/>
              <w:rPr>
                <w:sz w:val="24"/>
                <w:szCs w:val="24"/>
                <w:color w:val="auto"/>
              </w:rPr>
            </w:pPr>
          </w:p>
        </w:tc>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 xml:space="preserve">amended our governance guidelines in 2023 </w:t>
            </w:r>
            <w:r>
              <w:rPr>
                <w:rFonts w:ascii="Arial" w:cs="Arial" w:eastAsia="Arial" w:hAnsi="Arial"/>
                <w:sz w:val="19"/>
                <w:szCs w:val="19"/>
                <w:color w:val="auto"/>
              </w:rPr>
              <w:t>to add specific limits on the number of other</w:t>
            </w:r>
          </w:p>
        </w:tc>
        <w:tc>
          <w:tcPr>
            <w:tcW w:w="0" w:type="dxa"/>
            <w:vAlign w:val="bottom"/>
          </w:tcPr>
          <w:p>
            <w:pPr>
              <w:spacing w:after="0"/>
              <w:rPr>
                <w:sz w:val="1"/>
                <w:szCs w:val="1"/>
                <w:color w:val="auto"/>
              </w:rPr>
            </w:pPr>
          </w:p>
        </w:tc>
      </w:tr>
      <w:tr>
        <w:trPr>
          <w:trHeight w:val="256"/>
        </w:trPr>
        <w:tc>
          <w:tcPr>
            <w:tcW w:w="1660" w:type="dxa"/>
            <w:vAlign w:val="bottom"/>
            <w:tcBorders>
              <w:right w:val="single" w:sz="8" w:color="000039"/>
            </w:tcBorders>
          </w:tcPr>
          <w:p>
            <w:pPr>
              <w:spacing w:after="0"/>
              <w:rPr>
                <w:sz w:val="22"/>
                <w:szCs w:val="22"/>
                <w:color w:val="auto"/>
              </w:rPr>
            </w:pPr>
          </w:p>
        </w:tc>
        <w:tc>
          <w:tcPr>
            <w:tcW w:w="8180" w:type="dxa"/>
            <w:vAlign w:val="bottom"/>
          </w:tcPr>
          <w:p>
            <w:pPr>
              <w:ind w:left="140"/>
              <w:spacing w:after="0"/>
              <w:rPr>
                <w:sz w:val="20"/>
                <w:szCs w:val="20"/>
                <w:color w:val="auto"/>
              </w:rPr>
            </w:pPr>
            <w:r>
              <w:rPr>
                <w:rFonts w:ascii="Arial" w:cs="Arial" w:eastAsia="Arial" w:hAnsi="Arial"/>
                <w:sz w:val="19"/>
                <w:szCs w:val="19"/>
                <w:color w:val="auto"/>
              </w:rPr>
              <w:t>directorships a director may hold</w:t>
            </w:r>
          </w:p>
        </w:tc>
        <w:tc>
          <w:tcPr>
            <w:tcW w:w="0" w:type="dxa"/>
            <w:vAlign w:val="bottom"/>
          </w:tcPr>
          <w:p>
            <w:pPr>
              <w:spacing w:after="0"/>
              <w:rPr>
                <w:sz w:val="1"/>
                <w:szCs w:val="1"/>
                <w:color w:val="auto"/>
              </w:rPr>
            </w:pPr>
          </w:p>
        </w:tc>
      </w:tr>
      <w:tr>
        <w:trPr>
          <w:trHeight w:val="110"/>
        </w:trPr>
        <w:tc>
          <w:tcPr>
            <w:tcW w:w="1660" w:type="dxa"/>
            <w:vAlign w:val="bottom"/>
            <w:tcBorders>
              <w:bottom w:val="single" w:sz="8" w:color="000039"/>
              <w:right w:val="single" w:sz="8" w:color="000039"/>
            </w:tcBorders>
          </w:tcPr>
          <w:p>
            <w:pPr>
              <w:spacing w:after="0"/>
              <w:rPr>
                <w:sz w:val="9"/>
                <w:szCs w:val="9"/>
                <w:color w:val="auto"/>
              </w:rPr>
            </w:pPr>
          </w:p>
        </w:tc>
        <w:tc>
          <w:tcPr>
            <w:tcW w:w="818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66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rPr>
              <w:t>Board Skills</w:t>
            </w:r>
          </w:p>
        </w:tc>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 xml:space="preserve">updated our director biographies </w:t>
            </w:r>
            <w:r>
              <w:rPr>
                <w:rFonts w:ascii="Arial" w:cs="Arial" w:eastAsia="Arial" w:hAnsi="Arial"/>
                <w:sz w:val="19"/>
                <w:szCs w:val="19"/>
                <w:color w:val="auto"/>
              </w:rPr>
              <w:t>in 2023 to include additional skills of interest to our</w:t>
            </w:r>
          </w:p>
        </w:tc>
        <w:tc>
          <w:tcPr>
            <w:tcW w:w="0" w:type="dxa"/>
            <w:vAlign w:val="bottom"/>
          </w:tcPr>
          <w:p>
            <w:pPr>
              <w:spacing w:after="0"/>
              <w:rPr>
                <w:sz w:val="1"/>
                <w:szCs w:val="1"/>
                <w:color w:val="auto"/>
              </w:rPr>
            </w:pPr>
          </w:p>
        </w:tc>
      </w:tr>
      <w:tr>
        <w:trPr>
          <w:trHeight w:val="272"/>
        </w:trPr>
        <w:tc>
          <w:tcPr>
            <w:tcW w:w="1660" w:type="dxa"/>
            <w:vAlign w:val="bottom"/>
            <w:tcBorders>
              <w:right w:val="single" w:sz="8" w:color="000039"/>
            </w:tcBorders>
            <w:vMerge w:val="continue"/>
          </w:tcPr>
          <w:p>
            <w:pPr>
              <w:spacing w:after="0"/>
              <w:rPr>
                <w:sz w:val="23"/>
                <w:szCs w:val="23"/>
                <w:color w:val="auto"/>
              </w:rPr>
            </w:pPr>
          </w:p>
        </w:tc>
        <w:tc>
          <w:tcPr>
            <w:tcW w:w="8180" w:type="dxa"/>
            <w:vAlign w:val="bottom"/>
          </w:tcPr>
          <w:p>
            <w:pPr>
              <w:ind w:left="140"/>
              <w:spacing w:after="0"/>
              <w:rPr>
                <w:sz w:val="20"/>
                <w:szCs w:val="20"/>
                <w:color w:val="auto"/>
              </w:rPr>
            </w:pPr>
            <w:r>
              <w:rPr>
                <w:rFonts w:ascii="Arial" w:cs="Arial" w:eastAsia="Arial" w:hAnsi="Arial"/>
                <w:sz w:val="19"/>
                <w:szCs w:val="19"/>
                <w:color w:val="auto"/>
              </w:rPr>
              <w:t>stockholders, such as cybersecurity experience</w:t>
            </w:r>
          </w:p>
        </w:tc>
        <w:tc>
          <w:tcPr>
            <w:tcW w:w="0" w:type="dxa"/>
            <w:vAlign w:val="bottom"/>
          </w:tcPr>
          <w:p>
            <w:pPr>
              <w:spacing w:after="0"/>
              <w:rPr>
                <w:sz w:val="1"/>
                <w:szCs w:val="1"/>
                <w:color w:val="auto"/>
              </w:rPr>
            </w:pPr>
          </w:p>
        </w:tc>
      </w:tr>
      <w:tr>
        <w:trPr>
          <w:trHeight w:val="285"/>
        </w:trPr>
        <w:tc>
          <w:tcPr>
            <w:tcW w:w="166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w w:val="99"/>
              </w:rPr>
              <w:t>Disclosures</w:t>
            </w:r>
          </w:p>
        </w:tc>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 xml:space="preserve">shared our Board skills matrix </w:t>
            </w:r>
            <w:r>
              <w:rPr>
                <w:rFonts w:ascii="Arial" w:cs="Arial" w:eastAsia="Arial" w:hAnsi="Arial"/>
                <w:sz w:val="19"/>
                <w:szCs w:val="19"/>
                <w:color w:val="auto"/>
              </w:rPr>
              <w:t>beginning in 2016 and updated the matrix with additional skills</w:t>
            </w:r>
          </w:p>
        </w:tc>
        <w:tc>
          <w:tcPr>
            <w:tcW w:w="0" w:type="dxa"/>
            <w:vAlign w:val="bottom"/>
          </w:tcPr>
          <w:p>
            <w:pPr>
              <w:spacing w:after="0"/>
              <w:rPr>
                <w:sz w:val="1"/>
                <w:szCs w:val="1"/>
                <w:color w:val="auto"/>
              </w:rPr>
            </w:pPr>
          </w:p>
        </w:tc>
      </w:tr>
      <w:tr>
        <w:trPr>
          <w:trHeight w:val="256"/>
        </w:trPr>
        <w:tc>
          <w:tcPr>
            <w:tcW w:w="1660" w:type="dxa"/>
            <w:vAlign w:val="bottom"/>
            <w:tcBorders>
              <w:right w:val="single" w:sz="8" w:color="000039"/>
            </w:tcBorders>
          </w:tcPr>
          <w:p>
            <w:pPr>
              <w:spacing w:after="0"/>
              <w:rPr>
                <w:sz w:val="22"/>
                <w:szCs w:val="22"/>
                <w:color w:val="auto"/>
              </w:rPr>
            </w:pPr>
          </w:p>
        </w:tc>
        <w:tc>
          <w:tcPr>
            <w:tcW w:w="8180" w:type="dxa"/>
            <w:vAlign w:val="bottom"/>
          </w:tcPr>
          <w:p>
            <w:pPr>
              <w:ind w:left="140"/>
              <w:spacing w:after="0"/>
              <w:rPr>
                <w:sz w:val="20"/>
                <w:szCs w:val="20"/>
                <w:color w:val="auto"/>
              </w:rPr>
            </w:pPr>
            <w:r>
              <w:rPr>
                <w:rFonts w:ascii="Arial" w:cs="Arial" w:eastAsia="Arial" w:hAnsi="Arial"/>
                <w:sz w:val="19"/>
                <w:szCs w:val="19"/>
                <w:color w:val="auto"/>
              </w:rPr>
              <w:t>in 2024</w:t>
            </w:r>
          </w:p>
        </w:tc>
        <w:tc>
          <w:tcPr>
            <w:tcW w:w="0" w:type="dxa"/>
            <w:vAlign w:val="bottom"/>
          </w:tcPr>
          <w:p>
            <w:pPr>
              <w:spacing w:after="0"/>
              <w:rPr>
                <w:sz w:val="1"/>
                <w:szCs w:val="1"/>
                <w:color w:val="auto"/>
              </w:rPr>
            </w:pPr>
          </w:p>
        </w:tc>
      </w:tr>
      <w:tr>
        <w:trPr>
          <w:trHeight w:val="110"/>
        </w:trPr>
        <w:tc>
          <w:tcPr>
            <w:tcW w:w="1660" w:type="dxa"/>
            <w:vAlign w:val="bottom"/>
            <w:tcBorders>
              <w:bottom w:val="single" w:sz="8" w:color="000039"/>
              <w:right w:val="single" w:sz="8" w:color="000039"/>
            </w:tcBorders>
          </w:tcPr>
          <w:p>
            <w:pPr>
              <w:spacing w:after="0"/>
              <w:rPr>
                <w:sz w:val="9"/>
                <w:szCs w:val="9"/>
                <w:color w:val="auto"/>
              </w:rPr>
            </w:pPr>
          </w:p>
        </w:tc>
        <w:tc>
          <w:tcPr>
            <w:tcW w:w="818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660" w:type="dxa"/>
            <w:vAlign w:val="bottom"/>
            <w:tcBorders>
              <w:right w:val="single" w:sz="8" w:color="000039"/>
            </w:tcBorders>
          </w:tcPr>
          <w:p>
            <w:pPr>
              <w:spacing w:after="0"/>
              <w:rPr>
                <w:sz w:val="24"/>
                <w:szCs w:val="24"/>
                <w:color w:val="auto"/>
              </w:rPr>
            </w:pPr>
          </w:p>
        </w:tc>
        <w:tc>
          <w:tcPr>
            <w:tcW w:w="8180" w:type="dxa"/>
            <w:vAlign w:val="bottom"/>
          </w:tcPr>
          <w:p>
            <w:pPr>
              <w:ind w:left="140"/>
              <w:spacing w:after="0"/>
              <w:rPr>
                <w:sz w:val="20"/>
                <w:szCs w:val="20"/>
                <w:color w:val="auto"/>
              </w:rPr>
            </w:pPr>
            <w:r>
              <w:rPr>
                <w:rFonts w:ascii="Arial" w:cs="Arial" w:eastAsia="Arial" w:hAnsi="Arial"/>
                <w:sz w:val="19"/>
                <w:szCs w:val="19"/>
                <w:color w:val="auto"/>
              </w:rPr>
              <w:t xml:space="preserve">became a participating member in the </w:t>
            </w:r>
            <w:r>
              <w:rPr>
                <w:rFonts w:ascii="Arial" w:cs="Arial" w:eastAsia="Arial" w:hAnsi="Arial"/>
                <w:sz w:val="19"/>
                <w:szCs w:val="19"/>
                <w:b w:val="1"/>
                <w:bCs w:val="1"/>
                <w:color w:val="auto"/>
              </w:rPr>
              <w:t>UN Global Compact</w:t>
            </w:r>
            <w:r>
              <w:rPr>
                <w:rFonts w:ascii="Arial" w:cs="Arial" w:eastAsia="Arial" w:hAnsi="Arial"/>
                <w:sz w:val="19"/>
                <w:szCs w:val="19"/>
                <w:color w:val="auto"/>
              </w:rPr>
              <w:t xml:space="preserve"> in 2024</w:t>
            </w:r>
          </w:p>
        </w:tc>
        <w:tc>
          <w:tcPr>
            <w:tcW w:w="0" w:type="dxa"/>
            <w:vAlign w:val="bottom"/>
          </w:tcPr>
          <w:p>
            <w:pPr>
              <w:spacing w:after="0"/>
              <w:rPr>
                <w:sz w:val="1"/>
                <w:szCs w:val="1"/>
                <w:color w:val="auto"/>
              </w:rPr>
            </w:pPr>
          </w:p>
        </w:tc>
      </w:tr>
      <w:tr>
        <w:trPr>
          <w:trHeight w:val="338"/>
        </w:trPr>
        <w:tc>
          <w:tcPr>
            <w:tcW w:w="166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w w:val="98"/>
              </w:rPr>
              <w:t>ESG</w:t>
            </w:r>
          </w:p>
        </w:tc>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 xml:space="preserve">increased our disclosures on Board risk oversight </w:t>
            </w:r>
            <w:r>
              <w:rPr>
                <w:rFonts w:ascii="Arial" w:cs="Arial" w:eastAsia="Arial" w:hAnsi="Arial"/>
                <w:sz w:val="19"/>
                <w:szCs w:val="19"/>
                <w:color w:val="auto"/>
              </w:rPr>
              <w:t>in 2023</w:t>
            </w:r>
          </w:p>
        </w:tc>
        <w:tc>
          <w:tcPr>
            <w:tcW w:w="0" w:type="dxa"/>
            <w:vAlign w:val="bottom"/>
          </w:tcPr>
          <w:p>
            <w:pPr>
              <w:spacing w:after="0"/>
              <w:rPr>
                <w:sz w:val="1"/>
                <w:szCs w:val="1"/>
                <w:color w:val="auto"/>
              </w:rPr>
            </w:pPr>
          </w:p>
        </w:tc>
      </w:tr>
      <w:tr>
        <w:trPr>
          <w:trHeight w:val="116"/>
        </w:trPr>
        <w:tc>
          <w:tcPr>
            <w:tcW w:w="1660" w:type="dxa"/>
            <w:vAlign w:val="bottom"/>
            <w:tcBorders>
              <w:right w:val="single" w:sz="8" w:color="000039"/>
            </w:tcBorders>
            <w:vMerge w:val="continue"/>
          </w:tcPr>
          <w:p>
            <w:pPr>
              <w:spacing w:after="0"/>
              <w:rPr>
                <w:sz w:val="10"/>
                <w:szCs w:val="10"/>
                <w:color w:val="auto"/>
              </w:rPr>
            </w:pPr>
          </w:p>
        </w:tc>
        <w:tc>
          <w:tcPr>
            <w:tcW w:w="8180" w:type="dxa"/>
            <w:vAlign w:val="bottom"/>
            <w:vMerge w:val="restart"/>
          </w:tcPr>
          <w:p>
            <w:pPr>
              <w:ind w:left="140"/>
              <w:spacing w:after="0"/>
              <w:rPr>
                <w:sz w:val="20"/>
                <w:szCs w:val="20"/>
                <w:color w:val="auto"/>
              </w:rPr>
            </w:pPr>
            <w:r>
              <w:rPr>
                <w:rFonts w:ascii="Arial" w:cs="Arial" w:eastAsia="Arial" w:hAnsi="Arial"/>
                <w:sz w:val="19"/>
                <w:szCs w:val="19"/>
                <w:b w:val="1"/>
                <w:bCs w:val="1"/>
                <w:color w:val="auto"/>
              </w:rPr>
              <w:t xml:space="preserve">enhanced our website disclosures on political contributions and lobbying </w:t>
            </w:r>
            <w:r>
              <w:rPr>
                <w:rFonts w:ascii="Arial" w:cs="Arial" w:eastAsia="Arial" w:hAnsi="Arial"/>
                <w:sz w:val="19"/>
                <w:szCs w:val="19"/>
                <w:color w:val="auto"/>
              </w:rPr>
              <w:t>in 2022-2024</w:t>
            </w:r>
          </w:p>
        </w:tc>
        <w:tc>
          <w:tcPr>
            <w:tcW w:w="0" w:type="dxa"/>
            <w:vAlign w:val="bottom"/>
          </w:tcPr>
          <w:p>
            <w:pPr>
              <w:spacing w:after="0"/>
              <w:rPr>
                <w:sz w:val="1"/>
                <w:szCs w:val="1"/>
                <w:color w:val="auto"/>
              </w:rPr>
            </w:pPr>
          </w:p>
        </w:tc>
      </w:tr>
      <w:tr>
        <w:trPr>
          <w:trHeight w:val="291"/>
        </w:trPr>
        <w:tc>
          <w:tcPr>
            <w:tcW w:w="166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w w:val="99"/>
              </w:rPr>
              <w:t>Disclosures</w:t>
            </w:r>
          </w:p>
        </w:tc>
        <w:tc>
          <w:tcPr>
            <w:tcW w:w="8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tcBorders>
              <w:right w:val="single" w:sz="8" w:color="000039"/>
            </w:tcBorders>
          </w:tcPr>
          <w:p>
            <w:pPr>
              <w:spacing w:after="0"/>
              <w:rPr>
                <w:sz w:val="19"/>
                <w:szCs w:val="19"/>
                <w:color w:val="auto"/>
              </w:rPr>
            </w:pPr>
          </w:p>
        </w:tc>
        <w:tc>
          <w:tcPr>
            <w:tcW w:w="8180" w:type="dxa"/>
            <w:vAlign w:val="bottom"/>
          </w:tcPr>
          <w:p>
            <w:pPr>
              <w:ind w:left="140"/>
              <w:spacing w:after="0"/>
              <w:rPr>
                <w:sz w:val="20"/>
                <w:szCs w:val="20"/>
                <w:color w:val="auto"/>
              </w:rPr>
            </w:pPr>
            <w:r>
              <w:rPr>
                <w:rFonts w:ascii="Arial" w:cs="Arial" w:eastAsia="Arial" w:hAnsi="Arial"/>
                <w:sz w:val="19"/>
                <w:szCs w:val="19"/>
                <w:b w:val="1"/>
                <w:bCs w:val="1"/>
                <w:color w:val="auto"/>
              </w:rPr>
              <w:t>issued a TCFD aligned report</w:t>
            </w:r>
            <w:r>
              <w:rPr>
                <w:rFonts w:ascii="Arial" w:cs="Arial" w:eastAsia="Arial" w:hAnsi="Arial"/>
                <w:sz w:val="19"/>
                <w:szCs w:val="19"/>
                <w:color w:val="auto"/>
              </w:rPr>
              <w:t>, starting in 2022</w:t>
            </w:r>
            <w:r>
              <w:rPr>
                <w:rFonts w:ascii="Arial" w:cs="Arial" w:eastAsia="Arial" w:hAnsi="Arial"/>
                <w:sz w:val="19"/>
                <w:szCs w:val="19"/>
                <w:b w:val="1"/>
                <w:bCs w:val="1"/>
                <w:color w:val="auto"/>
              </w:rPr>
              <w:t xml:space="preserve"> and SASB aligned reporting </w:t>
            </w:r>
            <w:r>
              <w:rPr>
                <w:rFonts w:ascii="Arial" w:cs="Arial" w:eastAsia="Arial" w:hAnsi="Arial"/>
                <w:sz w:val="19"/>
                <w:szCs w:val="19"/>
                <w:color w:val="auto"/>
              </w:rPr>
              <w:t>in our ESG</w:t>
            </w:r>
          </w:p>
        </w:tc>
        <w:tc>
          <w:tcPr>
            <w:tcW w:w="0" w:type="dxa"/>
            <w:vAlign w:val="bottom"/>
          </w:tcPr>
          <w:p>
            <w:pPr>
              <w:spacing w:after="0"/>
              <w:rPr>
                <w:sz w:val="1"/>
                <w:szCs w:val="1"/>
                <w:color w:val="auto"/>
              </w:rPr>
            </w:pPr>
          </w:p>
        </w:tc>
      </w:tr>
      <w:tr>
        <w:trPr>
          <w:trHeight w:val="256"/>
        </w:trPr>
        <w:tc>
          <w:tcPr>
            <w:tcW w:w="1660" w:type="dxa"/>
            <w:vAlign w:val="bottom"/>
            <w:tcBorders>
              <w:right w:val="single" w:sz="8" w:color="000039"/>
            </w:tcBorders>
          </w:tcPr>
          <w:p>
            <w:pPr>
              <w:spacing w:after="0"/>
              <w:rPr>
                <w:sz w:val="22"/>
                <w:szCs w:val="22"/>
                <w:color w:val="auto"/>
              </w:rPr>
            </w:pPr>
          </w:p>
        </w:tc>
        <w:tc>
          <w:tcPr>
            <w:tcW w:w="8180" w:type="dxa"/>
            <w:vAlign w:val="bottom"/>
          </w:tcPr>
          <w:p>
            <w:pPr>
              <w:ind w:left="140"/>
              <w:spacing w:after="0"/>
              <w:rPr>
                <w:sz w:val="20"/>
                <w:szCs w:val="20"/>
                <w:color w:val="auto"/>
              </w:rPr>
            </w:pPr>
            <w:r>
              <w:rPr>
                <w:rFonts w:ascii="Arial" w:cs="Arial" w:eastAsia="Arial" w:hAnsi="Arial"/>
                <w:sz w:val="19"/>
                <w:szCs w:val="19"/>
                <w:color w:val="auto"/>
              </w:rPr>
              <w:t>Action Report, starting in 2021</w:t>
            </w:r>
          </w:p>
        </w:tc>
        <w:tc>
          <w:tcPr>
            <w:tcW w:w="0" w:type="dxa"/>
            <w:vAlign w:val="bottom"/>
          </w:tcPr>
          <w:p>
            <w:pPr>
              <w:spacing w:after="0"/>
              <w:rPr>
                <w:sz w:val="1"/>
                <w:szCs w:val="1"/>
                <w:color w:val="auto"/>
              </w:rPr>
            </w:pPr>
          </w:p>
        </w:tc>
      </w:tr>
      <w:tr>
        <w:trPr>
          <w:trHeight w:val="100"/>
        </w:trPr>
        <w:tc>
          <w:tcPr>
            <w:tcW w:w="1660" w:type="dxa"/>
            <w:vAlign w:val="bottom"/>
            <w:tcBorders>
              <w:right w:val="single" w:sz="8" w:color="000039"/>
            </w:tcBorders>
          </w:tcPr>
          <w:p>
            <w:pPr>
              <w:spacing w:after="0"/>
              <w:rPr>
                <w:sz w:val="8"/>
                <w:szCs w:val="8"/>
                <w:color w:val="auto"/>
              </w:rPr>
            </w:pPr>
          </w:p>
        </w:tc>
        <w:tc>
          <w:tcPr>
            <w:tcW w:w="8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408"/>
        </w:trPr>
        <w:tc>
          <w:tcPr>
            <w:tcW w:w="336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-222250</wp:posOffset>
            </wp:positionV>
            <wp:extent cx="993140" cy="2006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61">
                      <a:extLst>
                        <a:ext uri="{28A0092B-C50C-407E-A947-70E740481C1C}"/>
                      </a:extLst>
                    </a:blip>
                    <a:srcRect/>
                    <a:stretch>
                      <a:fillRect/>
                    </a:stretch>
                  </pic:blipFill>
                  <pic:spPr bwMode="auto">
                    <a:xfrm>
                      <a:off x="0" y="0"/>
                      <a:ext cx="99314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34" w:name="page135"/>
    <w:bookmarkEnd w:id="134"/>
    <w:p>
      <w:pPr>
        <w:spacing w:after="0"/>
        <w:rPr>
          <w:sz w:val="20"/>
          <w:szCs w:val="20"/>
          <w:color w:val="auto"/>
        </w:rPr>
      </w:pPr>
      <w:r>
        <w:rPr>
          <w:rFonts w:ascii="Arial" w:cs="Arial" w:eastAsia="Arial" w:hAnsi="Arial"/>
          <w:sz w:val="20"/>
          <w:szCs w:val="20"/>
          <w:color w:val="808080"/>
        </w:rPr>
        <w:t>PROXY SUMMARY</w:t>
      </w:r>
    </w:p>
    <w:p>
      <w:pPr>
        <w:spacing w:after="0" w:line="36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Additional highlights of our governance practices include: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200088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088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pt" to="157.55pt,8.4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2172335</wp:posOffset>
                </wp:positionH>
                <wp:positionV relativeFrom="paragraph">
                  <wp:posOffset>106680</wp:posOffset>
                </wp:positionV>
                <wp:extent cx="200088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088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05pt,8.4pt" to="328.6pt,8.4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4344670</wp:posOffset>
                </wp:positionH>
                <wp:positionV relativeFrom="paragraph">
                  <wp:posOffset>106680</wp:posOffset>
                </wp:positionV>
                <wp:extent cx="205613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1pt,8.4pt" to="504pt,8.4pt" o:allowincell="f" strokecolor="#000039" strokeweight="1.5pt"/>
            </w:pict>
          </mc:Fallback>
        </mc:AlternateContent>
      </w:r>
    </w:p>
    <w:p>
      <w:pPr>
        <w:sectPr>
          <w:pgSz w:w="11880" w:h="15480" w:orient="portrait"/>
          <w:cols w:equalWidth="0" w:num="1">
            <w:col w:w="9940"/>
          </w:cols>
          <w:pgMar w:left="900" w:top="702" w:right="1040" w:bottom="0" w:gutter="0" w:footer="0" w:header="0"/>
        </w:sectPr>
      </w:pP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000039"/>
        </w:rPr>
        <w:t>Director independence</w:t>
      </w:r>
    </w:p>
    <w:p>
      <w:pPr>
        <w:spacing w:after="0" w:line="124" w:lineRule="exact"/>
        <w:rPr>
          <w:sz w:val="20"/>
          <w:szCs w:val="20"/>
          <w:color w:val="auto"/>
        </w:rPr>
      </w:pPr>
    </w:p>
    <w:p>
      <w:pPr>
        <w:ind w:left="320" w:hanging="4"/>
        <w:spacing w:after="0" w:line="246" w:lineRule="auto"/>
        <w:rPr>
          <w:sz w:val="20"/>
          <w:szCs w:val="20"/>
          <w:color w:val="auto"/>
        </w:rPr>
      </w:pPr>
      <w:r>
        <w:rPr>
          <w:rFonts w:ascii="Arial" w:cs="Arial" w:eastAsia="Arial" w:hAnsi="Arial"/>
          <w:sz w:val="20"/>
          <w:szCs w:val="20"/>
          <w:color w:val="auto"/>
        </w:rPr>
        <w:t>Twelve of AbbVie’s thirteen directors are independent and regularly meet in executive session</w:t>
      </w:r>
    </w:p>
    <w:p>
      <w:pPr>
        <w:spacing w:after="0" w:line="3" w:lineRule="exact"/>
        <w:rPr>
          <w:sz w:val="20"/>
          <w:szCs w:val="20"/>
          <w:color w:val="auto"/>
        </w:rPr>
      </w:pPr>
    </w:p>
    <w:p>
      <w:pPr>
        <w:ind w:left="320" w:right="100" w:hanging="4"/>
        <w:spacing w:after="0" w:line="239" w:lineRule="auto"/>
        <w:rPr>
          <w:sz w:val="20"/>
          <w:szCs w:val="20"/>
          <w:color w:val="auto"/>
        </w:rPr>
      </w:pPr>
      <w:r>
        <w:rPr>
          <w:rFonts w:ascii="Arial" w:cs="Arial" w:eastAsia="Arial" w:hAnsi="Arial"/>
          <w:sz w:val="20"/>
          <w:szCs w:val="20"/>
          <w:color w:val="auto"/>
        </w:rPr>
        <w:t>Since our inception, we have had a Lead Independent Director with robust responsibilities</w:t>
      </w:r>
    </w:p>
    <w:p>
      <w:pPr>
        <w:spacing w:after="0" w:line="3" w:lineRule="exact"/>
        <w:rPr>
          <w:sz w:val="20"/>
          <w:szCs w:val="20"/>
          <w:color w:val="auto"/>
        </w:rPr>
      </w:pPr>
    </w:p>
    <w:p>
      <w:pPr>
        <w:ind w:left="320" w:right="140" w:hanging="4"/>
        <w:spacing w:after="0" w:line="260" w:lineRule="auto"/>
        <w:rPr>
          <w:sz w:val="20"/>
          <w:szCs w:val="20"/>
          <w:color w:val="auto"/>
        </w:rPr>
      </w:pPr>
      <w:r>
        <w:rPr>
          <w:rFonts w:ascii="Arial" w:cs="Arial" w:eastAsia="Arial" w:hAnsi="Arial"/>
          <w:sz w:val="19"/>
          <w:szCs w:val="19"/>
          <w:color w:val="auto"/>
        </w:rPr>
        <w:t>All members of our audit, compensation, nominations and governance, and public policy and sustainability committees are independent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57150</wp:posOffset>
                </wp:positionV>
                <wp:extent cx="200088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088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pt" to="157.55pt,4.5pt" o:allowincell="f" strokecolor="#000039" strokeweight="1.5pt"/>
            </w:pict>
          </mc:Fallback>
        </mc:AlternateConten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Stockholder rights</w:t>
      </w:r>
    </w:p>
    <w:p>
      <w:pPr>
        <w:spacing w:after="0" w:line="124" w:lineRule="exact"/>
        <w:rPr>
          <w:sz w:val="20"/>
          <w:szCs w:val="20"/>
          <w:color w:val="auto"/>
        </w:rPr>
      </w:pPr>
    </w:p>
    <w:p>
      <w:pPr>
        <w:jc w:val="right"/>
        <w:ind w:left="220"/>
        <w:spacing w:after="0" w:line="262" w:lineRule="auto"/>
        <w:rPr>
          <w:sz w:val="20"/>
          <w:szCs w:val="20"/>
          <w:color w:val="auto"/>
        </w:rPr>
      </w:pPr>
      <w:r>
        <w:rPr>
          <w:rFonts w:ascii="Arial" w:cs="Arial" w:eastAsia="Arial" w:hAnsi="Arial"/>
          <w:sz w:val="19"/>
          <w:szCs w:val="19"/>
          <w:color w:val="auto"/>
        </w:rPr>
        <w:t>Adopted a proxy access By-Law provision for 3%/3 years We do not have a stockholder</w:t>
      </w:r>
    </w:p>
    <w:p>
      <w:pPr>
        <w:ind w:left="220"/>
        <w:spacing w:after="0"/>
        <w:rPr>
          <w:sz w:val="20"/>
          <w:szCs w:val="20"/>
          <w:color w:val="auto"/>
        </w:rPr>
      </w:pPr>
      <w:r>
        <w:rPr>
          <w:rFonts w:ascii="Arial" w:cs="Arial" w:eastAsia="Arial" w:hAnsi="Arial"/>
          <w:sz w:val="20"/>
          <w:szCs w:val="20"/>
          <w:color w:val="auto"/>
        </w:rPr>
        <w:t>rights plan or “poison pill”</w:t>
      </w:r>
    </w:p>
    <w:p>
      <w:pPr>
        <w:ind w:left="220" w:hanging="4"/>
        <w:spacing w:after="0" w:line="242" w:lineRule="auto"/>
        <w:rPr>
          <w:sz w:val="20"/>
          <w:szCs w:val="20"/>
          <w:color w:val="auto"/>
        </w:rPr>
      </w:pPr>
      <w:r>
        <w:rPr>
          <w:rFonts w:ascii="Arial" w:cs="Arial" w:eastAsia="Arial" w:hAnsi="Arial"/>
          <w:sz w:val="20"/>
          <w:szCs w:val="20"/>
          <w:color w:val="auto"/>
        </w:rPr>
        <w:t>Our directors are elected by a majority vote of our stockholders for uncontested elections, and we have a resignation policy if the director fails to receive a majority of the votes cast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-62230</wp:posOffset>
                </wp:positionH>
                <wp:positionV relativeFrom="paragraph">
                  <wp:posOffset>361315</wp:posOffset>
                </wp:positionV>
                <wp:extent cx="200025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025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99pt,28.45pt" to="152.6pt,28.45pt" o:allowincell="f" strokecolor="#000039" strokeweight="1.5pt"/>
            </w:pict>
          </mc:Fallback>
        </mc:AlternateConten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040"/>
        <w:spacing w:after="0" w:line="321" w:lineRule="auto"/>
        <w:rPr>
          <w:sz w:val="20"/>
          <w:szCs w:val="20"/>
          <w:color w:val="auto"/>
        </w:rPr>
      </w:pPr>
      <w:r>
        <w:rPr>
          <w:rFonts w:ascii="Arial" w:cs="Arial" w:eastAsia="Arial" w:hAnsi="Arial"/>
          <w:sz w:val="19"/>
          <w:szCs w:val="19"/>
          <w:b w:val="1"/>
          <w:bCs w:val="1"/>
          <w:color w:val="000039"/>
        </w:rPr>
        <w:t>Board and executive accountability</w:t>
      </w:r>
    </w:p>
    <w:p>
      <w:pPr>
        <w:ind w:left="200" w:right="200" w:hanging="3"/>
        <w:spacing w:after="0" w:line="253" w:lineRule="auto"/>
        <w:rPr>
          <w:sz w:val="20"/>
          <w:szCs w:val="20"/>
          <w:color w:val="auto"/>
        </w:rPr>
      </w:pPr>
      <w:r>
        <w:rPr>
          <w:rFonts w:ascii="Arial" w:cs="Arial" w:eastAsia="Arial" w:hAnsi="Arial"/>
          <w:sz w:val="20"/>
          <w:szCs w:val="20"/>
          <w:color w:val="auto"/>
        </w:rPr>
        <w:t>Annual executive succession planning</w:t>
      </w:r>
    </w:p>
    <w:p>
      <w:pPr>
        <w:ind w:left="200" w:right="160" w:hanging="3"/>
        <w:spacing w:after="0"/>
        <w:rPr>
          <w:sz w:val="20"/>
          <w:szCs w:val="20"/>
          <w:color w:val="auto"/>
        </w:rPr>
      </w:pPr>
      <w:r>
        <w:rPr>
          <w:rFonts w:ascii="Arial" w:cs="Arial" w:eastAsia="Arial" w:hAnsi="Arial"/>
          <w:sz w:val="20"/>
          <w:szCs w:val="20"/>
          <w:color w:val="auto"/>
        </w:rPr>
        <w:t>Minimum stock ownership guidelines are in place for the CEO and other NEOs</w:t>
      </w:r>
    </w:p>
    <w:p>
      <w:pPr>
        <w:ind w:left="200" w:right="340" w:hanging="3"/>
        <w:spacing w:after="0"/>
        <w:rPr>
          <w:sz w:val="20"/>
          <w:szCs w:val="20"/>
          <w:color w:val="auto"/>
        </w:rPr>
      </w:pPr>
      <w:r>
        <w:rPr>
          <w:rFonts w:ascii="Arial" w:cs="Arial" w:eastAsia="Arial" w:hAnsi="Arial"/>
          <w:sz w:val="20"/>
          <w:szCs w:val="20"/>
          <w:color w:val="auto"/>
        </w:rPr>
        <w:t>We have a related person transaction policy to ensure appropriate oversight</w:t>
      </w:r>
    </w:p>
    <w:p>
      <w:pPr>
        <w:ind w:left="200" w:right="60" w:hanging="3"/>
        <w:spacing w:after="0" w:line="247" w:lineRule="auto"/>
        <w:rPr>
          <w:sz w:val="20"/>
          <w:szCs w:val="20"/>
          <w:color w:val="auto"/>
        </w:rPr>
      </w:pPr>
      <w:r>
        <w:rPr>
          <w:rFonts w:ascii="Arial" w:cs="Arial" w:eastAsia="Arial" w:hAnsi="Arial"/>
          <w:sz w:val="20"/>
          <w:szCs w:val="20"/>
          <w:color w:val="auto"/>
        </w:rPr>
        <w:t>We hold an annual say-on-pay advisory vote on 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-74295</wp:posOffset>
                </wp:positionH>
                <wp:positionV relativeFrom="paragraph">
                  <wp:posOffset>210185</wp:posOffset>
                </wp:positionV>
                <wp:extent cx="205549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549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499pt,16.55pt" to="156pt,16.55pt" o:allowincell="f" strokecolor="#000039" strokeweight="1.5pt"/>
            </w:pict>
          </mc:Fallback>
        </mc:AlternateContent>
      </w:r>
    </w:p>
    <w:p>
      <w:pPr>
        <w:spacing w:after="0" w:line="441" w:lineRule="exact"/>
        <w:rPr>
          <w:sz w:val="20"/>
          <w:szCs w:val="20"/>
          <w:color w:val="auto"/>
        </w:rPr>
      </w:pPr>
    </w:p>
    <w:p>
      <w:pPr>
        <w:sectPr>
          <w:pgSz w:w="11880" w:h="15480" w:orient="portrait"/>
          <w:cols w:equalWidth="0" w:num="3">
            <w:col w:w="2980" w:space="540"/>
            <w:col w:w="2860" w:space="580"/>
            <w:col w:w="2980"/>
          </w:cols>
          <w:pgMar w:left="900" w:top="702" w:right="1040" w:bottom="0" w:gutter="0" w:footer="0" w:header="0"/>
          <w:type w:val="continuous"/>
        </w:sectPr>
      </w:pPr>
    </w:p>
    <w:p>
      <w:pPr>
        <w:spacing w:after="0" w:line="6" w:lineRule="exact"/>
        <w:rPr>
          <w:sz w:val="20"/>
          <w:szCs w:val="20"/>
          <w:color w:val="auto"/>
        </w:rPr>
      </w:pPr>
    </w:p>
    <w:p>
      <w:pPr>
        <w:ind w:left="100" w:right="700"/>
        <w:spacing w:after="0" w:line="298" w:lineRule="auto"/>
        <w:rPr>
          <w:sz w:val="20"/>
          <w:szCs w:val="20"/>
          <w:color w:val="auto"/>
        </w:rPr>
      </w:pPr>
      <w:r>
        <w:rPr>
          <w:rFonts w:ascii="Arial" w:cs="Arial" w:eastAsia="Arial" w:hAnsi="Arial"/>
          <w:sz w:val="20"/>
          <w:szCs w:val="20"/>
          <w:b w:val="1"/>
          <w:bCs w:val="1"/>
          <w:color w:val="000039"/>
        </w:rPr>
        <w:t>Board composition and effectiveness</w:t>
      </w:r>
    </w:p>
    <w:p>
      <w:pPr>
        <w:spacing w:after="0" w:line="14" w:lineRule="exact"/>
        <w:rPr>
          <w:sz w:val="20"/>
          <w:szCs w:val="20"/>
          <w:color w:val="auto"/>
        </w:rPr>
      </w:pPr>
    </w:p>
    <w:p>
      <w:pPr>
        <w:jc w:val="both"/>
        <w:ind w:left="320" w:right="120" w:hanging="4"/>
        <w:spacing w:after="0" w:line="246" w:lineRule="auto"/>
        <w:rPr>
          <w:sz w:val="20"/>
          <w:szCs w:val="20"/>
          <w:color w:val="auto"/>
        </w:rPr>
      </w:pPr>
      <w:r>
        <w:rPr>
          <w:rFonts w:ascii="Arial" w:cs="Arial" w:eastAsia="Arial" w:hAnsi="Arial"/>
          <w:sz w:val="20"/>
          <w:szCs w:val="20"/>
          <w:color w:val="auto"/>
        </w:rPr>
        <w:t>Our governance guidelines restrict the number of boards our directors may serve on to prevent overboarding</w:t>
      </w:r>
    </w:p>
    <w:p>
      <w:pPr>
        <w:spacing w:after="0" w:line="2" w:lineRule="exact"/>
        <w:rPr>
          <w:sz w:val="20"/>
          <w:szCs w:val="20"/>
          <w:color w:val="auto"/>
        </w:rPr>
      </w:pPr>
    </w:p>
    <w:p>
      <w:pPr>
        <w:ind w:left="320" w:hanging="4"/>
        <w:spacing w:after="0"/>
        <w:rPr>
          <w:sz w:val="20"/>
          <w:szCs w:val="20"/>
          <w:color w:val="auto"/>
        </w:rPr>
      </w:pPr>
      <w:r>
        <w:rPr>
          <w:rFonts w:ascii="Arial" w:cs="Arial" w:eastAsia="Arial" w:hAnsi="Arial"/>
          <w:sz w:val="20"/>
          <w:szCs w:val="20"/>
          <w:color w:val="auto"/>
        </w:rPr>
        <w:t>Annual board and committee self-assessments and regular board succession planning, including an assessment of current director skillset, upcoming potential retirements, and optimal board size</w:t>
      </w:r>
    </w:p>
    <w:p>
      <w:pPr>
        <w:ind w:left="320" w:right="180" w:hanging="4"/>
        <w:spacing w:after="0" w:line="258" w:lineRule="auto"/>
        <w:rPr>
          <w:sz w:val="20"/>
          <w:szCs w:val="20"/>
          <w:color w:val="auto"/>
        </w:rPr>
      </w:pPr>
      <w:r>
        <w:rPr>
          <w:rFonts w:ascii="Arial" w:cs="Arial" w:eastAsia="Arial" w:hAnsi="Arial"/>
          <w:sz w:val="19"/>
          <w:szCs w:val="19"/>
          <w:color w:val="auto"/>
        </w:rPr>
        <w:t>As part of its comprehensive assessment of potential director nominees, the board considers how a specific nominee would contribute to the board’s overall diversity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208280</wp:posOffset>
                </wp:positionV>
                <wp:extent cx="200977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977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16.4pt" to="157.55pt,16.4pt" o:allowincell="f" strokecolor="#000039" strokeweight="1.5pt"/>
            </w:pict>
          </mc:Fallback>
        </mc:AlternateContent>
      </w:r>
    </w:p>
    <w:p>
      <w:pPr>
        <w:spacing w:after="0" w:line="20" w:lineRule="exact"/>
        <w:rPr>
          <w:sz w:val="20"/>
          <w:szCs w:val="20"/>
          <w:color w:val="auto"/>
        </w:rPr>
      </w:pPr>
      <w:r>
        <w:rPr>
          <w:sz w:val="20"/>
          <w:szCs w:val="20"/>
          <w:color w:val="auto"/>
        </w:rPr>
        <w:br w:type="column"/>
      </w:r>
    </w:p>
    <w:p>
      <w:pPr>
        <w:ind w:right="240"/>
        <w:spacing w:after="0" w:line="298" w:lineRule="auto"/>
        <w:rPr>
          <w:sz w:val="20"/>
          <w:szCs w:val="20"/>
          <w:color w:val="auto"/>
        </w:rPr>
      </w:pPr>
      <w:r>
        <w:rPr>
          <w:rFonts w:ascii="Arial" w:cs="Arial" w:eastAsia="Arial" w:hAnsi="Arial"/>
          <w:sz w:val="20"/>
          <w:szCs w:val="20"/>
          <w:b w:val="1"/>
          <w:bCs w:val="1"/>
          <w:color w:val="000039"/>
        </w:rPr>
        <w:t>Clawback and anti-hedging and anti-pledging policies</w:t>
      </w:r>
    </w:p>
    <w:p>
      <w:pPr>
        <w:spacing w:after="0" w:line="14" w:lineRule="exact"/>
        <w:rPr>
          <w:sz w:val="20"/>
          <w:szCs w:val="20"/>
          <w:color w:val="auto"/>
        </w:rPr>
      </w:pPr>
    </w:p>
    <w:p>
      <w:pPr>
        <w:ind w:left="220" w:right="60" w:hanging="4"/>
        <w:spacing w:after="0" w:line="243" w:lineRule="auto"/>
        <w:rPr>
          <w:sz w:val="20"/>
          <w:szCs w:val="20"/>
          <w:color w:val="auto"/>
        </w:rPr>
      </w:pPr>
      <w:r>
        <w:rPr>
          <w:rFonts w:ascii="Arial" w:cs="Arial" w:eastAsia="Arial" w:hAnsi="Arial"/>
          <w:sz w:val="20"/>
          <w:szCs w:val="20"/>
          <w:color w:val="auto"/>
        </w:rPr>
        <w:t>Mandatory clawback of excess compensation in the event of a restatement, plus broad discretion to clawback compensation in the event of a material breach of the AbbVie Code of Business Conduct</w:t>
      </w:r>
    </w:p>
    <w:p>
      <w:pPr>
        <w:spacing w:after="0" w:line="3" w:lineRule="exact"/>
        <w:rPr>
          <w:sz w:val="20"/>
          <w:szCs w:val="20"/>
          <w:color w:val="auto"/>
        </w:rPr>
      </w:pPr>
    </w:p>
    <w:p>
      <w:pPr>
        <w:ind w:left="220" w:hanging="4"/>
        <w:spacing w:after="0" w:line="239" w:lineRule="auto"/>
        <w:rPr>
          <w:sz w:val="20"/>
          <w:szCs w:val="20"/>
          <w:color w:val="auto"/>
        </w:rPr>
      </w:pPr>
      <w:r>
        <w:rPr>
          <w:rFonts w:ascii="Arial" w:cs="Arial" w:eastAsia="Arial" w:hAnsi="Arial"/>
          <w:sz w:val="20"/>
          <w:szCs w:val="20"/>
          <w:color w:val="auto"/>
        </w:rPr>
        <w:t>Directors and executive officers are prohibited from buying or selling any financial instruments designed to hedge or offset any decrease in the market value of AbbVie equity securities they hold</w:t>
      </w:r>
    </w:p>
    <w:p>
      <w:pPr>
        <w:spacing w:after="0" w:line="6" w:lineRule="exact"/>
        <w:rPr>
          <w:sz w:val="20"/>
          <w:szCs w:val="20"/>
          <w:color w:val="auto"/>
        </w:rPr>
      </w:pPr>
    </w:p>
    <w:p>
      <w:pPr>
        <w:ind w:left="220" w:right="240" w:hanging="4"/>
        <w:spacing w:after="0" w:line="245" w:lineRule="auto"/>
        <w:rPr>
          <w:sz w:val="20"/>
          <w:szCs w:val="20"/>
          <w:color w:val="auto"/>
        </w:rPr>
      </w:pPr>
      <w:r>
        <w:rPr>
          <w:rFonts w:ascii="Arial" w:cs="Arial" w:eastAsia="Arial" w:hAnsi="Arial"/>
          <w:sz w:val="20"/>
          <w:szCs w:val="20"/>
          <w:color w:val="auto"/>
        </w:rPr>
        <w:t>Directors and executive officers are prohibited from pledging AbbVie stock as collateral for a loan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-71755</wp:posOffset>
                </wp:positionH>
                <wp:positionV relativeFrom="paragraph">
                  <wp:posOffset>67945</wp:posOffset>
                </wp:positionV>
                <wp:extent cx="200977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977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499pt,5.35pt" to="152.6pt,5.35pt" o:allowincell="f" strokecolor="#000039" strokeweight="1.5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000039"/>
        </w:rPr>
        <w:t>Other ESG practices</w:t>
      </w:r>
    </w:p>
    <w:p>
      <w:pPr>
        <w:spacing w:after="0" w:line="124" w:lineRule="exact"/>
        <w:rPr>
          <w:sz w:val="20"/>
          <w:szCs w:val="20"/>
          <w:color w:val="auto"/>
        </w:rPr>
      </w:pPr>
    </w:p>
    <w:p>
      <w:pPr>
        <w:ind w:left="200" w:right="80" w:hanging="4"/>
        <w:spacing w:after="0" w:line="246" w:lineRule="auto"/>
        <w:rPr>
          <w:sz w:val="20"/>
          <w:szCs w:val="20"/>
          <w:color w:val="auto"/>
        </w:rPr>
      </w:pPr>
      <w:r>
        <w:rPr>
          <w:rFonts w:ascii="Arial" w:cs="Arial" w:eastAsia="Arial" w:hAnsi="Arial"/>
          <w:sz w:val="20"/>
          <w:szCs w:val="20"/>
          <w:color w:val="auto"/>
        </w:rPr>
        <w:t>ESG goals are incorporated into our executive compensation programs for all executives</w:t>
      </w:r>
    </w:p>
    <w:p>
      <w:pPr>
        <w:spacing w:after="0" w:line="3" w:lineRule="exact"/>
        <w:rPr>
          <w:sz w:val="20"/>
          <w:szCs w:val="20"/>
          <w:color w:val="auto"/>
        </w:rPr>
      </w:pPr>
    </w:p>
    <w:p>
      <w:pPr>
        <w:ind w:left="200" w:right="20" w:hanging="4"/>
        <w:spacing w:after="0"/>
        <w:rPr>
          <w:sz w:val="20"/>
          <w:szCs w:val="20"/>
          <w:color w:val="auto"/>
        </w:rPr>
      </w:pPr>
      <w:r>
        <w:rPr>
          <w:rFonts w:ascii="Arial" w:cs="Arial" w:eastAsia="Arial" w:hAnsi="Arial"/>
          <w:sz w:val="20"/>
          <w:szCs w:val="20"/>
          <w:color w:val="auto"/>
        </w:rPr>
        <w:t>We are guided by strong ethics programs and supplier guidelines</w:t>
      </w:r>
    </w:p>
    <w:p>
      <w:pPr>
        <w:ind w:left="200" w:hanging="4"/>
        <w:spacing w:after="0" w:line="242" w:lineRule="auto"/>
        <w:rPr>
          <w:sz w:val="20"/>
          <w:szCs w:val="20"/>
          <w:color w:val="auto"/>
        </w:rPr>
      </w:pPr>
      <w:r>
        <w:rPr>
          <w:rFonts w:ascii="Arial" w:cs="Arial" w:eastAsia="Arial" w:hAnsi="Arial"/>
          <w:sz w:val="20"/>
          <w:szCs w:val="20"/>
          <w:color w:val="auto"/>
        </w:rPr>
        <w:t>We disclose our corporate political contributions, our trade association memberships, and oversight process on our website and expanded these disclosures in 2022, 2023,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946785</wp:posOffset>
                </wp:positionV>
                <wp:extent cx="206502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502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999pt,74.55pt" to="156pt,74.55pt" o:allowincell="f" strokecolor="#000039" strokeweight="1.5pt"/>
            </w:pict>
          </mc:Fallback>
        </mc:AlternateContent>
      </w:r>
    </w:p>
    <w:p>
      <w:pPr>
        <w:spacing w:after="0" w:line="1583" w:lineRule="exact"/>
        <w:rPr>
          <w:sz w:val="20"/>
          <w:szCs w:val="20"/>
          <w:color w:val="auto"/>
        </w:rPr>
      </w:pPr>
    </w:p>
    <w:p>
      <w:pPr>
        <w:sectPr>
          <w:pgSz w:w="11880" w:h="15480" w:orient="portrait"/>
          <w:cols w:equalWidth="0" w:num="3">
            <w:col w:w="3040" w:space="480"/>
            <w:col w:w="2840" w:space="600"/>
            <w:col w:w="2980"/>
          </w:cols>
          <w:pgMar w:left="900" w:top="702"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2480" w:val="left"/>
        </w:tabs>
        <w:rPr>
          <w:sz w:val="20"/>
          <w:szCs w:val="20"/>
          <w:color w:val="auto"/>
        </w:rPr>
      </w:pPr>
      <w:r>
        <w:rPr>
          <w:rFonts w:ascii="Arial" w:cs="Arial" w:eastAsia="Arial" w:hAnsi="Arial"/>
          <w:sz w:val="20"/>
          <w:szCs w:val="20"/>
          <w:color w:val="auto"/>
        </w:rPr>
        <w:t xml:space="preserve">6  </w:t>
      </w:r>
      <w:r>
        <w:rPr>
          <w:sz w:val="1"/>
          <w:szCs w:val="1"/>
          <w:color w:val="auto"/>
        </w:rPr>
        <w:drawing>
          <wp:inline distT="0" distB="0" distL="0" distR="0">
            <wp:extent cx="992505" cy="2006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62">
                      <a:extLst>
                        <a:ext uri="{28A0092B-C50C-407E-A947-70E740481C1C}"/>
                      </a:extLst>
                    </a:blip>
                    <a:srcRect/>
                    <a:stretch>
                      <a:fillRect/>
                    </a:stretch>
                  </pic:blipFill>
                  <pic:spPr bwMode="auto">
                    <a:xfrm>
                      <a:off x="0" y="0"/>
                      <a:ext cx="992505"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9940"/>
          </w:cols>
          <w:pgMar w:left="900" w:top="702" w:right="1040" w:bottom="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20"/>
          <w:szCs w:val="20"/>
          <w:color w:val="808080"/>
        </w:rPr>
        <w:t>PROXY SUMMARY</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Our Approach to ESG</w:t>
      </w:r>
    </w:p>
    <w:p>
      <w:pPr>
        <w:spacing w:after="0" w:line="217" w:lineRule="exact"/>
        <w:rPr>
          <w:sz w:val="20"/>
          <w:szCs w:val="20"/>
          <w:color w:val="auto"/>
        </w:rPr>
      </w:pPr>
    </w:p>
    <w:p>
      <w:pPr>
        <w:ind w:right="200"/>
        <w:spacing w:after="0" w:line="245" w:lineRule="auto"/>
        <w:rPr>
          <w:sz w:val="20"/>
          <w:szCs w:val="20"/>
          <w:color w:val="auto"/>
        </w:rPr>
      </w:pPr>
      <w:r>
        <w:rPr>
          <w:rFonts w:ascii="Arial" w:cs="Arial" w:eastAsia="Arial" w:hAnsi="Arial"/>
          <w:sz w:val="20"/>
          <w:szCs w:val="20"/>
          <w:color w:val="auto"/>
        </w:rPr>
        <w:t>As a research- driven global biopharmaceutical company, we apply the same high standards and rigor to the medicines and solutions we pursue, to how we operate our business. We recognize that our company and our industry have a unique opportunity to make a real difference in people’s lives—not just the breakthroughs we deliver, but also the responsible paths we take to achieve them. We advance environmental, social, and governance (ESG) initiatives that contribute to the sustainable growth of our company so that we can create positive impact for generations to come. Our approach to ESG is focused on elevating and transforming standards of care to make a remarkable impact in patients’ lives, developing our people to continually enhance our strong culture and taking steps to sustain AbbVie’s long-term growth, including managing our environmental impact.</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Our ESG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26670</wp:posOffset>
                </wp:positionV>
                <wp:extent cx="640969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969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2.1pt" to="504pt,2.1pt" o:allowincell="f" strokecolor="#000000" strokeweight="1.5pt"/>
            </w:pict>
          </mc:Fallback>
        </mc:AlternateContent>
      </w:r>
    </w:p>
    <w:p>
      <w:pPr>
        <w:spacing w:after="0" w:line="24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AbbVie’s Board of Directors, Board committees and executive leadership team review and advise on ESG topics to advance AbbVie’s business sustainability and impact on society. To further the strategic and enterprise-aligned delivery of AbbVie’s ESG strategy, we maintain an ESG Council, chaired by our Senior Vice President, Corporate Affairs, and composed of senior-level leaders from across the company. The ESG Council’s purpose is to champion business sustainability and mitigate business risks by monitoring, reviewing and recommending actions to the ESG Council Chair, members of the executive leadership team, and AbbVie’s Chairman of the Board and Chief Executive Officer. The ESG Council Chair may also present certain recommendations of the ESG Council from time to time to the Board as appropriate.</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Our Priority Topics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26670</wp:posOffset>
                </wp:positionV>
                <wp:extent cx="640969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969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2.1pt" to="504pt,2.1pt" o:allowincell="f" strokecolor="#000000" strokeweight="1.5pt"/>
            </w:pict>
          </mc:Fallback>
        </mc:AlternateContent>
      </w:r>
    </w:p>
    <w:p>
      <w:pPr>
        <w:spacing w:after="0" w:line="249" w:lineRule="exact"/>
        <w:rPr>
          <w:sz w:val="20"/>
          <w:szCs w:val="20"/>
          <w:color w:val="auto"/>
        </w:rPr>
      </w:pPr>
    </w:p>
    <w:p>
      <w:pPr>
        <w:jc w:val="both"/>
        <w:ind w:right="160"/>
        <w:spacing w:after="0" w:line="246" w:lineRule="auto"/>
        <w:rPr>
          <w:sz w:val="20"/>
          <w:szCs w:val="20"/>
          <w:color w:val="auto"/>
        </w:rPr>
      </w:pPr>
      <w:r>
        <w:rPr>
          <w:rFonts w:ascii="Arial" w:cs="Arial" w:eastAsia="Arial" w:hAnsi="Arial"/>
          <w:sz w:val="20"/>
          <w:szCs w:val="20"/>
          <w:color w:val="auto"/>
        </w:rPr>
        <w:t>Our priority ESG topics have been determined by a Double Materiality Assessment, evaluating both the financial impact of sustainability issues on our company and our impact on society and the environment. AbbVie’s Double Materiality Assessment was completed in 2024 and identified seven ESG topics:</w:t>
      </w:r>
    </w:p>
    <w:p>
      <w:pPr>
        <w:spacing w:after="0" w:line="1" w:lineRule="exact"/>
        <w:rPr>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Product Innovation</w:t>
      </w:r>
    </w:p>
    <w:p>
      <w:pPr>
        <w:spacing w:after="0" w:line="36" w:lineRule="exact"/>
        <w:rPr>
          <w:rFonts w:ascii="Arial" w:cs="Arial" w:eastAsia="Arial" w:hAnsi="Arial"/>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Patient Access and Affordability</w:t>
      </w:r>
    </w:p>
    <w:p>
      <w:pPr>
        <w:spacing w:after="0" w:line="27" w:lineRule="exact"/>
        <w:rPr>
          <w:rFonts w:ascii="Arial" w:cs="Arial" w:eastAsia="Arial" w:hAnsi="Arial"/>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Product Quality &amp; Safety</w:t>
      </w:r>
    </w:p>
    <w:p>
      <w:pPr>
        <w:spacing w:after="0" w:line="29" w:lineRule="exact"/>
        <w:rPr>
          <w:rFonts w:ascii="Arial" w:cs="Arial" w:eastAsia="Arial" w:hAnsi="Arial"/>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Privacy and Cybersecurity</w:t>
      </w:r>
    </w:p>
    <w:p>
      <w:pPr>
        <w:spacing w:after="0" w:line="29" w:lineRule="exact"/>
        <w:rPr>
          <w:rFonts w:ascii="Arial" w:cs="Arial" w:eastAsia="Arial" w:hAnsi="Arial"/>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Business Conduct</w:t>
      </w:r>
    </w:p>
    <w:p>
      <w:pPr>
        <w:spacing w:after="0" w:line="27" w:lineRule="exact"/>
        <w:rPr>
          <w:rFonts w:ascii="Arial" w:cs="Arial" w:eastAsia="Arial" w:hAnsi="Arial"/>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Our People and Culture</w:t>
      </w:r>
    </w:p>
    <w:p>
      <w:pPr>
        <w:spacing w:after="0" w:line="29" w:lineRule="exact"/>
        <w:rPr>
          <w:rFonts w:ascii="Arial" w:cs="Arial" w:eastAsia="Arial" w:hAnsi="Arial"/>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Climate Change</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2025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26670</wp:posOffset>
                </wp:positionV>
                <wp:extent cx="640969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969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2.1pt" to="504pt,2.1pt" o:allowincell="f" strokecolor="#000000" strokeweight="1.5pt"/>
            </w:pict>
          </mc:Fallback>
        </mc:AlternateContent>
      </w:r>
    </w:p>
    <w:p>
      <w:pPr>
        <w:spacing w:after="0" w:line="278" w:lineRule="exact"/>
        <w:rPr>
          <w:sz w:val="20"/>
          <w:szCs w:val="20"/>
          <w:color w:val="auto"/>
        </w:rPr>
      </w:pPr>
    </w:p>
    <w:p>
      <w:pPr>
        <w:ind w:left="720" w:right="600" w:hanging="360"/>
        <w:spacing w:after="0" w:line="268"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Of the 91% of employees who responded to our 2025 AbbVie Employee Engagement Survey, 84% indicated they feel engaged in their work at AbbVie.</w:t>
      </w:r>
    </w:p>
    <w:p>
      <w:pPr>
        <w:spacing w:after="0" w:line="1" w:lineRule="exact"/>
        <w:rPr>
          <w:rFonts w:ascii="Arial" w:cs="Arial" w:eastAsia="Arial" w:hAnsi="Arial"/>
          <w:sz w:val="20"/>
          <w:szCs w:val="20"/>
          <w:color w:val="auto"/>
        </w:rPr>
      </w:pPr>
    </w:p>
    <w:p>
      <w:pPr>
        <w:ind w:left="720" w:right="100" w:hanging="360"/>
        <w:spacing w:after="0" w:line="260"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 support of AbbVie's global target to reduce absolute scope 1 and 2 (market-based) GHG emissions by 42.0% by 2030, we have achieved a 32.4% reduction as of 2024. 2025 results for the target will be shared in the upcoming 2025 ESG Action Report.</w:t>
      </w:r>
    </w:p>
    <w:p>
      <w:pPr>
        <w:spacing w:after="0" w:line="2" w:lineRule="exact"/>
        <w:rPr>
          <w:rFonts w:ascii="Arial" w:cs="Arial" w:eastAsia="Arial" w:hAnsi="Arial"/>
          <w:sz w:val="20"/>
          <w:szCs w:val="20"/>
          <w:color w:val="auto"/>
        </w:rPr>
      </w:pPr>
    </w:p>
    <w:p>
      <w:pPr>
        <w:ind w:left="720" w:right="120" w:hanging="360"/>
        <w:spacing w:after="0" w:line="262"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Over 210,000 U.S. patients were provided medicine at no cost through our patient assistance program in 2025.</w:t>
      </w:r>
    </w:p>
    <w:p>
      <w:pPr>
        <w:spacing w:after="0" w:line="1" w:lineRule="exact"/>
        <w:rPr>
          <w:rFonts w:ascii="Arial" w:cs="Arial" w:eastAsia="Arial" w:hAnsi="Arial"/>
          <w:sz w:val="20"/>
          <w:szCs w:val="20"/>
          <w:color w:val="auto"/>
        </w:rPr>
      </w:pPr>
    </w:p>
    <w:p>
      <w:pPr>
        <w:ind w:left="720" w:right="660" w:hanging="360"/>
        <w:spacing w:after="0" w:line="287"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Nearly 14,000 AbbVie employees across 58 countries and territories contributed more than 44,000 volunteer hours during AbbVie Foundation’s annual Week of Possibilities program.</w:t>
      </w:r>
    </w:p>
    <w:p>
      <w:pPr>
        <w:spacing w:after="0" w:line="101"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ESG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26670</wp:posOffset>
                </wp:positionV>
                <wp:extent cx="640969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969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2.1pt" to="504pt,2.1pt" o:allowincell="f" strokecolor="#000000" strokeweight="1.5pt"/>
            </w:pict>
          </mc:Fallback>
        </mc:AlternateContent>
      </w:r>
    </w:p>
    <w:p>
      <w:pPr>
        <w:spacing w:after="0" w:line="248"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AbbVie primarily discloses information related to its ESG efforts and strategies in its annual ESG Action Report. Published in May 2025, the 2024 ESG Action Report includes detailed commentary about our approach, actions</w:t>
      </w:r>
    </w:p>
    <w:p>
      <w:pPr>
        <w:spacing w:after="0" w:line="200" w:lineRule="exact"/>
        <w:rPr>
          <w:sz w:val="20"/>
          <w:szCs w:val="20"/>
          <w:color w:val="auto"/>
        </w:rPr>
      </w:pPr>
    </w:p>
    <w:p>
      <w:pPr>
        <w:spacing w:after="0" w:line="374" w:lineRule="exact"/>
        <w:rPr>
          <w:sz w:val="20"/>
          <w:szCs w:val="20"/>
          <w:color w:val="auto"/>
        </w:rPr>
      </w:pPr>
    </w:p>
    <w:tbl>
      <w:tblPr>
        <w:tblLayout w:type="fixed"/>
        <w:tblInd w:w="5600" w:type="dxa"/>
        <w:tblCellMar>
          <w:top w:w="0" w:type="dxa"/>
          <w:left w:w="0" w:type="dxa"/>
          <w:bottom w:w="0" w:type="dxa"/>
          <w:right w:w="0" w:type="dxa"/>
        </w:tblCellMar>
      </w:tblPr>
      <w:tr>
        <w:trPr>
          <w:trHeight w:val="408"/>
        </w:trPr>
        <w:tc>
          <w:tcPr>
            <w:tcW w:w="336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-222250</wp:posOffset>
            </wp:positionV>
            <wp:extent cx="993140" cy="2006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63">
                      <a:extLst>
                        <a:ext uri="{28A0092B-C50C-407E-A947-70E740481C1C}"/>
                      </a:extLst>
                    </a:blip>
                    <a:srcRect/>
                    <a:stretch>
                      <a:fillRect/>
                    </a:stretch>
                  </pic:blipFill>
                  <pic:spPr bwMode="auto">
                    <a:xfrm>
                      <a:off x="0" y="0"/>
                      <a:ext cx="99314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36" w:name="page137"/>
    <w:bookmarkEnd w:id="136"/>
    <w:p>
      <w:pPr>
        <w:spacing w:after="0"/>
        <w:rPr>
          <w:sz w:val="20"/>
          <w:szCs w:val="20"/>
          <w:color w:val="auto"/>
        </w:rPr>
      </w:pPr>
      <w:r>
        <w:rPr>
          <w:rFonts w:ascii="Arial" w:cs="Arial" w:eastAsia="Arial" w:hAnsi="Arial"/>
          <w:sz w:val="20"/>
          <w:szCs w:val="20"/>
          <w:color w:val="808080"/>
        </w:rPr>
        <w:t>PROXY SUMMARY</w:t>
      </w:r>
    </w:p>
    <w:p>
      <w:pPr>
        <w:spacing w:after="0" w:line="231"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and commitments across key areas of our business; a Disclosure Supplement document containing AbbVie’s Sustainability Accounting Standards Board (SASB), Task Force on Climate-related Financial Disclosures (TCFD) and United Nations Sustainable Development Goals (SDGs) indices, our key performance indicator (KPI) data and our assurance statement; and ESG-related recognitions of our efforts. The full 2024 ESG Action Report can be found at https://www.abbvie.com/content/dam/abbvie-com2/pdfs/abbvie- esg-action-report.pdf. The 2025 ESG Action Report will be published on www.AbbVie.com no later than mid-year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2480" w:val="left"/>
        </w:tabs>
        <w:rPr>
          <w:sz w:val="20"/>
          <w:szCs w:val="20"/>
          <w:color w:val="auto"/>
        </w:rPr>
      </w:pPr>
      <w:r>
        <w:rPr>
          <w:rFonts w:ascii="Arial" w:cs="Arial" w:eastAsia="Arial" w:hAnsi="Arial"/>
          <w:sz w:val="20"/>
          <w:szCs w:val="20"/>
          <w:color w:val="auto"/>
        </w:rPr>
        <w:t xml:space="preserve">8  </w:t>
      </w:r>
      <w:r>
        <w:rPr>
          <w:sz w:val="1"/>
          <w:szCs w:val="1"/>
          <w:color w:val="auto"/>
        </w:rPr>
        <w:drawing>
          <wp:inline distT="0" distB="0" distL="0" distR="0">
            <wp:extent cx="992505" cy="2006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64">
                      <a:extLst>
                        <a:ext uri="{28A0092B-C50C-407E-A947-70E740481C1C}"/>
                      </a:extLst>
                    </a:blip>
                    <a:srcRect/>
                    <a:stretch>
                      <a:fillRect/>
                    </a:stretch>
                  </pic:blipFill>
                  <pic:spPr bwMode="auto">
                    <a:xfrm>
                      <a:off x="0" y="0"/>
                      <a:ext cx="992505"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9980"/>
          </w:cols>
          <w:pgMar w:left="900" w:top="702" w:right="1000" w:bottom="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color w:val="808080"/>
        </w:rPr>
        <w:t>PROXY SUMMARY</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Executive Compensation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162560</wp:posOffset>
                </wp:positionV>
                <wp:extent cx="6400800" cy="368935"/>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368935"/>
                        </a:xfrm>
                        <a:prstGeom prst="rect">
                          <a:avLst/>
                        </a:prstGeom>
                        <a:solidFill>
                          <a:srgbClr val="F1F1F1"/>
                        </a:solidFill>
                      </wps:spPr>
                      <wps:bodyPr/>
                    </wps:wsp>
                  </a:graphicData>
                </a:graphic>
              </wp:anchor>
            </w:drawing>
          </mc:Choice>
          <mc:Fallback>
            <w:pict>
              <v:rect id="Shape 285" o:spid="_x0000_s1310" style="position:absolute;margin-left:0pt;margin-top:12.8pt;width:504pt;height:2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277" w:lineRule="exact"/>
        <w:rPr>
          <w:sz w:val="20"/>
          <w:szCs w:val="20"/>
          <w:color w:val="auto"/>
        </w:rPr>
      </w:pPr>
    </w:p>
    <w:p>
      <w:pPr>
        <w:ind w:left="80" w:right="320"/>
        <w:spacing w:after="0" w:line="283" w:lineRule="auto"/>
        <w:rPr>
          <w:sz w:val="20"/>
          <w:szCs w:val="20"/>
          <w:color w:val="auto"/>
        </w:rPr>
      </w:pPr>
      <w:r>
        <w:rPr>
          <w:rFonts w:ascii="Arial" w:cs="Arial" w:eastAsia="Arial" w:hAnsi="Arial"/>
          <w:sz w:val="20"/>
          <w:szCs w:val="20"/>
          <w:color w:val="auto"/>
        </w:rPr>
        <w:t>The compensation committee has designed and implemented an executive compensation program in which a substantial majority of named executive officer (NEO) compensation at AbbVie is performance-based.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The goals of our compensation program are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wp:posOffset>
                </wp:positionH>
                <wp:positionV relativeFrom="paragraph">
                  <wp:posOffset>164465</wp:posOffset>
                </wp:positionV>
                <wp:extent cx="201104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104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99pt,12.95pt" to="156.45pt,12.9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2122170</wp:posOffset>
                </wp:positionH>
                <wp:positionV relativeFrom="paragraph">
                  <wp:posOffset>164465</wp:posOffset>
                </wp:positionV>
                <wp:extent cx="208534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534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1pt,12.95pt" to="331.3pt,12.9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4343400</wp:posOffset>
                </wp:positionH>
                <wp:positionV relativeFrom="paragraph">
                  <wp:posOffset>164465</wp:posOffset>
                </wp:positionV>
                <wp:extent cx="2042795"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pt,12.95pt" to="502.85pt,12.9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154940</wp:posOffset>
                </wp:positionV>
                <wp:extent cx="0" cy="97155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155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12.2pt" to="-1.1499pt,88.7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2131695</wp:posOffset>
                </wp:positionH>
                <wp:positionV relativeFrom="paragraph">
                  <wp:posOffset>154940</wp:posOffset>
                </wp:positionV>
                <wp:extent cx="0" cy="97155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155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85pt,12.2pt" to="167.85pt,88.7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4352925</wp:posOffset>
                </wp:positionH>
                <wp:positionV relativeFrom="paragraph">
                  <wp:posOffset>154940</wp:posOffset>
                </wp:positionV>
                <wp:extent cx="0" cy="97155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155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75pt,12.2pt" to="342.75pt,88.7pt" o:allowincell="f" strokecolor="#000039" strokeweight="1.5pt"/>
            </w:pict>
          </mc:Fallback>
        </mc:AlternateContent>
      </w:r>
    </w:p>
    <w:p>
      <w:pPr>
        <w:sectPr>
          <w:pgSz w:w="11880" w:h="15480" w:orient="portrait"/>
          <w:cols w:equalWidth="0" w:num="1">
            <w:col w:w="10080"/>
          </w:cols>
          <w:pgMar w:left="900" w:top="702" w:right="900" w:bottom="0" w:gutter="0" w:footer="0" w:header="0"/>
        </w:sectPr>
      </w:pPr>
    </w:p>
    <w:p>
      <w:pPr>
        <w:spacing w:after="0" w:line="293"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Align executive</w:t>
      </w:r>
    </w:p>
    <w:p>
      <w:pPr>
        <w:jc w:val="both"/>
        <w:ind w:left="700" w:right="480" w:hanging="616"/>
        <w:spacing w:after="0" w:line="180" w:lineRule="auto"/>
        <w:rPr>
          <w:sz w:val="20"/>
          <w:szCs w:val="20"/>
          <w:color w:val="auto"/>
        </w:rPr>
      </w:pPr>
      <w:r>
        <w:rPr>
          <w:rFonts w:ascii="Arial" w:cs="Arial" w:eastAsia="Arial" w:hAnsi="Arial"/>
          <w:sz w:val="51"/>
          <w:szCs w:val="51"/>
          <w:b w:val="1"/>
          <w:bCs w:val="1"/>
          <w:color w:val="000039"/>
        </w:rPr>
        <w:t xml:space="preserve">1 </w:t>
      </w:r>
      <w:r>
        <w:rPr>
          <w:rFonts w:ascii="Arial" w:cs="Arial" w:eastAsia="Arial" w:hAnsi="Arial"/>
          <w:sz w:val="18"/>
          <w:szCs w:val="18"/>
          <w:b w:val="1"/>
          <w:bCs w:val="1"/>
          <w:color w:val="000000"/>
        </w:rPr>
        <w:t>interests</w:t>
      </w:r>
      <w:r>
        <w:rPr>
          <w:rFonts w:ascii="Arial" w:cs="Arial" w:eastAsia="Arial" w:hAnsi="Arial"/>
          <w:sz w:val="51"/>
          <w:szCs w:val="51"/>
          <w:b w:val="1"/>
          <w:bCs w:val="1"/>
          <w:color w:val="000039"/>
        </w:rPr>
        <w:t xml:space="preserve"> </w:t>
      </w:r>
      <w:r>
        <w:rPr>
          <w:rFonts w:ascii="Arial" w:cs="Arial" w:eastAsia="Arial" w:hAnsi="Arial"/>
          <w:sz w:val="18"/>
          <w:szCs w:val="18"/>
          <w:color w:val="000000"/>
        </w:rPr>
        <w:t>with the drivers</w:t>
      </w:r>
      <w:r>
        <w:rPr>
          <w:rFonts w:ascii="Arial" w:cs="Arial" w:eastAsia="Arial" w:hAnsi="Arial"/>
          <w:sz w:val="51"/>
          <w:szCs w:val="51"/>
          <w:b w:val="1"/>
          <w:bCs w:val="1"/>
          <w:color w:val="000039"/>
        </w:rPr>
        <w:t xml:space="preserve"> </w:t>
      </w:r>
      <w:r>
        <w:rPr>
          <w:rFonts w:ascii="Arial" w:cs="Arial" w:eastAsia="Arial" w:hAnsi="Arial"/>
          <w:sz w:val="18"/>
          <w:szCs w:val="18"/>
          <w:color w:val="000000"/>
        </w:rPr>
        <w:t>of stockholder returns and profitable growth</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Support achievement of</w:t>
      </w:r>
    </w:p>
    <w:p>
      <w:pPr>
        <w:jc w:val="both"/>
        <w:ind w:right="620" w:hanging="616"/>
        <w:spacing w:after="0" w:line="180" w:lineRule="auto"/>
        <w:rPr>
          <w:sz w:val="20"/>
          <w:szCs w:val="20"/>
          <w:color w:val="auto"/>
        </w:rPr>
      </w:pPr>
      <w:r>
        <w:rPr>
          <w:rFonts w:ascii="Arial" w:cs="Arial" w:eastAsia="Arial" w:hAnsi="Arial"/>
          <w:sz w:val="40"/>
          <w:szCs w:val="40"/>
          <w:b w:val="1"/>
          <w:bCs w:val="1"/>
          <w:color w:val="000039"/>
        </w:rPr>
        <w:t xml:space="preserve">2 </w:t>
      </w:r>
      <w:r>
        <w:rPr>
          <w:rFonts w:ascii="Arial" w:cs="Arial" w:eastAsia="Arial" w:hAnsi="Arial"/>
          <w:sz w:val="17"/>
          <w:szCs w:val="17"/>
          <w:color w:val="000000"/>
        </w:rPr>
        <w:t>the company’s</w:t>
      </w:r>
      <w:r>
        <w:rPr>
          <w:rFonts w:ascii="Arial" w:cs="Arial" w:eastAsia="Arial" w:hAnsi="Arial"/>
          <w:sz w:val="40"/>
          <w:szCs w:val="40"/>
          <w:b w:val="1"/>
          <w:bCs w:val="1"/>
          <w:color w:val="000039"/>
        </w:rPr>
        <w:t xml:space="preserve"> </w:t>
      </w:r>
      <w:r>
        <w:rPr>
          <w:rFonts w:ascii="Arial" w:cs="Arial" w:eastAsia="Arial" w:hAnsi="Arial"/>
          <w:sz w:val="17"/>
          <w:szCs w:val="17"/>
          <w:b w:val="1"/>
          <w:bCs w:val="1"/>
          <w:color w:val="000000"/>
        </w:rPr>
        <w:t>primary</w:t>
      </w:r>
      <w:r>
        <w:rPr>
          <w:rFonts w:ascii="Arial" w:cs="Arial" w:eastAsia="Arial" w:hAnsi="Arial"/>
          <w:sz w:val="40"/>
          <w:szCs w:val="40"/>
          <w:b w:val="1"/>
          <w:bCs w:val="1"/>
          <w:color w:val="000039"/>
        </w:rPr>
        <w:t xml:space="preserve"> </w:t>
      </w:r>
      <w:r>
        <w:rPr>
          <w:rFonts w:ascii="Arial" w:cs="Arial" w:eastAsia="Arial" w:hAnsi="Arial"/>
          <w:sz w:val="17"/>
          <w:szCs w:val="17"/>
          <w:b w:val="1"/>
          <w:bCs w:val="1"/>
          <w:color w:val="000000"/>
        </w:rPr>
        <w:t xml:space="preserve">business goals </w:t>
      </w:r>
      <w:r>
        <w:rPr>
          <w:rFonts w:ascii="Arial" w:cs="Arial" w:eastAsia="Arial" w:hAnsi="Arial"/>
          <w:sz w:val="17"/>
          <w:szCs w:val="17"/>
          <w:color w:val="000000"/>
        </w:rPr>
        <w:t>to have</w:t>
      </w:r>
      <w:r>
        <w:rPr>
          <w:rFonts w:ascii="Arial" w:cs="Arial" w:eastAsia="Arial" w:hAnsi="Arial"/>
          <w:sz w:val="17"/>
          <w:szCs w:val="17"/>
          <w:b w:val="1"/>
          <w:bCs w:val="1"/>
          <w:color w:val="000000"/>
        </w:rPr>
        <w:t xml:space="preserve"> </w:t>
      </w:r>
      <w:r>
        <w:rPr>
          <w:rFonts w:ascii="Arial" w:cs="Arial" w:eastAsia="Arial" w:hAnsi="Arial"/>
          <w:sz w:val="17"/>
          <w:szCs w:val="17"/>
          <w:color w:val="000000"/>
        </w:rPr>
        <w:t>a remarkable impact on patients’ lives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Attract and retain</w:t>
      </w:r>
    </w:p>
    <w:p>
      <w:pPr>
        <w:ind w:right="180" w:hanging="617"/>
        <w:spacing w:after="0" w:line="182" w:lineRule="auto"/>
        <w:rPr>
          <w:sz w:val="20"/>
          <w:szCs w:val="20"/>
          <w:color w:val="auto"/>
        </w:rPr>
      </w:pPr>
      <w:r>
        <w:rPr>
          <w:rFonts w:ascii="Arial" w:cs="Arial" w:eastAsia="Arial" w:hAnsi="Arial"/>
          <w:sz w:val="44"/>
          <w:szCs w:val="44"/>
          <w:b w:val="1"/>
          <w:bCs w:val="1"/>
          <w:color w:val="000039"/>
        </w:rPr>
        <w:t xml:space="preserve">3 </w:t>
      </w:r>
      <w:r>
        <w:rPr>
          <w:rFonts w:ascii="Arial" w:cs="Arial" w:eastAsia="Arial" w:hAnsi="Arial"/>
          <w:sz w:val="17"/>
          <w:szCs w:val="17"/>
          <w:b w:val="1"/>
          <w:bCs w:val="1"/>
          <w:color w:val="000000"/>
        </w:rPr>
        <w:t>world- class executives</w:t>
      </w:r>
      <w:r>
        <w:rPr>
          <w:rFonts w:ascii="Arial" w:cs="Arial" w:eastAsia="Arial" w:hAnsi="Arial"/>
          <w:sz w:val="44"/>
          <w:szCs w:val="44"/>
          <w:b w:val="1"/>
          <w:bCs w:val="1"/>
          <w:color w:val="000039"/>
        </w:rPr>
        <w:t xml:space="preserve"> </w:t>
      </w:r>
      <w:r>
        <w:rPr>
          <w:rFonts w:ascii="Arial" w:cs="Arial" w:eastAsia="Arial" w:hAnsi="Arial"/>
          <w:sz w:val="17"/>
          <w:szCs w:val="17"/>
          <w:color w:val="000000"/>
        </w:rPr>
        <w:t>whose talents and contributions sustain the growth in long-term stockholder value</w:t>
      </w:r>
    </w:p>
    <w:p>
      <w:pPr>
        <w:spacing w:after="0" w:line="141" w:lineRule="exact"/>
        <w:rPr>
          <w:sz w:val="20"/>
          <w:szCs w:val="20"/>
          <w:color w:val="auto"/>
        </w:rPr>
      </w:pPr>
    </w:p>
    <w:p>
      <w:pPr>
        <w:sectPr>
          <w:pgSz w:w="11880" w:h="15480" w:orient="portrait"/>
          <w:cols w:equalWidth="0" w:num="3">
            <w:col w:w="3500" w:space="720"/>
            <w:col w:w="2780" w:space="720"/>
            <w:col w:w="2360"/>
          </w:cols>
          <w:pgMar w:left="900" w:top="702" w:right="900" w:bottom="0" w:gutter="0" w:footer="0" w:header="0"/>
          <w:type w:val="continuous"/>
        </w:sectPr>
      </w:pPr>
    </w:p>
    <w:p>
      <w:pPr>
        <w:ind w:right="140"/>
        <w:spacing w:after="0" w:line="248" w:lineRule="auto"/>
        <w:rPr>
          <w:sz w:val="20"/>
          <w:szCs w:val="20"/>
          <w:color w:val="auto"/>
        </w:rPr>
      </w:pPr>
      <w:r>
        <w:rPr>
          <w:rFonts w:ascii="Arial" w:cs="Arial" w:eastAsia="Arial" w:hAnsi="Arial"/>
          <w:sz w:val="20"/>
          <w:szCs w:val="20"/>
          <w:color w:val="auto"/>
        </w:rPr>
        <w:t>When determining NEO compensation, the committee first considers the median of the competitive marketplace (as derived primarily from the Health Care Peer Group approved by the committee) as an initial benchmark for assessing compensation. The committee then takes into account the company’s overall performance against the financial, operating and strategic objectives that were established at the start of the performance period. Finally, specific pay determinations are made for each NEO based on individual performance against goals and contributions to the short- and long-term performance of the company.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Key components and design of our executive compensation program:</w:t>
      </w:r>
    </w:p>
    <w:p>
      <w:pPr>
        <w:spacing w:after="0" w:line="164" w:lineRule="exact"/>
        <w:rPr>
          <w:sz w:val="20"/>
          <w:szCs w:val="20"/>
          <w:color w:val="auto"/>
        </w:rPr>
      </w:pPr>
    </w:p>
    <w:p>
      <w:pPr>
        <w:jc w:val="both"/>
        <w:ind w:right="300"/>
        <w:spacing w:after="0" w:line="261" w:lineRule="auto"/>
        <w:rPr>
          <w:sz w:val="20"/>
          <w:szCs w:val="20"/>
          <w:color w:val="auto"/>
        </w:rPr>
      </w:pPr>
      <w:r>
        <w:rPr>
          <w:rFonts w:ascii="Arial" w:cs="Arial" w:eastAsia="Arial" w:hAnsi="Arial"/>
          <w:sz w:val="20"/>
          <w:szCs w:val="20"/>
          <w:color w:val="auto"/>
        </w:rPr>
        <w:t>Three primary components make up AbbVie’s executive pay program: base salary, short-term incentives, and long-term incentives. The structure of each component is tailored to serve a specific function and purpose. The following is a summary of the key components of our compensation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62865</wp:posOffset>
                </wp:positionV>
                <wp:extent cx="6400800" cy="329565"/>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329565"/>
                        </a:xfrm>
                        <a:prstGeom prst="rect">
                          <a:avLst/>
                        </a:prstGeom>
                        <a:solidFill>
                          <a:srgbClr val="F1F1F1"/>
                        </a:solidFill>
                      </wps:spPr>
                      <wps:bodyPr/>
                    </wps:wsp>
                  </a:graphicData>
                </a:graphic>
              </wp:anchor>
            </w:drawing>
          </mc:Choice>
          <mc:Fallback>
            <w:pict>
              <v:rect id="Shape 292" o:spid="_x0000_s1317" style="position:absolute;margin-left:0pt;margin-top:4.95pt;width:504pt;height:2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62230</wp:posOffset>
                </wp:positionV>
                <wp:extent cx="126365" cy="44704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47040"/>
                        </a:xfrm>
                        <a:prstGeom prst="rect">
                          <a:avLst/>
                        </a:prstGeom>
                        <a:solidFill>
                          <a:srgbClr val="F1F1F1"/>
                        </a:solidFill>
                      </wps:spPr>
                      <wps:bodyPr/>
                    </wps:wsp>
                  </a:graphicData>
                </a:graphic>
              </wp:anchor>
            </w:drawing>
          </mc:Choice>
          <mc:Fallback>
            <w:pict>
              <v:rect id="Shape 293" o:spid="_x0000_s1318" style="position:absolute;margin-left:0pt;margin-top:4.9pt;width:9.95pt;height:3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1659255</wp:posOffset>
                </wp:positionH>
                <wp:positionV relativeFrom="paragraph">
                  <wp:posOffset>62230</wp:posOffset>
                </wp:positionV>
                <wp:extent cx="128905" cy="44704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 cy="447040"/>
                        </a:xfrm>
                        <a:prstGeom prst="rect">
                          <a:avLst/>
                        </a:prstGeom>
                        <a:solidFill>
                          <a:srgbClr val="F1F1F1"/>
                        </a:solidFill>
                      </wps:spPr>
                      <wps:bodyPr/>
                    </wps:wsp>
                  </a:graphicData>
                </a:graphic>
              </wp:anchor>
            </w:drawing>
          </mc:Choice>
          <mc:Fallback>
            <w:pict>
              <v:rect id="Shape 294" o:spid="_x0000_s1319" style="position:absolute;margin-left:130.65pt;margin-top:4.9pt;width:10.15pt;height:3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2682875</wp:posOffset>
                </wp:positionH>
                <wp:positionV relativeFrom="paragraph">
                  <wp:posOffset>62230</wp:posOffset>
                </wp:positionV>
                <wp:extent cx="114935" cy="44704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935" cy="447040"/>
                        </a:xfrm>
                        <a:prstGeom prst="rect">
                          <a:avLst/>
                        </a:prstGeom>
                        <a:solidFill>
                          <a:srgbClr val="F1F1F1"/>
                        </a:solidFill>
                      </wps:spPr>
                      <wps:bodyPr/>
                    </wps:wsp>
                  </a:graphicData>
                </a:graphic>
              </wp:anchor>
            </w:drawing>
          </mc:Choice>
          <mc:Fallback>
            <w:pict>
              <v:rect id="Shape 295" o:spid="_x0000_s1320" style="position:absolute;margin-left:211.25pt;margin-top:4.9pt;width:9.05pt;height:3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6278880</wp:posOffset>
                </wp:positionH>
                <wp:positionV relativeFrom="paragraph">
                  <wp:posOffset>62230</wp:posOffset>
                </wp:positionV>
                <wp:extent cx="121920" cy="280924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2809240"/>
                        </a:xfrm>
                        <a:prstGeom prst="rect">
                          <a:avLst/>
                        </a:prstGeom>
                        <a:solidFill>
                          <a:srgbClr val="F1F1F1"/>
                        </a:solidFill>
                      </wps:spPr>
                      <wps:bodyPr/>
                    </wps:wsp>
                  </a:graphicData>
                </a:graphic>
              </wp:anchor>
            </w:drawing>
          </mc:Choice>
          <mc:Fallback>
            <w:pict>
              <v:rect id="Shape 296" o:spid="_x0000_s1321" style="position:absolute;margin-left:494.4pt;margin-top:4.9pt;width:9.6pt;height:22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ectPr>
          <w:pgSz w:w="11880" w:h="15480" w:orient="portrait"/>
          <w:cols w:equalWidth="0" w:num="1">
            <w:col w:w="10080"/>
          </w:cols>
          <w:pgMar w:left="900" w:top="702" w:right="900" w:bottom="0" w:gutter="0" w:footer="0" w:header="0"/>
          <w:type w:val="continuous"/>
        </w:sectPr>
      </w:pPr>
    </w:p>
    <w:p>
      <w:pPr>
        <w:spacing w:after="0" w:line="135"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Primary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126365</wp:posOffset>
                </wp:positionH>
                <wp:positionV relativeFrom="paragraph">
                  <wp:posOffset>-22860</wp:posOffset>
                </wp:positionV>
                <wp:extent cx="1533525" cy="18415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3525" cy="184150"/>
                        </a:xfrm>
                        <a:prstGeom prst="rect">
                          <a:avLst/>
                        </a:prstGeom>
                        <a:solidFill>
                          <a:srgbClr val="F1F1F1"/>
                        </a:solidFill>
                      </wps:spPr>
                      <wps:bodyPr/>
                    </wps:wsp>
                  </a:graphicData>
                </a:graphic>
              </wp:anchor>
            </w:drawing>
          </mc:Choice>
          <mc:Fallback>
            <w:pict>
              <v:rect id="Shape 297" o:spid="_x0000_s1322" style="position:absolute;margin-left:9.95pt;margin-top:-1.7999pt;width:120.75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126365</wp:posOffset>
                </wp:positionH>
                <wp:positionV relativeFrom="paragraph">
                  <wp:posOffset>-22860</wp:posOffset>
                </wp:positionV>
                <wp:extent cx="766445" cy="300355"/>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6445" cy="300355"/>
                        </a:xfrm>
                        <a:prstGeom prst="rect">
                          <a:avLst/>
                        </a:prstGeom>
                        <a:solidFill>
                          <a:srgbClr val="F1F1F1"/>
                        </a:solidFill>
                      </wps:spPr>
                      <wps:bodyPr/>
                    </wps:wsp>
                  </a:graphicData>
                </a:graphic>
              </wp:anchor>
            </w:drawing>
          </mc:Choice>
          <mc:Fallback>
            <w:pict>
              <v:rect id="Shape 298" o:spid="_x0000_s1323" style="position:absolute;margin-left:9.95pt;margin-top:-1.7999pt;width:60.35pt;height:2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4" w:lineRule="exact"/>
        <w:rPr>
          <w:sz w:val="20"/>
          <w:szCs w:val="20"/>
          <w:color w:val="auto"/>
        </w:rPr>
      </w:pPr>
    </w:p>
    <w:p>
      <w:pPr>
        <w:ind w:left="340"/>
        <w:spacing w:after="0"/>
        <w:tabs>
          <w:tab w:leader="none" w:pos="1740" w:val="left"/>
          <w:tab w:leader="none" w:pos="2940" w:val="left"/>
        </w:tabs>
        <w:rPr>
          <w:sz w:val="20"/>
          <w:szCs w:val="20"/>
          <w:color w:val="auto"/>
        </w:rPr>
      </w:pPr>
      <w:r>
        <w:rPr>
          <w:rFonts w:ascii="Arial" w:cs="Arial" w:eastAsia="Arial" w:hAnsi="Arial"/>
          <w:sz w:val="20"/>
          <w:szCs w:val="20"/>
          <w:b w:val="1"/>
          <w:bCs w:val="1"/>
          <w:color w:val="auto"/>
        </w:rPr>
        <w:t>Element</w:t>
      </w:r>
      <w:r>
        <w:rPr>
          <w:sz w:val="20"/>
          <w:szCs w:val="20"/>
          <w:color w:val="auto"/>
        </w:rPr>
        <w:tab/>
      </w:r>
      <w:r>
        <w:rPr>
          <w:rFonts w:ascii="Arial" w:cs="Arial" w:eastAsia="Arial" w:hAnsi="Arial"/>
          <w:sz w:val="20"/>
          <w:szCs w:val="20"/>
          <w:b w:val="1"/>
          <w:bCs w:val="1"/>
          <w:color w:val="auto"/>
        </w:rPr>
        <w:t>Type</w:t>
      </w:r>
      <w:r>
        <w:rPr>
          <w:sz w:val="20"/>
          <w:szCs w:val="20"/>
          <w:color w:val="auto"/>
        </w:rPr>
        <w:tab/>
      </w:r>
      <w:r>
        <w:rPr>
          <w:rFonts w:ascii="Arial" w:cs="Arial" w:eastAsia="Arial" w:hAnsi="Arial"/>
          <w:sz w:val="19"/>
          <w:szCs w:val="19"/>
          <w:b w:val="1"/>
          <w:bCs w:val="1"/>
          <w:color w:val="auto"/>
        </w:rPr>
        <w:t>Objective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 w:type="dxa"/>
            <w:vAlign w:val="bottom"/>
            <w:tcBorders>
              <w:bottom w:val="single" w:sz="8" w:color="F1F1F1"/>
            </w:tcBorders>
          </w:tcPr>
          <w:p>
            <w:pPr>
              <w:spacing w:after="0"/>
              <w:rPr>
                <w:sz w:val="15"/>
                <w:szCs w:val="15"/>
                <w:color w:val="auto"/>
              </w:rPr>
            </w:pPr>
          </w:p>
        </w:tc>
        <w:tc>
          <w:tcPr>
            <w:tcW w:w="1180" w:type="dxa"/>
            <w:vAlign w:val="bottom"/>
            <w:tcBorders>
              <w:bottom w:val="single" w:sz="8" w:color="000039"/>
            </w:tcBorders>
          </w:tcPr>
          <w:p>
            <w:pPr>
              <w:spacing w:after="0"/>
              <w:rPr>
                <w:sz w:val="15"/>
                <w:szCs w:val="15"/>
                <w:color w:val="auto"/>
              </w:rPr>
            </w:pPr>
          </w:p>
        </w:tc>
        <w:tc>
          <w:tcPr>
            <w:tcW w:w="220" w:type="dxa"/>
            <w:vAlign w:val="bottom"/>
            <w:tcBorders>
              <w:bottom w:val="single" w:sz="8" w:color="F1F1F1"/>
              <w:right w:val="single" w:sz="8" w:color="F1F1F1"/>
            </w:tcBorders>
            <w:shd w:val="clear" w:color="auto" w:fill="F1F1F1"/>
          </w:tcPr>
          <w:p>
            <w:pPr>
              <w:spacing w:after="0"/>
              <w:rPr>
                <w:sz w:val="15"/>
                <w:szCs w:val="15"/>
                <w:color w:val="auto"/>
              </w:rPr>
            </w:pPr>
          </w:p>
        </w:tc>
        <w:tc>
          <w:tcPr>
            <w:tcW w:w="1000" w:type="dxa"/>
            <w:vAlign w:val="bottom"/>
            <w:tcBorders>
              <w:bottom w:val="single" w:sz="8" w:color="000039"/>
            </w:tcBorders>
            <w:shd w:val="clear" w:color="auto" w:fill="F1F1F1"/>
          </w:tcPr>
          <w:p>
            <w:pPr>
              <w:spacing w:after="0"/>
              <w:rPr>
                <w:sz w:val="15"/>
                <w:szCs w:val="15"/>
                <w:color w:val="auto"/>
              </w:rPr>
            </w:pPr>
          </w:p>
        </w:tc>
        <w:tc>
          <w:tcPr>
            <w:tcW w:w="220" w:type="dxa"/>
            <w:vAlign w:val="bottom"/>
            <w:tcBorders>
              <w:bottom w:val="single" w:sz="8" w:color="F1F1F1"/>
              <w:right w:val="single" w:sz="8" w:color="F1F1F1"/>
            </w:tcBorders>
          </w:tcPr>
          <w:p>
            <w:pPr>
              <w:spacing w:after="0"/>
              <w:rPr>
                <w:sz w:val="15"/>
                <w:szCs w:val="15"/>
                <w:color w:val="auto"/>
              </w:rPr>
            </w:pPr>
          </w:p>
        </w:tc>
        <w:tc>
          <w:tcPr>
            <w:tcW w:w="1380" w:type="dxa"/>
            <w:vAlign w:val="bottom"/>
            <w:tcBorders>
              <w:bottom w:val="single" w:sz="8" w:color="000039"/>
            </w:tcBorders>
            <w:shd w:val="clear" w:color="auto" w:fill="F1F1F1"/>
          </w:tcPr>
          <w:p>
            <w:pPr>
              <w:spacing w:after="0"/>
              <w:rPr>
                <w:sz w:val="15"/>
                <w:szCs w:val="15"/>
                <w:color w:val="auto"/>
              </w:rPr>
            </w:pPr>
          </w:p>
        </w:tc>
        <w:tc>
          <w:tcPr>
            <w:tcW w:w="180" w:type="dxa"/>
            <w:vAlign w:val="bottom"/>
            <w:tcBorders>
              <w:bottom w:val="single" w:sz="8" w:color="F1F1F1"/>
            </w:tcBorders>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20" w:type="dxa"/>
            <w:vAlign w:val="bottom"/>
            <w:tcBorders>
              <w:right w:val="single" w:sz="8" w:color="000039"/>
            </w:tcBorders>
            <w:shd w:val="clear" w:color="auto" w:fill="F1F1F1"/>
          </w:tcPr>
          <w:p>
            <w:pPr>
              <w:spacing w:after="0"/>
              <w:rPr>
                <w:sz w:val="24"/>
                <w:szCs w:val="24"/>
                <w:color w:val="auto"/>
              </w:rPr>
            </w:pPr>
          </w:p>
        </w:tc>
        <w:tc>
          <w:tcPr>
            <w:tcW w:w="118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9"/>
              </w:rPr>
              <w:t>Base Salary</w:t>
            </w:r>
          </w:p>
        </w:tc>
        <w:tc>
          <w:tcPr>
            <w:tcW w:w="220" w:type="dxa"/>
            <w:vAlign w:val="bottom"/>
            <w:tcBorders>
              <w:right w:val="single" w:sz="8" w:color="000039"/>
            </w:tcBorders>
            <w:shd w:val="clear" w:color="auto" w:fill="F1F1F1"/>
          </w:tcPr>
          <w:p>
            <w:pPr>
              <w:spacing w:after="0"/>
              <w:rPr>
                <w:sz w:val="24"/>
                <w:szCs w:val="24"/>
                <w:color w:val="auto"/>
              </w:rPr>
            </w:pP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Fixed</w:t>
            </w:r>
          </w:p>
        </w:tc>
        <w:tc>
          <w:tcPr>
            <w:tcW w:w="220" w:type="dxa"/>
            <w:vAlign w:val="bottom"/>
            <w:tcBorders>
              <w:right w:val="single" w:sz="8" w:color="000039"/>
            </w:tcBorders>
            <w:shd w:val="clear" w:color="auto" w:fill="F1F1F1"/>
          </w:tcPr>
          <w:p>
            <w:pPr>
              <w:spacing w:after="0"/>
              <w:rPr>
                <w:sz w:val="24"/>
                <w:szCs w:val="24"/>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Attract &amp; retain</w:t>
            </w:r>
          </w:p>
        </w:tc>
        <w:tc>
          <w:tcPr>
            <w:tcW w:w="180" w:type="dxa"/>
            <w:vAlign w:val="bottom"/>
            <w:shd w:val="clear" w:color="auto" w:fill="F1F1F1"/>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20" w:type="dxa"/>
            <w:vAlign w:val="bottom"/>
            <w:tcBorders>
              <w:right w:val="single" w:sz="8" w:color="000039"/>
            </w:tcBorders>
            <w:shd w:val="clear" w:color="auto" w:fill="F1F1F1"/>
          </w:tcPr>
          <w:p>
            <w:pPr>
              <w:spacing w:after="0"/>
              <w:rPr>
                <w:sz w:val="13"/>
                <w:szCs w:val="13"/>
                <w:color w:val="auto"/>
              </w:rPr>
            </w:pPr>
          </w:p>
        </w:tc>
        <w:tc>
          <w:tcPr>
            <w:tcW w:w="1180" w:type="dxa"/>
            <w:vAlign w:val="bottom"/>
            <w:vMerge w:val="continue"/>
          </w:tcPr>
          <w:p>
            <w:pPr>
              <w:spacing w:after="0"/>
              <w:rPr>
                <w:sz w:val="13"/>
                <w:szCs w:val="13"/>
                <w:color w:val="auto"/>
              </w:rPr>
            </w:pPr>
          </w:p>
        </w:tc>
        <w:tc>
          <w:tcPr>
            <w:tcW w:w="220" w:type="dxa"/>
            <w:vAlign w:val="bottom"/>
            <w:tcBorders>
              <w:right w:val="single" w:sz="8" w:color="000039"/>
            </w:tcBorders>
            <w:shd w:val="clear" w:color="auto" w:fill="F1F1F1"/>
          </w:tcPr>
          <w:p>
            <w:pPr>
              <w:spacing w:after="0"/>
              <w:rPr>
                <w:sz w:val="13"/>
                <w:szCs w:val="13"/>
                <w:color w:val="auto"/>
              </w:rPr>
            </w:pPr>
          </w:p>
        </w:tc>
        <w:tc>
          <w:tcPr>
            <w:tcW w:w="1000" w:type="dxa"/>
            <w:vAlign w:val="bottom"/>
            <w:vMerge w:val="continue"/>
          </w:tcPr>
          <w:p>
            <w:pPr>
              <w:spacing w:after="0"/>
              <w:rPr>
                <w:sz w:val="13"/>
                <w:szCs w:val="13"/>
                <w:color w:val="auto"/>
              </w:rPr>
            </w:pPr>
          </w:p>
        </w:tc>
        <w:tc>
          <w:tcPr>
            <w:tcW w:w="220" w:type="dxa"/>
            <w:vAlign w:val="bottom"/>
            <w:tcBorders>
              <w:right w:val="single" w:sz="8" w:color="000039"/>
            </w:tcBorders>
            <w:shd w:val="clear" w:color="auto" w:fill="F1F1F1"/>
          </w:tcPr>
          <w:p>
            <w:pPr>
              <w:spacing w:after="0"/>
              <w:rPr>
                <w:sz w:val="13"/>
                <w:szCs w:val="13"/>
                <w:color w:val="auto"/>
              </w:rPr>
            </w:pPr>
          </w:p>
        </w:tc>
        <w:tc>
          <w:tcPr>
            <w:tcW w:w="1380" w:type="dxa"/>
            <w:vAlign w:val="bottom"/>
            <w:vMerge w:val="restart"/>
          </w:tcPr>
          <w:p>
            <w:pPr>
              <w:ind w:left="140"/>
              <w:spacing w:after="0"/>
              <w:rPr>
                <w:sz w:val="20"/>
                <w:szCs w:val="20"/>
                <w:color w:val="auto"/>
              </w:rPr>
            </w:pPr>
            <w:r>
              <w:rPr>
                <w:rFonts w:ascii="Arial" w:cs="Arial" w:eastAsia="Arial" w:hAnsi="Arial"/>
                <w:sz w:val="18"/>
                <w:szCs w:val="18"/>
                <w:color w:val="auto"/>
              </w:rPr>
              <w:t>top talent</w:t>
            </w:r>
          </w:p>
        </w:tc>
        <w:tc>
          <w:tcPr>
            <w:tcW w:w="180" w:type="dxa"/>
            <w:vAlign w:val="bottom"/>
            <w:shd w:val="clear" w:color="auto" w:fill="F1F1F1"/>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20" w:type="dxa"/>
            <w:vAlign w:val="bottom"/>
            <w:tcBorders>
              <w:right w:val="single" w:sz="8" w:color="000039"/>
            </w:tcBorders>
            <w:shd w:val="clear" w:color="auto" w:fill="F1F1F1"/>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Borders>
              <w:right w:val="single" w:sz="8" w:color="000039"/>
            </w:tcBorders>
            <w:shd w:val="clear" w:color="auto" w:fill="F1F1F1"/>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Borders>
              <w:right w:val="single" w:sz="8" w:color="000039"/>
            </w:tcBorders>
            <w:shd w:val="clear" w:color="auto" w:fill="F1F1F1"/>
          </w:tcPr>
          <w:p>
            <w:pPr>
              <w:spacing w:after="0"/>
              <w:rPr>
                <w:sz w:val="8"/>
                <w:szCs w:val="8"/>
                <w:color w:val="auto"/>
              </w:rPr>
            </w:pPr>
          </w:p>
        </w:tc>
        <w:tc>
          <w:tcPr>
            <w:tcW w:w="1380" w:type="dxa"/>
            <w:vAlign w:val="bottom"/>
            <w:vMerge w:val="continue"/>
          </w:tcPr>
          <w:p>
            <w:pPr>
              <w:spacing w:after="0"/>
              <w:rPr>
                <w:sz w:val="8"/>
                <w:szCs w:val="8"/>
                <w:color w:val="auto"/>
              </w:rPr>
            </w:pPr>
          </w:p>
        </w:tc>
        <w:tc>
          <w:tcPr>
            <w:tcW w:w="180" w:type="dxa"/>
            <w:vAlign w:val="bottom"/>
            <w:shd w:val="clear" w:color="auto" w:fill="F1F1F1"/>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20" w:type="dxa"/>
            <w:vAlign w:val="bottom"/>
            <w:tcBorders>
              <w:right w:val="single" w:sz="8" w:color="000039"/>
            </w:tcBorders>
            <w:shd w:val="clear" w:color="auto" w:fill="F1F1F1"/>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Borders>
              <w:right w:val="single" w:sz="8" w:color="000039"/>
            </w:tcBorders>
            <w:shd w:val="clear" w:color="auto" w:fill="F1F1F1"/>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Borders>
              <w:right w:val="single" w:sz="8" w:color="000039"/>
            </w:tcBorders>
            <w:shd w:val="clear" w:color="auto" w:fill="F1F1F1"/>
          </w:tcPr>
          <w:p>
            <w:pPr>
              <w:spacing w:after="0"/>
              <w:rPr>
                <w:sz w:val="7"/>
                <w:szCs w:val="7"/>
                <w:color w:val="auto"/>
              </w:rPr>
            </w:pPr>
          </w:p>
        </w:tc>
        <w:tc>
          <w:tcPr>
            <w:tcW w:w="1380" w:type="dxa"/>
            <w:vAlign w:val="bottom"/>
          </w:tcPr>
          <w:p>
            <w:pPr>
              <w:spacing w:after="0"/>
              <w:rPr>
                <w:sz w:val="7"/>
                <w:szCs w:val="7"/>
                <w:color w:val="auto"/>
              </w:rPr>
            </w:pPr>
          </w:p>
        </w:tc>
        <w:tc>
          <w:tcPr>
            <w:tcW w:w="18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Borders>
              <w:bottom w:val="single" w:sz="8" w:color="F1F1F1"/>
            </w:tcBorders>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2787650</wp:posOffset>
                </wp:positionH>
                <wp:positionV relativeFrom="paragraph">
                  <wp:posOffset>-577850</wp:posOffset>
                </wp:positionV>
                <wp:extent cx="349123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123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5pt,-45.4999pt" to="494.4pt,-45.49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2797175</wp:posOffset>
                </wp:positionH>
                <wp:positionV relativeFrom="paragraph">
                  <wp:posOffset>-587375</wp:posOffset>
                </wp:positionV>
                <wp:extent cx="0" cy="45212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212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25pt,-46.2499pt" to="220.25pt,-10.64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116205" cy="97663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205" cy="976630"/>
                        </a:xfrm>
                        <a:prstGeom prst="rect">
                          <a:avLst/>
                        </a:prstGeom>
                        <a:solidFill>
                          <a:srgbClr val="F1F1F1"/>
                        </a:solidFill>
                      </wps:spPr>
                      <wps:bodyPr/>
                    </wps:wsp>
                  </a:graphicData>
                </a:graphic>
              </wp:anchor>
            </w:drawing>
          </mc:Choice>
          <mc:Fallback>
            <w:pict>
              <v:rect id="Shape 301" o:spid="_x0000_s1326" style="position:absolute;margin-left:0pt;margin-top:-1.4999pt;width:9.15pt;height:7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1659255</wp:posOffset>
                </wp:positionH>
                <wp:positionV relativeFrom="paragraph">
                  <wp:posOffset>-19050</wp:posOffset>
                </wp:positionV>
                <wp:extent cx="118745" cy="97663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 cy="976630"/>
                        </a:xfrm>
                        <a:prstGeom prst="rect">
                          <a:avLst/>
                        </a:prstGeom>
                        <a:solidFill>
                          <a:srgbClr val="F1F1F1"/>
                        </a:solidFill>
                      </wps:spPr>
                      <wps:bodyPr/>
                    </wps:wsp>
                  </a:graphicData>
                </a:graphic>
              </wp:anchor>
            </w:drawing>
          </mc:Choice>
          <mc:Fallback>
            <w:pict>
              <v:rect id="Shape 302" o:spid="_x0000_s1327" style="position:absolute;margin-left:130.65pt;margin-top:-1.4999pt;width:9.35pt;height:7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2682875</wp:posOffset>
                </wp:positionH>
                <wp:positionV relativeFrom="paragraph">
                  <wp:posOffset>-19050</wp:posOffset>
                </wp:positionV>
                <wp:extent cx="104775" cy="97663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976630"/>
                        </a:xfrm>
                        <a:prstGeom prst="rect">
                          <a:avLst/>
                        </a:prstGeom>
                        <a:solidFill>
                          <a:srgbClr val="F1F1F1"/>
                        </a:solidFill>
                      </wps:spPr>
                      <wps:bodyPr/>
                    </wps:wsp>
                  </a:graphicData>
                </a:graphic>
              </wp:anchor>
            </w:drawing>
          </mc:Choice>
          <mc:Fallback>
            <w:pict>
              <v:rect id="Shape 303" o:spid="_x0000_s1328" style="position:absolute;margin-left:211.25pt;margin-top:-1.4999pt;width:8.25pt;height:7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2787650</wp:posOffset>
                </wp:positionH>
                <wp:positionV relativeFrom="paragraph">
                  <wp:posOffset>-9525</wp:posOffset>
                </wp:positionV>
                <wp:extent cx="349123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123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5pt,-0.7499pt" to="494.4pt,-0.74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116205</wp:posOffset>
                </wp:positionH>
                <wp:positionV relativeFrom="paragraph">
                  <wp:posOffset>-9525</wp:posOffset>
                </wp:positionV>
                <wp:extent cx="77660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0.7499pt" to="70.3pt,-0.74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125730</wp:posOffset>
                </wp:positionH>
                <wp:positionV relativeFrom="paragraph">
                  <wp:posOffset>-19050</wp:posOffset>
                </wp:positionV>
                <wp:extent cx="0" cy="97663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pt,-1.4999pt" to="9.9pt,75.4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892810</wp:posOffset>
                </wp:positionH>
                <wp:positionV relativeFrom="paragraph">
                  <wp:posOffset>0</wp:posOffset>
                </wp:positionV>
                <wp:extent cx="118745" cy="95758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 cy="957580"/>
                        </a:xfrm>
                        <a:prstGeom prst="rect">
                          <a:avLst/>
                        </a:prstGeom>
                        <a:solidFill>
                          <a:srgbClr val="F1F1F1"/>
                        </a:solidFill>
                      </wps:spPr>
                      <wps:bodyPr/>
                    </wps:wsp>
                  </a:graphicData>
                </a:graphic>
              </wp:anchor>
            </w:drawing>
          </mc:Choice>
          <mc:Fallback>
            <w:pict>
              <v:rect id="Shape 307" o:spid="_x0000_s1332" style="position:absolute;margin-left:70.3pt;margin-top:0pt;width:9.35pt;height:75.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1010920</wp:posOffset>
                </wp:positionH>
                <wp:positionV relativeFrom="paragraph">
                  <wp:posOffset>-9525</wp:posOffset>
                </wp:positionV>
                <wp:extent cx="648335"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6pt,-0.7499pt" to="130.65pt,-0.74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1020445</wp:posOffset>
                </wp:positionH>
                <wp:positionV relativeFrom="paragraph">
                  <wp:posOffset>-19050</wp:posOffset>
                </wp:positionV>
                <wp:extent cx="0" cy="97663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35pt,-1.4999pt" to="80.35pt,75.4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1778000</wp:posOffset>
                </wp:positionH>
                <wp:positionV relativeFrom="paragraph">
                  <wp:posOffset>-9525</wp:posOffset>
                </wp:positionV>
                <wp:extent cx="90487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87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pt,-0.7499pt" to="211.25pt,-0.74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1787525</wp:posOffset>
                </wp:positionH>
                <wp:positionV relativeFrom="paragraph">
                  <wp:posOffset>-19050</wp:posOffset>
                </wp:positionV>
                <wp:extent cx="0" cy="97663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75pt,-1.4999pt" to="140.75pt,75.4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2797175</wp:posOffset>
                </wp:positionH>
                <wp:positionV relativeFrom="paragraph">
                  <wp:posOffset>-19050</wp:posOffset>
                </wp:positionV>
                <wp:extent cx="0" cy="97663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25pt,-1.4999pt" to="220.25pt,75.4pt" o:allowincell="f" strokecolor="#000039" strokeweight="1.5pt"/>
            </w:pict>
          </mc:Fallback>
        </mc:AlternateContent>
      </w:r>
    </w:p>
    <w:p>
      <w:pPr>
        <w:spacing w:after="0" w:line="22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Encourage</w:t>
      </w:r>
    </w:p>
    <w:p>
      <w:pPr>
        <w:ind w:left="360"/>
        <w:spacing w:after="0"/>
        <w:tabs>
          <w:tab w:leader="none" w:pos="2960" w:val="left"/>
        </w:tabs>
        <w:rPr>
          <w:sz w:val="20"/>
          <w:szCs w:val="20"/>
          <w:color w:val="auto"/>
        </w:rPr>
      </w:pPr>
      <w:r>
        <w:rPr>
          <w:rFonts w:ascii="Arial" w:cs="Arial" w:eastAsia="Arial" w:hAnsi="Arial"/>
          <w:sz w:val="26"/>
          <w:szCs w:val="26"/>
          <w:b w:val="1"/>
          <w:bCs w:val="1"/>
          <w:color w:val="auto"/>
          <w:vertAlign w:val="subscript"/>
        </w:rPr>
        <w:t>Short-Term</w:t>
      </w:r>
      <w:r>
        <w:rPr>
          <w:sz w:val="20"/>
          <w:szCs w:val="20"/>
          <w:color w:val="auto"/>
        </w:rPr>
        <w:tab/>
      </w:r>
      <w:r>
        <w:rPr>
          <w:rFonts w:ascii="Arial" w:cs="Arial" w:eastAsia="Arial" w:hAnsi="Arial"/>
          <w:sz w:val="17"/>
          <w:szCs w:val="17"/>
          <w:color w:val="auto"/>
        </w:rPr>
        <w:t>achievement of</w:t>
      </w:r>
    </w:p>
    <w:p>
      <w:pPr>
        <w:spacing w:after="0" w:line="1" w:lineRule="exact"/>
        <w:rPr>
          <w:sz w:val="20"/>
          <w:szCs w:val="20"/>
          <w:color w:val="auto"/>
        </w:rPr>
      </w:pPr>
    </w:p>
    <w:p>
      <w:pPr>
        <w:ind w:left="1760" w:right="560" w:hanging="2616"/>
        <w:spacing w:after="0"/>
        <w:tabs>
          <w:tab w:leader="none" w:pos="1740" w:val="left"/>
        </w:tabs>
        <w:rPr>
          <w:sz w:val="20"/>
          <w:szCs w:val="20"/>
          <w:color w:val="auto"/>
        </w:rPr>
      </w:pPr>
      <w:r>
        <w:rPr>
          <w:rFonts w:ascii="Arial" w:cs="Arial" w:eastAsia="Arial" w:hAnsi="Arial"/>
          <w:sz w:val="36"/>
          <w:szCs w:val="36"/>
          <w:b w:val="1"/>
          <w:bCs w:val="1"/>
          <w:color w:val="auto"/>
          <w:vertAlign w:val="subscript"/>
        </w:rPr>
        <w:t>Incentives</w:t>
      </w:r>
      <w:r>
        <w:rPr>
          <w:sz w:val="20"/>
          <w:szCs w:val="20"/>
          <w:color w:val="auto"/>
        </w:rPr>
        <w:tab/>
      </w:r>
      <w:r>
        <w:rPr>
          <w:rFonts w:ascii="Arial" w:cs="Arial" w:eastAsia="Arial" w:hAnsi="Arial"/>
          <w:sz w:val="18"/>
          <w:szCs w:val="18"/>
          <w:color w:val="auto"/>
        </w:rPr>
        <w:t>At-Risk company’s primary</w:t>
      </w:r>
    </w:p>
    <w:p>
      <w:pPr>
        <w:ind w:left="2980"/>
        <w:spacing w:after="0"/>
        <w:rPr>
          <w:sz w:val="20"/>
          <w:szCs w:val="20"/>
          <w:color w:val="auto"/>
        </w:rPr>
      </w:pPr>
      <w:r>
        <w:rPr>
          <w:rFonts w:ascii="Arial" w:cs="Arial" w:eastAsia="Arial" w:hAnsi="Arial"/>
          <w:sz w:val="18"/>
          <w:szCs w:val="18"/>
          <w:color w:val="auto"/>
        </w:rPr>
        <w:t>business goals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2787650</wp:posOffset>
                </wp:positionH>
                <wp:positionV relativeFrom="paragraph">
                  <wp:posOffset>254635</wp:posOffset>
                </wp:positionV>
                <wp:extent cx="349123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123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5pt,20.05pt" to="494.4pt,20.0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2797175</wp:posOffset>
                </wp:positionH>
                <wp:positionV relativeFrom="paragraph">
                  <wp:posOffset>245110</wp:posOffset>
                </wp:positionV>
                <wp:extent cx="0" cy="58293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293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25pt,19.3pt" to="220.25pt,65.2pt" o:allowincell="f" strokecolor="#000039" strokeweight="1.5pt"/>
            </w:pict>
          </mc:Fallback>
        </mc:AlternateConten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381"/>
        </w:trPr>
        <w:tc>
          <w:tcPr>
            <w:tcW w:w="220" w:type="dxa"/>
            <w:vAlign w:val="bottom"/>
            <w:tcBorders>
              <w:top w:val="single" w:sz="8" w:color="F1F1F1"/>
              <w:right w:val="single" w:sz="8" w:color="000039"/>
            </w:tcBorders>
            <w:shd w:val="clear" w:color="auto" w:fill="F1F1F1"/>
          </w:tcPr>
          <w:p>
            <w:pPr>
              <w:spacing w:after="0"/>
              <w:rPr>
                <w:sz w:val="24"/>
                <w:szCs w:val="24"/>
                <w:color w:val="auto"/>
              </w:rPr>
            </w:pPr>
          </w:p>
        </w:tc>
        <w:tc>
          <w:tcPr>
            <w:tcW w:w="1180" w:type="dxa"/>
            <w:vAlign w:val="bottom"/>
            <w:tcBorders>
              <w:top w:val="single" w:sz="8" w:color="000039"/>
            </w:tcBorders>
            <w:vMerge w:val="restart"/>
          </w:tcPr>
          <w:p>
            <w:pPr>
              <w:ind w:left="140"/>
              <w:spacing w:after="0"/>
              <w:rPr>
                <w:sz w:val="20"/>
                <w:szCs w:val="20"/>
                <w:color w:val="auto"/>
              </w:rPr>
            </w:pPr>
            <w:r>
              <w:rPr>
                <w:rFonts w:ascii="Arial" w:cs="Arial" w:eastAsia="Arial" w:hAnsi="Arial"/>
                <w:sz w:val="18"/>
                <w:szCs w:val="18"/>
                <w:b w:val="1"/>
                <w:bCs w:val="1"/>
                <w:color w:val="auto"/>
              </w:rPr>
              <w:t>Long-Term</w:t>
            </w:r>
          </w:p>
        </w:tc>
        <w:tc>
          <w:tcPr>
            <w:tcW w:w="220" w:type="dxa"/>
            <w:vAlign w:val="bottom"/>
            <w:tcBorders>
              <w:top w:val="single" w:sz="8" w:color="F1F1F1"/>
              <w:right w:val="single" w:sz="8" w:color="000039"/>
            </w:tcBorders>
            <w:shd w:val="clear" w:color="auto" w:fill="F1F1F1"/>
          </w:tcPr>
          <w:p>
            <w:pPr>
              <w:spacing w:after="0"/>
              <w:rPr>
                <w:sz w:val="24"/>
                <w:szCs w:val="24"/>
                <w:color w:val="auto"/>
              </w:rPr>
            </w:pPr>
          </w:p>
        </w:tc>
        <w:tc>
          <w:tcPr>
            <w:tcW w:w="1000" w:type="dxa"/>
            <w:vAlign w:val="bottom"/>
            <w:tcBorders>
              <w:top w:val="single" w:sz="8" w:color="000039"/>
            </w:tcBorders>
          </w:tcPr>
          <w:p>
            <w:pPr>
              <w:spacing w:after="0"/>
              <w:rPr>
                <w:sz w:val="24"/>
                <w:szCs w:val="24"/>
                <w:color w:val="auto"/>
              </w:rPr>
            </w:pPr>
          </w:p>
        </w:tc>
        <w:tc>
          <w:tcPr>
            <w:tcW w:w="220" w:type="dxa"/>
            <w:vAlign w:val="bottom"/>
            <w:tcBorders>
              <w:top w:val="single" w:sz="8" w:color="F1F1F1"/>
              <w:right w:val="single" w:sz="8" w:color="000039"/>
            </w:tcBorders>
            <w:shd w:val="clear" w:color="auto" w:fill="F1F1F1"/>
          </w:tcPr>
          <w:p>
            <w:pPr>
              <w:spacing w:after="0"/>
              <w:rPr>
                <w:sz w:val="24"/>
                <w:szCs w:val="24"/>
                <w:color w:val="auto"/>
              </w:rPr>
            </w:pPr>
          </w:p>
        </w:tc>
        <w:tc>
          <w:tcPr>
            <w:tcW w:w="1380" w:type="dxa"/>
            <w:vAlign w:val="bottom"/>
            <w:tcBorders>
              <w:top w:val="single" w:sz="8" w:color="000039"/>
            </w:tcBorders>
          </w:tcPr>
          <w:p>
            <w:pPr>
              <w:ind w:left="140"/>
              <w:spacing w:after="0"/>
              <w:rPr>
                <w:sz w:val="20"/>
                <w:szCs w:val="20"/>
                <w:color w:val="auto"/>
              </w:rPr>
            </w:pPr>
            <w:r>
              <w:rPr>
                <w:rFonts w:ascii="Arial" w:cs="Arial" w:eastAsia="Arial" w:hAnsi="Arial"/>
                <w:sz w:val="18"/>
                <w:szCs w:val="18"/>
                <w:color w:val="auto"/>
              </w:rPr>
              <w:t>Align NEO</w:t>
            </w:r>
          </w:p>
        </w:tc>
        <w:tc>
          <w:tcPr>
            <w:tcW w:w="180" w:type="dxa"/>
            <w:vAlign w:val="bottom"/>
            <w:tcBorders>
              <w:top w:val="single" w:sz="8" w:color="F1F1F1"/>
            </w:tcBorders>
            <w:shd w:val="clear" w:color="auto" w:fill="F1F1F1"/>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0" w:type="dxa"/>
            <w:vAlign w:val="bottom"/>
            <w:tcBorders>
              <w:right w:val="single" w:sz="8" w:color="000039"/>
            </w:tcBorders>
            <w:shd w:val="clear" w:color="auto" w:fill="F1F1F1"/>
          </w:tcPr>
          <w:p>
            <w:pPr>
              <w:spacing w:after="0"/>
              <w:rPr>
                <w:sz w:val="8"/>
                <w:szCs w:val="8"/>
                <w:color w:val="auto"/>
              </w:rPr>
            </w:pPr>
          </w:p>
        </w:tc>
        <w:tc>
          <w:tcPr>
            <w:tcW w:w="1180" w:type="dxa"/>
            <w:vAlign w:val="bottom"/>
            <w:vMerge w:val="continue"/>
          </w:tcPr>
          <w:p>
            <w:pPr>
              <w:spacing w:after="0"/>
              <w:rPr>
                <w:sz w:val="8"/>
                <w:szCs w:val="8"/>
                <w:color w:val="auto"/>
              </w:rPr>
            </w:pPr>
          </w:p>
        </w:tc>
        <w:tc>
          <w:tcPr>
            <w:tcW w:w="220" w:type="dxa"/>
            <w:vAlign w:val="bottom"/>
            <w:tcBorders>
              <w:right w:val="single" w:sz="8" w:color="000039"/>
            </w:tcBorders>
            <w:shd w:val="clear" w:color="auto" w:fill="F1F1F1"/>
          </w:tcPr>
          <w:p>
            <w:pPr>
              <w:spacing w:after="0"/>
              <w:rPr>
                <w:sz w:val="8"/>
                <w:szCs w:val="8"/>
                <w:color w:val="auto"/>
              </w:rPr>
            </w:pP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At-Risk</w:t>
            </w:r>
          </w:p>
        </w:tc>
        <w:tc>
          <w:tcPr>
            <w:tcW w:w="220" w:type="dxa"/>
            <w:vAlign w:val="bottom"/>
            <w:tcBorders>
              <w:right w:val="single" w:sz="8" w:color="000039"/>
            </w:tcBorders>
            <w:shd w:val="clear" w:color="auto" w:fill="F1F1F1"/>
          </w:tcPr>
          <w:p>
            <w:pPr>
              <w:spacing w:after="0"/>
              <w:rPr>
                <w:sz w:val="8"/>
                <w:szCs w:val="8"/>
                <w:color w:val="auto"/>
              </w:rPr>
            </w:pPr>
          </w:p>
        </w:tc>
        <w:tc>
          <w:tcPr>
            <w:tcW w:w="1380" w:type="dxa"/>
            <w:vAlign w:val="bottom"/>
            <w:vMerge w:val="restart"/>
          </w:tcPr>
          <w:p>
            <w:pPr>
              <w:ind w:left="140"/>
              <w:spacing w:after="0"/>
              <w:rPr>
                <w:sz w:val="20"/>
                <w:szCs w:val="20"/>
                <w:color w:val="auto"/>
              </w:rPr>
            </w:pPr>
            <w:r>
              <w:rPr>
                <w:rFonts w:ascii="Arial" w:cs="Arial" w:eastAsia="Arial" w:hAnsi="Arial"/>
                <w:sz w:val="18"/>
                <w:szCs w:val="18"/>
                <w:color w:val="auto"/>
              </w:rPr>
              <w:t>interests with</w:t>
            </w:r>
          </w:p>
        </w:tc>
        <w:tc>
          <w:tcPr>
            <w:tcW w:w="180" w:type="dxa"/>
            <w:vAlign w:val="bottom"/>
            <w:shd w:val="clear" w:color="auto" w:fill="F1F1F1"/>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20" w:type="dxa"/>
            <w:vAlign w:val="bottom"/>
            <w:tcBorders>
              <w:right w:val="single" w:sz="8" w:color="000039"/>
            </w:tcBorders>
            <w:shd w:val="clear" w:color="auto" w:fill="F1F1F1"/>
          </w:tcPr>
          <w:p>
            <w:pPr>
              <w:spacing w:after="0"/>
              <w:rPr>
                <w:sz w:val="9"/>
                <w:szCs w:val="9"/>
                <w:color w:val="auto"/>
              </w:rPr>
            </w:pPr>
          </w:p>
        </w:tc>
        <w:tc>
          <w:tcPr>
            <w:tcW w:w="11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Incentives</w:t>
            </w:r>
          </w:p>
        </w:tc>
        <w:tc>
          <w:tcPr>
            <w:tcW w:w="220" w:type="dxa"/>
            <w:vAlign w:val="bottom"/>
            <w:tcBorders>
              <w:right w:val="single" w:sz="8" w:color="000039"/>
            </w:tcBorders>
            <w:shd w:val="clear" w:color="auto" w:fill="F1F1F1"/>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tcBorders>
              <w:right w:val="single" w:sz="8" w:color="000039"/>
            </w:tcBorders>
            <w:shd w:val="clear" w:color="auto" w:fill="F1F1F1"/>
          </w:tcPr>
          <w:p>
            <w:pPr>
              <w:spacing w:after="0"/>
              <w:rPr>
                <w:sz w:val="9"/>
                <w:szCs w:val="9"/>
                <w:color w:val="auto"/>
              </w:rPr>
            </w:pPr>
          </w:p>
        </w:tc>
        <w:tc>
          <w:tcPr>
            <w:tcW w:w="1380" w:type="dxa"/>
            <w:vAlign w:val="bottom"/>
            <w:vMerge w:val="continue"/>
          </w:tcPr>
          <w:p>
            <w:pPr>
              <w:spacing w:after="0"/>
              <w:rPr>
                <w:sz w:val="9"/>
                <w:szCs w:val="9"/>
                <w:color w:val="auto"/>
              </w:rPr>
            </w:pPr>
          </w:p>
        </w:tc>
        <w:tc>
          <w:tcPr>
            <w:tcW w:w="180" w:type="dxa"/>
            <w:vAlign w:val="bottom"/>
            <w:shd w:val="clear" w:color="auto" w:fill="F1F1F1"/>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20" w:type="dxa"/>
            <w:vAlign w:val="bottom"/>
            <w:tcBorders>
              <w:right w:val="single" w:sz="8" w:color="000039"/>
            </w:tcBorders>
            <w:shd w:val="clear" w:color="auto" w:fill="F1F1F1"/>
          </w:tcPr>
          <w:p>
            <w:pPr>
              <w:spacing w:after="0"/>
              <w:rPr>
                <w:sz w:val="13"/>
                <w:szCs w:val="13"/>
                <w:color w:val="auto"/>
              </w:rPr>
            </w:pPr>
          </w:p>
        </w:tc>
        <w:tc>
          <w:tcPr>
            <w:tcW w:w="1180" w:type="dxa"/>
            <w:vAlign w:val="bottom"/>
            <w:vMerge w:val="continue"/>
          </w:tcPr>
          <w:p>
            <w:pPr>
              <w:spacing w:after="0"/>
              <w:rPr>
                <w:sz w:val="13"/>
                <w:szCs w:val="13"/>
                <w:color w:val="auto"/>
              </w:rPr>
            </w:pPr>
          </w:p>
        </w:tc>
        <w:tc>
          <w:tcPr>
            <w:tcW w:w="220" w:type="dxa"/>
            <w:vAlign w:val="bottom"/>
            <w:tcBorders>
              <w:right w:val="single" w:sz="8" w:color="000039"/>
            </w:tcBorders>
            <w:shd w:val="clear" w:color="auto" w:fill="F1F1F1"/>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Borders>
              <w:right w:val="single" w:sz="8" w:color="000039"/>
            </w:tcBorders>
            <w:shd w:val="clear" w:color="auto" w:fill="F1F1F1"/>
          </w:tcPr>
          <w:p>
            <w:pPr>
              <w:spacing w:after="0"/>
              <w:rPr>
                <w:sz w:val="13"/>
                <w:szCs w:val="13"/>
                <w:color w:val="auto"/>
              </w:rPr>
            </w:pPr>
          </w:p>
        </w:tc>
        <w:tc>
          <w:tcPr>
            <w:tcW w:w="1380" w:type="dxa"/>
            <w:vAlign w:val="bottom"/>
            <w:vMerge w:val="restart"/>
          </w:tcPr>
          <w:p>
            <w:pPr>
              <w:ind w:left="140"/>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F1F1F1"/>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20" w:type="dxa"/>
            <w:vAlign w:val="bottom"/>
            <w:tcBorders>
              <w:right w:val="single" w:sz="8" w:color="000039"/>
            </w:tcBorders>
            <w:shd w:val="clear" w:color="auto" w:fill="F1F1F1"/>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Borders>
              <w:right w:val="single" w:sz="8" w:color="000039"/>
            </w:tcBorders>
            <w:shd w:val="clear" w:color="auto" w:fill="F1F1F1"/>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Borders>
              <w:right w:val="single" w:sz="8" w:color="000039"/>
            </w:tcBorders>
            <w:shd w:val="clear" w:color="auto" w:fill="F1F1F1"/>
          </w:tcPr>
          <w:p>
            <w:pPr>
              <w:spacing w:after="0"/>
              <w:rPr>
                <w:sz w:val="8"/>
                <w:szCs w:val="8"/>
                <w:color w:val="auto"/>
              </w:rPr>
            </w:pPr>
          </w:p>
        </w:tc>
        <w:tc>
          <w:tcPr>
            <w:tcW w:w="1380" w:type="dxa"/>
            <w:vAlign w:val="bottom"/>
            <w:vMerge w:val="continue"/>
          </w:tcPr>
          <w:p>
            <w:pPr>
              <w:spacing w:after="0"/>
              <w:rPr>
                <w:sz w:val="8"/>
                <w:szCs w:val="8"/>
                <w:color w:val="auto"/>
              </w:rPr>
            </w:pPr>
          </w:p>
        </w:tc>
        <w:tc>
          <w:tcPr>
            <w:tcW w:w="180" w:type="dxa"/>
            <w:vAlign w:val="bottom"/>
            <w:shd w:val="clear" w:color="auto" w:fill="F1F1F1"/>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20" w:type="dxa"/>
            <w:vAlign w:val="bottom"/>
            <w:tcBorders>
              <w:right w:val="single" w:sz="8" w:color="000039"/>
            </w:tcBorders>
            <w:shd w:val="clear" w:color="auto" w:fill="F1F1F1"/>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Borders>
              <w:right w:val="single" w:sz="8" w:color="000039"/>
            </w:tcBorders>
            <w:shd w:val="clear" w:color="auto" w:fill="F1F1F1"/>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Borders>
              <w:right w:val="single" w:sz="8" w:color="000039"/>
            </w:tcBorders>
            <w:shd w:val="clear" w:color="auto" w:fill="F1F1F1"/>
          </w:tcPr>
          <w:p>
            <w:pPr>
              <w:spacing w:after="0"/>
              <w:rPr>
                <w:sz w:val="7"/>
                <w:szCs w:val="7"/>
                <w:color w:val="auto"/>
              </w:rPr>
            </w:pPr>
          </w:p>
        </w:tc>
        <w:tc>
          <w:tcPr>
            <w:tcW w:w="1380" w:type="dxa"/>
            <w:vAlign w:val="bottom"/>
          </w:tcPr>
          <w:p>
            <w:pPr>
              <w:spacing w:after="0"/>
              <w:rPr>
                <w:sz w:val="7"/>
                <w:szCs w:val="7"/>
                <w:color w:val="auto"/>
              </w:rPr>
            </w:pPr>
          </w:p>
        </w:tc>
        <w:tc>
          <w:tcPr>
            <w:tcW w:w="18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Characteristics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-97155</wp:posOffset>
                </wp:positionH>
                <wp:positionV relativeFrom="paragraph">
                  <wp:posOffset>-168910</wp:posOffset>
                </wp:positionV>
                <wp:extent cx="3480435" cy="300355"/>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0435" cy="300355"/>
                        </a:xfrm>
                        <a:prstGeom prst="rect">
                          <a:avLst/>
                        </a:prstGeom>
                        <a:solidFill>
                          <a:srgbClr val="F1F1F1"/>
                        </a:solidFill>
                      </wps:spPr>
                      <wps:bodyPr/>
                    </wps:wsp>
                  </a:graphicData>
                </a:graphic>
              </wp:anchor>
            </w:drawing>
          </mc:Choice>
          <mc:Fallback>
            <w:pict>
              <v:rect id="Shape 315" o:spid="_x0000_s1340" style="position:absolute;margin-left:-7.6499pt;margin-top:-13.2999pt;width:274.05pt;height:2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25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Individual salaries are established relative to market median based on each NEO’s individual performance, skills, experience, and internal equity, as well as the company’s annual operating budget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-2895600</wp:posOffset>
                </wp:positionH>
                <wp:positionV relativeFrom="paragraph">
                  <wp:posOffset>-23495</wp:posOffset>
                </wp:positionV>
                <wp:extent cx="6278880" cy="116205"/>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8880" cy="116205"/>
                        </a:xfrm>
                        <a:prstGeom prst="rect">
                          <a:avLst/>
                        </a:prstGeom>
                        <a:solidFill>
                          <a:srgbClr val="F1F1F1"/>
                        </a:solidFill>
                      </wps:spPr>
                      <wps:bodyPr/>
                    </wps:wsp>
                  </a:graphicData>
                </a:graphic>
              </wp:anchor>
            </w:drawing>
          </mc:Choice>
          <mc:Fallback>
            <w:pict>
              <v:rect id="Shape 316" o:spid="_x0000_s1341" style="position:absolute;margin-left:-228pt;margin-top:-1.8499pt;width:494.4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Plan utilizes non-GAAP financial goals as well as an assessment of individual performance against strategic objectives: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Platform revenue</w:t>
      </w:r>
    </w:p>
    <w:p>
      <w:pPr>
        <w:spacing w:after="0"/>
        <w:rPr>
          <w:sz w:val="20"/>
          <w:szCs w:val="20"/>
          <w:color w:val="auto"/>
        </w:rPr>
      </w:pPr>
      <w:r>
        <w:rPr>
          <w:rFonts w:ascii="Arial" w:cs="Arial" w:eastAsia="Arial" w:hAnsi="Arial"/>
          <w:sz w:val="18"/>
          <w:szCs w:val="18"/>
          <w:color w:val="auto"/>
        </w:rPr>
        <w:t>— Income before taxes</w:t>
      </w:r>
    </w:p>
    <w:p>
      <w:pPr>
        <w:spacing w:after="0"/>
        <w:rPr>
          <w:sz w:val="20"/>
          <w:szCs w:val="20"/>
          <w:color w:val="auto"/>
        </w:rPr>
      </w:pPr>
      <w:r>
        <w:rPr>
          <w:rFonts w:ascii="Arial" w:cs="Arial" w:eastAsia="Arial" w:hAnsi="Arial"/>
          <w:sz w:val="18"/>
          <w:szCs w:val="18"/>
          <w:color w:val="auto"/>
        </w:rPr>
        <w:t>— Operating margin</w:t>
      </w:r>
    </w:p>
    <w:p>
      <w:pPr>
        <w:spacing w:after="0"/>
        <w:rPr>
          <w:sz w:val="20"/>
          <w:szCs w:val="20"/>
          <w:color w:val="auto"/>
        </w:rPr>
      </w:pPr>
      <w:r>
        <w:rPr>
          <w:rFonts w:ascii="Arial" w:cs="Arial" w:eastAsia="Arial" w:hAnsi="Arial"/>
          <w:sz w:val="18"/>
          <w:szCs w:val="18"/>
          <w:color w:val="auto"/>
        </w:rPr>
        <w:t>— Return on assets</w:t>
      </w:r>
    </w:p>
    <w:p>
      <w:pPr>
        <w:spacing w:after="0"/>
        <w:rPr>
          <w:sz w:val="20"/>
          <w:szCs w:val="20"/>
          <w:color w:val="auto"/>
        </w:rPr>
      </w:pPr>
      <w:r>
        <w:rPr>
          <w:rFonts w:ascii="Arial" w:cs="Arial" w:eastAsia="Arial" w:hAnsi="Arial"/>
          <w:sz w:val="18"/>
          <w:szCs w:val="18"/>
          <w:color w:val="auto"/>
        </w:rPr>
        <w:t>— Strategic and leadership goals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-2895600</wp:posOffset>
                </wp:positionH>
                <wp:positionV relativeFrom="paragraph">
                  <wp:posOffset>-3175</wp:posOffset>
                </wp:positionV>
                <wp:extent cx="6278880" cy="11684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8880" cy="116840"/>
                        </a:xfrm>
                        <a:prstGeom prst="rect">
                          <a:avLst/>
                        </a:prstGeom>
                        <a:solidFill>
                          <a:srgbClr val="F1F1F1"/>
                        </a:solidFill>
                      </wps:spPr>
                      <wps:bodyPr/>
                    </wps:wsp>
                  </a:graphicData>
                </a:graphic>
              </wp:anchor>
            </w:drawing>
          </mc:Choice>
          <mc:Fallback>
            <w:pict>
              <v:rect id="Shape 317" o:spid="_x0000_s1342" style="position:absolute;margin-left:-228pt;margin-top:-0.2499pt;width:494.4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annual awards are granted in the form of:</w:t>
      </w:r>
    </w:p>
    <w:p>
      <w:pPr>
        <w:spacing w:after="0" w:line="23"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 Performance shares and performance-vested restricted stock units (80% of NEO’s LTI award)</w:t>
      </w:r>
    </w:p>
    <w:p>
      <w:pPr>
        <w:spacing w:after="0"/>
        <w:rPr>
          <w:sz w:val="20"/>
          <w:szCs w:val="20"/>
          <w:color w:val="auto"/>
        </w:rPr>
      </w:pPr>
      <w:r>
        <w:rPr>
          <w:rFonts w:ascii="Arial" w:cs="Arial" w:eastAsia="Arial" w:hAnsi="Arial"/>
          <w:sz w:val="18"/>
          <w:szCs w:val="18"/>
          <w:color w:val="auto"/>
        </w:rPr>
        <w:t>— Non-qualified stock options (20% of NEO’s LTI award)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-2895600</wp:posOffset>
                </wp:positionH>
                <wp:positionV relativeFrom="paragraph">
                  <wp:posOffset>-2540</wp:posOffset>
                </wp:positionV>
                <wp:extent cx="6278880" cy="11557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8880" cy="115570"/>
                        </a:xfrm>
                        <a:prstGeom prst="rect">
                          <a:avLst/>
                        </a:prstGeom>
                        <a:solidFill>
                          <a:srgbClr val="F1F1F1"/>
                        </a:solidFill>
                      </wps:spPr>
                      <wps:bodyPr/>
                    </wps:wsp>
                  </a:graphicData>
                </a:graphic>
              </wp:anchor>
            </w:drawing>
          </mc:Choice>
          <mc:Fallback>
            <w:pict>
              <v:rect id="Shape 318" o:spid="_x0000_s1343" style="position:absolute;margin-left:-228pt;margin-top:-0.1999pt;width:494.4pt;height: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200" w:lineRule="exact"/>
        <w:rPr>
          <w:sz w:val="20"/>
          <w:szCs w:val="20"/>
          <w:color w:val="auto"/>
        </w:rPr>
      </w:pPr>
    </w:p>
    <w:p>
      <w:pPr>
        <w:sectPr>
          <w:pgSz w:w="11880" w:h="15480" w:orient="portrait"/>
          <w:cols w:equalWidth="0" w:num="2">
            <w:col w:w="4400" w:space="160"/>
            <w:col w:w="5520"/>
          </w:cols>
          <w:pgMar w:left="900" w:top="702"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5600" w:type="dxa"/>
        <w:tblCellMar>
          <w:top w:w="0" w:type="dxa"/>
          <w:left w:w="0" w:type="dxa"/>
          <w:bottom w:w="0" w:type="dxa"/>
          <w:right w:w="0" w:type="dxa"/>
        </w:tblCellMar>
      </w:tblPr>
      <w:tr>
        <w:trPr>
          <w:trHeight w:val="408"/>
        </w:trPr>
        <w:tc>
          <w:tcPr>
            <w:tcW w:w="336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-222250</wp:posOffset>
            </wp:positionV>
            <wp:extent cx="993140" cy="2006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65">
                      <a:extLst>
                        <a:ext uri="{28A0092B-C50C-407E-A947-70E740481C1C}"/>
                      </a:extLst>
                    </a:blip>
                    <a:srcRect/>
                    <a:stretch>
                      <a:fillRect/>
                    </a:stretch>
                  </pic:blipFill>
                  <pic:spPr bwMode="auto">
                    <a:xfrm>
                      <a:off x="0" y="0"/>
                      <a:ext cx="99314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type w:val="continuous"/>
        </w:sectPr>
      </w:pPr>
    </w:p>
    <w:bookmarkStart w:id="138" w:name="page139"/>
    <w:bookmarkEnd w:id="138"/>
    <w:p>
      <w:pPr>
        <w:spacing w:after="0"/>
        <w:rPr>
          <w:sz w:val="20"/>
          <w:szCs w:val="20"/>
          <w:color w:val="auto"/>
        </w:rPr>
      </w:pPr>
      <w:r>
        <w:rPr>
          <w:rFonts w:ascii="Arial" w:cs="Arial" w:eastAsia="Arial" w:hAnsi="Arial"/>
          <w:sz w:val="39"/>
          <w:szCs w:val="39"/>
          <w:u w:val="single" w:color="auto"/>
          <w:color w:val="000039"/>
        </w:rPr>
        <w:t>INFORMATION CONCERNING DIRECTOR NOMINEES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2042160</wp:posOffset>
                </wp:positionH>
                <wp:positionV relativeFrom="paragraph">
                  <wp:posOffset>237490</wp:posOffset>
                </wp:positionV>
                <wp:extent cx="4367530"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753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8pt,18.7pt" to="504.7pt,18.7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227965</wp:posOffset>
                </wp:positionV>
                <wp:extent cx="0" cy="75946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9460"/>
                        </a:xfrm>
                        <a:prstGeom prst="line">
                          <a:avLst/>
                        </a:prstGeom>
                        <a:solidFill>
                          <a:srgbClr val="FFFFFF"/>
                        </a:solidFill>
                        <a:ln w="28194">
                          <a:solidFill>
                            <a:srgbClr val="000039"/>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95pt" to="0pt,77.75pt" o:allowincell="f" strokecolor="#000039" strokeweight="2.22pt"/>
            </w:pict>
          </mc:Fallback>
        </mc:AlternateContent>
        <mc:AlternateContent>
          <mc:Choice Requires="wps">
            <w:drawing>
              <wp:anchor simplePos="0" relativeHeight="251657728" behindDoc="1" locked="0" layoutInCell="0" allowOverlap="1">
                <wp:simplePos x="0" y="0"/>
                <wp:positionH relativeFrom="column">
                  <wp:posOffset>2051685</wp:posOffset>
                </wp:positionH>
                <wp:positionV relativeFrom="paragraph">
                  <wp:posOffset>227965</wp:posOffset>
                </wp:positionV>
                <wp:extent cx="0" cy="77851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851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55pt,17.95pt" to="161.55pt,79.2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2042160</wp:posOffset>
                </wp:positionH>
                <wp:positionV relativeFrom="paragraph">
                  <wp:posOffset>996950</wp:posOffset>
                </wp:positionV>
                <wp:extent cx="4367530"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753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8pt,78.5pt" to="504.7pt,78.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6400165</wp:posOffset>
                </wp:positionH>
                <wp:positionV relativeFrom="paragraph">
                  <wp:posOffset>227965</wp:posOffset>
                </wp:positionV>
                <wp:extent cx="0" cy="77851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851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95pt,17.95pt" to="503.95pt,79.25pt" o:allowincell="f" strokecolor="#000039" strokeweight="1.5pt"/>
            </w:pict>
          </mc:Fallback>
        </mc:AlternateContent>
      </w:r>
    </w:p>
    <w:p>
      <w:pPr>
        <w:sectPr>
          <w:pgSz w:w="11880" w:h="15480" w:orient="portrait"/>
          <w:cols w:equalWidth="0" w:num="1">
            <w:col w:w="10080"/>
          </w:cols>
          <w:pgMar w:left="900" w:top="884" w:right="900" w:bottom="0" w:gutter="0" w:footer="0" w:header="0"/>
        </w:sectPr>
      </w:pPr>
    </w:p>
    <w:p>
      <w:pPr>
        <w:spacing w:after="0" w:line="200" w:lineRule="exact"/>
        <w:rPr>
          <w:sz w:val="20"/>
          <w:szCs w:val="20"/>
          <w:color w:val="auto"/>
        </w:rPr>
      </w:pPr>
    </w:p>
    <w:p>
      <w:pPr>
        <w:spacing w:after="0" w:line="238" w:lineRule="exact"/>
        <w:rPr>
          <w:sz w:val="20"/>
          <w:szCs w:val="20"/>
          <w:color w:val="auto"/>
        </w:rPr>
      </w:pPr>
    </w:p>
    <w:p>
      <w:pPr>
        <w:ind w:left="160"/>
        <w:spacing w:after="0" w:line="268" w:lineRule="auto"/>
        <w:rPr>
          <w:sz w:val="20"/>
          <w:szCs w:val="20"/>
          <w:color w:val="auto"/>
        </w:rPr>
      </w:pPr>
      <w:r>
        <w:rPr>
          <w:rFonts w:ascii="Arial" w:cs="Arial" w:eastAsia="Arial" w:hAnsi="Arial"/>
          <w:sz w:val="28"/>
          <w:szCs w:val="28"/>
          <w:b w:val="1"/>
          <w:bCs w:val="1"/>
          <w:color w:val="000039"/>
        </w:rPr>
        <w:t>What am I voting on and how should I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You are being asked to elect four Class II directors at the Annual Meeting.</w:t>
      </w:r>
    </w:p>
    <w:p>
      <w:pPr>
        <w:spacing w:after="0" w:line="120" w:lineRule="exact"/>
        <w:rPr>
          <w:sz w:val="20"/>
          <w:szCs w:val="20"/>
          <w:color w:val="auto"/>
        </w:rPr>
      </w:pPr>
    </w:p>
    <w:p>
      <w:pPr>
        <w:ind w:right="560"/>
        <w:spacing w:after="0" w:line="298" w:lineRule="auto"/>
        <w:rPr>
          <w:sz w:val="20"/>
          <w:szCs w:val="20"/>
          <w:color w:val="auto"/>
        </w:rPr>
      </w:pPr>
      <w:r>
        <w:rPr>
          <w:rFonts w:ascii="Arial" w:cs="Arial" w:eastAsia="Arial" w:hAnsi="Arial"/>
          <w:sz w:val="20"/>
          <w:szCs w:val="20"/>
          <w:b w:val="1"/>
          <w:bCs w:val="1"/>
          <w:i w:val="1"/>
          <w:iCs w:val="1"/>
          <w:color w:val="auto"/>
        </w:rPr>
        <w:t xml:space="preserve">The Board of Directors recommends you vote </w:t>
      </w:r>
      <w:r>
        <w:rPr>
          <w:rFonts w:ascii="Arial" w:cs="Arial" w:eastAsia="Arial" w:hAnsi="Arial"/>
          <w:sz w:val="20"/>
          <w:szCs w:val="20"/>
          <w:b w:val="1"/>
          <w:bCs w:val="1"/>
          <w:color w:val="auto"/>
        </w:rPr>
        <w:t>“FOR”</w:t>
      </w:r>
      <w:r>
        <w:rPr>
          <w:rFonts w:ascii="Arial" w:cs="Arial" w:eastAsia="Arial" w:hAnsi="Arial"/>
          <w:sz w:val="20"/>
          <w:szCs w:val="20"/>
          <w:b w:val="1"/>
          <w:bCs w:val="1"/>
          <w:i w:val="1"/>
          <w:iCs w:val="1"/>
          <w:color w:val="auto"/>
        </w:rPr>
        <w:t xml:space="preserve"> each of the nominees set forth below.</w:t>
      </w:r>
    </w:p>
    <w:p>
      <w:pPr>
        <w:spacing w:after="0" w:line="271" w:lineRule="exact"/>
        <w:rPr>
          <w:sz w:val="20"/>
          <w:szCs w:val="20"/>
          <w:color w:val="auto"/>
        </w:rPr>
      </w:pPr>
    </w:p>
    <w:p>
      <w:pPr>
        <w:sectPr>
          <w:pgSz w:w="11880" w:h="15480" w:orient="portrait"/>
          <w:cols w:equalWidth="0" w:num="2">
            <w:col w:w="2820" w:space="580"/>
            <w:col w:w="6680"/>
          </w:cols>
          <w:pgMar w:left="900" w:top="884" w:right="900" w:bottom="0" w:gutter="0" w:footer="0" w:header="0"/>
          <w:type w:val="continuous"/>
        </w:sectPr>
      </w:pPr>
    </w:p>
    <w:p>
      <w:pPr>
        <w:spacing w:after="0" w:line="8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Board of Directors consists of three classes currently comprised of four directors in Class I, five directors in Class II, and four directors in Class III. Directors of one class are elected each year for a term of three years. The Class II directors are presented for re-election to hold office until the expiration of their term at the 2029 annual meeting of stockholders and until their successors are elected and qualified or until their earlier death or resignation. All of the nominees are currently serving as directors.</w:t>
      </w:r>
    </w:p>
    <w:p>
      <w:pPr>
        <w:spacing w:after="0" w:line="15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Dr. Robert J. Alpern, a current Class II director, recently turned 75. Consistent with AbbVie’s governance guidelines, Dr. Alpern will not stand for re-election as a director as of the 2026 annual stockholder meeting and the board size will be reduced to twelve directors.</w:t>
      </w:r>
    </w:p>
    <w:p>
      <w:pPr>
        <w:spacing w:after="0" w:line="142"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Directors are elected by stockholders if a majority of the votes cast are “for” a director’s re-election at the Annual Meeting, excluding abstentions and broker non- votes. For more information on the director majority vote standard, see AbbVie’s By-Laws as listed as an exhibit to AbbVie’s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10  </w:t>
      </w:r>
      <w:r>
        <w:rPr>
          <w:sz w:val="1"/>
          <w:szCs w:val="1"/>
          <w:color w:val="auto"/>
        </w:rPr>
        <w:drawing>
          <wp:inline distT="0" distB="0" distL="0" distR="0">
            <wp:extent cx="991870" cy="20066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66">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884" w:right="900" w:bottom="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20"/>
          <w:szCs w:val="20"/>
          <w:color w:val="808080"/>
        </w:rPr>
        <w:t>INFORMATION CONCERNING DIRECTOR NOMINEES</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Nominees (Class II)</w:t>
      </w:r>
    </w:p>
    <w:p>
      <w:pPr>
        <w:spacing w:after="0" w:line="224" w:lineRule="exact"/>
        <w:rPr>
          <w:sz w:val="20"/>
          <w:szCs w:val="20"/>
          <w:color w:val="auto"/>
        </w:rPr>
      </w:pPr>
    </w:p>
    <w:p>
      <w:pPr>
        <w:ind w:left="1880"/>
        <w:spacing w:after="0"/>
        <w:rPr>
          <w:sz w:val="20"/>
          <w:szCs w:val="20"/>
          <w:color w:val="auto"/>
        </w:rPr>
      </w:pPr>
      <w:r>
        <w:rPr>
          <w:rFonts w:ascii="Arial" w:cs="Arial" w:eastAsia="Arial" w:hAnsi="Arial"/>
          <w:sz w:val="28"/>
          <w:szCs w:val="28"/>
          <w:b w:val="1"/>
          <w:bCs w:val="1"/>
          <w:color w:val="000039"/>
        </w:rPr>
        <w:t>Jennifer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-175260</wp:posOffset>
            </wp:positionV>
            <wp:extent cx="972820" cy="9728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67">
                      <a:extLst>
                        <a:ext uri="{28A0092B-C50C-407E-A947-70E740481C1C}"/>
                      </a:extLst>
                    </a:blip>
                    <a:srcRect/>
                    <a:stretch>
                      <a:fillRect/>
                    </a:stretch>
                  </pic:blipFill>
                  <pic:spPr bwMode="auto">
                    <a:xfrm>
                      <a:off x="0" y="0"/>
                      <a:ext cx="972820" cy="972820"/>
                    </a:xfrm>
                    <a:prstGeom prst="rect">
                      <a:avLst/>
                    </a:prstGeom>
                    <a:noFill/>
                  </pic:spPr>
                </pic:pic>
              </a:graphicData>
            </a:graphic>
          </wp:anchor>
        </w:drawing>
      </w:r>
    </w:p>
    <w:p>
      <w:pPr>
        <w:spacing w:after="0" w:line="19"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2023</w:t>
      </w:r>
    </w:p>
    <w:p>
      <w:pPr>
        <w:ind w:left="188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54</w:t>
      </w:r>
    </w:p>
    <w:p>
      <w:pPr>
        <w:ind w:left="1880"/>
        <w:spacing w:after="0"/>
        <w:rPr>
          <w:sz w:val="20"/>
          <w:szCs w:val="20"/>
          <w:color w:val="auto"/>
        </w:rPr>
      </w:pPr>
      <w:r>
        <w:rPr>
          <w:rFonts w:ascii="Arial" w:cs="Arial" w:eastAsia="Arial" w:hAnsi="Arial"/>
          <w:sz w:val="20"/>
          <w:szCs w:val="20"/>
          <w:color w:val="auto"/>
        </w:rPr>
        <w:t>Committees</w:t>
      </w:r>
      <w:r>
        <w:rPr>
          <w:rFonts w:ascii="Arial" w:cs="Arial" w:eastAsia="Arial" w:hAnsi="Arial"/>
          <w:sz w:val="20"/>
          <w:szCs w:val="20"/>
          <w:color w:val="6D6D6D"/>
        </w:rPr>
        <w:t>:</w:t>
      </w:r>
      <w:r>
        <w:rPr>
          <w:rFonts w:ascii="Arial" w:cs="Arial" w:eastAsia="Arial" w:hAnsi="Arial"/>
          <w:sz w:val="20"/>
          <w:szCs w:val="20"/>
          <w:color w:val="auto"/>
        </w:rPr>
        <w:t xml:space="preserve"> </w:t>
      </w:r>
      <w:r>
        <w:rPr>
          <w:rFonts w:ascii="Arial" w:cs="Arial" w:eastAsia="Arial" w:hAnsi="Arial"/>
          <w:sz w:val="20"/>
          <w:szCs w:val="20"/>
          <w:b w:val="1"/>
          <w:bCs w:val="1"/>
          <w:color w:val="000039"/>
        </w:rPr>
        <w:t>Nominations &amp; Governance</w:t>
      </w:r>
    </w:p>
    <w:p>
      <w:pPr>
        <w:ind w:left="188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Chief Executive Officer, Health Care, Procter &amp; Gamble</w:t>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2" w:lineRule="exact"/>
        <w:rPr>
          <w:sz w:val="20"/>
          <w:szCs w:val="20"/>
          <w:color w:val="auto"/>
        </w:rPr>
      </w:pPr>
    </w:p>
    <w:p>
      <w:pPr>
        <w:ind w:left="160" w:right="120"/>
        <w:spacing w:after="0" w:line="244" w:lineRule="auto"/>
        <w:rPr>
          <w:sz w:val="20"/>
          <w:szCs w:val="20"/>
          <w:color w:val="auto"/>
        </w:rPr>
      </w:pPr>
      <w:r>
        <w:rPr>
          <w:rFonts w:ascii="Arial" w:cs="Arial" w:eastAsia="Arial" w:hAnsi="Arial"/>
          <w:sz w:val="20"/>
          <w:szCs w:val="20"/>
          <w:color w:val="auto"/>
        </w:rPr>
        <w:t>Ms. Davis currently serves as Chief Executive Officer, Health Care at Procter &amp; Gamble (P&amp;G), a position she has held since 2022. Ms. Davis previously served at P&amp;G as President, Feminine Care (2019 - 2022), President, Global Feminine Care (2018 - 2019), and Vice President - Feminine Care, North America and Brand Franchise Leader, Tampax (2016 - 2018), in addition to various commercial roles with increasing responsibility in her 30+ year career at P&amp;G. Ms. Davis plans to retire from P&amp;G in June 2026.</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3" w:lineRule="exact"/>
        <w:rPr>
          <w:sz w:val="20"/>
          <w:szCs w:val="20"/>
          <w:color w:val="auto"/>
        </w:rPr>
      </w:pPr>
    </w:p>
    <w:p>
      <w:pPr>
        <w:ind w:left="440" w:right="260" w:hanging="286"/>
        <w:spacing w:after="0" w:line="253" w:lineRule="auto"/>
        <w:tabs>
          <w:tab w:leader="none" w:pos="445" w:val="left"/>
        </w:tabs>
        <w:numPr>
          <w:ilvl w:val="0"/>
          <w:numId w:val="65"/>
        </w:numPr>
        <w:rPr>
          <w:rFonts w:ascii="Arial" w:cs="Arial" w:eastAsia="Arial" w:hAnsi="Arial"/>
          <w:sz w:val="20"/>
          <w:szCs w:val="20"/>
          <w:color w:val="000039"/>
        </w:rPr>
      </w:pPr>
      <w:r>
        <w:rPr>
          <w:rFonts w:ascii="Arial" w:cs="Arial" w:eastAsia="Arial" w:hAnsi="Arial"/>
          <w:sz w:val="20"/>
          <w:szCs w:val="20"/>
          <w:color w:val="auto"/>
        </w:rPr>
        <w:t>As a result of her extensive tenure at P&amp;G, Ms. Davis brings to the Board marketing and other commercial strategy and execution experience, as well as corporate strategy and leadership, consumer behavior, and business development expertise. She also has substantial experience overseeing P&amp;G’s health care research and development, manufacturing, quality, and supply, and regulatory compliance.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-614045</wp:posOffset>
                </wp:positionV>
                <wp:extent cx="6400800" cy="593725"/>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593725"/>
                        </a:xfrm>
                        <a:prstGeom prst="rect">
                          <a:avLst/>
                        </a:prstGeom>
                        <a:solidFill>
                          <a:srgbClr val="F1F1F1"/>
                        </a:solidFill>
                      </wps:spPr>
                      <wps:bodyPr/>
                    </wps:wsp>
                  </a:graphicData>
                </a:graphic>
              </wp:anchor>
            </w:drawing>
          </mc:Choice>
          <mc:Fallback>
            <w:pict>
              <v:rect id="Shape 327" o:spid="_x0000_s1352" style="position:absolute;margin-left:0pt;margin-top:-48.3499pt;width:504pt;height:46.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166" w:lineRule="exact"/>
        <w:rPr>
          <w:sz w:val="20"/>
          <w:szCs w:val="20"/>
          <w:color w:val="auto"/>
        </w:rPr>
      </w:pPr>
    </w:p>
    <w:p>
      <w:pPr>
        <w:ind w:left="1900"/>
        <w:spacing w:after="0"/>
        <w:rPr>
          <w:sz w:val="20"/>
          <w:szCs w:val="20"/>
          <w:color w:val="auto"/>
        </w:rPr>
      </w:pPr>
      <w:r>
        <w:rPr>
          <w:rFonts w:ascii="Arial" w:cs="Arial" w:eastAsia="Arial" w:hAnsi="Arial"/>
          <w:sz w:val="28"/>
          <w:szCs w:val="28"/>
          <w:b w:val="1"/>
          <w:bCs w:val="1"/>
          <w:color w:val="000039"/>
        </w:rPr>
        <w:t>Melody B.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-182880</wp:posOffset>
            </wp:positionV>
            <wp:extent cx="1034415" cy="1035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68">
                      <a:extLst>
                        <a:ext uri="{28A0092B-C50C-407E-A947-70E740481C1C}"/>
                      </a:extLst>
                    </a:blip>
                    <a:srcRect/>
                    <a:stretch>
                      <a:fillRect/>
                    </a:stretch>
                  </pic:blipFill>
                  <pic:spPr bwMode="auto">
                    <a:xfrm>
                      <a:off x="0" y="0"/>
                      <a:ext cx="1034415" cy="1035050"/>
                    </a:xfrm>
                    <a:prstGeom prst="rect">
                      <a:avLst/>
                    </a:prstGeom>
                    <a:noFill/>
                  </pic:spPr>
                </pic:pic>
              </a:graphicData>
            </a:graphic>
          </wp:anchor>
        </w:drawing>
      </w:r>
    </w:p>
    <w:p>
      <w:pPr>
        <w:spacing w:after="0" w:line="18"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2017</w:t>
      </w:r>
    </w:p>
    <w:p>
      <w:pPr>
        <w:ind w:left="190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68</w:t>
      </w:r>
    </w:p>
    <w:p>
      <w:pPr>
        <w:ind w:left="1900"/>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Audit and Public Policy &amp; Sustainability (Chair)</w:t>
      </w:r>
    </w:p>
    <w:p>
      <w:pPr>
        <w:ind w:left="190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Retired President, Chevron Asia Pacific Exploration and</w:t>
      </w:r>
    </w:p>
    <w:p>
      <w:pPr>
        <w:ind w:left="1900"/>
        <w:spacing w:after="0"/>
        <w:rPr>
          <w:sz w:val="20"/>
          <w:szCs w:val="20"/>
          <w:color w:val="auto"/>
        </w:rPr>
      </w:pPr>
      <w:r>
        <w:rPr>
          <w:rFonts w:ascii="Arial" w:cs="Arial" w:eastAsia="Arial" w:hAnsi="Arial"/>
          <w:sz w:val="20"/>
          <w:szCs w:val="20"/>
          <w:b w:val="1"/>
          <w:bCs w:val="1"/>
          <w:color w:val="000039"/>
        </w:rPr>
        <w:t>Production</w:t>
      </w:r>
    </w:p>
    <w:p>
      <w:pPr>
        <w:spacing w:after="0" w:line="33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2" w:lineRule="exact"/>
        <w:rPr>
          <w:sz w:val="20"/>
          <w:szCs w:val="20"/>
          <w:color w:val="auto"/>
        </w:rPr>
      </w:pPr>
    </w:p>
    <w:p>
      <w:pPr>
        <w:ind w:left="160" w:right="100"/>
        <w:spacing w:after="0" w:line="243" w:lineRule="auto"/>
        <w:rPr>
          <w:sz w:val="20"/>
          <w:szCs w:val="20"/>
          <w:color w:val="auto"/>
        </w:rPr>
      </w:pPr>
      <w:r>
        <w:rPr>
          <w:rFonts w:ascii="Arial" w:cs="Arial" w:eastAsia="Arial" w:hAnsi="Arial"/>
          <w:sz w:val="20"/>
          <w:szCs w:val="20"/>
          <w:color w:val="auto"/>
        </w:rPr>
        <w:t>Ms. Meyer served as President of Chevron Asia Pacific Exploration and Production Company from March 2011 to April 2016. She previously served as President of Chevron Energy Technology Company from 2008 to 2011. Ms. Meyer held various leadership roles in global and U.S. locations during her thirty-seven year career at Chevron and retired in 2016. Ms. Meyer is President of Melody Meyer Energy, LLC, a private consulting firm, since June 2016 and Women with Energy LLC since 2025. Ms. Meyer is also a director at bp p.l.c., where her term ends in April 2026. Ms. Meyer previously served as a director of NOV, Inc. from 2017 to 2023.</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3" w:lineRule="exact"/>
        <w:rPr>
          <w:sz w:val="20"/>
          <w:szCs w:val="20"/>
          <w:color w:val="auto"/>
        </w:rPr>
      </w:pPr>
    </w:p>
    <w:p>
      <w:pPr>
        <w:ind w:left="440" w:right="60" w:hanging="286"/>
        <w:spacing w:after="0" w:line="246" w:lineRule="auto"/>
        <w:tabs>
          <w:tab w:leader="none" w:pos="445" w:val="left"/>
        </w:tabs>
        <w:numPr>
          <w:ilvl w:val="0"/>
          <w:numId w:val="66"/>
        </w:numPr>
        <w:rPr>
          <w:rFonts w:ascii="Arial" w:cs="Arial" w:eastAsia="Arial" w:hAnsi="Arial"/>
          <w:sz w:val="20"/>
          <w:szCs w:val="20"/>
          <w:color w:val="000039"/>
        </w:rPr>
      </w:pPr>
      <w:r>
        <w:rPr>
          <w:rFonts w:ascii="Arial" w:cs="Arial" w:eastAsia="Arial" w:hAnsi="Arial"/>
          <w:sz w:val="20"/>
          <w:szCs w:val="20"/>
          <w:color w:val="auto"/>
        </w:rPr>
        <w:t>As a result of her tenure at Chevron, Ms. Meyer has acquired operational, management, strategic planning, and financial expertise with extensive global experience and provides an informed perspective to the Board on financial and operational matters faced by a complex international company. She also brings substantial experience related to long-term capital projects and environmental, health, safety, and sustainability matters. Her experience spans multiple jurisdictions, including developing markets in Asia and Africa. Ms. Meyer has long been active in promoting the advancement of women in energy and life sciences and provides the Board with strong human capital management oversight experience.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-1045845</wp:posOffset>
                </wp:positionV>
                <wp:extent cx="6400800" cy="1031875"/>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031875"/>
                        </a:xfrm>
                        <a:prstGeom prst="rect">
                          <a:avLst/>
                        </a:prstGeom>
                        <a:solidFill>
                          <a:srgbClr val="F1F1F1"/>
                        </a:solidFill>
                      </wps:spPr>
                      <wps:bodyPr/>
                    </wps:wsp>
                  </a:graphicData>
                </a:graphic>
              </wp:anchor>
            </w:drawing>
          </mc:Choice>
          <mc:Fallback>
            <w:pict>
              <v:rect id="Shape 329" o:spid="_x0000_s1354" style="position:absolute;margin-left:0pt;margin-top:-82.3499pt;width:504pt;height:8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-222250</wp:posOffset>
            </wp:positionV>
            <wp:extent cx="992505" cy="2006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69">
                      <a:extLst>
                        <a:ext uri="{28A0092B-C50C-407E-A947-70E740481C1C}"/>
                      </a:extLst>
                    </a:blip>
                    <a:srcRect/>
                    <a:stretch>
                      <a:fillRect/>
                    </a:stretch>
                  </pic:blipFill>
                  <pic:spPr bwMode="auto">
                    <a:xfrm>
                      <a:off x="0" y="0"/>
                      <a:ext cx="992505"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40" w:name="page141"/>
    <w:bookmarkEnd w:id="140"/>
    <w:p>
      <w:pPr>
        <w:spacing w:after="0"/>
        <w:rPr>
          <w:sz w:val="20"/>
          <w:szCs w:val="20"/>
          <w:color w:val="auto"/>
        </w:rPr>
      </w:pPr>
      <w:r>
        <w:rPr>
          <w:rFonts w:ascii="Arial" w:cs="Arial" w:eastAsia="Arial" w:hAnsi="Arial"/>
          <w:sz w:val="20"/>
          <w:szCs w:val="20"/>
          <w:color w:val="808080"/>
        </w:rPr>
        <w:t>INFORMATION CONCERNING DIRECTOR NOMINEES</w:t>
      </w:r>
    </w:p>
    <w:p>
      <w:pPr>
        <w:spacing w:after="0" w:line="238" w:lineRule="exact"/>
        <w:rPr>
          <w:sz w:val="20"/>
          <w:szCs w:val="20"/>
          <w:color w:val="auto"/>
        </w:rPr>
      </w:pPr>
    </w:p>
    <w:p>
      <w:pPr>
        <w:ind w:left="1900"/>
        <w:spacing w:after="0"/>
        <w:rPr>
          <w:sz w:val="20"/>
          <w:szCs w:val="20"/>
          <w:color w:val="auto"/>
        </w:rPr>
      </w:pPr>
      <w:r>
        <w:rPr>
          <w:rFonts w:ascii="Arial" w:cs="Arial" w:eastAsia="Arial" w:hAnsi="Arial"/>
          <w:sz w:val="28"/>
          <w:szCs w:val="28"/>
          <w:b w:val="1"/>
          <w:bCs w:val="1"/>
          <w:color w:val="000039"/>
        </w:rPr>
        <w:t>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-182880</wp:posOffset>
            </wp:positionV>
            <wp:extent cx="1034415" cy="10147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70">
                      <a:extLst>
                        <a:ext uri="{28A0092B-C50C-407E-A947-70E740481C1C}"/>
                      </a:extLst>
                    </a:blip>
                    <a:srcRect/>
                    <a:stretch>
                      <a:fillRect/>
                    </a:stretch>
                  </pic:blipFill>
                  <pic:spPr bwMode="auto">
                    <a:xfrm>
                      <a:off x="0" y="0"/>
                      <a:ext cx="1034415" cy="1014730"/>
                    </a:xfrm>
                    <a:prstGeom prst="rect">
                      <a:avLst/>
                    </a:prstGeom>
                    <a:noFill/>
                  </pic:spPr>
                </pic:pic>
              </a:graphicData>
            </a:graphic>
          </wp:anchor>
        </w:drawing>
      </w:r>
    </w:p>
    <w:p>
      <w:pPr>
        <w:spacing w:after="0" w:line="18"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2024</w:t>
      </w:r>
    </w:p>
    <w:p>
      <w:pPr>
        <w:ind w:left="190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55</w:t>
      </w:r>
    </w:p>
    <w:p>
      <w:pPr>
        <w:ind w:left="190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Chairman of the Board and Chief Executive Officer, AbbVie Inc.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Mr. Michael is AbbVie’s Chairman and Chief Executive Officer, a position he has held since July 2025.</w:t>
      </w:r>
    </w:p>
    <w:p>
      <w:pPr>
        <w:ind w:left="160"/>
        <w:spacing w:after="0" w:line="242" w:lineRule="auto"/>
        <w:rPr>
          <w:sz w:val="20"/>
          <w:szCs w:val="20"/>
          <w:color w:val="auto"/>
        </w:rPr>
      </w:pPr>
      <w:r>
        <w:rPr>
          <w:rFonts w:ascii="Arial" w:cs="Arial" w:eastAsia="Arial" w:hAnsi="Arial"/>
          <w:sz w:val="20"/>
          <w:szCs w:val="20"/>
          <w:color w:val="auto"/>
        </w:rPr>
        <w:t>Mr. Michael previously served as Chief Executive Officer starting in 2024 and President and Chief Operating Officer from July 2023 to June 2024, where he was responsible for global commercial operations, finance, corporate human resources, global operations, business development and corporate strategy for the company. He previously served as Vice Chairman and President from June 2022 to July 2023, as Vice Chairman, Finance and Commercial Operations and Chief Financial Officer from June 2021 to June 2022, as Executive Vice President, Chief Financial Officer from 2019 to 2021, and as Senior Vice President, Chief Financial Officer from 2018 to 2019. Mr. Michael first joined Abbott in 1993 and held numerous leadership positions across several different business units before joining AbbVie in 2013.</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3" w:lineRule="exact"/>
        <w:rPr>
          <w:sz w:val="20"/>
          <w:szCs w:val="20"/>
          <w:color w:val="auto"/>
        </w:rPr>
      </w:pPr>
    </w:p>
    <w:p>
      <w:pPr>
        <w:ind w:left="440" w:right="80" w:hanging="286"/>
        <w:spacing w:after="0" w:line="250" w:lineRule="auto"/>
        <w:tabs>
          <w:tab w:leader="none" w:pos="445" w:val="left"/>
        </w:tabs>
        <w:numPr>
          <w:ilvl w:val="0"/>
          <w:numId w:val="67"/>
        </w:numPr>
        <w:rPr>
          <w:rFonts w:ascii="Arial" w:cs="Arial" w:eastAsia="Arial" w:hAnsi="Arial"/>
          <w:sz w:val="20"/>
          <w:szCs w:val="20"/>
          <w:color w:val="000039"/>
        </w:rPr>
      </w:pPr>
      <w:r>
        <w:rPr>
          <w:rFonts w:ascii="Arial" w:cs="Arial" w:eastAsia="Arial" w:hAnsi="Arial"/>
          <w:sz w:val="20"/>
          <w:szCs w:val="20"/>
          <w:color w:val="auto"/>
        </w:rPr>
        <w:t>As a result of his numerous leadership roles across a more than 30-year career at Abbott and AbbVie, Mr. Michael has developed valuable business, strategic, leadership, and financial experience, as well as extensive knowledge of AbbVie and its complex global operations. Mr. Michael’s experience and knowledge enable him to contribute to AbbVie’s Board key insights into strategic, operations, business development, management, and financial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-758825</wp:posOffset>
                </wp:positionV>
                <wp:extent cx="6400800" cy="739775"/>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739775"/>
                        </a:xfrm>
                        <a:prstGeom prst="rect">
                          <a:avLst/>
                        </a:prstGeom>
                        <a:solidFill>
                          <a:srgbClr val="F1F1F1"/>
                        </a:solidFill>
                      </wps:spPr>
                      <wps:bodyPr/>
                    </wps:wsp>
                  </a:graphicData>
                </a:graphic>
              </wp:anchor>
            </w:drawing>
          </mc:Choice>
          <mc:Fallback>
            <w:pict>
              <v:rect id="Shape 332" o:spid="_x0000_s1357" style="position:absolute;margin-left:0pt;margin-top:-59.7499pt;width:504pt;height:5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28"/>
          <w:szCs w:val="28"/>
          <w:b w:val="1"/>
          <w:bCs w:val="1"/>
          <w:color w:val="000039"/>
        </w:rPr>
        <w:t>Frederick H. Waddell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-182880</wp:posOffset>
            </wp:positionV>
            <wp:extent cx="962025" cy="9461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71">
                      <a:extLst>
                        <a:ext uri="{28A0092B-C50C-407E-A947-70E740481C1C}"/>
                      </a:extLst>
                    </a:blip>
                    <a:srcRect/>
                    <a:stretch>
                      <a:fillRect/>
                    </a:stretch>
                  </pic:blipFill>
                  <pic:spPr bwMode="auto">
                    <a:xfrm>
                      <a:off x="0" y="0"/>
                      <a:ext cx="962025" cy="946150"/>
                    </a:xfrm>
                    <a:prstGeom prst="rect">
                      <a:avLst/>
                    </a:prstGeom>
                    <a:noFill/>
                  </pic:spPr>
                </pic:pic>
              </a:graphicData>
            </a:graphic>
          </wp:anchor>
        </w:drawing>
      </w:r>
    </w:p>
    <w:p>
      <w:pPr>
        <w:spacing w:after="0" w:line="18"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2013</w:t>
      </w:r>
    </w:p>
    <w:p>
      <w:pPr>
        <w:ind w:left="190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72</w:t>
      </w:r>
    </w:p>
    <w:p>
      <w:pPr>
        <w:ind w:left="1900"/>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Audit (Chair) and Compensation</w:t>
      </w:r>
    </w:p>
    <w:p>
      <w:pPr>
        <w:ind w:left="190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Former Chairman of the Board and Chief Executive Officer of</w:t>
      </w:r>
    </w:p>
    <w:p>
      <w:pPr>
        <w:ind w:left="1900"/>
        <w:spacing w:after="0"/>
        <w:rPr>
          <w:sz w:val="20"/>
          <w:szCs w:val="20"/>
          <w:color w:val="auto"/>
        </w:rPr>
      </w:pPr>
      <w:r>
        <w:rPr>
          <w:rFonts w:ascii="Arial" w:cs="Arial" w:eastAsia="Arial" w:hAnsi="Arial"/>
          <w:sz w:val="20"/>
          <w:szCs w:val="20"/>
          <w:b w:val="1"/>
          <w:bCs w:val="1"/>
          <w:color w:val="000039"/>
        </w:rPr>
        <w:t>Northern Trust Corporation and The Northern Trust Company</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0" w:lineRule="exact"/>
        <w:rPr>
          <w:sz w:val="20"/>
          <w:szCs w:val="20"/>
          <w:color w:val="auto"/>
        </w:rPr>
      </w:pPr>
    </w:p>
    <w:p>
      <w:pPr>
        <w:ind w:left="160" w:right="40"/>
        <w:spacing w:after="0" w:line="244" w:lineRule="auto"/>
        <w:rPr>
          <w:sz w:val="20"/>
          <w:szCs w:val="20"/>
          <w:color w:val="auto"/>
        </w:rPr>
      </w:pPr>
      <w:r>
        <w:rPr>
          <w:rFonts w:ascii="Arial" w:cs="Arial" w:eastAsia="Arial" w:hAnsi="Arial"/>
          <w:sz w:val="20"/>
          <w:szCs w:val="20"/>
          <w:color w:val="auto"/>
        </w:rPr>
        <w:t>Mr. Waddell served as Chairman of the Board of Northern Trust Corporation and The Northern Trust Company from November 2009 until his retirement in January 2019. He previously served as Chief Executive Officer from 2008 through 2017, as President from 2006 to 2011 and again from October to December 2016, and Chief Operating Officer from 2006 to 2008. Mr. Waddell is also a director of International Business Machines Corporation.</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3" w:lineRule="exact"/>
        <w:rPr>
          <w:sz w:val="20"/>
          <w:szCs w:val="20"/>
          <w:color w:val="auto"/>
        </w:rPr>
      </w:pPr>
    </w:p>
    <w:p>
      <w:pPr>
        <w:ind w:left="440" w:right="60" w:hanging="286"/>
        <w:spacing w:after="0" w:line="248" w:lineRule="auto"/>
        <w:tabs>
          <w:tab w:leader="none" w:pos="445" w:val="left"/>
        </w:tabs>
        <w:numPr>
          <w:ilvl w:val="0"/>
          <w:numId w:val="68"/>
        </w:numPr>
        <w:rPr>
          <w:rFonts w:ascii="Arial" w:cs="Arial" w:eastAsia="Arial" w:hAnsi="Arial"/>
          <w:sz w:val="20"/>
          <w:szCs w:val="20"/>
          <w:color w:val="000039"/>
        </w:rPr>
      </w:pPr>
      <w:r>
        <w:rPr>
          <w:rFonts w:ascii="Arial" w:cs="Arial" w:eastAsia="Arial" w:hAnsi="Arial"/>
          <w:sz w:val="20"/>
          <w:szCs w:val="20"/>
          <w:color w:val="auto"/>
        </w:rPr>
        <w:t>As former Chairman and Chief Executive Officer of Northern Trust Corporation and The Northern Trust Company, Mr. Waddell contributes broad financial services experience with a strong record of leadership in a highly regulated industry. Having begun his role as CEO at Northern Trust during the 2008 recession, Mr. Waddell has substantial experience overseeing a company’s strategic priorities during changing economic conditions. Through his role as a director at IBM since 2017, Mr. Waddell has garnered significant information technology and security experience.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-903605</wp:posOffset>
                </wp:positionV>
                <wp:extent cx="6400800" cy="885825"/>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885825"/>
                        </a:xfrm>
                        <a:prstGeom prst="rect">
                          <a:avLst/>
                        </a:prstGeom>
                        <a:solidFill>
                          <a:srgbClr val="F1F1F1"/>
                        </a:solidFill>
                      </wps:spPr>
                      <wps:bodyPr/>
                    </wps:wsp>
                  </a:graphicData>
                </a:graphic>
              </wp:anchor>
            </w:drawing>
          </mc:Choice>
          <mc:Fallback>
            <w:pict>
              <v:rect id="Shape 334" o:spid="_x0000_s1359" style="position:absolute;margin-left:0pt;margin-top:-71.1499pt;width:504pt;height:6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12  </w:t>
      </w:r>
      <w:r>
        <w:rPr>
          <w:sz w:val="1"/>
          <w:szCs w:val="1"/>
          <w:color w:val="auto"/>
        </w:rPr>
        <w:drawing>
          <wp:inline distT="0" distB="0" distL="0" distR="0">
            <wp:extent cx="991870" cy="20066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72">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40"/>
          </w:cols>
          <w:pgMar w:left="900" w:top="702" w:right="940" w:bottom="0" w:gutter="0" w:footer="0" w:header="0"/>
        </w:sectPr>
      </w:pPr>
    </w:p>
    <w:bookmarkStart w:id="141" w:name="page142"/>
    <w:bookmarkEnd w:id="141"/>
    <w:p>
      <w:pPr>
        <w:ind w:left="5040"/>
        <w:spacing w:after="0"/>
        <w:rPr>
          <w:sz w:val="20"/>
          <w:szCs w:val="20"/>
          <w:color w:val="auto"/>
        </w:rPr>
      </w:pPr>
      <w:r>
        <w:rPr>
          <w:rFonts w:ascii="Arial" w:cs="Arial" w:eastAsia="Arial" w:hAnsi="Arial"/>
          <w:sz w:val="19"/>
          <w:szCs w:val="19"/>
          <w:color w:val="808080"/>
        </w:rPr>
        <w:t>INFORMATION CONCERNING DIRECTOR NOMINEES</w:t>
      </w:r>
    </w:p>
    <w:p>
      <w:pPr>
        <w:spacing w:after="0" w:line="225" w:lineRule="exact"/>
        <w:rPr>
          <w:sz w:val="20"/>
          <w:szCs w:val="20"/>
          <w:color w:val="auto"/>
        </w:rPr>
      </w:pPr>
    </w:p>
    <w:p>
      <w:pPr>
        <w:spacing w:after="0"/>
        <w:rPr>
          <w:sz w:val="20"/>
          <w:szCs w:val="20"/>
          <w:color w:val="auto"/>
        </w:rPr>
      </w:pPr>
      <w:r>
        <w:rPr>
          <w:rFonts w:ascii="Arial" w:cs="Arial" w:eastAsia="Arial" w:hAnsi="Arial"/>
          <w:sz w:val="36"/>
          <w:szCs w:val="36"/>
          <w:color w:val="auto"/>
        </w:rPr>
        <w:t>Class III - Directors whose terms expire in 2027</w:t>
      </w:r>
    </w:p>
    <w:p>
      <w:pPr>
        <w:spacing w:after="0" w:line="224" w:lineRule="exact"/>
        <w:rPr>
          <w:sz w:val="20"/>
          <w:szCs w:val="20"/>
          <w:color w:val="auto"/>
        </w:rPr>
      </w:pPr>
    </w:p>
    <w:p>
      <w:pPr>
        <w:ind w:left="1880"/>
        <w:spacing w:after="0"/>
        <w:rPr>
          <w:sz w:val="20"/>
          <w:szCs w:val="20"/>
          <w:color w:val="auto"/>
        </w:rPr>
      </w:pPr>
      <w:r>
        <w:rPr>
          <w:rFonts w:ascii="Arial" w:cs="Arial" w:eastAsia="Arial" w:hAnsi="Arial"/>
          <w:sz w:val="28"/>
          <w:szCs w:val="28"/>
          <w:b w:val="1"/>
          <w:bCs w:val="1"/>
          <w:color w:val="000039"/>
        </w:rPr>
        <w:t>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-79375</wp:posOffset>
            </wp:positionV>
            <wp:extent cx="971550" cy="9715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73">
                      <a:extLst>
                        <a:ext uri="{28A0092B-C50C-407E-A947-70E740481C1C}"/>
                      </a:extLst>
                    </a:blip>
                    <a:srcRect/>
                    <a:stretch>
                      <a:fillRect/>
                    </a:stretch>
                  </pic:blipFill>
                  <pic:spPr bwMode="auto">
                    <a:xfrm>
                      <a:off x="0" y="0"/>
                      <a:ext cx="971550" cy="971550"/>
                    </a:xfrm>
                    <a:prstGeom prst="rect">
                      <a:avLst/>
                    </a:prstGeom>
                    <a:noFill/>
                  </pic:spPr>
                </pic:pic>
              </a:graphicData>
            </a:graphic>
          </wp:anchor>
        </w:drawing>
      </w:r>
    </w:p>
    <w:p>
      <w:pPr>
        <w:spacing w:after="0" w:line="19"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2013</w:t>
      </w:r>
    </w:p>
    <w:p>
      <w:pPr>
        <w:ind w:left="188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65</w:t>
      </w:r>
    </w:p>
    <w:p>
      <w:pPr>
        <w:ind w:left="1880"/>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Audit, Compensation, Nominations &amp; Governance, and Public Policy &amp;</w:t>
      </w:r>
    </w:p>
    <w:p>
      <w:pPr>
        <w:ind w:left="1880"/>
        <w:spacing w:after="0"/>
        <w:rPr>
          <w:sz w:val="20"/>
          <w:szCs w:val="20"/>
          <w:color w:val="auto"/>
        </w:rPr>
      </w:pPr>
      <w:r>
        <w:rPr>
          <w:rFonts w:ascii="Arial" w:cs="Arial" w:eastAsia="Arial" w:hAnsi="Arial"/>
          <w:sz w:val="20"/>
          <w:szCs w:val="20"/>
          <w:b w:val="1"/>
          <w:bCs w:val="1"/>
          <w:color w:val="000039"/>
        </w:rPr>
        <w:t>Sustainability</w:t>
      </w:r>
    </w:p>
    <w:p>
      <w:pPr>
        <w:ind w:left="188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President, Austin Investment Advisors</w:t>
      </w:r>
    </w:p>
    <w:p>
      <w:pPr>
        <w:ind w:left="1880"/>
        <w:spacing w:after="0"/>
        <w:rPr>
          <w:sz w:val="20"/>
          <w:szCs w:val="20"/>
          <w:color w:val="auto"/>
        </w:rPr>
      </w:pPr>
      <w:r>
        <w:rPr>
          <w:rFonts w:ascii="Arial" w:cs="Arial" w:eastAsia="Arial" w:hAnsi="Arial"/>
          <w:sz w:val="20"/>
          <w:szCs w:val="20"/>
          <w:b w:val="1"/>
          <w:bCs w:val="1"/>
          <w:color w:val="000039"/>
        </w:rPr>
        <w:t>Lead Independent Director</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2" w:lineRule="exact"/>
        <w:rPr>
          <w:sz w:val="20"/>
          <w:szCs w:val="20"/>
          <w:color w:val="auto"/>
        </w:rPr>
      </w:pPr>
    </w:p>
    <w:p>
      <w:pPr>
        <w:ind w:left="160" w:right="40"/>
        <w:spacing w:after="0" w:line="242" w:lineRule="auto"/>
        <w:rPr>
          <w:sz w:val="20"/>
          <w:szCs w:val="20"/>
          <w:color w:val="auto"/>
        </w:rPr>
      </w:pPr>
      <w:r>
        <w:rPr>
          <w:rFonts w:ascii="Arial" w:cs="Arial" w:eastAsia="Arial" w:hAnsi="Arial"/>
          <w:sz w:val="20"/>
          <w:szCs w:val="20"/>
          <w:color w:val="auto"/>
        </w:rPr>
        <w:t>Ms. Austin is President of Austin Investment Advisors, a private investment and consulting firm. She chaired the U.S. Mid-market Investment Advisory Committee of EQT Partners from 2017 to 2023. Previously, Ms. Austin also served as the President and Chief Executive Officer of Move Networks, Inc., a provider of Internet television services. Ms. Austin served as President and Chief Operating Officer of DIRECTV, Inc. Ms. Austin also served as Executive Vice President and Chief Financial Officer of Hughes Electronics Corporation and as a partner of Deloitte &amp; Touche LLP. Ms. Austin is also a director of Crowdstrike, Inc., Freshworks, Inc., and Verizon Communications Inc. Ms. Austin previously served as a director of Abbott Laboratories from 2000 to 2022, Teledyne Technologies, Inc. from 2006 to 2021, Target Corporation from 2002 to 2020, and Telefonaktiebolaget LM Ericsson from 2008 to 2016.</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3" w:lineRule="exact"/>
        <w:rPr>
          <w:sz w:val="20"/>
          <w:szCs w:val="20"/>
          <w:color w:val="auto"/>
        </w:rPr>
      </w:pPr>
    </w:p>
    <w:p>
      <w:pPr>
        <w:ind w:left="440" w:right="60" w:hanging="286"/>
        <w:spacing w:after="0" w:line="247" w:lineRule="auto"/>
        <w:tabs>
          <w:tab w:leader="none" w:pos="445" w:val="left"/>
        </w:tabs>
        <w:numPr>
          <w:ilvl w:val="0"/>
          <w:numId w:val="69"/>
        </w:numPr>
        <w:rPr>
          <w:rFonts w:ascii="Arial" w:cs="Arial" w:eastAsia="Arial" w:hAnsi="Arial"/>
          <w:sz w:val="20"/>
          <w:szCs w:val="20"/>
          <w:color w:val="000039"/>
        </w:rPr>
      </w:pPr>
      <w:r>
        <w:rPr>
          <w:rFonts w:ascii="Arial" w:cs="Arial" w:eastAsia="Arial" w:hAnsi="Arial"/>
          <w:sz w:val="20"/>
          <w:szCs w:val="20"/>
          <w:color w:val="auto"/>
        </w:rPr>
        <w:t>As a result of her extensive management and operating roles, Ms. Austin contributes significant oversight and leadership experience to the Board, including knowledge of global business strategy in health care and other industries, corporate governance, financial statements, and capital allocation strategy. Ms. Austin also provides substantial cybersecurity and other information technology expertise, as a result of her role as a director at Crowdstrike, Inc., a cybersecurity technology company, and other publicly traded companies.</w:t>
      </w:r>
    </w:p>
    <w:p>
      <w:pPr>
        <w:spacing w:after="0" w:line="2" w:lineRule="exact"/>
        <w:rPr>
          <w:rFonts w:ascii="Arial" w:cs="Arial" w:eastAsia="Arial" w:hAnsi="Arial"/>
          <w:sz w:val="20"/>
          <w:szCs w:val="20"/>
          <w:color w:val="000039"/>
        </w:rPr>
      </w:pPr>
    </w:p>
    <w:p>
      <w:pPr>
        <w:ind w:left="440" w:right="260" w:hanging="286"/>
        <w:spacing w:after="0" w:line="249" w:lineRule="auto"/>
        <w:tabs>
          <w:tab w:leader="none" w:pos="445" w:val="left"/>
        </w:tabs>
        <w:numPr>
          <w:ilvl w:val="0"/>
          <w:numId w:val="69"/>
        </w:numPr>
        <w:rPr>
          <w:rFonts w:ascii="Arial" w:cs="Arial" w:eastAsia="Arial" w:hAnsi="Arial"/>
          <w:sz w:val="20"/>
          <w:szCs w:val="20"/>
          <w:color w:val="000039"/>
        </w:rPr>
      </w:pPr>
      <w:r>
        <w:rPr>
          <w:rFonts w:ascii="Arial" w:cs="Arial" w:eastAsia="Arial" w:hAnsi="Arial"/>
          <w:sz w:val="20"/>
          <w:szCs w:val="20"/>
          <w:color w:val="auto"/>
        </w:rPr>
        <w:t>Her leadership roles at both public and private companies also enhance her independent oversight role as AbbVie’s Lead Independent Director, including effectively leading key board processes such as self-evaluations and succession planning.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-1205865</wp:posOffset>
                </wp:positionV>
                <wp:extent cx="6400800" cy="118745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187450"/>
                        </a:xfrm>
                        <a:prstGeom prst="rect">
                          <a:avLst/>
                        </a:prstGeom>
                        <a:solidFill>
                          <a:srgbClr val="F2F2F2"/>
                        </a:solidFill>
                      </wps:spPr>
                      <wps:bodyPr/>
                    </wps:wsp>
                  </a:graphicData>
                </a:graphic>
              </wp:anchor>
            </w:drawing>
          </mc:Choice>
          <mc:Fallback>
            <w:pict>
              <v:rect id="Shape 337" o:spid="_x0000_s1362" style="position:absolute;margin-left:0pt;margin-top:-94.9499pt;width:504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-222250</wp:posOffset>
            </wp:positionV>
            <wp:extent cx="992505" cy="2006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74">
                      <a:extLst>
                        <a:ext uri="{28A0092B-C50C-407E-A947-70E740481C1C}"/>
                      </a:extLst>
                    </a:blip>
                    <a:srcRect/>
                    <a:stretch>
                      <a:fillRect/>
                    </a:stretch>
                  </pic:blipFill>
                  <pic:spPr bwMode="auto">
                    <a:xfrm>
                      <a:off x="0" y="0"/>
                      <a:ext cx="992505" cy="200660"/>
                    </a:xfrm>
                    <a:prstGeom prst="rect">
                      <a:avLst/>
                    </a:prstGeom>
                    <a:noFill/>
                  </pic:spPr>
                </pic:pic>
              </a:graphicData>
            </a:graphic>
          </wp:anchor>
        </w:drawing>
      </w:r>
    </w:p>
    <w:p>
      <w:pPr>
        <w:sectPr>
          <w:pgSz w:w="11880" w:h="15480" w:orient="portrait"/>
          <w:cols w:equalWidth="0" w:num="1">
            <w:col w:w="10080"/>
          </w:cols>
          <w:pgMar w:left="900" w:top="716" w:right="900" w:bottom="0" w:gutter="0" w:footer="0" w:header="0"/>
        </w:sectPr>
      </w:pPr>
    </w:p>
    <w:bookmarkStart w:id="142" w:name="page143"/>
    <w:bookmarkEnd w:id="142"/>
    <w:p>
      <w:pPr>
        <w:spacing w:after="0"/>
        <w:rPr>
          <w:sz w:val="20"/>
          <w:szCs w:val="20"/>
          <w:color w:val="auto"/>
        </w:rPr>
      </w:pPr>
      <w:r>
        <w:rPr>
          <w:rFonts w:ascii="Arial" w:cs="Arial" w:eastAsia="Arial" w:hAnsi="Arial"/>
          <w:sz w:val="20"/>
          <w:szCs w:val="20"/>
          <w:color w:val="808080"/>
        </w:rPr>
        <w:t>INFORMATION CONCERNING DIRECTOR NOMINEES</w:t>
      </w:r>
    </w:p>
    <w:p>
      <w:pPr>
        <w:spacing w:after="0" w:line="238" w:lineRule="exact"/>
        <w:rPr>
          <w:sz w:val="20"/>
          <w:szCs w:val="20"/>
          <w:color w:val="auto"/>
        </w:rPr>
      </w:pPr>
    </w:p>
    <w:p>
      <w:pPr>
        <w:ind w:left="1880"/>
        <w:spacing w:after="0"/>
        <w:rPr>
          <w:sz w:val="20"/>
          <w:szCs w:val="20"/>
          <w:color w:val="auto"/>
        </w:rPr>
      </w:pPr>
      <w:r>
        <w:rPr>
          <w:rFonts w:ascii="Arial" w:cs="Arial" w:eastAsia="Arial" w:hAnsi="Arial"/>
          <w:sz w:val="28"/>
          <w:szCs w:val="28"/>
          <w:b w:val="1"/>
          <w:bCs w:val="1"/>
          <w:color w:val="000039"/>
        </w:rPr>
        <w:t>Thomas J.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-182880</wp:posOffset>
            </wp:positionV>
            <wp:extent cx="979805" cy="9798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75">
                      <a:extLst>
                        <a:ext uri="{28A0092B-C50C-407E-A947-70E740481C1C}"/>
                      </a:extLst>
                    </a:blip>
                    <a:srcRect/>
                    <a:stretch>
                      <a:fillRect/>
                    </a:stretch>
                  </pic:blipFill>
                  <pic:spPr bwMode="auto">
                    <a:xfrm>
                      <a:off x="0" y="0"/>
                      <a:ext cx="979805" cy="979805"/>
                    </a:xfrm>
                    <a:prstGeom prst="rect">
                      <a:avLst/>
                    </a:prstGeom>
                    <a:noFill/>
                  </pic:spPr>
                </pic:pic>
              </a:graphicData>
            </a:graphic>
          </wp:anchor>
        </w:drawing>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2025</w:t>
      </w:r>
    </w:p>
    <w:p>
      <w:pPr>
        <w:ind w:left="188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67</w:t>
      </w:r>
    </w:p>
    <w:p>
      <w:pPr>
        <w:ind w:left="1880"/>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Audit</w:t>
      </w:r>
    </w:p>
    <w:p>
      <w:pPr>
        <w:ind w:left="1900" w:right="380"/>
        <w:spacing w:after="0" w:line="265" w:lineRule="auto"/>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Retired Chairman and Chief Executive Officer, Kimberly-Clark</w:t>
      </w:r>
      <w:r>
        <w:rPr>
          <w:rFonts w:ascii="Arial" w:cs="Arial" w:eastAsia="Arial" w:hAnsi="Arial"/>
          <w:sz w:val="20"/>
          <w:szCs w:val="20"/>
          <w:color w:val="auto"/>
        </w:rPr>
        <w:t xml:space="preserve"> </w:t>
      </w:r>
      <w:r>
        <w:rPr>
          <w:rFonts w:ascii="Arial" w:cs="Arial" w:eastAsia="Arial" w:hAnsi="Arial"/>
          <w:sz w:val="20"/>
          <w:szCs w:val="20"/>
          <w:b w:val="1"/>
          <w:bCs w:val="1"/>
          <w:color w:val="000039"/>
        </w:rPr>
        <w:t>Corporation</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0" w:lineRule="exact"/>
        <w:rPr>
          <w:sz w:val="20"/>
          <w:szCs w:val="20"/>
          <w:color w:val="auto"/>
        </w:rPr>
      </w:pPr>
    </w:p>
    <w:p>
      <w:pPr>
        <w:ind w:left="160"/>
        <w:spacing w:after="0" w:line="243" w:lineRule="auto"/>
        <w:rPr>
          <w:sz w:val="20"/>
          <w:szCs w:val="20"/>
          <w:color w:val="auto"/>
        </w:rPr>
      </w:pPr>
      <w:r>
        <w:rPr>
          <w:rFonts w:ascii="Arial" w:cs="Arial" w:eastAsia="Arial" w:hAnsi="Arial"/>
          <w:sz w:val="20"/>
          <w:szCs w:val="20"/>
          <w:color w:val="auto"/>
        </w:rPr>
        <w:t>Having served 36 years at Kimberly-Clark Corporation, Mr. Falk served as Executive Chairman from January 2019 until his retirement in December 2019. He previously served as Chairman of the Board and Chief Executive Officer from 2003 until December 2018, as Chief Executive Officer from 2002 to 2003, and as President and Chief Operating Officer from 1999 to 2002. Mr. Falk is also a director on the boards of Lockheed Martin and the Bipartisan Policy Center, the Baker Institute, and as a National Governor of the Boys and Girls Clubs of America.</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3" w:lineRule="exact"/>
        <w:rPr>
          <w:sz w:val="20"/>
          <w:szCs w:val="20"/>
          <w:color w:val="auto"/>
        </w:rPr>
      </w:pPr>
    </w:p>
    <w:p>
      <w:pPr>
        <w:ind w:left="460" w:right="40" w:hanging="280"/>
        <w:spacing w:after="0" w:line="246" w:lineRule="auto"/>
        <w:tabs>
          <w:tab w:leader="none" w:pos="483" w:val="left"/>
        </w:tabs>
        <w:numPr>
          <w:ilvl w:val="0"/>
          <w:numId w:val="70"/>
        </w:numPr>
        <w:rPr>
          <w:rFonts w:ascii="Arial" w:cs="Arial" w:eastAsia="Arial" w:hAnsi="Arial"/>
          <w:sz w:val="20"/>
          <w:szCs w:val="20"/>
          <w:color w:val="000039"/>
        </w:rPr>
      </w:pPr>
      <w:r>
        <w:rPr>
          <w:rFonts w:ascii="Arial" w:cs="Arial" w:eastAsia="Arial" w:hAnsi="Arial"/>
          <w:sz w:val="20"/>
          <w:szCs w:val="20"/>
          <w:color w:val="auto"/>
        </w:rPr>
        <w:t>During his tenure as Chairman of the Board and Chief Executive Officer of Kimberly-Clark Corporation, Mr. Falk acquired extensive management experience overseeing a complex multinational business, including strategic, management, financial, and operational expertise. In addition, as a result of his current role as Lead Independent Director at Lockheed Martin, Mr. Falk has garnered significant independent board oversight experience, including related to key board processes such as succession planning and capital allocation oversight. This combined expertise allows him to exercise effective independent oversight of AbbVie’s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-1045845</wp:posOffset>
                </wp:positionV>
                <wp:extent cx="6400800" cy="1031875"/>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031875"/>
                        </a:xfrm>
                        <a:prstGeom prst="rect">
                          <a:avLst/>
                        </a:prstGeom>
                        <a:solidFill>
                          <a:srgbClr val="F1F1F1"/>
                        </a:solidFill>
                      </wps:spPr>
                      <wps:bodyPr/>
                    </wps:wsp>
                  </a:graphicData>
                </a:graphic>
              </wp:anchor>
            </w:drawing>
          </mc:Choice>
          <mc:Fallback>
            <w:pict>
              <v:rect id="Shape 340" o:spid="_x0000_s1365" style="position:absolute;margin-left:0pt;margin-top:-82.3499pt;width:504pt;height:8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28"/>
          <w:szCs w:val="28"/>
          <w:b w:val="1"/>
          <w:bCs w:val="1"/>
          <w:color w:val="000039"/>
        </w:rPr>
        <w:t>Susan E. Quaggin,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-172720</wp:posOffset>
            </wp:positionV>
            <wp:extent cx="967105" cy="9607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76">
                      <a:extLst>
                        <a:ext uri="{28A0092B-C50C-407E-A947-70E740481C1C}"/>
                      </a:extLst>
                    </a:blip>
                    <a:srcRect/>
                    <a:stretch>
                      <a:fillRect/>
                    </a:stretch>
                  </pic:blipFill>
                  <pic:spPr bwMode="auto">
                    <a:xfrm>
                      <a:off x="0" y="0"/>
                      <a:ext cx="967105" cy="960755"/>
                    </a:xfrm>
                    <a:prstGeom prst="rect">
                      <a:avLst/>
                    </a:prstGeom>
                    <a:noFill/>
                  </pic:spPr>
                </pic:pic>
              </a:graphicData>
            </a:graphic>
          </wp:anchor>
        </w:drawing>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2023</w:t>
      </w:r>
    </w:p>
    <w:p>
      <w:pPr>
        <w:ind w:left="188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62</w:t>
      </w:r>
    </w:p>
    <w:p>
      <w:pPr>
        <w:ind w:left="1880"/>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Public Policy &amp; Sustainability</w:t>
      </w:r>
    </w:p>
    <w:p>
      <w:pPr>
        <w:ind w:left="188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Irving S. Cutter Professor and Chair of Medicine, Northwestern</w:t>
      </w:r>
    </w:p>
    <w:p>
      <w:pPr>
        <w:ind w:left="1880"/>
        <w:spacing w:after="0"/>
        <w:rPr>
          <w:sz w:val="20"/>
          <w:szCs w:val="20"/>
          <w:color w:val="auto"/>
        </w:rPr>
      </w:pPr>
      <w:r>
        <w:rPr>
          <w:rFonts w:ascii="Arial" w:cs="Arial" w:eastAsia="Arial" w:hAnsi="Arial"/>
          <w:sz w:val="20"/>
          <w:szCs w:val="20"/>
          <w:b w:val="1"/>
          <w:bCs w:val="1"/>
          <w:color w:val="000039"/>
        </w:rPr>
        <w:t>University Feinberg School of Medicine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2" w:lineRule="exact"/>
        <w:rPr>
          <w:sz w:val="20"/>
          <w:szCs w:val="20"/>
          <w:color w:val="auto"/>
        </w:rPr>
      </w:pPr>
    </w:p>
    <w:p>
      <w:pPr>
        <w:ind w:left="160"/>
        <w:spacing w:after="0" w:line="243" w:lineRule="auto"/>
        <w:rPr>
          <w:sz w:val="20"/>
          <w:szCs w:val="20"/>
          <w:color w:val="auto"/>
        </w:rPr>
      </w:pPr>
      <w:r>
        <w:rPr>
          <w:rFonts w:ascii="Arial" w:cs="Arial" w:eastAsia="Arial" w:hAnsi="Arial"/>
          <w:sz w:val="20"/>
          <w:szCs w:val="20"/>
          <w:color w:val="auto"/>
        </w:rPr>
        <w:t>Dr. Quaggin is currently the Irving S. Cutter Professor of Medicine at Northwestern University Feinberg School of Medicine, where she has served as the Chair of the Department of Medicine since 2023 and Director of the Feinberg Cardiovascular and Renal Research Institute since 2013. Dr. Quaggin serves as a council member of the Association of American Physicians and previously served as President of the American Society of Nephrology in 2021 and 2022.</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3" w:lineRule="exact"/>
        <w:rPr>
          <w:sz w:val="20"/>
          <w:szCs w:val="20"/>
          <w:color w:val="auto"/>
        </w:rPr>
      </w:pPr>
    </w:p>
    <w:p>
      <w:pPr>
        <w:ind w:left="440" w:right="140" w:hanging="286"/>
        <w:spacing w:after="0" w:line="253" w:lineRule="auto"/>
        <w:tabs>
          <w:tab w:leader="none" w:pos="445" w:val="left"/>
        </w:tabs>
        <w:numPr>
          <w:ilvl w:val="0"/>
          <w:numId w:val="71"/>
        </w:numPr>
        <w:rPr>
          <w:rFonts w:ascii="Arial" w:cs="Arial" w:eastAsia="Arial" w:hAnsi="Arial"/>
          <w:sz w:val="20"/>
          <w:szCs w:val="20"/>
          <w:color w:val="000039"/>
        </w:rPr>
      </w:pPr>
      <w:r>
        <w:rPr>
          <w:rFonts w:ascii="Arial" w:cs="Arial" w:eastAsia="Arial" w:hAnsi="Arial"/>
          <w:sz w:val="20"/>
          <w:szCs w:val="20"/>
          <w:color w:val="auto"/>
        </w:rPr>
        <w:t>Through her position as the Irving S. Cutter Professor of Medicine at Northwestern University Feinberg School of Medicine, as well as her other leadership roles, Dr. Quaggin has acquired extensive medical and scientific expertise and deep knowledge of the health care environment. This expertise allows her to contribute valuable insights on AbbVie’s key research and development initiatives, among other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-614045</wp:posOffset>
                </wp:positionV>
                <wp:extent cx="6400800" cy="593725"/>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593725"/>
                        </a:xfrm>
                        <a:prstGeom prst="rect">
                          <a:avLst/>
                        </a:prstGeom>
                        <a:solidFill>
                          <a:srgbClr val="F1F1F1"/>
                        </a:solidFill>
                      </wps:spPr>
                      <wps:bodyPr/>
                    </wps:wsp>
                  </a:graphicData>
                </a:graphic>
              </wp:anchor>
            </w:drawing>
          </mc:Choice>
          <mc:Fallback>
            <w:pict>
              <v:rect id="Shape 342" o:spid="_x0000_s1367" style="position:absolute;margin-left:0pt;margin-top:-48.3499pt;width:504pt;height:46.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14  </w:t>
      </w:r>
      <w:r>
        <w:rPr>
          <w:sz w:val="1"/>
          <w:szCs w:val="1"/>
          <w:color w:val="auto"/>
        </w:rPr>
        <w:drawing>
          <wp:inline distT="0" distB="0" distL="0" distR="0">
            <wp:extent cx="991870" cy="20066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77">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00"/>
          </w:cols>
          <w:pgMar w:left="900" w:top="702" w:right="980" w:bottom="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color w:val="808080"/>
        </w:rPr>
        <w:t>INFORMATION CONCERNING DIRECTOR NOMINEES</w:t>
      </w:r>
    </w:p>
    <w:p>
      <w:pPr>
        <w:spacing w:after="0" w:line="237" w:lineRule="exact"/>
        <w:rPr>
          <w:sz w:val="20"/>
          <w:szCs w:val="20"/>
          <w:color w:val="auto"/>
        </w:rPr>
      </w:pPr>
    </w:p>
    <w:p>
      <w:pPr>
        <w:ind w:left="1880"/>
        <w:spacing w:after="0"/>
        <w:rPr>
          <w:sz w:val="20"/>
          <w:szCs w:val="20"/>
          <w:color w:val="auto"/>
        </w:rPr>
      </w:pPr>
      <w:r>
        <w:rPr>
          <w:rFonts w:ascii="Arial" w:cs="Arial" w:eastAsia="Arial" w:hAnsi="Arial"/>
          <w:sz w:val="28"/>
          <w:szCs w:val="28"/>
          <w:b w:val="1"/>
          <w:bCs w:val="1"/>
          <w:color w:val="000039"/>
        </w:rPr>
        <w:t>Rebecca B.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-182245</wp:posOffset>
            </wp:positionV>
            <wp:extent cx="964565" cy="9734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78">
                      <a:extLst>
                        <a:ext uri="{28A0092B-C50C-407E-A947-70E740481C1C}"/>
                      </a:extLst>
                    </a:blip>
                    <a:srcRect/>
                    <a:stretch>
                      <a:fillRect/>
                    </a:stretch>
                  </pic:blipFill>
                  <pic:spPr bwMode="auto">
                    <a:xfrm>
                      <a:off x="0" y="0"/>
                      <a:ext cx="964565" cy="973455"/>
                    </a:xfrm>
                    <a:prstGeom prst="rect">
                      <a:avLst/>
                    </a:prstGeom>
                    <a:noFill/>
                  </pic:spPr>
                </pic:pic>
              </a:graphicData>
            </a:graphic>
          </wp:anchor>
        </w:drawing>
      </w:r>
    </w:p>
    <w:p>
      <w:pPr>
        <w:spacing w:after="0" w:line="19"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2018</w:t>
      </w:r>
    </w:p>
    <w:p>
      <w:pPr>
        <w:ind w:left="188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73</w:t>
      </w:r>
    </w:p>
    <w:p>
      <w:pPr>
        <w:ind w:left="1880"/>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Nominations &amp; Governance and Public Policy &amp; Sustainability</w:t>
      </w:r>
    </w:p>
    <w:p>
      <w:pPr>
        <w:ind w:left="188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Retired President of Chevron Pipe Line Company</w:t>
      </w: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2" w:lineRule="exact"/>
        <w:rPr>
          <w:sz w:val="20"/>
          <w:szCs w:val="20"/>
          <w:color w:val="auto"/>
        </w:rPr>
      </w:pPr>
    </w:p>
    <w:p>
      <w:pPr>
        <w:ind w:left="160" w:right="20"/>
        <w:spacing w:after="0" w:line="259" w:lineRule="auto"/>
        <w:rPr>
          <w:sz w:val="20"/>
          <w:szCs w:val="20"/>
          <w:color w:val="auto"/>
        </w:rPr>
      </w:pPr>
      <w:r>
        <w:rPr>
          <w:rFonts w:ascii="Arial" w:cs="Arial" w:eastAsia="Arial" w:hAnsi="Arial"/>
          <w:sz w:val="19"/>
          <w:szCs w:val="19"/>
          <w:color w:val="auto"/>
        </w:rPr>
        <w:t>Ms. Roberts served as President of Chevron Pipe Line Company from 2006 until her retirement in 2011. She previously served as the President of Chevron Global Power Generation from 2003 to 2006, in addition to various technical and management positions during her thirty-six year career with Chevron. Ms. Roberts began her career as a chemist and research scientist. Ms. Roberts previously served as a director of Enbridge, Inc. from 2015 to 2018, Black Hills Corporation from 2011 to 2025, and MSA Safety Incorporated from 2013 to 2025.</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3" w:lineRule="exact"/>
        <w:rPr>
          <w:sz w:val="20"/>
          <w:szCs w:val="20"/>
          <w:color w:val="auto"/>
        </w:rPr>
      </w:pPr>
    </w:p>
    <w:p>
      <w:pPr>
        <w:ind w:left="440" w:right="140" w:hanging="286"/>
        <w:spacing w:after="0" w:line="252" w:lineRule="auto"/>
        <w:tabs>
          <w:tab w:leader="none" w:pos="445" w:val="left"/>
        </w:tabs>
        <w:numPr>
          <w:ilvl w:val="0"/>
          <w:numId w:val="72"/>
        </w:numPr>
        <w:rPr>
          <w:rFonts w:ascii="Arial" w:cs="Arial" w:eastAsia="Arial" w:hAnsi="Arial"/>
          <w:sz w:val="20"/>
          <w:szCs w:val="20"/>
          <w:color w:val="000039"/>
        </w:rPr>
      </w:pPr>
      <w:r>
        <w:rPr>
          <w:rFonts w:ascii="Arial" w:cs="Arial" w:eastAsia="Arial" w:hAnsi="Arial"/>
          <w:sz w:val="20"/>
          <w:szCs w:val="20"/>
          <w:color w:val="auto"/>
        </w:rPr>
        <w:t>Ms. Roberts brings management, business development, operational, environmental and safety, marketing, and strategy development expertise with a scientific background and extensive global experience at Chevron.</w:t>
      </w:r>
    </w:p>
    <w:p>
      <w:pPr>
        <w:spacing w:after="0" w:line="2" w:lineRule="exact"/>
        <w:rPr>
          <w:rFonts w:ascii="Arial" w:cs="Arial" w:eastAsia="Arial" w:hAnsi="Arial"/>
          <w:sz w:val="20"/>
          <w:szCs w:val="20"/>
          <w:color w:val="000039"/>
        </w:rPr>
      </w:pPr>
    </w:p>
    <w:p>
      <w:pPr>
        <w:ind w:left="440" w:right="300" w:hanging="286"/>
        <w:spacing w:after="0" w:line="249" w:lineRule="auto"/>
        <w:tabs>
          <w:tab w:leader="none" w:pos="445" w:val="left"/>
        </w:tabs>
        <w:numPr>
          <w:ilvl w:val="0"/>
          <w:numId w:val="72"/>
        </w:numPr>
        <w:rPr>
          <w:rFonts w:ascii="Arial" w:cs="Arial" w:eastAsia="Arial" w:hAnsi="Arial"/>
          <w:sz w:val="20"/>
          <w:szCs w:val="20"/>
          <w:color w:val="000039"/>
        </w:rPr>
      </w:pPr>
      <w:r>
        <w:rPr>
          <w:rFonts w:ascii="Arial" w:cs="Arial" w:eastAsia="Arial" w:hAnsi="Arial"/>
          <w:sz w:val="20"/>
          <w:szCs w:val="20"/>
          <w:color w:val="auto"/>
        </w:rPr>
        <w:t>She provides an informed perspective to the Board on regulatory and operational matters faced by a complex international company. She also has broad experience across a range of geographies, including Asia, Europe, and Central America.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-913765</wp:posOffset>
                </wp:positionV>
                <wp:extent cx="6400800" cy="89535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895350"/>
                        </a:xfrm>
                        <a:prstGeom prst="rect">
                          <a:avLst/>
                        </a:prstGeom>
                        <a:solidFill>
                          <a:srgbClr val="F1F1F1"/>
                        </a:solidFill>
                      </wps:spPr>
                      <wps:bodyPr/>
                    </wps:wsp>
                  </a:graphicData>
                </a:graphic>
              </wp:anchor>
            </w:drawing>
          </mc:Choice>
          <mc:Fallback>
            <w:pict>
              <v:rect id="Shape 345" o:spid="_x0000_s1370" style="position:absolute;margin-left:0pt;margin-top:-71.9499pt;width:504pt;height: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187" w:lineRule="exact"/>
        <w:rPr>
          <w:sz w:val="20"/>
          <w:szCs w:val="20"/>
          <w:color w:val="auto"/>
        </w:rPr>
      </w:pPr>
    </w:p>
    <w:p>
      <w:pPr>
        <w:spacing w:after="0"/>
        <w:rPr>
          <w:sz w:val="20"/>
          <w:szCs w:val="20"/>
          <w:color w:val="auto"/>
        </w:rPr>
      </w:pPr>
      <w:r>
        <w:rPr>
          <w:rFonts w:ascii="Arial" w:cs="Arial" w:eastAsia="Arial" w:hAnsi="Arial"/>
          <w:sz w:val="36"/>
          <w:szCs w:val="36"/>
          <w:color w:val="auto"/>
        </w:rPr>
        <w:t>Class I - Directors whose terms expire in 2028</w:t>
      </w:r>
    </w:p>
    <w:p>
      <w:pPr>
        <w:spacing w:after="0" w:line="204" w:lineRule="exact"/>
        <w:rPr>
          <w:sz w:val="20"/>
          <w:szCs w:val="20"/>
          <w:color w:val="auto"/>
        </w:rPr>
      </w:pPr>
    </w:p>
    <w:p>
      <w:pPr>
        <w:ind w:left="1880"/>
        <w:spacing w:after="0"/>
        <w:rPr>
          <w:sz w:val="20"/>
          <w:szCs w:val="20"/>
          <w:color w:val="auto"/>
        </w:rPr>
      </w:pPr>
      <w:r>
        <w:rPr>
          <w:rFonts w:ascii="Arial" w:cs="Arial" w:eastAsia="Arial" w:hAnsi="Arial"/>
          <w:sz w:val="28"/>
          <w:szCs w:val="28"/>
          <w:b w:val="1"/>
          <w:bCs w:val="1"/>
          <w:color w:val="000039"/>
        </w:rPr>
        <w:t>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-182245</wp:posOffset>
            </wp:positionV>
            <wp:extent cx="962025" cy="9696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79">
                      <a:extLst>
                        <a:ext uri="{28A0092B-C50C-407E-A947-70E740481C1C}"/>
                      </a:extLst>
                    </a:blip>
                    <a:srcRect/>
                    <a:stretch>
                      <a:fillRect/>
                    </a:stretch>
                  </pic:blipFill>
                  <pic:spPr bwMode="auto">
                    <a:xfrm>
                      <a:off x="0" y="0"/>
                      <a:ext cx="962025" cy="969645"/>
                    </a:xfrm>
                    <a:prstGeom prst="rect">
                      <a:avLst/>
                    </a:prstGeom>
                    <a:noFill/>
                  </pic:spPr>
                </pic:pic>
              </a:graphicData>
            </a:graphic>
          </wp:anchor>
        </w:drawing>
      </w:r>
    </w:p>
    <w:p>
      <w:pPr>
        <w:spacing w:after="0" w:line="19"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2013</w:t>
      </w:r>
    </w:p>
    <w:p>
      <w:pPr>
        <w:ind w:left="188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74</w:t>
      </w:r>
    </w:p>
    <w:p>
      <w:pPr>
        <w:ind w:left="1880"/>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Audit and Public Policy &amp; Sustainability</w:t>
      </w:r>
    </w:p>
    <w:p>
      <w:pPr>
        <w:ind w:left="188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Retired Senior Vice President and Director at The Boston</w:t>
      </w:r>
    </w:p>
    <w:p>
      <w:pPr>
        <w:ind w:left="1880"/>
        <w:spacing w:after="0"/>
        <w:rPr>
          <w:sz w:val="20"/>
          <w:szCs w:val="20"/>
          <w:color w:val="auto"/>
        </w:rPr>
      </w:pPr>
      <w:r>
        <w:rPr>
          <w:rFonts w:ascii="Arial" w:cs="Arial" w:eastAsia="Arial" w:hAnsi="Arial"/>
          <w:sz w:val="20"/>
          <w:szCs w:val="20"/>
          <w:b w:val="1"/>
          <w:bCs w:val="1"/>
          <w:color w:val="000039"/>
        </w:rPr>
        <w:t>Consulting Group</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2" w:lineRule="exact"/>
        <w:rPr>
          <w:sz w:val="20"/>
          <w:szCs w:val="20"/>
          <w:color w:val="auto"/>
        </w:rPr>
      </w:pPr>
    </w:p>
    <w:p>
      <w:pPr>
        <w:jc w:val="both"/>
        <w:ind w:left="160" w:right="400"/>
        <w:spacing w:after="0" w:line="245" w:lineRule="auto"/>
        <w:rPr>
          <w:sz w:val="20"/>
          <w:szCs w:val="20"/>
          <w:color w:val="auto"/>
        </w:rPr>
      </w:pPr>
      <w:r>
        <w:rPr>
          <w:rFonts w:ascii="Arial" w:cs="Arial" w:eastAsia="Arial" w:hAnsi="Arial"/>
          <w:sz w:val="20"/>
          <w:szCs w:val="20"/>
          <w:color w:val="auto"/>
        </w:rPr>
        <w:t>Mr. Burnside is a retired Senior Vice President and director at The Boston Consulting Group (BCG) . Prior to becoming managing partner of BCG’s Los Angeles office in 1987, he worked in BCG’s London and Chicago offices, servicing clients in telecommunications, media, defense, financial services, and manufacturing. He most recently served as an advisor for BCG from 2011 to 2023.</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400800" cy="729615"/>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729615"/>
                        </a:xfrm>
                        <a:prstGeom prst="rect">
                          <a:avLst/>
                        </a:prstGeom>
                        <a:solidFill>
                          <a:srgbClr val="F1F1F1"/>
                        </a:solidFill>
                      </wps:spPr>
                      <wps:bodyPr/>
                    </wps:wsp>
                  </a:graphicData>
                </a:graphic>
              </wp:anchor>
            </w:drawing>
          </mc:Choice>
          <mc:Fallback>
            <w:pict>
              <v:rect id="Shape 347" o:spid="_x0000_s1372" style="position:absolute;margin-left:0pt;margin-top:1.25pt;width:504pt;height:5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11" w:lineRule="exact"/>
        <w:rPr>
          <w:sz w:val="20"/>
          <w:szCs w:val="20"/>
          <w:color w:val="auto"/>
        </w:rPr>
      </w:pPr>
    </w:p>
    <w:p>
      <w:pPr>
        <w:ind w:left="440" w:right="60" w:hanging="286"/>
        <w:spacing w:after="0" w:line="243" w:lineRule="auto"/>
        <w:tabs>
          <w:tab w:leader="none" w:pos="435" w:val="left"/>
        </w:tabs>
        <w:numPr>
          <w:ilvl w:val="0"/>
          <w:numId w:val="73"/>
        </w:numPr>
        <w:rPr>
          <w:rFonts w:ascii="Arial" w:cs="Arial" w:eastAsia="Arial" w:hAnsi="Arial"/>
          <w:sz w:val="18"/>
          <w:szCs w:val="18"/>
          <w:color w:val="000039"/>
        </w:rPr>
      </w:pPr>
      <w:r>
        <w:rPr>
          <w:rFonts w:ascii="Arial" w:cs="Arial" w:eastAsia="Arial" w:hAnsi="Arial"/>
          <w:sz w:val="20"/>
          <w:szCs w:val="20"/>
          <w:color w:val="auto"/>
        </w:rPr>
        <w:t>Through his experience with The Boston Consulting Group, Mr. Burnside contributes knowledge and understanding of corporate finance and capital markets matters to the Board, as well as global and domestic strategic advisory experience across a broad base of industries. He provides an informed perspective to the Board on financial forecasting and planning, mergers and acquisitions, human capital management, marketing, and risk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-222250</wp:posOffset>
            </wp:positionV>
            <wp:extent cx="992505" cy="2006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80">
                      <a:extLst>
                        <a:ext uri="{28A0092B-C50C-407E-A947-70E740481C1C}"/>
                      </a:extLst>
                    </a:blip>
                    <a:srcRect/>
                    <a:stretch>
                      <a:fillRect/>
                    </a:stretch>
                  </pic:blipFill>
                  <pic:spPr bwMode="auto">
                    <a:xfrm>
                      <a:off x="0" y="0"/>
                      <a:ext cx="992505" cy="200660"/>
                    </a:xfrm>
                    <a:prstGeom prst="rect">
                      <a:avLst/>
                    </a:prstGeom>
                    <a:noFill/>
                  </pic:spPr>
                </pic:pic>
              </a:graphicData>
            </a:graphic>
          </wp:anchor>
        </w:drawing>
      </w:r>
    </w:p>
    <w:p>
      <w:pPr>
        <w:sectPr>
          <w:pgSz w:w="11880" w:h="15480" w:orient="portrait"/>
          <w:cols w:equalWidth="0" w:num="1">
            <w:col w:w="10080"/>
          </w:cols>
          <w:pgMar w:left="900" w:top="716" w:right="900" w:bottom="0" w:gutter="0" w:footer="0" w:header="0"/>
        </w:sectPr>
      </w:pPr>
    </w:p>
    <w:bookmarkStart w:id="144" w:name="page145"/>
    <w:bookmarkEnd w:id="144"/>
    <w:p>
      <w:pPr>
        <w:spacing w:after="0"/>
        <w:rPr>
          <w:sz w:val="20"/>
          <w:szCs w:val="20"/>
          <w:color w:val="auto"/>
        </w:rPr>
      </w:pPr>
      <w:r>
        <w:rPr>
          <w:rFonts w:ascii="Arial" w:cs="Arial" w:eastAsia="Arial" w:hAnsi="Arial"/>
          <w:sz w:val="20"/>
          <w:szCs w:val="20"/>
          <w:color w:val="808080"/>
        </w:rPr>
        <w:t>INFORMATION CONCERNING DIRECTOR NOMINEES</w:t>
      </w:r>
    </w:p>
    <w:p>
      <w:pPr>
        <w:spacing w:after="0" w:line="238" w:lineRule="exact"/>
        <w:rPr>
          <w:sz w:val="20"/>
          <w:szCs w:val="20"/>
          <w:color w:val="auto"/>
        </w:rPr>
      </w:pPr>
    </w:p>
    <w:p>
      <w:pPr>
        <w:ind w:left="1880"/>
        <w:spacing w:after="0"/>
        <w:rPr>
          <w:sz w:val="20"/>
          <w:szCs w:val="20"/>
          <w:color w:val="auto"/>
        </w:rPr>
      </w:pPr>
      <w:r>
        <w:rPr>
          <w:rFonts w:ascii="Arial" w:cs="Arial" w:eastAsia="Arial" w:hAnsi="Arial"/>
          <w:sz w:val="28"/>
          <w:szCs w:val="28"/>
          <w:b w:val="1"/>
          <w:bCs w:val="1"/>
          <w:color w:val="000039"/>
        </w:rPr>
        <w:t>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-182880</wp:posOffset>
            </wp:positionV>
            <wp:extent cx="1010920" cy="10496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81">
                      <a:extLst>
                        <a:ext uri="{28A0092B-C50C-407E-A947-70E740481C1C}"/>
                      </a:extLst>
                    </a:blip>
                    <a:srcRect/>
                    <a:stretch>
                      <a:fillRect/>
                    </a:stretch>
                  </pic:blipFill>
                  <pic:spPr bwMode="auto">
                    <a:xfrm>
                      <a:off x="0" y="0"/>
                      <a:ext cx="1010920" cy="1049655"/>
                    </a:xfrm>
                    <a:prstGeom prst="rect">
                      <a:avLst/>
                    </a:prstGeom>
                    <a:noFill/>
                  </pic:spPr>
                </pic:pic>
              </a:graphicData>
            </a:graphic>
          </wp:anchor>
        </w:drawing>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2020</w:t>
      </w:r>
    </w:p>
    <w:p>
      <w:pPr>
        <w:ind w:left="188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71</w:t>
      </w:r>
    </w:p>
    <w:p>
      <w:pPr>
        <w:ind w:left="1880"/>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Compensation and Nominations &amp; Governance (Chair)</w:t>
      </w:r>
    </w:p>
    <w:p>
      <w:pPr>
        <w:ind w:left="188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Retired Executive Vice President, Finance and Administration,</w:t>
      </w:r>
    </w:p>
    <w:p>
      <w:pPr>
        <w:ind w:left="1880"/>
        <w:spacing w:after="0"/>
        <w:rPr>
          <w:sz w:val="20"/>
          <w:szCs w:val="20"/>
          <w:color w:val="auto"/>
        </w:rPr>
      </w:pPr>
      <w:r>
        <w:rPr>
          <w:rFonts w:ascii="Arial" w:cs="Arial" w:eastAsia="Arial" w:hAnsi="Arial"/>
          <w:sz w:val="20"/>
          <w:szCs w:val="20"/>
          <w:b w:val="1"/>
          <w:bCs w:val="1"/>
          <w:color w:val="000039"/>
        </w:rPr>
        <w:t>Abbott Laboratories</w:t>
      </w:r>
    </w:p>
    <w:p>
      <w:pPr>
        <w:spacing w:after="0" w:line="36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Mr. Freyman served as a director at Allergan from 2018 to 2020, when AbbVie acquired Allergan plc.</w:t>
      </w:r>
    </w:p>
    <w:p>
      <w:pPr>
        <w:ind w:left="160" w:right="80"/>
        <w:spacing w:after="0" w:line="244" w:lineRule="auto"/>
        <w:rPr>
          <w:sz w:val="20"/>
          <w:szCs w:val="20"/>
          <w:color w:val="auto"/>
        </w:rPr>
      </w:pPr>
      <w:r>
        <w:rPr>
          <w:rFonts w:ascii="Arial" w:cs="Arial" w:eastAsia="Arial" w:hAnsi="Arial"/>
          <w:sz w:val="20"/>
          <w:szCs w:val="20"/>
          <w:color w:val="auto"/>
        </w:rPr>
        <w:t>Mr. Freyman previously served as Executive Vice President, Finance and Administration at Abbott Laboratories from 2015 until his retirement in 2017. He previously served at Abbott as Chief Financial Officer and Executive Vice President, Finance and was first appointed Chief Financial Officer and Senior Vice President, Finance in 2001. Mr. Freyman previously served as a director of Tenneco Inc. from 2013 to 2022 and Hanger, Inc. from 2017 to 2022.</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400800" cy="87630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876300"/>
                        </a:xfrm>
                        <a:prstGeom prst="rect">
                          <a:avLst/>
                        </a:prstGeom>
                        <a:solidFill>
                          <a:srgbClr val="F1F1F1"/>
                        </a:solidFill>
                      </wps:spPr>
                      <wps:bodyPr/>
                    </wps:wsp>
                  </a:graphicData>
                </a:graphic>
              </wp:anchor>
            </w:drawing>
          </mc:Choice>
          <mc:Fallback>
            <w:pict>
              <v:rect id="Shape 350" o:spid="_x0000_s1375" style="position:absolute;margin-left:0pt;margin-top:1.25pt;width:504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11" w:lineRule="exact"/>
        <w:rPr>
          <w:sz w:val="20"/>
          <w:szCs w:val="20"/>
          <w:color w:val="auto"/>
        </w:rPr>
      </w:pPr>
    </w:p>
    <w:p>
      <w:pPr>
        <w:ind w:left="440" w:right="40" w:hanging="286"/>
        <w:spacing w:after="0" w:line="243" w:lineRule="auto"/>
        <w:tabs>
          <w:tab w:leader="none" w:pos="436" w:val="left"/>
        </w:tabs>
        <w:numPr>
          <w:ilvl w:val="0"/>
          <w:numId w:val="74"/>
        </w:numPr>
        <w:rPr>
          <w:rFonts w:ascii="Arial" w:cs="Arial" w:eastAsia="Arial" w:hAnsi="Arial"/>
          <w:sz w:val="18"/>
          <w:szCs w:val="18"/>
          <w:color w:val="000039"/>
        </w:rPr>
      </w:pPr>
      <w:r>
        <w:rPr>
          <w:rFonts w:ascii="Arial" w:cs="Arial" w:eastAsia="Arial" w:hAnsi="Arial"/>
          <w:sz w:val="20"/>
          <w:szCs w:val="20"/>
          <w:color w:val="auto"/>
        </w:rPr>
        <w:t>Mr. Freyman’s extensive experience as a leader in the health care industry, knowledge of the Allergan businesses, and expertise in complex accounting and financial issues provides the Board with significant global industry experience, continuity in oversight of the Allergan businesses, and finance and risk expertise, including related to financial planning. As a result of his previous role as a director at Tenneco Inc., a global automotive products manufacturer, Mr. Freyman also has extensive manufacturing and environmental, health, and safety oversight experience.</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28"/>
          <w:szCs w:val="28"/>
          <w:b w:val="1"/>
          <w:bCs w:val="1"/>
          <w:color w:val="000039"/>
        </w:rPr>
        <w:t>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-182880</wp:posOffset>
            </wp:positionV>
            <wp:extent cx="962025" cy="9690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82">
                      <a:extLst>
                        <a:ext uri="{28A0092B-C50C-407E-A947-70E740481C1C}"/>
                      </a:extLst>
                    </a:blip>
                    <a:srcRect/>
                    <a:stretch>
                      <a:fillRect/>
                    </a:stretch>
                  </pic:blipFill>
                  <pic:spPr bwMode="auto">
                    <a:xfrm>
                      <a:off x="0" y="0"/>
                      <a:ext cx="962025" cy="969010"/>
                    </a:xfrm>
                    <a:prstGeom prst="rect">
                      <a:avLst/>
                    </a:prstGeom>
                    <a:noFill/>
                  </pic:spPr>
                </pic:pic>
              </a:graphicData>
            </a:graphic>
          </wp:anchor>
        </w:drawing>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2016</w:t>
      </w:r>
    </w:p>
    <w:p>
      <w:pPr>
        <w:ind w:left="1880"/>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57</w:t>
      </w:r>
    </w:p>
    <w:p>
      <w:pPr>
        <w:ind w:left="1880"/>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Compensation (Chair) and Nominations &amp; Governance</w:t>
      </w:r>
    </w:p>
    <w:p>
      <w:pPr>
        <w:ind w:left="1880"/>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President, United Airlines Holdings, Inc.</w:t>
      </w: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Business Experience:</w:t>
      </w:r>
    </w:p>
    <w:p>
      <w:pPr>
        <w:spacing w:after="0" w:line="30" w:lineRule="exact"/>
        <w:rPr>
          <w:sz w:val="20"/>
          <w:szCs w:val="20"/>
          <w:color w:val="auto"/>
        </w:rPr>
      </w:pPr>
    </w:p>
    <w:p>
      <w:pPr>
        <w:ind w:left="160" w:right="20"/>
        <w:spacing w:after="0" w:line="242" w:lineRule="auto"/>
        <w:rPr>
          <w:sz w:val="20"/>
          <w:szCs w:val="20"/>
          <w:color w:val="auto"/>
        </w:rPr>
      </w:pPr>
      <w:r>
        <w:rPr>
          <w:rFonts w:ascii="Arial" w:cs="Arial" w:eastAsia="Arial" w:hAnsi="Arial"/>
          <w:sz w:val="20"/>
          <w:szCs w:val="20"/>
          <w:color w:val="auto"/>
        </w:rPr>
        <w:t>Mr. Hart is the President of United Airlines Holdings, Inc. (UAL) and United Airlines, Inc. He served as Executive Vice President and Chief Administrative Officer between March 2019 and May 2020, Executive Vice President, Chief Administrative Officer and General Counsel between May 2017 and March 2019, and as Executive Vice President and General Counsel between February 2012 and May 2017. Mr. Hart also served as acting Chief Executive Officer of UAL and United Airlines, Inc.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Key Contributions to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400800" cy="729615"/>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729615"/>
                        </a:xfrm>
                        <a:prstGeom prst="rect">
                          <a:avLst/>
                        </a:prstGeom>
                        <a:solidFill>
                          <a:srgbClr val="F1F1F1"/>
                        </a:solidFill>
                      </wps:spPr>
                      <wps:bodyPr/>
                    </wps:wsp>
                  </a:graphicData>
                </a:graphic>
              </wp:anchor>
            </w:drawing>
          </mc:Choice>
          <mc:Fallback>
            <w:pict>
              <v:rect id="Shape 352" o:spid="_x0000_s1377" style="position:absolute;margin-left:0pt;margin-top:1.25pt;width:504pt;height:5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10" w:lineRule="exact"/>
        <w:rPr>
          <w:sz w:val="20"/>
          <w:szCs w:val="20"/>
          <w:color w:val="auto"/>
        </w:rPr>
      </w:pPr>
    </w:p>
    <w:p>
      <w:pPr>
        <w:ind w:left="440" w:hanging="286"/>
        <w:spacing w:after="0" w:line="244" w:lineRule="auto"/>
        <w:tabs>
          <w:tab w:leader="none" w:pos="436" w:val="left"/>
        </w:tabs>
        <w:numPr>
          <w:ilvl w:val="0"/>
          <w:numId w:val="75"/>
        </w:numPr>
        <w:rPr>
          <w:rFonts w:ascii="Arial" w:cs="Arial" w:eastAsia="Arial" w:hAnsi="Arial"/>
          <w:sz w:val="18"/>
          <w:szCs w:val="18"/>
          <w:color w:val="000039"/>
        </w:rPr>
      </w:pPr>
      <w:r>
        <w:rPr>
          <w:rFonts w:ascii="Arial" w:cs="Arial" w:eastAsia="Arial" w:hAnsi="Arial"/>
          <w:sz w:val="20"/>
          <w:szCs w:val="20"/>
          <w:color w:val="auto"/>
        </w:rPr>
        <w:t>In his role leading United Airlines Holdings, Inc.’s operations, including safety, government affairs, regulatory, legal, and environmental sustainability teams, among other functions, Mr. Hart has a broad set of skills critical to oversight of a complex international business in a highly regulated industry like AbbVie. These skills include operational and strategic acumen with expertise in risk management, ESG, climate change, legal strategic matters, government and regulatory affairs, corporate governance, and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16  </w:t>
      </w:r>
      <w:r>
        <w:rPr>
          <w:sz w:val="1"/>
          <w:szCs w:val="1"/>
          <w:color w:val="auto"/>
        </w:rPr>
        <w:drawing>
          <wp:inline distT="0" distB="0" distL="0" distR="0">
            <wp:extent cx="991870" cy="20066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183">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60"/>
          </w:cols>
          <w:pgMar w:left="900" w:top="702" w:right="920" w:bottom="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color w:val="808080"/>
        </w:rPr>
        <w:t>INFORMATION CONCERNING DIRECTOR NOMINEES</w:t>
      </w:r>
    </w:p>
    <w:p>
      <w:pPr>
        <w:spacing w:after="0" w:line="218" w:lineRule="exact"/>
        <w:rPr>
          <w:sz w:val="20"/>
          <w:szCs w:val="20"/>
          <w:color w:val="auto"/>
        </w:rPr>
      </w:pPr>
    </w:p>
    <w:p>
      <w:pPr>
        <w:ind w:left="1726"/>
        <w:spacing w:after="0"/>
        <w:rPr>
          <w:sz w:val="20"/>
          <w:szCs w:val="20"/>
          <w:color w:val="auto"/>
        </w:rPr>
      </w:pPr>
      <w:r>
        <w:rPr>
          <w:rFonts w:ascii="Arial" w:cs="Arial" w:eastAsia="Arial" w:hAnsi="Arial"/>
          <w:sz w:val="28"/>
          <w:szCs w:val="28"/>
          <w:b w:val="1"/>
          <w:bCs w:val="1"/>
          <w:color w:val="000039"/>
        </w:rPr>
        <w:t>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-182880</wp:posOffset>
            </wp:positionV>
            <wp:extent cx="971550" cy="9715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184">
                      <a:extLst>
                        <a:ext uri="{28A0092B-C50C-407E-A947-70E740481C1C}"/>
                      </a:extLst>
                    </a:blip>
                    <a:srcRect/>
                    <a:stretch>
                      <a:fillRect/>
                    </a:stretch>
                  </pic:blipFill>
                  <pic:spPr bwMode="auto">
                    <a:xfrm>
                      <a:off x="0" y="0"/>
                      <a:ext cx="971550" cy="971550"/>
                    </a:xfrm>
                    <a:prstGeom prst="rect">
                      <a:avLst/>
                    </a:prstGeom>
                    <a:noFill/>
                  </pic:spPr>
                </pic:pic>
              </a:graphicData>
            </a:graphic>
          </wp:anchor>
        </w:drawing>
      </w:r>
    </w:p>
    <w:p>
      <w:pPr>
        <w:spacing w:after="0" w:line="18" w:lineRule="exact"/>
        <w:rPr>
          <w:sz w:val="20"/>
          <w:szCs w:val="20"/>
          <w:color w:val="auto"/>
        </w:rPr>
      </w:pPr>
    </w:p>
    <w:p>
      <w:pPr>
        <w:ind w:left="1726"/>
        <w:spacing w:after="0"/>
        <w:rPr>
          <w:sz w:val="20"/>
          <w:szCs w:val="20"/>
          <w:color w:val="auto"/>
        </w:rPr>
      </w:pPr>
      <w:r>
        <w:rPr>
          <w:rFonts w:ascii="Arial" w:cs="Arial" w:eastAsia="Arial" w:hAnsi="Arial"/>
          <w:sz w:val="20"/>
          <w:szCs w:val="20"/>
          <w:color w:val="auto"/>
        </w:rPr>
        <w:t xml:space="preserve">Director Since: </w:t>
      </w:r>
      <w:r>
        <w:rPr>
          <w:rFonts w:ascii="Arial" w:cs="Arial" w:eastAsia="Arial" w:hAnsi="Arial"/>
          <w:sz w:val="20"/>
          <w:szCs w:val="20"/>
          <w:b w:val="1"/>
          <w:bCs w:val="1"/>
          <w:color w:val="000039"/>
        </w:rPr>
        <w:t>2013</w:t>
      </w:r>
    </w:p>
    <w:p>
      <w:pPr>
        <w:ind w:left="1726"/>
        <w:spacing w:after="0"/>
        <w:rPr>
          <w:sz w:val="20"/>
          <w:szCs w:val="20"/>
          <w:color w:val="auto"/>
        </w:rPr>
      </w:pPr>
      <w:r>
        <w:rPr>
          <w:rFonts w:ascii="Arial" w:cs="Arial" w:eastAsia="Arial" w:hAnsi="Arial"/>
          <w:sz w:val="20"/>
          <w:szCs w:val="20"/>
          <w:color w:val="auto"/>
        </w:rPr>
        <w:t xml:space="preserve">Age: </w:t>
      </w:r>
      <w:r>
        <w:rPr>
          <w:rFonts w:ascii="Arial" w:cs="Arial" w:eastAsia="Arial" w:hAnsi="Arial"/>
          <w:sz w:val="20"/>
          <w:szCs w:val="20"/>
          <w:b w:val="1"/>
          <w:bCs w:val="1"/>
          <w:color w:val="000039"/>
        </w:rPr>
        <w:t>68</w:t>
      </w:r>
    </w:p>
    <w:p>
      <w:pPr>
        <w:ind w:left="1726"/>
        <w:spacing w:after="0"/>
        <w:rPr>
          <w:sz w:val="20"/>
          <w:szCs w:val="20"/>
          <w:color w:val="auto"/>
        </w:rPr>
      </w:pPr>
      <w:r>
        <w:rPr>
          <w:rFonts w:ascii="Arial" w:cs="Arial" w:eastAsia="Arial" w:hAnsi="Arial"/>
          <w:sz w:val="20"/>
          <w:szCs w:val="20"/>
          <w:color w:val="auto"/>
        </w:rPr>
        <w:t xml:space="preserve">Committees: </w:t>
      </w:r>
      <w:r>
        <w:rPr>
          <w:rFonts w:ascii="Arial" w:cs="Arial" w:eastAsia="Arial" w:hAnsi="Arial"/>
          <w:sz w:val="20"/>
          <w:szCs w:val="20"/>
          <w:b w:val="1"/>
          <w:bCs w:val="1"/>
          <w:color w:val="000039"/>
        </w:rPr>
        <w:t>Audit and Nominations &amp; Governance</w:t>
      </w:r>
    </w:p>
    <w:p>
      <w:pPr>
        <w:ind w:left="1726"/>
        <w:spacing w:after="0"/>
        <w:rPr>
          <w:sz w:val="20"/>
          <w:szCs w:val="20"/>
          <w:color w:val="auto"/>
        </w:rPr>
      </w:pPr>
      <w:r>
        <w:rPr>
          <w:rFonts w:ascii="Arial" w:cs="Arial" w:eastAsia="Arial" w:hAnsi="Arial"/>
          <w:sz w:val="20"/>
          <w:szCs w:val="20"/>
          <w:color w:val="auto"/>
        </w:rPr>
        <w:t xml:space="preserve">Primary Occupation: </w:t>
      </w:r>
      <w:r>
        <w:rPr>
          <w:rFonts w:ascii="Arial" w:cs="Arial" w:eastAsia="Arial" w:hAnsi="Arial"/>
          <w:sz w:val="20"/>
          <w:szCs w:val="20"/>
          <w:b w:val="1"/>
          <w:bCs w:val="1"/>
          <w:color w:val="000039"/>
        </w:rPr>
        <w:t>Retired Group President for Resource Industries of Caterpillar Inc.</w:t>
      </w:r>
    </w:p>
    <w:p>
      <w:pPr>
        <w:spacing w:after="0" w:line="200" w:lineRule="exact"/>
        <w:rPr>
          <w:sz w:val="20"/>
          <w:szCs w:val="20"/>
          <w:color w:val="auto"/>
        </w:rPr>
      </w:pPr>
    </w:p>
    <w:p>
      <w:pPr>
        <w:spacing w:after="0" w:line="25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Business Experience:</w:t>
      </w:r>
    </w:p>
    <w:p>
      <w:pPr>
        <w:spacing w:after="0" w:line="32" w:lineRule="exact"/>
        <w:rPr>
          <w:sz w:val="20"/>
          <w:szCs w:val="20"/>
          <w:color w:val="auto"/>
        </w:rPr>
      </w:pPr>
    </w:p>
    <w:p>
      <w:pPr>
        <w:ind w:left="6" w:right="60"/>
        <w:spacing w:after="0" w:line="243" w:lineRule="auto"/>
        <w:rPr>
          <w:sz w:val="20"/>
          <w:szCs w:val="20"/>
          <w:color w:val="auto"/>
        </w:rPr>
      </w:pPr>
      <w:r>
        <w:rPr>
          <w:rFonts w:ascii="Arial" w:cs="Arial" w:eastAsia="Arial" w:hAnsi="Arial"/>
          <w:sz w:val="20"/>
          <w:szCs w:val="20"/>
          <w:color w:val="auto"/>
        </w:rPr>
        <w:t>Mr. Rapp served as the Caterpillar Inc. Group President for resource industries from 2014 until his retirement in mid -2016. He previously served at Caterpillar as Group President based in Singapore in 2013 and 2014 and as the Chief Financial Officer from 2010 to 2013, and he was named a Group President in 2007. He also serves as a director of Xos, Inc. He is currently a member of the University of Missouri College of Business Advisory Board. Mr. Rapp previously served as a director of FM Global.</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Key Contributions to the Board:</w:t>
      </w:r>
    </w:p>
    <w:p>
      <w:pPr>
        <w:spacing w:after="0" w:line="23" w:lineRule="exact"/>
        <w:rPr>
          <w:sz w:val="20"/>
          <w:szCs w:val="20"/>
          <w:color w:val="auto"/>
        </w:rPr>
      </w:pPr>
    </w:p>
    <w:p>
      <w:pPr>
        <w:ind w:left="286" w:right="20" w:hanging="286"/>
        <w:spacing w:after="0" w:line="249" w:lineRule="auto"/>
        <w:tabs>
          <w:tab w:leader="none" w:pos="291" w:val="left"/>
        </w:tabs>
        <w:numPr>
          <w:ilvl w:val="0"/>
          <w:numId w:val="76"/>
        </w:numPr>
        <w:rPr>
          <w:rFonts w:ascii="Arial" w:cs="Arial" w:eastAsia="Arial" w:hAnsi="Arial"/>
          <w:sz w:val="20"/>
          <w:szCs w:val="20"/>
          <w:color w:val="000039"/>
        </w:rPr>
      </w:pPr>
      <w:r>
        <w:rPr>
          <w:rFonts w:ascii="Arial" w:cs="Arial" w:eastAsia="Arial" w:hAnsi="Arial"/>
          <w:sz w:val="20"/>
          <w:szCs w:val="20"/>
          <w:color w:val="auto"/>
        </w:rPr>
        <w:t>As a result of his tenure as Group President and Chief Financial Officer at Caterpillar Inc., Mr. Rapp has acquired management, operational, and financial expertise with extensive global experience and provides the Board with an informed perspective on financial and operational matters faced by a complex international company.</w:t>
      </w:r>
    </w:p>
    <w:p>
      <w:pPr>
        <w:spacing w:after="0" w:line="1" w:lineRule="exact"/>
        <w:rPr>
          <w:rFonts w:ascii="Arial" w:cs="Arial" w:eastAsia="Arial" w:hAnsi="Arial"/>
          <w:sz w:val="20"/>
          <w:szCs w:val="20"/>
          <w:color w:val="000039"/>
        </w:rPr>
      </w:pPr>
    </w:p>
    <w:p>
      <w:pPr>
        <w:ind w:left="286" w:right="220" w:hanging="286"/>
        <w:spacing w:after="0" w:line="244" w:lineRule="auto"/>
        <w:tabs>
          <w:tab w:leader="none" w:pos="291" w:val="left"/>
        </w:tabs>
        <w:numPr>
          <w:ilvl w:val="0"/>
          <w:numId w:val="76"/>
        </w:numPr>
        <w:rPr>
          <w:rFonts w:ascii="Arial" w:cs="Arial" w:eastAsia="Arial" w:hAnsi="Arial"/>
          <w:sz w:val="20"/>
          <w:szCs w:val="20"/>
          <w:color w:val="000039"/>
        </w:rPr>
      </w:pPr>
      <w:r>
        <w:rPr>
          <w:rFonts w:ascii="Arial" w:cs="Arial" w:eastAsia="Arial" w:hAnsi="Arial"/>
          <w:sz w:val="20"/>
          <w:szCs w:val="20"/>
          <w:color w:val="auto"/>
        </w:rPr>
        <w:t>Mr. Rapp brings experience with business operations in numerous geographies, including Asia, Africa, and Europe, which provides a strong international perspective for AbbVie’s business across more than 180 countries and territories. As a result of his role on the board of Xos, Inc., a manufacturer of zero-emission commercial vehicles, Mr. Rapp has gained substantial experience in climate change and emissions oversight.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-97155</wp:posOffset>
                </wp:positionH>
                <wp:positionV relativeFrom="paragraph">
                  <wp:posOffset>-1347470</wp:posOffset>
                </wp:positionV>
                <wp:extent cx="6400165" cy="133350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333500"/>
                        </a:xfrm>
                        <a:prstGeom prst="rect">
                          <a:avLst/>
                        </a:prstGeom>
                        <a:solidFill>
                          <a:srgbClr val="F1F1F1"/>
                        </a:solidFill>
                      </wps:spPr>
                      <wps:bodyPr/>
                    </wps:wsp>
                  </a:graphicData>
                </a:graphic>
              </wp:anchor>
            </w:drawing>
          </mc:Choice>
          <mc:Fallback>
            <w:pict>
              <v:rect id="Shape 355" o:spid="_x0000_s1380" style="position:absolute;margin-left:-7.6499pt;margin-top:-106.0999pt;width:503.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5346"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5038725</wp:posOffset>
            </wp:positionH>
            <wp:positionV relativeFrom="paragraph">
              <wp:posOffset>-222250</wp:posOffset>
            </wp:positionV>
            <wp:extent cx="992505" cy="2006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185">
                      <a:extLst>
                        <a:ext uri="{28A0092B-C50C-407E-A947-70E740481C1C}"/>
                      </a:extLst>
                    </a:blip>
                    <a:srcRect/>
                    <a:stretch>
                      <a:fillRect/>
                    </a:stretch>
                  </pic:blipFill>
                  <pic:spPr bwMode="auto">
                    <a:xfrm>
                      <a:off x="0" y="0"/>
                      <a:ext cx="992505" cy="200660"/>
                    </a:xfrm>
                    <a:prstGeom prst="rect">
                      <a:avLst/>
                    </a:prstGeom>
                    <a:noFill/>
                  </pic:spPr>
                </pic:pic>
              </a:graphicData>
            </a:graphic>
          </wp:anchor>
        </w:drawing>
      </w:r>
    </w:p>
    <w:p>
      <w:pPr>
        <w:sectPr>
          <w:pgSz w:w="11880" w:h="15480" w:orient="portrait"/>
          <w:cols w:equalWidth="0" w:num="1">
            <w:col w:w="9926"/>
          </w:cols>
          <w:pgMar w:left="1054" w:top="716" w:right="900" w:bottom="0" w:gutter="0" w:footer="0" w:header="0"/>
        </w:sectPr>
      </w:pPr>
    </w:p>
    <w:bookmarkStart w:id="146" w:name="page147"/>
    <w:bookmarkEnd w:id="146"/>
    <w:p>
      <w:pPr>
        <w:spacing w:after="0"/>
        <w:rPr>
          <w:sz w:val="20"/>
          <w:szCs w:val="20"/>
          <w:color w:val="auto"/>
        </w:rPr>
      </w:pPr>
      <w:r>
        <w:rPr>
          <w:rFonts w:ascii="Arial" w:cs="Arial" w:eastAsia="Arial" w:hAnsi="Arial"/>
          <w:sz w:val="20"/>
          <w:szCs w:val="20"/>
          <w:color w:val="808080"/>
        </w:rPr>
        <w:t>THE BOARD OF DIRECTORS AND ITS COMMITTEES</w:t>
      </w: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u w:val="single" w:color="auto"/>
          <w:color w:val="000039"/>
        </w:rPr>
        <w:t>THE BOARD OF DIRECTORS AND ITS COMMITTEES</w:t>
      </w:r>
    </w:p>
    <w:p>
      <w:pPr>
        <w:spacing w:after="0" w:line="309"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The Board of Directors held six meetings in 2025. The average attendance of all directors at Board and committee meetings in 2025 was 97% percent, and each director attended at least 75% of the total number of Board meetings and meetings of the committees of which they served. AbbVie encourages its Board members to attend the annual stockholder meeting. All of AbbVie’s directors attended the 2025 annual stockholder meeting.</w:t>
      </w:r>
    </w:p>
    <w:p>
      <w:pPr>
        <w:spacing w:after="0" w:line="49"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The Board has determined that each of the following individuals is independent in accordance with the New York Stock Exchange (NYSE) listing standards: Dr. Alpern, Ms. Austin, Mr. Burnside, Ms. Davis, Mr. Falk,</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Mr. Freyman, Mr. Hart, Ms. Meyer, Dr. Quaggin, Mr. Rapp, Ms. Roberts, and Mr. Waddell. To determine independence, the Board applied the AbbVie Inc. director independence guidelines. The Board also considered whether a director has any other material relationships with AbbVie or its subsidiaries and concluded that none of these directors had a relationship that impaired the director’s independence. This included consideration of the fact that some of the directors are officers or serve on boards of companies or entities to which AbbVie sold products or made contributions or from which AbbVie purchased products and services during the year. In making its determination, the Board relied on both information provided by the directors and information developed internally by AbbVie.</w:t>
      </w:r>
    </w:p>
    <w:p>
      <w:pPr>
        <w:spacing w:after="0" w:line="62" w:lineRule="exact"/>
        <w:rPr>
          <w:sz w:val="20"/>
          <w:szCs w:val="20"/>
          <w:color w:val="auto"/>
        </w:rPr>
      </w:pPr>
    </w:p>
    <w:p>
      <w:pPr>
        <w:spacing w:after="0"/>
        <w:rPr>
          <w:sz w:val="20"/>
          <w:szCs w:val="20"/>
          <w:color w:val="auto"/>
        </w:rPr>
      </w:pPr>
      <w:r>
        <w:rPr>
          <w:rFonts w:ascii="Arial" w:cs="Arial" w:eastAsia="Arial" w:hAnsi="Arial"/>
          <w:sz w:val="36"/>
          <w:szCs w:val="36"/>
          <w:color w:val="auto"/>
        </w:rPr>
        <w:t>Board Leadership Structure</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As announced on February 14, 2025, Mr. Michael, AbbVie’s Chief Executive Officer, became Chairman of the Board effective July 1, 2025. The Board has determined that this leadership structure, in which the offices of Chairman of the Board and Chief Executive Officer are held by one individual with a Board appointed Lead Independent Director, ensures the appropriate level of oversight, independence, and responsibility is applied to all Board decisions, including risk oversight, and is in the best interests of AbbVie and its stockholders. The Lead Independent Director is chosen annually by and from the independent members of the Board of Directors. The Board regularly reviews its leadership structure and effectiveness. This structure has proven to be an effective form of governance for AbbVie and its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In determining this leadership structure, the Board weighed numerous factors, such as:</w:t>
      </w:r>
    </w:p>
    <w:p>
      <w:pPr>
        <w:spacing w:after="0" w:line="206" w:lineRule="exact"/>
        <w:rPr>
          <w:sz w:val="20"/>
          <w:szCs w:val="20"/>
          <w:color w:val="auto"/>
        </w:rPr>
      </w:pPr>
    </w:p>
    <w:p>
      <w:pPr>
        <w:ind w:left="720" w:right="100" w:hanging="360"/>
        <w:spacing w:after="0" w:line="246" w:lineRule="auto"/>
        <w:tabs>
          <w:tab w:leader="none" w:pos="720" w:val="left"/>
        </w:tabs>
        <w:numPr>
          <w:ilvl w:val="0"/>
          <w:numId w:val="77"/>
        </w:numPr>
        <w:rPr>
          <w:rFonts w:ascii="Arial" w:cs="Arial" w:eastAsia="Arial" w:hAnsi="Arial"/>
          <w:sz w:val="20"/>
          <w:szCs w:val="20"/>
          <w:color w:val="auto"/>
        </w:rPr>
      </w:pPr>
      <w:r>
        <w:rPr>
          <w:rFonts w:ascii="Arial" w:cs="Arial" w:eastAsia="Arial" w:hAnsi="Arial"/>
          <w:sz w:val="20"/>
          <w:szCs w:val="20"/>
          <w:i w:val="1"/>
          <w:iCs w:val="1"/>
          <w:color w:val="auto"/>
        </w:rPr>
        <w:t>The qualifications of the Lead Independent Director and performance in the role, including stockholder votes in favor of re-election</w:t>
      </w:r>
      <w:r>
        <w:rPr>
          <w:rFonts w:ascii="Arial" w:cs="Arial" w:eastAsia="Arial" w:hAnsi="Arial"/>
          <w:sz w:val="20"/>
          <w:szCs w:val="20"/>
          <w:color w:val="auto"/>
        </w:rPr>
        <w:t>. Ms. Austin’s extensive leadership skills as a former CEO as well as her</w:t>
      </w:r>
      <w:r>
        <w:rPr>
          <w:rFonts w:ascii="Arial" w:cs="Arial" w:eastAsia="Arial" w:hAnsi="Arial"/>
          <w:sz w:val="20"/>
          <w:szCs w:val="20"/>
          <w:i w:val="1"/>
          <w:iCs w:val="1"/>
          <w:color w:val="auto"/>
        </w:rPr>
        <w:t xml:space="preserve"> </w:t>
      </w:r>
      <w:r>
        <w:rPr>
          <w:rFonts w:ascii="Arial" w:cs="Arial" w:eastAsia="Arial" w:hAnsi="Arial"/>
          <w:sz w:val="20"/>
          <w:szCs w:val="20"/>
          <w:color w:val="auto"/>
        </w:rPr>
        <w:t>current and past experience as a director at other publicly traded companies, and Chair of the Board at Freshworks, Inc., ensures that she is able to exercise effective independent leadership over AbbVie’s Board, including in relation to risk oversight and financial matters. When she was most recently up for re-election, Ms. Austin received nearly 94% of votes in favor.</w:t>
      </w:r>
    </w:p>
    <w:p>
      <w:pPr>
        <w:spacing w:after="0" w:line="142" w:lineRule="exact"/>
        <w:rPr>
          <w:rFonts w:ascii="Arial" w:cs="Arial" w:eastAsia="Arial" w:hAnsi="Arial"/>
          <w:sz w:val="20"/>
          <w:szCs w:val="20"/>
          <w:color w:val="auto"/>
        </w:rPr>
      </w:pPr>
    </w:p>
    <w:p>
      <w:pPr>
        <w:ind w:left="720" w:right="340" w:hanging="360"/>
        <w:spacing w:after="0" w:line="261" w:lineRule="auto"/>
        <w:tabs>
          <w:tab w:leader="none" w:pos="720" w:val="left"/>
        </w:tabs>
        <w:numPr>
          <w:ilvl w:val="0"/>
          <w:numId w:val="77"/>
        </w:numPr>
        <w:rPr>
          <w:rFonts w:ascii="Arial" w:cs="Arial" w:eastAsia="Arial" w:hAnsi="Arial"/>
          <w:sz w:val="20"/>
          <w:szCs w:val="20"/>
          <w:color w:val="auto"/>
        </w:rPr>
      </w:pPr>
      <w:r>
        <w:rPr>
          <w:rFonts w:ascii="Arial" w:cs="Arial" w:eastAsia="Arial" w:hAnsi="Arial"/>
          <w:sz w:val="20"/>
          <w:szCs w:val="20"/>
          <w:i w:val="1"/>
          <w:iCs w:val="1"/>
          <w:color w:val="auto"/>
        </w:rPr>
        <w:t xml:space="preserve">The historical performance of the company under this leadership structure. </w:t>
      </w:r>
      <w:r>
        <w:rPr>
          <w:rFonts w:ascii="Arial" w:cs="Arial" w:eastAsia="Arial" w:hAnsi="Arial"/>
          <w:sz w:val="20"/>
          <w:szCs w:val="20"/>
          <w:color w:val="auto"/>
        </w:rPr>
        <w:t>As discussed elsewhere in</w:t>
      </w:r>
      <w:r>
        <w:rPr>
          <w:rFonts w:ascii="Arial" w:cs="Arial" w:eastAsia="Arial" w:hAnsi="Arial"/>
          <w:sz w:val="20"/>
          <w:szCs w:val="20"/>
          <w:i w:val="1"/>
          <w:iCs w:val="1"/>
          <w:color w:val="auto"/>
        </w:rPr>
        <w:t xml:space="preserve"> </w:t>
      </w:r>
      <w:r>
        <w:rPr>
          <w:rFonts w:ascii="Arial" w:cs="Arial" w:eastAsia="Arial" w:hAnsi="Arial"/>
          <w:sz w:val="20"/>
          <w:szCs w:val="20"/>
          <w:color w:val="auto"/>
        </w:rPr>
        <w:t>this proxy statement, AbbVie has established an outstanding track record of performance with a combined CEO and chair role.</w:t>
      </w:r>
    </w:p>
    <w:p>
      <w:pPr>
        <w:spacing w:after="0" w:line="124" w:lineRule="exact"/>
        <w:rPr>
          <w:rFonts w:ascii="Arial" w:cs="Arial" w:eastAsia="Arial" w:hAnsi="Arial"/>
          <w:sz w:val="20"/>
          <w:szCs w:val="20"/>
          <w:color w:val="auto"/>
        </w:rPr>
      </w:pPr>
    </w:p>
    <w:p>
      <w:pPr>
        <w:ind w:left="720" w:right="20" w:hanging="360"/>
        <w:spacing w:after="0" w:line="248" w:lineRule="auto"/>
        <w:tabs>
          <w:tab w:leader="none" w:pos="720" w:val="left"/>
        </w:tabs>
        <w:numPr>
          <w:ilvl w:val="0"/>
          <w:numId w:val="77"/>
        </w:numPr>
        <w:rPr>
          <w:rFonts w:ascii="Arial" w:cs="Arial" w:eastAsia="Arial" w:hAnsi="Arial"/>
          <w:sz w:val="20"/>
          <w:szCs w:val="20"/>
          <w:color w:val="auto"/>
        </w:rPr>
      </w:pPr>
      <w:r>
        <w:rPr>
          <w:rFonts w:ascii="Arial" w:cs="Arial" w:eastAsia="Arial" w:hAnsi="Arial"/>
          <w:sz w:val="20"/>
          <w:szCs w:val="20"/>
          <w:i w:val="1"/>
          <w:iCs w:val="1"/>
          <w:color w:val="auto"/>
        </w:rPr>
        <w:t>Investor feedback on this topic</w:t>
      </w:r>
      <w:r>
        <w:rPr>
          <w:rFonts w:ascii="Arial" w:cs="Arial" w:eastAsia="Arial" w:hAnsi="Arial"/>
          <w:sz w:val="20"/>
          <w:szCs w:val="20"/>
          <w:color w:val="auto"/>
        </w:rPr>
        <w:t>. At the most recent stockholder meeting where a stockholder proposal to</w:t>
      </w:r>
      <w:r>
        <w:rPr>
          <w:rFonts w:ascii="Arial" w:cs="Arial" w:eastAsia="Arial" w:hAnsi="Arial"/>
          <w:sz w:val="20"/>
          <w:szCs w:val="20"/>
          <w:i w:val="1"/>
          <w:iCs w:val="1"/>
          <w:color w:val="auto"/>
        </w:rPr>
        <w:t xml:space="preserve"> </w:t>
      </w:r>
      <w:r>
        <w:rPr>
          <w:rFonts w:ascii="Arial" w:cs="Arial" w:eastAsia="Arial" w:hAnsi="Arial"/>
          <w:sz w:val="20"/>
          <w:szCs w:val="20"/>
          <w:color w:val="auto"/>
        </w:rPr>
        <w:t>mandate an independent chair was voted on, nearly 70% of the shares voted against mandating an independent chair. Investors have also expressed support for our current leadership structure through our stockholder engagement program. AbbVie’s investors who do support an independent chair structure generally state that this preference is not unique to AbbVie and is a consistent preference across all portfolio companies.</w:t>
      </w:r>
    </w:p>
    <w:p>
      <w:pPr>
        <w:spacing w:after="0" w:line="138" w:lineRule="exact"/>
        <w:rPr>
          <w:rFonts w:ascii="Arial" w:cs="Arial" w:eastAsia="Arial" w:hAnsi="Arial"/>
          <w:sz w:val="20"/>
          <w:szCs w:val="20"/>
          <w:color w:val="auto"/>
        </w:rPr>
      </w:pPr>
    </w:p>
    <w:p>
      <w:pPr>
        <w:ind w:left="720" w:right="60" w:hanging="360"/>
        <w:spacing w:after="0" w:line="254" w:lineRule="auto"/>
        <w:tabs>
          <w:tab w:leader="none" w:pos="720" w:val="left"/>
        </w:tabs>
        <w:numPr>
          <w:ilvl w:val="0"/>
          <w:numId w:val="77"/>
        </w:numPr>
        <w:rPr>
          <w:rFonts w:ascii="Arial" w:cs="Arial" w:eastAsia="Arial" w:hAnsi="Arial"/>
          <w:sz w:val="20"/>
          <w:szCs w:val="20"/>
          <w:color w:val="auto"/>
        </w:rPr>
      </w:pPr>
      <w:r>
        <w:rPr>
          <w:rFonts w:ascii="Arial" w:cs="Arial" w:eastAsia="Arial" w:hAnsi="Arial"/>
          <w:sz w:val="20"/>
          <w:szCs w:val="20"/>
          <w:i w:val="1"/>
          <w:iCs w:val="1"/>
          <w:color w:val="auto"/>
        </w:rPr>
        <w:t xml:space="preserve">Other Board leadership and independence considerations. </w:t>
      </w:r>
      <w:r>
        <w:rPr>
          <w:rFonts w:ascii="Arial" w:cs="Arial" w:eastAsia="Arial" w:hAnsi="Arial"/>
          <w:sz w:val="20"/>
          <w:szCs w:val="20"/>
          <w:color w:val="auto"/>
        </w:rPr>
        <w:t>In addition to Ms. Austin’s strong independent</w:t>
      </w:r>
      <w:r>
        <w:rPr>
          <w:rFonts w:ascii="Arial" w:cs="Arial" w:eastAsia="Arial" w:hAnsi="Arial"/>
          <w:sz w:val="20"/>
          <w:szCs w:val="20"/>
          <w:i w:val="1"/>
          <w:iCs w:val="1"/>
          <w:color w:val="auto"/>
        </w:rPr>
        <w:t xml:space="preserve"> </w:t>
      </w:r>
      <w:r>
        <w:rPr>
          <w:rFonts w:ascii="Arial" w:cs="Arial" w:eastAsia="Arial" w:hAnsi="Arial"/>
          <w:sz w:val="20"/>
          <w:szCs w:val="20"/>
          <w:color w:val="auto"/>
        </w:rPr>
        <w:t>leadership, AbbVie has recently made several additional changes to the Board, all of which further strengthen the independent oversight of the Board. The Board added four new directors since October 2023 (three of whom are independent) and appointed all new committee chairs for the four key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18  </w:t>
      </w:r>
      <w:r>
        <w:rPr>
          <w:sz w:val="1"/>
          <w:szCs w:val="1"/>
          <w:color w:val="auto"/>
        </w:rPr>
        <w:drawing>
          <wp:inline distT="0" distB="0" distL="0" distR="0">
            <wp:extent cx="991870" cy="20066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86">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60"/>
          </w:cols>
          <w:pgMar w:left="900" w:top="702" w:right="920" w:bottom="0" w:gutter="0" w:footer="0" w:header="0"/>
        </w:sectPr>
      </w:pPr>
    </w:p>
    <w:bookmarkStart w:id="147" w:name="page148"/>
    <w:bookmarkEnd w:id="147"/>
    <w:p>
      <w:pPr>
        <w:ind w:left="5120"/>
        <w:spacing w:after="0"/>
        <w:rPr>
          <w:sz w:val="20"/>
          <w:szCs w:val="20"/>
          <w:color w:val="auto"/>
        </w:rPr>
      </w:pPr>
      <w:r>
        <w:rPr>
          <w:rFonts w:ascii="Arial" w:cs="Arial" w:eastAsia="Arial" w:hAnsi="Arial"/>
          <w:sz w:val="19"/>
          <w:szCs w:val="19"/>
          <w:color w:val="808080"/>
        </w:rPr>
        <w:t>THE BOARD OF DIRECTORS AND ITS COMMITTEES</w:t>
      </w:r>
    </w:p>
    <w:p>
      <w:pPr>
        <w:spacing w:after="0" w:line="242" w:lineRule="exact"/>
        <w:rPr>
          <w:sz w:val="20"/>
          <w:szCs w:val="20"/>
          <w:color w:val="auto"/>
        </w:rPr>
      </w:pPr>
    </w:p>
    <w:p>
      <w:pPr>
        <w:ind w:left="720" w:right="220"/>
        <w:spacing w:after="0" w:line="282" w:lineRule="auto"/>
        <w:rPr>
          <w:sz w:val="20"/>
          <w:szCs w:val="20"/>
          <w:color w:val="auto"/>
        </w:rPr>
      </w:pPr>
      <w:r>
        <w:rPr>
          <w:rFonts w:ascii="Arial" w:cs="Arial" w:eastAsia="Arial" w:hAnsi="Arial"/>
          <w:sz w:val="20"/>
          <w:szCs w:val="20"/>
          <w:color w:val="auto"/>
        </w:rPr>
        <w:t>committees in July 2024. This commitment to refreshment further supports the use of a combined CEO and chair role.</w:t>
      </w:r>
    </w:p>
    <w:p>
      <w:pPr>
        <w:spacing w:after="0" w:line="178" w:lineRule="exact"/>
        <w:rPr>
          <w:sz w:val="20"/>
          <w:szCs w:val="20"/>
          <w:color w:val="auto"/>
        </w:rPr>
      </w:pPr>
    </w:p>
    <w:p>
      <w:pPr>
        <w:jc w:val="both"/>
        <w:ind w:left="720" w:right="180" w:hanging="360"/>
        <w:spacing w:after="0" w:line="262" w:lineRule="auto"/>
        <w:tabs>
          <w:tab w:leader="none" w:pos="720" w:val="left"/>
        </w:tabs>
        <w:numPr>
          <w:ilvl w:val="0"/>
          <w:numId w:val="78"/>
        </w:numPr>
        <w:rPr>
          <w:rFonts w:ascii="Arial" w:cs="Arial" w:eastAsia="Arial" w:hAnsi="Arial"/>
          <w:sz w:val="20"/>
          <w:szCs w:val="20"/>
          <w:color w:val="auto"/>
        </w:rPr>
      </w:pPr>
      <w:r>
        <w:rPr>
          <w:rFonts w:ascii="Arial" w:cs="Arial" w:eastAsia="Arial" w:hAnsi="Arial"/>
          <w:sz w:val="20"/>
          <w:szCs w:val="20"/>
          <w:i w:val="1"/>
          <w:iCs w:val="1"/>
          <w:color w:val="auto"/>
        </w:rPr>
        <w:t>Practices at peer companies and trends across the S&amp;P 500</w:t>
      </w:r>
      <w:r>
        <w:rPr>
          <w:rFonts w:ascii="Arial" w:cs="Arial" w:eastAsia="Arial" w:hAnsi="Arial"/>
          <w:sz w:val="20"/>
          <w:szCs w:val="20"/>
          <w:color w:val="auto"/>
        </w:rPr>
        <w:t>. AbbVie benchmarks peer companies and</w:t>
      </w:r>
      <w:r>
        <w:rPr>
          <w:rFonts w:ascii="Arial" w:cs="Arial" w:eastAsia="Arial" w:hAnsi="Arial"/>
          <w:sz w:val="20"/>
          <w:szCs w:val="20"/>
          <w:i w:val="1"/>
          <w:iCs w:val="1"/>
          <w:color w:val="auto"/>
        </w:rPr>
        <w:t xml:space="preserve"> </w:t>
      </w:r>
      <w:r>
        <w:rPr>
          <w:rFonts w:ascii="Arial" w:cs="Arial" w:eastAsia="Arial" w:hAnsi="Arial"/>
          <w:sz w:val="20"/>
          <w:szCs w:val="20"/>
          <w:color w:val="auto"/>
        </w:rPr>
        <w:t>their leadership structures on an ongoing basis and also monitors the external landscape in terms of the number of S&amp;P 500 companies that utilize independent chairs.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150495</wp:posOffset>
                </wp:positionV>
                <wp:extent cx="6410325"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032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499pt,11.85pt" to="504pt,11.8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0" cy="3460115"/>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11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0pt,283.55pt" o:allowincell="f" strokecolor="#000039" strokeweight="1.5pt"/>
            </w:pict>
          </mc:Fallback>
        </mc:AlternateContent>
      </w:r>
    </w:p>
    <w:p>
      <w:pPr>
        <w:spacing w:after="0" w:line="208" w:lineRule="exact"/>
        <w:rPr>
          <w:sz w:val="20"/>
          <w:szCs w:val="20"/>
          <w:color w:val="auto"/>
        </w:rPr>
      </w:pPr>
    </w:p>
    <w:p>
      <w:pPr>
        <w:ind w:left="100" w:right="740"/>
        <w:spacing w:after="0" w:line="287" w:lineRule="auto"/>
        <w:rPr>
          <w:sz w:val="20"/>
          <w:szCs w:val="20"/>
          <w:color w:val="auto"/>
        </w:rPr>
      </w:pPr>
      <w:r>
        <w:rPr>
          <w:rFonts w:ascii="Arial" w:cs="Arial" w:eastAsia="Arial" w:hAnsi="Arial"/>
          <w:sz w:val="20"/>
          <w:szCs w:val="20"/>
          <w:color w:val="auto"/>
        </w:rPr>
        <w:t xml:space="preserve">Our </w:t>
      </w:r>
      <w:r>
        <w:rPr>
          <w:rFonts w:ascii="Arial" w:cs="Arial" w:eastAsia="Arial" w:hAnsi="Arial"/>
          <w:sz w:val="20"/>
          <w:szCs w:val="20"/>
          <w:b w:val="1"/>
          <w:bCs w:val="1"/>
          <w:color w:val="auto"/>
        </w:rPr>
        <w:t>Lead Independent Director</w:t>
      </w:r>
      <w:r>
        <w:rPr>
          <w:rFonts w:ascii="Arial" w:cs="Arial" w:eastAsia="Arial" w:hAnsi="Arial"/>
          <w:sz w:val="20"/>
          <w:szCs w:val="20"/>
          <w:color w:val="auto"/>
        </w:rPr>
        <w:t xml:space="preserve"> has robust and well-defined responsibilities that provide our Board with significant leadership and oversight:</w:t>
      </w:r>
    </w:p>
    <w:p>
      <w:pPr>
        <w:sectPr>
          <w:pgSz w:w="11880" w:h="15480" w:orient="portrait"/>
          <w:cols w:equalWidth="0" w:num="1">
            <w:col w:w="10080"/>
          </w:cols>
          <w:pgMar w:left="900" w:top="702" w:right="900" w:bottom="0" w:gutter="0" w:footer="0" w:header="0"/>
        </w:sectPr>
      </w:pP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leads the CEO succession planning process</w:t>
      </w:r>
    </w:p>
    <w:p>
      <w:pPr>
        <w:spacing w:after="0" w:line="160" w:lineRule="exact"/>
        <w:rPr>
          <w:sz w:val="20"/>
          <w:szCs w:val="20"/>
          <w:color w:val="auto"/>
        </w:rPr>
      </w:pPr>
    </w:p>
    <w:p>
      <w:pPr>
        <w:ind w:left="100" w:right="20" w:firstLine="323"/>
        <w:spacing w:after="0" w:line="254" w:lineRule="auto"/>
        <w:rPr>
          <w:sz w:val="20"/>
          <w:szCs w:val="20"/>
          <w:color w:val="auto"/>
        </w:rPr>
      </w:pPr>
      <w:r>
        <w:rPr>
          <w:rFonts w:ascii="Arial" w:cs="Arial" w:eastAsia="Arial" w:hAnsi="Arial"/>
          <w:sz w:val="20"/>
          <w:szCs w:val="20"/>
          <w:color w:val="auto"/>
        </w:rPr>
        <w:t>facilitates communication with the Board and presides over regularly conducted executive sessions of the independent directors or sessions where the Chairman of the Board is not present</w:t>
      </w:r>
    </w:p>
    <w:p>
      <w:pPr>
        <w:spacing w:after="0" w:line="106" w:lineRule="exact"/>
        <w:rPr>
          <w:sz w:val="20"/>
          <w:szCs w:val="20"/>
          <w:color w:val="auto"/>
        </w:rPr>
      </w:pPr>
    </w:p>
    <w:p>
      <w:pPr>
        <w:ind w:left="100" w:right="100" w:firstLine="323"/>
        <w:spacing w:after="0" w:line="262" w:lineRule="auto"/>
        <w:rPr>
          <w:sz w:val="20"/>
          <w:szCs w:val="20"/>
          <w:color w:val="auto"/>
        </w:rPr>
      </w:pPr>
      <w:r>
        <w:rPr>
          <w:rFonts w:ascii="Arial" w:cs="Arial" w:eastAsia="Arial" w:hAnsi="Arial"/>
          <w:sz w:val="20"/>
          <w:szCs w:val="20"/>
          <w:color w:val="auto"/>
        </w:rPr>
        <w:t>reviews and approves matters, such as schedule sufficiency, and, where appropriate, information provided to other Board members</w:t>
      </w:r>
    </w:p>
    <w:p>
      <w:pPr>
        <w:spacing w:after="0" w:line="96" w:lineRule="exact"/>
        <w:rPr>
          <w:sz w:val="20"/>
          <w:szCs w:val="20"/>
          <w:color w:val="auto"/>
        </w:rPr>
      </w:pPr>
    </w:p>
    <w:p>
      <w:pPr>
        <w:ind w:left="100" w:firstLine="323"/>
        <w:spacing w:after="0" w:line="283" w:lineRule="auto"/>
        <w:rPr>
          <w:sz w:val="20"/>
          <w:szCs w:val="20"/>
          <w:color w:val="auto"/>
        </w:rPr>
      </w:pPr>
      <w:r>
        <w:rPr>
          <w:rFonts w:ascii="Arial" w:cs="Arial" w:eastAsia="Arial" w:hAnsi="Arial"/>
          <w:sz w:val="20"/>
          <w:szCs w:val="20"/>
          <w:color w:val="auto"/>
        </w:rPr>
        <w:t>serves as the liaison between the Chairman of the Board and the independent directors</w:t>
      </w:r>
    </w:p>
    <w:p>
      <w:pPr>
        <w:spacing w:after="0" w:line="78" w:lineRule="exact"/>
        <w:rPr>
          <w:sz w:val="20"/>
          <w:szCs w:val="20"/>
          <w:color w:val="auto"/>
        </w:rPr>
      </w:pPr>
    </w:p>
    <w:p>
      <w:pPr>
        <w:ind w:left="100" w:right="960" w:firstLine="323"/>
        <w:spacing w:after="0" w:line="283" w:lineRule="auto"/>
        <w:rPr>
          <w:sz w:val="20"/>
          <w:szCs w:val="20"/>
          <w:color w:val="auto"/>
        </w:rPr>
      </w:pPr>
      <w:r>
        <w:rPr>
          <w:rFonts w:ascii="Arial" w:cs="Arial" w:eastAsia="Arial" w:hAnsi="Arial"/>
          <w:sz w:val="20"/>
          <w:szCs w:val="20"/>
          <w:color w:val="auto"/>
        </w:rPr>
        <w:t>has the authority to call meetings of the independent directors</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leads the Board’s evaluation of the CEO</w:t>
      </w:r>
    </w:p>
    <w:p>
      <w:pPr>
        <w:spacing w:after="0" w:line="158" w:lineRule="exact"/>
        <w:rPr>
          <w:sz w:val="20"/>
          <w:szCs w:val="20"/>
          <w:color w:val="auto"/>
        </w:rPr>
      </w:pPr>
    </w:p>
    <w:p>
      <w:pPr>
        <w:ind w:left="100" w:right="40" w:firstLine="323"/>
        <w:spacing w:after="0" w:line="262" w:lineRule="auto"/>
        <w:rPr>
          <w:sz w:val="20"/>
          <w:szCs w:val="20"/>
          <w:color w:val="auto"/>
        </w:rPr>
      </w:pPr>
      <w:r>
        <w:rPr>
          <w:rFonts w:ascii="Arial" w:cs="Arial" w:eastAsia="Arial" w:hAnsi="Arial"/>
          <w:sz w:val="20"/>
          <w:szCs w:val="20"/>
          <w:color w:val="auto"/>
        </w:rPr>
        <w:t>leads the annual Board and committee evaluation process, including discussing evaluations with each director individually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760" w:firstLine="323"/>
        <w:spacing w:after="0" w:line="283" w:lineRule="auto"/>
        <w:rPr>
          <w:sz w:val="20"/>
          <w:szCs w:val="20"/>
          <w:color w:val="auto"/>
        </w:rPr>
      </w:pPr>
      <w:r>
        <w:rPr>
          <w:rFonts w:ascii="Arial" w:cs="Arial" w:eastAsia="Arial" w:hAnsi="Arial"/>
          <w:sz w:val="20"/>
          <w:szCs w:val="20"/>
          <w:color w:val="auto"/>
        </w:rPr>
        <w:t>reviews and guides agenda items for Board meetings</w:t>
      </w:r>
    </w:p>
    <w:p>
      <w:pPr>
        <w:spacing w:after="0" w:line="78" w:lineRule="exact"/>
        <w:rPr>
          <w:sz w:val="20"/>
          <w:szCs w:val="20"/>
          <w:color w:val="auto"/>
        </w:rPr>
      </w:pPr>
    </w:p>
    <w:p>
      <w:pPr>
        <w:ind w:right="360" w:firstLine="323"/>
        <w:spacing w:after="0" w:line="281" w:lineRule="auto"/>
        <w:rPr>
          <w:sz w:val="20"/>
          <w:szCs w:val="20"/>
          <w:color w:val="auto"/>
        </w:rPr>
      </w:pPr>
      <w:r>
        <w:rPr>
          <w:rFonts w:ascii="Arial" w:cs="Arial" w:eastAsia="Arial" w:hAnsi="Arial"/>
          <w:sz w:val="19"/>
          <w:szCs w:val="19"/>
          <w:color w:val="auto"/>
        </w:rPr>
        <w:t>encourages effective director participation by fostering an environment of open dialogue and constructive feedback among independent directors</w:t>
      </w:r>
    </w:p>
    <w:p>
      <w:pPr>
        <w:spacing w:after="0" w:line="82" w:lineRule="exact"/>
        <w:rPr>
          <w:sz w:val="20"/>
          <w:szCs w:val="20"/>
          <w:color w:val="auto"/>
        </w:rPr>
      </w:pPr>
    </w:p>
    <w:p>
      <w:pPr>
        <w:ind w:right="680" w:firstLine="323"/>
        <w:spacing w:after="0" w:line="283" w:lineRule="auto"/>
        <w:rPr>
          <w:sz w:val="20"/>
          <w:szCs w:val="20"/>
          <w:color w:val="auto"/>
        </w:rPr>
      </w:pPr>
      <w:r>
        <w:rPr>
          <w:rFonts w:ascii="Arial" w:cs="Arial" w:eastAsia="Arial" w:hAnsi="Arial"/>
          <w:sz w:val="20"/>
          <w:szCs w:val="20"/>
          <w:color w:val="auto"/>
        </w:rPr>
        <w:t>involved in selection and interviewing of new Board members</w:t>
      </w:r>
    </w:p>
    <w:p>
      <w:pPr>
        <w:spacing w:after="0" w:line="78" w:lineRule="exact"/>
        <w:rPr>
          <w:sz w:val="20"/>
          <w:szCs w:val="20"/>
          <w:color w:val="auto"/>
        </w:rPr>
      </w:pPr>
    </w:p>
    <w:p>
      <w:pPr>
        <w:ind w:right="360" w:firstLine="323"/>
        <w:spacing w:after="0" w:line="261" w:lineRule="auto"/>
        <w:rPr>
          <w:sz w:val="20"/>
          <w:szCs w:val="20"/>
          <w:color w:val="auto"/>
        </w:rPr>
      </w:pPr>
      <w:r>
        <w:rPr>
          <w:rFonts w:ascii="Arial" w:cs="Arial" w:eastAsia="Arial" w:hAnsi="Arial"/>
          <w:sz w:val="20"/>
          <w:szCs w:val="20"/>
          <w:color w:val="auto"/>
        </w:rPr>
        <w:t>if requested by major stockholders, ensures that they are available for consultation and direct communication as needed</w:t>
      </w:r>
    </w:p>
    <w:p>
      <w:pPr>
        <w:spacing w:after="0" w:line="99" w:lineRule="exact"/>
        <w:rPr>
          <w:sz w:val="20"/>
          <w:szCs w:val="20"/>
          <w:color w:val="auto"/>
        </w:rPr>
      </w:pPr>
    </w:p>
    <w:p>
      <w:pPr>
        <w:ind w:right="160" w:firstLine="323"/>
        <w:spacing w:after="0" w:line="262" w:lineRule="auto"/>
        <w:rPr>
          <w:sz w:val="20"/>
          <w:szCs w:val="20"/>
          <w:color w:val="auto"/>
        </w:rPr>
      </w:pPr>
      <w:r>
        <w:rPr>
          <w:rFonts w:ascii="Arial" w:cs="Arial" w:eastAsia="Arial" w:hAnsi="Arial"/>
          <w:sz w:val="20"/>
          <w:szCs w:val="20"/>
          <w:color w:val="auto"/>
        </w:rPr>
        <w:t>if required, represents independent Board members externally, including in communications with stockholders and other stakeholders</w:t>
      </w:r>
    </w:p>
    <w:p>
      <w:pPr>
        <w:spacing w:after="0" w:line="96" w:lineRule="exact"/>
        <w:rPr>
          <w:sz w:val="20"/>
          <w:szCs w:val="20"/>
          <w:color w:val="auto"/>
        </w:rPr>
      </w:pPr>
    </w:p>
    <w:p>
      <w:pPr>
        <w:ind w:right="620" w:firstLine="323"/>
        <w:spacing w:after="0" w:line="283" w:lineRule="auto"/>
        <w:rPr>
          <w:sz w:val="20"/>
          <w:szCs w:val="20"/>
          <w:color w:val="auto"/>
        </w:rPr>
      </w:pPr>
      <w:r>
        <w:rPr>
          <w:rFonts w:ascii="Arial" w:cs="Arial" w:eastAsia="Arial" w:hAnsi="Arial"/>
          <w:sz w:val="20"/>
          <w:szCs w:val="20"/>
          <w:color w:val="auto"/>
        </w:rPr>
        <w:t>performs such other duties as the Board may determine from time to time</w:t>
      </w:r>
    </w:p>
    <w:p>
      <w:pPr>
        <w:spacing w:after="0" w:line="569" w:lineRule="exact"/>
        <w:rPr>
          <w:sz w:val="20"/>
          <w:szCs w:val="20"/>
          <w:color w:val="auto"/>
        </w:rPr>
      </w:pPr>
    </w:p>
    <w:p>
      <w:pPr>
        <w:sectPr>
          <w:pgSz w:w="11880" w:h="15480" w:orient="portrait"/>
          <w:cols w:equalWidth="0" w:num="2">
            <w:col w:w="4860" w:space="280"/>
            <w:col w:w="4940"/>
          </w:cols>
          <w:pgMar w:left="900" w:top="702" w:right="900" w:bottom="0" w:gutter="0" w:footer="0" w:header="0"/>
          <w:type w:val="continuous"/>
        </w:sectPr>
      </w:pP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All directors are encouraged to consult with the Chairman of the Board and Chief Executive Officer on each of the above topics, as well. The Lead Independent Director, and each of the other directors, communicates regularly with the Chairman of the Board and Chief Executive Officer regarding appropriate agenda topics and other Board related matters.</w:t>
      </w:r>
    </w:p>
    <w:p>
      <w:pPr>
        <w:spacing w:after="0" w:line="160" w:lineRule="exact"/>
        <w:rPr>
          <w:sz w:val="20"/>
          <w:szCs w:val="20"/>
          <w:color w:val="auto"/>
        </w:rPr>
      </w:pPr>
    </w:p>
    <w:p>
      <w:pPr>
        <w:spacing w:after="0"/>
        <w:rPr>
          <w:sz w:val="20"/>
          <w:szCs w:val="20"/>
          <w:color w:val="auto"/>
        </w:rPr>
      </w:pPr>
      <w:r>
        <w:rPr>
          <w:rFonts w:ascii="Arial" w:cs="Arial" w:eastAsia="Arial" w:hAnsi="Arial"/>
          <w:sz w:val="36"/>
          <w:szCs w:val="36"/>
          <w:color w:val="auto"/>
        </w:rPr>
        <w:t>Board Succession Planning and Composition</w:t>
      </w:r>
    </w:p>
    <w:p>
      <w:pPr>
        <w:spacing w:after="0" w:line="177"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AbbVie directors have backgrounds that when combined provide a portfolio of experience and knowledge that serve AbbVie’s governance and strategic needs. Director nominees are considered based on a range of criteria including broad- based business knowledge and relationships, prominence and excellent reputations in their primary fields of endeavor, as well as a global business perspective and commitment to good corporate citizenship, and ability to commit sufficient time and attention to the activities of the Board. They must have demonstrated experience and ability that is relevant to the Board’s oversight role with respect to AbbVie’s business and affairs. They must also be able and willing to represent the stockholders’ economic interests and satisfy their fiduciary duties to stockholders without conflicts of interest. For more details on director qualifications, please see Exhibit A to AbbVie’s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87">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type w:val="continuous"/>
        </w:sectPr>
      </w:pPr>
    </w:p>
    <w:bookmarkStart w:id="148" w:name="page149"/>
    <w:bookmarkEnd w:id="148"/>
    <w:p>
      <w:pPr>
        <w:spacing w:after="0"/>
        <w:rPr>
          <w:sz w:val="20"/>
          <w:szCs w:val="20"/>
          <w:color w:val="auto"/>
        </w:rPr>
      </w:pPr>
      <w:r>
        <w:rPr>
          <w:rFonts w:ascii="Arial" w:cs="Arial" w:eastAsia="Arial" w:hAnsi="Arial"/>
          <w:sz w:val="20"/>
          <w:szCs w:val="20"/>
          <w:color w:val="808080"/>
        </w:rPr>
        <w:t>THE BOARD OF DIRECTORS AND ITS COMMITTEES</w:t>
      </w:r>
    </w:p>
    <w:p>
      <w:pPr>
        <w:spacing w:after="0" w:line="231"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In addition to executive succession planning, the Board actively plans for its own succession. Over the past several years, the Board has undergone significant refreshment, including four new directors since 2023, a new lead independent director starting in 2024, all new committee chairs starting in 2024, and a new Chairman in 2025. Two directors, who had served since the company’s inception in 2013, also retired in 2025. All of these changes were the result of an established, robust board succession planning process. The Board anticipates potential director retirement timelines well in advance and assesses what skills may need to be added to the Board when retirements occur, as well as what Board leadership positions a retiring director has. This allows the Board to actively recruit for specific skillsets and plan for Board leadership changes in advance of retirements. For example, the two directors who retired in 2025 were both former chief executive officers. The Board was therefore able to recruit and elect Mr. Falk, a former chief executive officer of a large, publicly traded company, to supplement that skillset on the Board shortly before the planned retirements.</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Each director’s biography includes the particular experience and qualifications that led the Board to conclude that the director should serve on the Board and how their qualifications add to the mix of skills on the Board. The directors’ biographies are in the section of this proxy statement captioned “Information Concerning Director Nominees.”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following table highlights our directors’ skills and experience. The skills identified below are considered by the nominations and governance committee to be the most relevant to the Board’s oversight role with respect to AbbVie’s business and affairs and to drive our culture of innovation and responsibility. The specific importance of each skill also is noted.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Such skills include, among others: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168910</wp:posOffset>
                </wp:positionV>
                <wp:extent cx="0" cy="408305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83050"/>
                        </a:xfrm>
                        <a:prstGeom prst="line">
                          <a:avLst/>
                        </a:prstGeom>
                        <a:solidFill>
                          <a:srgbClr val="FFFFFF"/>
                        </a:solidFill>
                        <a:ln w="57150">
                          <a:solidFill>
                            <a:srgbClr val="000039"/>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pt" to="0pt,334.8pt" o:allowincell="f" strokecolor="#000039" strokeweight="4.5pt"/>
            </w:pict>
          </mc:Fallback>
        </mc:AlternateConten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352"/>
        </w:trPr>
        <w:tc>
          <w:tcPr>
            <w:tcW w:w="284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2"/>
                <w:szCs w:val="22"/>
                <w:color w:val="auto"/>
              </w:rPr>
              <w:t>Health Care Industry</w:t>
            </w:r>
          </w:p>
        </w:tc>
        <w:tc>
          <w:tcPr>
            <w:tcW w:w="7040" w:type="dxa"/>
            <w:vAlign w:val="bottom"/>
          </w:tcPr>
          <w:p>
            <w:pPr>
              <w:ind w:left="140"/>
              <w:spacing w:after="0"/>
              <w:rPr>
                <w:sz w:val="20"/>
                <w:szCs w:val="20"/>
                <w:color w:val="auto"/>
              </w:rPr>
            </w:pPr>
            <w:r>
              <w:rPr>
                <w:rFonts w:ascii="Arial" w:cs="Arial" w:eastAsia="Arial" w:hAnsi="Arial"/>
                <w:sz w:val="22"/>
                <w:szCs w:val="22"/>
                <w:color w:val="auto"/>
              </w:rPr>
              <w:t>Relevant to an industry understanding and review of our business and</w:t>
            </w:r>
          </w:p>
        </w:tc>
        <w:tc>
          <w:tcPr>
            <w:tcW w:w="0" w:type="dxa"/>
            <w:vAlign w:val="bottom"/>
          </w:tcPr>
          <w:p>
            <w:pPr>
              <w:spacing w:after="0"/>
              <w:rPr>
                <w:sz w:val="1"/>
                <w:szCs w:val="1"/>
                <w:color w:val="auto"/>
              </w:rPr>
            </w:pPr>
          </w:p>
        </w:tc>
      </w:tr>
      <w:tr>
        <w:trPr>
          <w:trHeight w:val="171"/>
        </w:trPr>
        <w:tc>
          <w:tcPr>
            <w:tcW w:w="2840" w:type="dxa"/>
            <w:vAlign w:val="bottom"/>
            <w:tcBorders>
              <w:right w:val="single" w:sz="8" w:color="000039"/>
            </w:tcBorders>
            <w:vMerge w:val="continue"/>
          </w:tcPr>
          <w:p>
            <w:pPr>
              <w:spacing w:after="0"/>
              <w:rPr>
                <w:sz w:val="14"/>
                <w:szCs w:val="14"/>
                <w:color w:val="auto"/>
              </w:rPr>
            </w:pPr>
          </w:p>
        </w:tc>
        <w:tc>
          <w:tcPr>
            <w:tcW w:w="7040" w:type="dxa"/>
            <w:vAlign w:val="bottom"/>
            <w:vMerge w:val="restart"/>
          </w:tcPr>
          <w:p>
            <w:pPr>
              <w:ind w:left="140"/>
              <w:spacing w:after="0"/>
              <w:rPr>
                <w:sz w:val="20"/>
                <w:szCs w:val="20"/>
                <w:color w:val="auto"/>
              </w:rPr>
            </w:pPr>
            <w:r>
              <w:rPr>
                <w:rFonts w:ascii="Arial" w:cs="Arial" w:eastAsia="Arial" w:hAnsi="Arial"/>
                <w:sz w:val="22"/>
                <w:szCs w:val="22"/>
                <w:color w:val="auto"/>
              </w:rPr>
              <w:t>strategy for continued innovation.</w:t>
            </w:r>
          </w:p>
        </w:tc>
        <w:tc>
          <w:tcPr>
            <w:tcW w:w="0" w:type="dxa"/>
            <w:vAlign w:val="bottom"/>
          </w:tcPr>
          <w:p>
            <w:pPr>
              <w:spacing w:after="0"/>
              <w:rPr>
                <w:sz w:val="1"/>
                <w:szCs w:val="1"/>
                <w:color w:val="auto"/>
              </w:rPr>
            </w:pPr>
          </w:p>
        </w:tc>
      </w:tr>
      <w:tr>
        <w:trPr>
          <w:trHeight w:val="126"/>
        </w:trPr>
        <w:tc>
          <w:tcPr>
            <w:tcW w:w="2840" w:type="dxa"/>
            <w:vAlign w:val="bottom"/>
            <w:tcBorders>
              <w:right w:val="single" w:sz="8" w:color="000039"/>
            </w:tcBorders>
          </w:tcPr>
          <w:p>
            <w:pPr>
              <w:spacing w:after="0"/>
              <w:rPr>
                <w:sz w:val="10"/>
                <w:szCs w:val="10"/>
                <w:color w:val="auto"/>
              </w:rPr>
            </w:pPr>
          </w:p>
        </w:tc>
        <w:tc>
          <w:tcPr>
            <w:tcW w:w="7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40" w:type="dxa"/>
            <w:vAlign w:val="bottom"/>
            <w:tcBorders>
              <w:bottom w:val="single" w:sz="8" w:color="000039"/>
              <w:right w:val="single" w:sz="8" w:color="000039"/>
            </w:tcBorders>
          </w:tcPr>
          <w:p>
            <w:pPr>
              <w:spacing w:after="0"/>
              <w:rPr>
                <w:sz w:val="9"/>
                <w:szCs w:val="9"/>
                <w:color w:val="auto"/>
              </w:rPr>
            </w:pPr>
          </w:p>
        </w:tc>
        <w:tc>
          <w:tcPr>
            <w:tcW w:w="704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284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2"/>
                <w:szCs w:val="22"/>
                <w:color w:val="auto"/>
              </w:rPr>
              <w:t>Leadership</w:t>
            </w:r>
          </w:p>
        </w:tc>
        <w:tc>
          <w:tcPr>
            <w:tcW w:w="7040" w:type="dxa"/>
            <w:vAlign w:val="bottom"/>
          </w:tcPr>
          <w:p>
            <w:pPr>
              <w:ind w:left="140"/>
              <w:spacing w:after="0"/>
              <w:rPr>
                <w:sz w:val="20"/>
                <w:szCs w:val="20"/>
                <w:color w:val="auto"/>
              </w:rPr>
            </w:pPr>
            <w:r>
              <w:rPr>
                <w:rFonts w:ascii="Arial" w:cs="Arial" w:eastAsia="Arial" w:hAnsi="Arial"/>
                <w:sz w:val="22"/>
                <w:szCs w:val="22"/>
                <w:color w:val="auto"/>
              </w:rPr>
              <w:t>For a board that can successfully advise and oversee the company’s</w:t>
            </w:r>
          </w:p>
        </w:tc>
        <w:tc>
          <w:tcPr>
            <w:tcW w:w="0" w:type="dxa"/>
            <w:vAlign w:val="bottom"/>
          </w:tcPr>
          <w:p>
            <w:pPr>
              <w:spacing w:after="0"/>
              <w:rPr>
                <w:sz w:val="1"/>
                <w:szCs w:val="1"/>
                <w:color w:val="auto"/>
              </w:rPr>
            </w:pPr>
          </w:p>
        </w:tc>
      </w:tr>
      <w:tr>
        <w:trPr>
          <w:trHeight w:val="171"/>
        </w:trPr>
        <w:tc>
          <w:tcPr>
            <w:tcW w:w="2840" w:type="dxa"/>
            <w:vAlign w:val="bottom"/>
            <w:tcBorders>
              <w:right w:val="single" w:sz="8" w:color="000039"/>
            </w:tcBorders>
            <w:vMerge w:val="continue"/>
          </w:tcPr>
          <w:p>
            <w:pPr>
              <w:spacing w:after="0"/>
              <w:rPr>
                <w:sz w:val="14"/>
                <w:szCs w:val="14"/>
                <w:color w:val="auto"/>
              </w:rPr>
            </w:pPr>
          </w:p>
        </w:tc>
        <w:tc>
          <w:tcPr>
            <w:tcW w:w="7040" w:type="dxa"/>
            <w:vAlign w:val="bottom"/>
            <w:vMerge w:val="restart"/>
          </w:tcPr>
          <w:p>
            <w:pPr>
              <w:ind w:left="140"/>
              <w:spacing w:after="0"/>
              <w:rPr>
                <w:sz w:val="20"/>
                <w:szCs w:val="20"/>
                <w:color w:val="auto"/>
              </w:rPr>
            </w:pPr>
            <w:r>
              <w:rPr>
                <w:rFonts w:ascii="Arial" w:cs="Arial" w:eastAsia="Arial" w:hAnsi="Arial"/>
                <w:sz w:val="22"/>
                <w:szCs w:val="22"/>
                <w:color w:val="auto"/>
              </w:rPr>
              <w:t>business performance and represent stockholders’ interests.</w:t>
            </w:r>
          </w:p>
        </w:tc>
        <w:tc>
          <w:tcPr>
            <w:tcW w:w="0" w:type="dxa"/>
            <w:vAlign w:val="bottom"/>
          </w:tcPr>
          <w:p>
            <w:pPr>
              <w:spacing w:after="0"/>
              <w:rPr>
                <w:sz w:val="1"/>
                <w:szCs w:val="1"/>
                <w:color w:val="auto"/>
              </w:rPr>
            </w:pPr>
          </w:p>
        </w:tc>
      </w:tr>
      <w:tr>
        <w:trPr>
          <w:trHeight w:val="126"/>
        </w:trPr>
        <w:tc>
          <w:tcPr>
            <w:tcW w:w="2840" w:type="dxa"/>
            <w:vAlign w:val="bottom"/>
            <w:tcBorders>
              <w:right w:val="single" w:sz="8" w:color="000039"/>
            </w:tcBorders>
          </w:tcPr>
          <w:p>
            <w:pPr>
              <w:spacing w:after="0"/>
              <w:rPr>
                <w:sz w:val="10"/>
                <w:szCs w:val="10"/>
                <w:color w:val="auto"/>
              </w:rPr>
            </w:pPr>
          </w:p>
        </w:tc>
        <w:tc>
          <w:tcPr>
            <w:tcW w:w="7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40" w:type="dxa"/>
            <w:vAlign w:val="bottom"/>
            <w:tcBorders>
              <w:bottom w:val="single" w:sz="8" w:color="000039"/>
              <w:right w:val="single" w:sz="8" w:color="000039"/>
            </w:tcBorders>
          </w:tcPr>
          <w:p>
            <w:pPr>
              <w:spacing w:after="0"/>
              <w:rPr>
                <w:sz w:val="9"/>
                <w:szCs w:val="9"/>
                <w:color w:val="auto"/>
              </w:rPr>
            </w:pPr>
          </w:p>
        </w:tc>
        <w:tc>
          <w:tcPr>
            <w:tcW w:w="704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84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2"/>
                <w:szCs w:val="22"/>
                <w:color w:val="auto"/>
              </w:rPr>
              <w:t>Global Business and</w:t>
            </w:r>
          </w:p>
        </w:tc>
        <w:tc>
          <w:tcPr>
            <w:tcW w:w="7040" w:type="dxa"/>
            <w:vAlign w:val="bottom"/>
          </w:tcPr>
          <w:p>
            <w:pPr>
              <w:ind w:left="140"/>
              <w:spacing w:after="0"/>
              <w:rPr>
                <w:sz w:val="20"/>
                <w:szCs w:val="20"/>
                <w:color w:val="auto"/>
              </w:rPr>
            </w:pPr>
            <w:r>
              <w:rPr>
                <w:rFonts w:ascii="Arial" w:cs="Arial" w:eastAsia="Arial" w:hAnsi="Arial"/>
                <w:sz w:val="22"/>
                <w:szCs w:val="22"/>
                <w:color w:val="auto"/>
              </w:rPr>
              <w:t>For oversight of a complex global organization like AbbVie to</w:t>
            </w:r>
          </w:p>
        </w:tc>
        <w:tc>
          <w:tcPr>
            <w:tcW w:w="0" w:type="dxa"/>
            <w:vAlign w:val="bottom"/>
          </w:tcPr>
          <w:p>
            <w:pPr>
              <w:spacing w:after="0"/>
              <w:rPr>
                <w:sz w:val="1"/>
                <w:szCs w:val="1"/>
                <w:color w:val="auto"/>
              </w:rPr>
            </w:pPr>
          </w:p>
        </w:tc>
      </w:tr>
      <w:tr>
        <w:trPr>
          <w:trHeight w:val="127"/>
        </w:trPr>
        <w:tc>
          <w:tcPr>
            <w:tcW w:w="2840" w:type="dxa"/>
            <w:vAlign w:val="bottom"/>
            <w:tcBorders>
              <w:right w:val="single" w:sz="8" w:color="000039"/>
            </w:tcBorders>
            <w:vMerge w:val="continue"/>
          </w:tcPr>
          <w:p>
            <w:pPr>
              <w:spacing w:after="0"/>
              <w:rPr>
                <w:sz w:val="11"/>
                <w:szCs w:val="11"/>
                <w:color w:val="auto"/>
              </w:rPr>
            </w:pPr>
          </w:p>
        </w:tc>
        <w:tc>
          <w:tcPr>
            <w:tcW w:w="7040" w:type="dxa"/>
            <w:vAlign w:val="bottom"/>
            <w:vMerge w:val="restart"/>
          </w:tcPr>
          <w:p>
            <w:pPr>
              <w:ind w:left="140"/>
              <w:spacing w:after="0"/>
              <w:rPr>
                <w:sz w:val="20"/>
                <w:szCs w:val="20"/>
                <w:color w:val="auto"/>
              </w:rPr>
            </w:pPr>
            <w:r>
              <w:rPr>
                <w:rFonts w:ascii="Arial" w:cs="Arial" w:eastAsia="Arial" w:hAnsi="Arial"/>
                <w:sz w:val="22"/>
                <w:szCs w:val="22"/>
                <w:color w:val="auto"/>
              </w:rPr>
              <w:t>successfully advise and oversee the strategic development and</w:t>
            </w:r>
          </w:p>
        </w:tc>
        <w:tc>
          <w:tcPr>
            <w:tcW w:w="0" w:type="dxa"/>
            <w:vAlign w:val="bottom"/>
          </w:tcPr>
          <w:p>
            <w:pPr>
              <w:spacing w:after="0"/>
              <w:rPr>
                <w:sz w:val="1"/>
                <w:szCs w:val="1"/>
                <w:color w:val="auto"/>
              </w:rPr>
            </w:pPr>
          </w:p>
        </w:tc>
      </w:tr>
      <w:tr>
        <w:trPr>
          <w:trHeight w:val="126"/>
        </w:trPr>
        <w:tc>
          <w:tcPr>
            <w:tcW w:w="284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2"/>
                <w:szCs w:val="22"/>
                <w:color w:val="auto"/>
              </w:rPr>
              <w:t>Strategy</w:t>
            </w:r>
          </w:p>
        </w:tc>
        <w:tc>
          <w:tcPr>
            <w:tcW w:w="7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Borders>
              <w:right w:val="single" w:sz="8" w:color="000039"/>
            </w:tcBorders>
            <w:vMerge w:val="continue"/>
          </w:tcPr>
          <w:p>
            <w:pPr>
              <w:spacing w:after="0"/>
              <w:rPr>
                <w:sz w:val="14"/>
                <w:szCs w:val="14"/>
                <w:color w:val="auto"/>
              </w:rPr>
            </w:pPr>
          </w:p>
        </w:tc>
        <w:tc>
          <w:tcPr>
            <w:tcW w:w="7040" w:type="dxa"/>
            <w:vAlign w:val="bottom"/>
            <w:vMerge w:val="restart"/>
          </w:tcPr>
          <w:p>
            <w:pPr>
              <w:ind w:left="140"/>
              <w:spacing w:after="0"/>
              <w:rPr>
                <w:sz w:val="20"/>
                <w:szCs w:val="20"/>
                <w:color w:val="auto"/>
              </w:rPr>
            </w:pPr>
            <w:r>
              <w:rPr>
                <w:rFonts w:ascii="Arial" w:cs="Arial" w:eastAsia="Arial" w:hAnsi="Arial"/>
                <w:sz w:val="22"/>
                <w:szCs w:val="22"/>
                <w:color w:val="auto"/>
              </w:rPr>
              <w:t>direction of the company.</w:t>
            </w:r>
          </w:p>
        </w:tc>
        <w:tc>
          <w:tcPr>
            <w:tcW w:w="0" w:type="dxa"/>
            <w:vAlign w:val="bottom"/>
          </w:tcPr>
          <w:p>
            <w:pPr>
              <w:spacing w:after="0"/>
              <w:rPr>
                <w:sz w:val="1"/>
                <w:szCs w:val="1"/>
                <w:color w:val="auto"/>
              </w:rPr>
            </w:pPr>
          </w:p>
        </w:tc>
      </w:tr>
      <w:tr>
        <w:trPr>
          <w:trHeight w:val="126"/>
        </w:trPr>
        <w:tc>
          <w:tcPr>
            <w:tcW w:w="2840" w:type="dxa"/>
            <w:vAlign w:val="bottom"/>
            <w:tcBorders>
              <w:right w:val="single" w:sz="8" w:color="000039"/>
            </w:tcBorders>
          </w:tcPr>
          <w:p>
            <w:pPr>
              <w:spacing w:after="0"/>
              <w:rPr>
                <w:sz w:val="10"/>
                <w:szCs w:val="10"/>
                <w:color w:val="auto"/>
              </w:rPr>
            </w:pPr>
          </w:p>
        </w:tc>
        <w:tc>
          <w:tcPr>
            <w:tcW w:w="7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40" w:type="dxa"/>
            <w:vAlign w:val="bottom"/>
            <w:tcBorders>
              <w:bottom w:val="single" w:sz="8" w:color="000039"/>
              <w:right w:val="single" w:sz="8" w:color="000039"/>
            </w:tcBorders>
          </w:tcPr>
          <w:p>
            <w:pPr>
              <w:spacing w:after="0"/>
              <w:rPr>
                <w:sz w:val="9"/>
                <w:szCs w:val="9"/>
                <w:color w:val="auto"/>
              </w:rPr>
            </w:pPr>
          </w:p>
        </w:tc>
        <w:tc>
          <w:tcPr>
            <w:tcW w:w="704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2840" w:type="dxa"/>
            <w:vAlign w:val="bottom"/>
            <w:tcBorders>
              <w:right w:val="single" w:sz="8" w:color="000039"/>
            </w:tcBorders>
          </w:tcPr>
          <w:p>
            <w:pPr>
              <w:jc w:val="center"/>
              <w:spacing w:after="0"/>
              <w:rPr>
                <w:sz w:val="20"/>
                <w:szCs w:val="20"/>
                <w:color w:val="auto"/>
              </w:rPr>
            </w:pPr>
            <w:r>
              <w:rPr>
                <w:rFonts w:ascii="Arial" w:cs="Arial" w:eastAsia="Arial" w:hAnsi="Arial"/>
                <w:sz w:val="22"/>
                <w:szCs w:val="22"/>
                <w:color w:val="auto"/>
                <w:w w:val="99"/>
              </w:rPr>
              <w:t>Science/Research &amp;</w:t>
            </w:r>
          </w:p>
        </w:tc>
        <w:tc>
          <w:tcPr>
            <w:tcW w:w="7040" w:type="dxa"/>
            <w:vAlign w:val="bottom"/>
          </w:tcPr>
          <w:p>
            <w:pPr>
              <w:ind w:left="140"/>
              <w:spacing w:after="0"/>
              <w:rPr>
                <w:sz w:val="20"/>
                <w:szCs w:val="20"/>
                <w:color w:val="auto"/>
              </w:rPr>
            </w:pPr>
            <w:r>
              <w:rPr>
                <w:rFonts w:ascii="Arial" w:cs="Arial" w:eastAsia="Arial" w:hAnsi="Arial"/>
                <w:sz w:val="22"/>
                <w:szCs w:val="22"/>
                <w:color w:val="auto"/>
              </w:rPr>
              <w:t>For an understanding of AbbVie’s scientific and research and</w:t>
            </w:r>
          </w:p>
        </w:tc>
        <w:tc>
          <w:tcPr>
            <w:tcW w:w="0" w:type="dxa"/>
            <w:vAlign w:val="bottom"/>
          </w:tcPr>
          <w:p>
            <w:pPr>
              <w:spacing w:after="0"/>
              <w:rPr>
                <w:sz w:val="1"/>
                <w:szCs w:val="1"/>
                <w:color w:val="auto"/>
              </w:rPr>
            </w:pPr>
          </w:p>
        </w:tc>
      </w:tr>
      <w:tr>
        <w:trPr>
          <w:trHeight w:val="297"/>
        </w:trPr>
        <w:tc>
          <w:tcPr>
            <w:tcW w:w="2840" w:type="dxa"/>
            <w:vAlign w:val="bottom"/>
            <w:tcBorders>
              <w:right w:val="single" w:sz="8" w:color="000039"/>
            </w:tcBorders>
          </w:tcPr>
          <w:p>
            <w:pPr>
              <w:jc w:val="center"/>
              <w:spacing w:after="0"/>
              <w:rPr>
                <w:sz w:val="20"/>
                <w:szCs w:val="20"/>
                <w:color w:val="auto"/>
              </w:rPr>
            </w:pPr>
            <w:r>
              <w:rPr>
                <w:rFonts w:ascii="Arial" w:cs="Arial" w:eastAsia="Arial" w:hAnsi="Arial"/>
                <w:sz w:val="22"/>
                <w:szCs w:val="22"/>
                <w:color w:val="auto"/>
              </w:rPr>
              <w:t>Development</w:t>
            </w:r>
          </w:p>
        </w:tc>
        <w:tc>
          <w:tcPr>
            <w:tcW w:w="7040" w:type="dxa"/>
            <w:vAlign w:val="bottom"/>
          </w:tcPr>
          <w:p>
            <w:pPr>
              <w:ind w:left="140"/>
              <w:spacing w:after="0"/>
              <w:rPr>
                <w:sz w:val="20"/>
                <w:szCs w:val="20"/>
                <w:color w:val="auto"/>
              </w:rPr>
            </w:pPr>
            <w:r>
              <w:rPr>
                <w:rFonts w:ascii="Arial" w:cs="Arial" w:eastAsia="Arial" w:hAnsi="Arial"/>
                <w:sz w:val="22"/>
                <w:szCs w:val="22"/>
                <w:color w:val="auto"/>
              </w:rPr>
              <w:t>development initiatives.</w:t>
            </w:r>
          </w:p>
        </w:tc>
        <w:tc>
          <w:tcPr>
            <w:tcW w:w="0" w:type="dxa"/>
            <w:vAlign w:val="bottom"/>
          </w:tcPr>
          <w:p>
            <w:pPr>
              <w:spacing w:after="0"/>
              <w:rPr>
                <w:sz w:val="1"/>
                <w:szCs w:val="1"/>
                <w:color w:val="auto"/>
              </w:rPr>
            </w:pPr>
          </w:p>
        </w:tc>
      </w:tr>
      <w:tr>
        <w:trPr>
          <w:trHeight w:val="107"/>
        </w:trPr>
        <w:tc>
          <w:tcPr>
            <w:tcW w:w="2840" w:type="dxa"/>
            <w:vAlign w:val="bottom"/>
            <w:tcBorders>
              <w:bottom w:val="single" w:sz="8" w:color="000039"/>
              <w:right w:val="single" w:sz="8" w:color="000039"/>
            </w:tcBorders>
          </w:tcPr>
          <w:p>
            <w:pPr>
              <w:spacing w:after="0"/>
              <w:rPr>
                <w:sz w:val="9"/>
                <w:szCs w:val="9"/>
                <w:color w:val="auto"/>
              </w:rPr>
            </w:pPr>
          </w:p>
        </w:tc>
        <w:tc>
          <w:tcPr>
            <w:tcW w:w="704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2840" w:type="dxa"/>
            <w:vAlign w:val="bottom"/>
            <w:tcBorders>
              <w:right w:val="single" w:sz="8" w:color="000039"/>
            </w:tcBorders>
          </w:tcPr>
          <w:p>
            <w:pPr>
              <w:jc w:val="center"/>
              <w:spacing w:after="0"/>
              <w:rPr>
                <w:sz w:val="20"/>
                <w:szCs w:val="20"/>
                <w:color w:val="auto"/>
              </w:rPr>
            </w:pPr>
            <w:r>
              <w:rPr>
                <w:rFonts w:ascii="Arial" w:cs="Arial" w:eastAsia="Arial" w:hAnsi="Arial"/>
                <w:sz w:val="22"/>
                <w:szCs w:val="22"/>
                <w:color w:val="auto"/>
                <w:w w:val="99"/>
              </w:rPr>
              <w:t>Corporate Governance and</w:t>
            </w:r>
          </w:p>
        </w:tc>
        <w:tc>
          <w:tcPr>
            <w:tcW w:w="7040" w:type="dxa"/>
            <w:vAlign w:val="bottom"/>
          </w:tcPr>
          <w:p>
            <w:pPr>
              <w:ind w:left="140"/>
              <w:spacing w:after="0"/>
              <w:rPr>
                <w:sz w:val="20"/>
                <w:szCs w:val="20"/>
                <w:color w:val="auto"/>
              </w:rPr>
            </w:pPr>
            <w:r>
              <w:rPr>
                <w:rFonts w:ascii="Arial" w:cs="Arial" w:eastAsia="Arial" w:hAnsi="Arial"/>
                <w:sz w:val="22"/>
                <w:szCs w:val="22"/>
                <w:color w:val="auto"/>
              </w:rPr>
              <w:t>Ensuring directors have the background and knowledge to perform</w:t>
            </w:r>
          </w:p>
        </w:tc>
        <w:tc>
          <w:tcPr>
            <w:tcW w:w="0" w:type="dxa"/>
            <w:vAlign w:val="bottom"/>
          </w:tcPr>
          <w:p>
            <w:pPr>
              <w:spacing w:after="0"/>
              <w:rPr>
                <w:sz w:val="1"/>
                <w:szCs w:val="1"/>
                <w:color w:val="auto"/>
              </w:rPr>
            </w:pPr>
          </w:p>
        </w:tc>
      </w:tr>
      <w:tr>
        <w:trPr>
          <w:trHeight w:val="297"/>
        </w:trPr>
        <w:tc>
          <w:tcPr>
            <w:tcW w:w="2840" w:type="dxa"/>
            <w:vAlign w:val="bottom"/>
            <w:tcBorders>
              <w:right w:val="single" w:sz="8" w:color="000039"/>
            </w:tcBorders>
          </w:tcPr>
          <w:p>
            <w:pPr>
              <w:jc w:val="center"/>
              <w:spacing w:after="0"/>
              <w:rPr>
                <w:sz w:val="20"/>
                <w:szCs w:val="20"/>
                <w:color w:val="auto"/>
              </w:rPr>
            </w:pPr>
            <w:r>
              <w:rPr>
                <w:rFonts w:ascii="Arial" w:cs="Arial" w:eastAsia="Arial" w:hAnsi="Arial"/>
                <w:sz w:val="22"/>
                <w:szCs w:val="22"/>
                <w:color w:val="auto"/>
              </w:rPr>
              <w:t>Public Company Board</w:t>
            </w:r>
          </w:p>
        </w:tc>
        <w:tc>
          <w:tcPr>
            <w:tcW w:w="7040" w:type="dxa"/>
            <w:vAlign w:val="bottom"/>
          </w:tcPr>
          <w:p>
            <w:pPr>
              <w:ind w:left="140"/>
              <w:spacing w:after="0"/>
              <w:rPr>
                <w:sz w:val="20"/>
                <w:szCs w:val="20"/>
                <w:color w:val="auto"/>
              </w:rPr>
            </w:pPr>
            <w:r>
              <w:rPr>
                <w:rFonts w:ascii="Arial" w:cs="Arial" w:eastAsia="Arial" w:hAnsi="Arial"/>
                <w:sz w:val="22"/>
                <w:szCs w:val="22"/>
                <w:color w:val="auto"/>
              </w:rPr>
              <w:t>oversight and governance roles.</w:t>
            </w:r>
          </w:p>
        </w:tc>
        <w:tc>
          <w:tcPr>
            <w:tcW w:w="0" w:type="dxa"/>
            <w:vAlign w:val="bottom"/>
          </w:tcPr>
          <w:p>
            <w:pPr>
              <w:spacing w:after="0"/>
              <w:rPr>
                <w:sz w:val="1"/>
                <w:szCs w:val="1"/>
                <w:color w:val="auto"/>
              </w:rPr>
            </w:pPr>
          </w:p>
        </w:tc>
      </w:tr>
      <w:tr>
        <w:trPr>
          <w:trHeight w:val="107"/>
        </w:trPr>
        <w:tc>
          <w:tcPr>
            <w:tcW w:w="2840" w:type="dxa"/>
            <w:vAlign w:val="bottom"/>
            <w:tcBorders>
              <w:bottom w:val="single" w:sz="8" w:color="000039"/>
              <w:right w:val="single" w:sz="8" w:color="000039"/>
            </w:tcBorders>
          </w:tcPr>
          <w:p>
            <w:pPr>
              <w:spacing w:after="0"/>
              <w:rPr>
                <w:sz w:val="9"/>
                <w:szCs w:val="9"/>
                <w:color w:val="auto"/>
              </w:rPr>
            </w:pPr>
          </w:p>
        </w:tc>
        <w:tc>
          <w:tcPr>
            <w:tcW w:w="704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284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2"/>
                <w:szCs w:val="22"/>
                <w:color w:val="auto"/>
                <w:w w:val="99"/>
              </w:rPr>
              <w:t>Finance or Accounting</w:t>
            </w:r>
          </w:p>
        </w:tc>
        <w:tc>
          <w:tcPr>
            <w:tcW w:w="7040" w:type="dxa"/>
            <w:vAlign w:val="bottom"/>
          </w:tcPr>
          <w:p>
            <w:pPr>
              <w:ind w:left="140"/>
              <w:spacing w:after="0"/>
              <w:rPr>
                <w:sz w:val="20"/>
                <w:szCs w:val="20"/>
                <w:color w:val="auto"/>
              </w:rPr>
            </w:pPr>
            <w:r>
              <w:rPr>
                <w:rFonts w:ascii="Arial" w:cs="Arial" w:eastAsia="Arial" w:hAnsi="Arial"/>
                <w:sz w:val="22"/>
                <w:szCs w:val="22"/>
                <w:color w:val="auto"/>
              </w:rPr>
              <w:t>Enabling our directors to analyze our financial statements, oversee our</w:t>
            </w:r>
          </w:p>
        </w:tc>
        <w:tc>
          <w:tcPr>
            <w:tcW w:w="0" w:type="dxa"/>
            <w:vAlign w:val="bottom"/>
          </w:tcPr>
          <w:p>
            <w:pPr>
              <w:spacing w:after="0"/>
              <w:rPr>
                <w:sz w:val="1"/>
                <w:szCs w:val="1"/>
                <w:color w:val="auto"/>
              </w:rPr>
            </w:pPr>
          </w:p>
        </w:tc>
      </w:tr>
      <w:tr>
        <w:trPr>
          <w:trHeight w:val="171"/>
        </w:trPr>
        <w:tc>
          <w:tcPr>
            <w:tcW w:w="2840" w:type="dxa"/>
            <w:vAlign w:val="bottom"/>
            <w:tcBorders>
              <w:right w:val="single" w:sz="8" w:color="000039"/>
            </w:tcBorders>
            <w:vMerge w:val="continue"/>
          </w:tcPr>
          <w:p>
            <w:pPr>
              <w:spacing w:after="0"/>
              <w:rPr>
                <w:sz w:val="14"/>
                <w:szCs w:val="14"/>
                <w:color w:val="auto"/>
              </w:rPr>
            </w:pPr>
          </w:p>
        </w:tc>
        <w:tc>
          <w:tcPr>
            <w:tcW w:w="7040" w:type="dxa"/>
            <w:vAlign w:val="bottom"/>
            <w:vMerge w:val="restart"/>
          </w:tcPr>
          <w:p>
            <w:pPr>
              <w:ind w:left="140"/>
              <w:spacing w:after="0"/>
              <w:rPr>
                <w:sz w:val="20"/>
                <w:szCs w:val="20"/>
                <w:color w:val="auto"/>
              </w:rPr>
            </w:pPr>
            <w:r>
              <w:rPr>
                <w:rFonts w:ascii="Arial" w:cs="Arial" w:eastAsia="Arial" w:hAnsi="Arial"/>
                <w:sz w:val="22"/>
                <w:szCs w:val="22"/>
                <w:color w:val="auto"/>
              </w:rPr>
              <w:t>capital structure, and consider financial transactions.</w:t>
            </w:r>
          </w:p>
        </w:tc>
        <w:tc>
          <w:tcPr>
            <w:tcW w:w="0" w:type="dxa"/>
            <w:vAlign w:val="bottom"/>
          </w:tcPr>
          <w:p>
            <w:pPr>
              <w:spacing w:after="0"/>
              <w:rPr>
                <w:sz w:val="1"/>
                <w:szCs w:val="1"/>
                <w:color w:val="auto"/>
              </w:rPr>
            </w:pPr>
          </w:p>
        </w:tc>
      </w:tr>
      <w:tr>
        <w:trPr>
          <w:trHeight w:val="126"/>
        </w:trPr>
        <w:tc>
          <w:tcPr>
            <w:tcW w:w="2840" w:type="dxa"/>
            <w:vAlign w:val="bottom"/>
            <w:tcBorders>
              <w:right w:val="single" w:sz="8" w:color="000039"/>
            </w:tcBorders>
          </w:tcPr>
          <w:p>
            <w:pPr>
              <w:spacing w:after="0"/>
              <w:rPr>
                <w:sz w:val="10"/>
                <w:szCs w:val="10"/>
                <w:color w:val="auto"/>
              </w:rPr>
            </w:pPr>
          </w:p>
        </w:tc>
        <w:tc>
          <w:tcPr>
            <w:tcW w:w="7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40" w:type="dxa"/>
            <w:vAlign w:val="bottom"/>
            <w:tcBorders>
              <w:bottom w:val="single" w:sz="8" w:color="000039"/>
              <w:right w:val="single" w:sz="8" w:color="000039"/>
            </w:tcBorders>
          </w:tcPr>
          <w:p>
            <w:pPr>
              <w:spacing w:after="0"/>
              <w:rPr>
                <w:sz w:val="9"/>
                <w:szCs w:val="9"/>
                <w:color w:val="auto"/>
              </w:rPr>
            </w:pPr>
          </w:p>
        </w:tc>
        <w:tc>
          <w:tcPr>
            <w:tcW w:w="704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2840" w:type="dxa"/>
            <w:vAlign w:val="bottom"/>
            <w:tcBorders>
              <w:right w:val="single" w:sz="8" w:color="000039"/>
            </w:tcBorders>
          </w:tcPr>
          <w:p>
            <w:pPr>
              <w:jc w:val="center"/>
              <w:spacing w:after="0"/>
              <w:rPr>
                <w:sz w:val="20"/>
                <w:szCs w:val="20"/>
                <w:color w:val="auto"/>
              </w:rPr>
            </w:pPr>
            <w:r>
              <w:rPr>
                <w:rFonts w:ascii="Arial" w:cs="Arial" w:eastAsia="Arial" w:hAnsi="Arial"/>
                <w:sz w:val="22"/>
                <w:szCs w:val="22"/>
                <w:color w:val="auto"/>
              </w:rPr>
              <w:t>Government Relations and</w:t>
            </w:r>
          </w:p>
        </w:tc>
        <w:tc>
          <w:tcPr>
            <w:tcW w:w="7040" w:type="dxa"/>
            <w:vAlign w:val="bottom"/>
          </w:tcPr>
          <w:p>
            <w:pPr>
              <w:ind w:left="140"/>
              <w:spacing w:after="0"/>
              <w:rPr>
                <w:sz w:val="20"/>
                <w:szCs w:val="20"/>
                <w:color w:val="auto"/>
              </w:rPr>
            </w:pPr>
            <w:r>
              <w:rPr>
                <w:rFonts w:ascii="Arial" w:cs="Arial" w:eastAsia="Arial" w:hAnsi="Arial"/>
                <w:sz w:val="22"/>
                <w:szCs w:val="22"/>
                <w:color w:val="auto"/>
              </w:rPr>
              <w:t>For an understanding of the complex regulatory and governmental</w:t>
            </w:r>
          </w:p>
        </w:tc>
        <w:tc>
          <w:tcPr>
            <w:tcW w:w="0" w:type="dxa"/>
            <w:vAlign w:val="bottom"/>
          </w:tcPr>
          <w:p>
            <w:pPr>
              <w:spacing w:after="0"/>
              <w:rPr>
                <w:sz w:val="1"/>
                <w:szCs w:val="1"/>
                <w:color w:val="auto"/>
              </w:rPr>
            </w:pPr>
          </w:p>
        </w:tc>
      </w:tr>
      <w:tr>
        <w:trPr>
          <w:trHeight w:val="297"/>
        </w:trPr>
        <w:tc>
          <w:tcPr>
            <w:tcW w:w="2840" w:type="dxa"/>
            <w:vAlign w:val="bottom"/>
            <w:tcBorders>
              <w:right w:val="single" w:sz="8" w:color="000039"/>
            </w:tcBorders>
          </w:tcPr>
          <w:p>
            <w:pPr>
              <w:jc w:val="center"/>
              <w:spacing w:after="0"/>
              <w:rPr>
                <w:sz w:val="20"/>
                <w:szCs w:val="20"/>
                <w:color w:val="auto"/>
              </w:rPr>
            </w:pPr>
            <w:r>
              <w:rPr>
                <w:rFonts w:ascii="Arial" w:cs="Arial" w:eastAsia="Arial" w:hAnsi="Arial"/>
                <w:sz w:val="22"/>
                <w:szCs w:val="22"/>
                <w:color w:val="auto"/>
                <w:w w:val="99"/>
              </w:rPr>
              <w:t>Regulatory</w:t>
            </w:r>
          </w:p>
        </w:tc>
        <w:tc>
          <w:tcPr>
            <w:tcW w:w="7040" w:type="dxa"/>
            <w:vAlign w:val="bottom"/>
          </w:tcPr>
          <w:p>
            <w:pPr>
              <w:ind w:left="140"/>
              <w:spacing w:after="0"/>
              <w:rPr>
                <w:sz w:val="20"/>
                <w:szCs w:val="20"/>
                <w:color w:val="auto"/>
              </w:rPr>
            </w:pPr>
            <w:r>
              <w:rPr>
                <w:rFonts w:ascii="Arial" w:cs="Arial" w:eastAsia="Arial" w:hAnsi="Arial"/>
                <w:sz w:val="22"/>
                <w:szCs w:val="22"/>
                <w:color w:val="auto"/>
              </w:rPr>
              <w:t>environment in which our business operates.</w:t>
            </w:r>
          </w:p>
        </w:tc>
        <w:tc>
          <w:tcPr>
            <w:tcW w:w="0" w:type="dxa"/>
            <w:vAlign w:val="bottom"/>
          </w:tcPr>
          <w:p>
            <w:pPr>
              <w:spacing w:after="0"/>
              <w:rPr>
                <w:sz w:val="1"/>
                <w:szCs w:val="1"/>
                <w:color w:val="auto"/>
              </w:rPr>
            </w:pPr>
          </w:p>
        </w:tc>
      </w:tr>
      <w:tr>
        <w:trPr>
          <w:trHeight w:val="107"/>
        </w:trPr>
        <w:tc>
          <w:tcPr>
            <w:tcW w:w="2840" w:type="dxa"/>
            <w:vAlign w:val="bottom"/>
            <w:tcBorders>
              <w:bottom w:val="single" w:sz="8" w:color="000039"/>
              <w:right w:val="single" w:sz="8" w:color="000039"/>
            </w:tcBorders>
          </w:tcPr>
          <w:p>
            <w:pPr>
              <w:spacing w:after="0"/>
              <w:rPr>
                <w:sz w:val="9"/>
                <w:szCs w:val="9"/>
                <w:color w:val="auto"/>
              </w:rPr>
            </w:pPr>
          </w:p>
        </w:tc>
        <w:tc>
          <w:tcPr>
            <w:tcW w:w="704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284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2"/>
                <w:szCs w:val="22"/>
                <w:color w:val="auto"/>
              </w:rPr>
              <w:t>Marketing/Sales</w:t>
            </w:r>
          </w:p>
        </w:tc>
        <w:tc>
          <w:tcPr>
            <w:tcW w:w="7040" w:type="dxa"/>
            <w:vAlign w:val="bottom"/>
          </w:tcPr>
          <w:p>
            <w:pPr>
              <w:ind w:left="140"/>
              <w:spacing w:after="0"/>
              <w:rPr>
                <w:sz w:val="20"/>
                <w:szCs w:val="20"/>
                <w:color w:val="auto"/>
              </w:rPr>
            </w:pPr>
            <w:r>
              <w:rPr>
                <w:rFonts w:ascii="Arial" w:cs="Arial" w:eastAsia="Arial" w:hAnsi="Arial"/>
                <w:sz w:val="22"/>
                <w:szCs w:val="22"/>
                <w:color w:val="auto"/>
              </w:rPr>
              <w:t>Experience in commercialization, marketing, and brand development,</w:t>
            </w:r>
          </w:p>
        </w:tc>
        <w:tc>
          <w:tcPr>
            <w:tcW w:w="0" w:type="dxa"/>
            <w:vAlign w:val="bottom"/>
          </w:tcPr>
          <w:p>
            <w:pPr>
              <w:spacing w:after="0"/>
              <w:rPr>
                <w:sz w:val="1"/>
                <w:szCs w:val="1"/>
                <w:color w:val="auto"/>
              </w:rPr>
            </w:pPr>
          </w:p>
        </w:tc>
      </w:tr>
      <w:tr>
        <w:trPr>
          <w:trHeight w:val="170"/>
        </w:trPr>
        <w:tc>
          <w:tcPr>
            <w:tcW w:w="2840" w:type="dxa"/>
            <w:vAlign w:val="bottom"/>
            <w:tcBorders>
              <w:right w:val="single" w:sz="8" w:color="000039"/>
            </w:tcBorders>
            <w:vMerge w:val="continue"/>
          </w:tcPr>
          <w:p>
            <w:pPr>
              <w:spacing w:after="0"/>
              <w:rPr>
                <w:sz w:val="14"/>
                <w:szCs w:val="14"/>
                <w:color w:val="auto"/>
              </w:rPr>
            </w:pPr>
          </w:p>
        </w:tc>
        <w:tc>
          <w:tcPr>
            <w:tcW w:w="7040" w:type="dxa"/>
            <w:vAlign w:val="bottom"/>
            <w:vMerge w:val="restart"/>
          </w:tcPr>
          <w:p>
            <w:pPr>
              <w:ind w:left="140"/>
              <w:spacing w:after="0"/>
              <w:rPr>
                <w:sz w:val="20"/>
                <w:szCs w:val="20"/>
                <w:color w:val="auto"/>
              </w:rPr>
            </w:pPr>
            <w:r>
              <w:rPr>
                <w:rFonts w:ascii="Arial" w:cs="Arial" w:eastAsia="Arial" w:hAnsi="Arial"/>
                <w:sz w:val="22"/>
                <w:szCs w:val="22"/>
                <w:color w:val="auto"/>
              </w:rPr>
              <w:t>including through digital channels.</w:t>
            </w:r>
          </w:p>
        </w:tc>
        <w:tc>
          <w:tcPr>
            <w:tcW w:w="0" w:type="dxa"/>
            <w:vAlign w:val="bottom"/>
          </w:tcPr>
          <w:p>
            <w:pPr>
              <w:spacing w:after="0"/>
              <w:rPr>
                <w:sz w:val="1"/>
                <w:szCs w:val="1"/>
                <w:color w:val="auto"/>
              </w:rPr>
            </w:pPr>
          </w:p>
        </w:tc>
      </w:tr>
      <w:tr>
        <w:trPr>
          <w:trHeight w:val="127"/>
        </w:trPr>
        <w:tc>
          <w:tcPr>
            <w:tcW w:w="2840" w:type="dxa"/>
            <w:vAlign w:val="bottom"/>
            <w:tcBorders>
              <w:right w:val="single" w:sz="8" w:color="000039"/>
            </w:tcBorders>
          </w:tcPr>
          <w:p>
            <w:pPr>
              <w:spacing w:after="0"/>
              <w:rPr>
                <w:sz w:val="11"/>
                <w:szCs w:val="11"/>
                <w:color w:val="auto"/>
              </w:rPr>
            </w:pPr>
          </w:p>
        </w:tc>
        <w:tc>
          <w:tcPr>
            <w:tcW w:w="7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840" w:type="dxa"/>
            <w:vAlign w:val="bottom"/>
            <w:tcBorders>
              <w:right w:val="single" w:sz="8" w:color="000039"/>
            </w:tcBorders>
          </w:tcPr>
          <w:p>
            <w:pPr>
              <w:spacing w:after="0"/>
              <w:rPr>
                <w:sz w:val="8"/>
                <w:szCs w:val="8"/>
                <w:color w:val="auto"/>
              </w:rPr>
            </w:pPr>
          </w:p>
        </w:tc>
        <w:tc>
          <w:tcPr>
            <w:tcW w:w="7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20  </w:t>
      </w:r>
      <w:r>
        <w:rPr>
          <w:sz w:val="1"/>
          <w:szCs w:val="1"/>
          <w:color w:val="auto"/>
        </w:rPr>
        <w:drawing>
          <wp:inline distT="0" distB="0" distL="0" distR="0">
            <wp:extent cx="991870" cy="20066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88">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color w:val="808080"/>
        </w:rPr>
        <w:t>THE BOARD OF DIRECTORS AND ITS COMMITTEES</w:t>
      </w:r>
    </w:p>
    <w:p>
      <w:pPr>
        <w:spacing w:after="0" w:line="200" w:lineRule="exact"/>
        <w:rPr>
          <w:sz w:val="20"/>
          <w:szCs w:val="20"/>
          <w:color w:val="auto"/>
        </w:rPr>
      </w:pPr>
    </w:p>
    <w:p>
      <w:pPr>
        <w:spacing w:after="0" w:line="37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ALPERN</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8"/>
              </w:rPr>
              <w:t>AUSTIN</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BURNSIDE</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DAVIS</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9"/>
              </w:rPr>
              <w:t>FALK</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FREYMAN</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HART</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8"/>
              </w:rPr>
              <w:t>MEYER</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MICHAEL</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7"/>
              </w:rPr>
              <w:t>QUAGGIN</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RAPP</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ROBERTS</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6"/>
              </w:rPr>
              <w:t>WADDELL</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920" w:type="dxa"/>
            <w:vAlign w:val="bottom"/>
            <w:tcBorders>
              <w:bottom w:val="single" w:sz="8" w:color="000039"/>
            </w:tcBorders>
          </w:tcPr>
          <w:p>
            <w:pPr>
              <w:spacing w:after="0"/>
              <w:rPr>
                <w:sz w:val="24"/>
                <w:szCs w:val="24"/>
                <w:color w:val="auto"/>
              </w:rPr>
            </w:pPr>
          </w:p>
        </w:tc>
        <w:tc>
          <w:tcPr>
            <w:tcW w:w="620" w:type="dxa"/>
            <w:vAlign w:val="bottom"/>
            <w:tcBorders>
              <w:bottom w:val="single" w:sz="8" w:color="000039"/>
            </w:tcBorders>
          </w:tcPr>
          <w:p>
            <w:pPr>
              <w:spacing w:after="0"/>
              <w:rPr>
                <w:sz w:val="24"/>
                <w:szCs w:val="24"/>
                <w:color w:val="auto"/>
              </w:rPr>
            </w:pPr>
          </w:p>
        </w:tc>
        <w:tc>
          <w:tcPr>
            <w:tcW w:w="640" w:type="dxa"/>
            <w:vAlign w:val="bottom"/>
            <w:tcBorders>
              <w:bottom w:val="single" w:sz="8" w:color="000039"/>
            </w:tcBorders>
          </w:tcPr>
          <w:p>
            <w:pPr>
              <w:spacing w:after="0"/>
              <w:rPr>
                <w:sz w:val="24"/>
                <w:szCs w:val="24"/>
                <w:color w:val="auto"/>
              </w:rPr>
            </w:pPr>
          </w:p>
        </w:tc>
        <w:tc>
          <w:tcPr>
            <w:tcW w:w="720" w:type="dxa"/>
            <w:vAlign w:val="bottom"/>
            <w:tcBorders>
              <w:bottom w:val="single" w:sz="8" w:color="000039"/>
            </w:tcBorders>
          </w:tcPr>
          <w:p>
            <w:pPr>
              <w:spacing w:after="0"/>
              <w:rPr>
                <w:sz w:val="24"/>
                <w:szCs w:val="24"/>
                <w:color w:val="auto"/>
              </w:rPr>
            </w:pPr>
          </w:p>
        </w:tc>
        <w:tc>
          <w:tcPr>
            <w:tcW w:w="540" w:type="dxa"/>
            <w:vAlign w:val="bottom"/>
            <w:tcBorders>
              <w:bottom w:val="single" w:sz="8" w:color="000039"/>
            </w:tcBorders>
          </w:tcPr>
          <w:p>
            <w:pPr>
              <w:spacing w:after="0"/>
              <w:rPr>
                <w:sz w:val="24"/>
                <w:szCs w:val="24"/>
                <w:color w:val="auto"/>
              </w:rPr>
            </w:pPr>
          </w:p>
        </w:tc>
        <w:tc>
          <w:tcPr>
            <w:tcW w:w="540" w:type="dxa"/>
            <w:vAlign w:val="bottom"/>
            <w:tcBorders>
              <w:bottom w:val="single" w:sz="8" w:color="000039"/>
            </w:tcBorders>
          </w:tcPr>
          <w:p>
            <w:pPr>
              <w:spacing w:after="0"/>
              <w:rPr>
                <w:sz w:val="24"/>
                <w:szCs w:val="24"/>
                <w:color w:val="auto"/>
              </w:rPr>
            </w:pPr>
          </w:p>
        </w:tc>
        <w:tc>
          <w:tcPr>
            <w:tcW w:w="720" w:type="dxa"/>
            <w:vAlign w:val="bottom"/>
            <w:tcBorders>
              <w:bottom w:val="single" w:sz="8" w:color="000039"/>
            </w:tcBorders>
          </w:tcPr>
          <w:p>
            <w:pPr>
              <w:spacing w:after="0"/>
              <w:rPr>
                <w:sz w:val="24"/>
                <w:szCs w:val="24"/>
                <w:color w:val="auto"/>
              </w:rPr>
            </w:pPr>
          </w:p>
        </w:tc>
        <w:tc>
          <w:tcPr>
            <w:tcW w:w="540" w:type="dxa"/>
            <w:vAlign w:val="bottom"/>
            <w:tcBorders>
              <w:bottom w:val="single" w:sz="8" w:color="000039"/>
            </w:tcBorders>
          </w:tcPr>
          <w:p>
            <w:pPr>
              <w:spacing w:after="0"/>
              <w:rPr>
                <w:sz w:val="24"/>
                <w:szCs w:val="24"/>
                <w:color w:val="auto"/>
              </w:rPr>
            </w:pPr>
          </w:p>
        </w:tc>
        <w:tc>
          <w:tcPr>
            <w:tcW w:w="640" w:type="dxa"/>
            <w:vAlign w:val="bottom"/>
            <w:tcBorders>
              <w:bottom w:val="single" w:sz="8" w:color="000039"/>
            </w:tcBorders>
          </w:tcPr>
          <w:p>
            <w:pPr>
              <w:spacing w:after="0"/>
              <w:rPr>
                <w:sz w:val="24"/>
                <w:szCs w:val="24"/>
                <w:color w:val="auto"/>
              </w:rPr>
            </w:pPr>
          </w:p>
        </w:tc>
        <w:tc>
          <w:tcPr>
            <w:tcW w:w="720" w:type="dxa"/>
            <w:vAlign w:val="bottom"/>
            <w:tcBorders>
              <w:bottom w:val="single" w:sz="8" w:color="000039"/>
            </w:tcBorders>
          </w:tcPr>
          <w:p>
            <w:pPr>
              <w:spacing w:after="0"/>
              <w:rPr>
                <w:sz w:val="24"/>
                <w:szCs w:val="24"/>
                <w:color w:val="auto"/>
              </w:rPr>
            </w:pPr>
          </w:p>
        </w:tc>
        <w:tc>
          <w:tcPr>
            <w:tcW w:w="720" w:type="dxa"/>
            <w:vAlign w:val="bottom"/>
            <w:tcBorders>
              <w:bottom w:val="single" w:sz="8" w:color="000039"/>
            </w:tcBorders>
          </w:tcPr>
          <w:p>
            <w:pPr>
              <w:spacing w:after="0"/>
              <w:rPr>
                <w:sz w:val="24"/>
                <w:szCs w:val="24"/>
                <w:color w:val="auto"/>
              </w:rPr>
            </w:pPr>
          </w:p>
        </w:tc>
        <w:tc>
          <w:tcPr>
            <w:tcW w:w="540" w:type="dxa"/>
            <w:vAlign w:val="bottom"/>
            <w:tcBorders>
              <w:bottom w:val="single" w:sz="8" w:color="000039"/>
            </w:tcBorders>
          </w:tcPr>
          <w:p>
            <w:pPr>
              <w:spacing w:after="0"/>
              <w:rPr>
                <w:sz w:val="24"/>
                <w:szCs w:val="24"/>
                <w:color w:val="auto"/>
              </w:rPr>
            </w:pPr>
          </w:p>
        </w:tc>
        <w:tc>
          <w:tcPr>
            <w:tcW w:w="720" w:type="dxa"/>
            <w:vAlign w:val="bottom"/>
            <w:tcBorders>
              <w:bottom w:val="single" w:sz="8" w:color="000039"/>
            </w:tcBorders>
          </w:tcPr>
          <w:p>
            <w:pPr>
              <w:spacing w:after="0"/>
              <w:rPr>
                <w:sz w:val="24"/>
                <w:szCs w:val="24"/>
                <w:color w:val="auto"/>
              </w:rPr>
            </w:pPr>
          </w:p>
        </w:tc>
        <w:tc>
          <w:tcPr>
            <w:tcW w:w="700" w:type="dxa"/>
            <w:vAlign w:val="bottom"/>
            <w:tcBorders>
              <w:bottom w:val="single" w:sz="8" w:color="000039"/>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2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rPr>
              <w:t>Industry</w:t>
            </w:r>
          </w:p>
        </w:tc>
        <w:tc>
          <w:tcPr>
            <w:tcW w:w="620" w:type="dxa"/>
            <w:vAlign w:val="bottom"/>
            <w:shd w:val="clear" w:color="auto" w:fill="F2F2F2"/>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shd w:val="clear" w:color="auto" w:fill="F2F2F2"/>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shd w:val="clear" w:color="auto" w:fill="F2F2F2"/>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shd w:val="clear" w:color="auto" w:fill="F2F2F2"/>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Health Care</w:t>
            </w:r>
          </w:p>
        </w:tc>
        <w:tc>
          <w:tcPr>
            <w:tcW w:w="620" w:type="dxa"/>
            <w:vAlign w:val="bottom"/>
            <w:shd w:val="clear" w:color="auto" w:fill="F2F2F2"/>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shd w:val="clear" w:color="auto" w:fill="F2F2F2"/>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 w:type="dxa"/>
            <w:vAlign w:val="bottom"/>
            <w:tcBorders>
              <w:bottom w:val="single" w:sz="8" w:color="000039"/>
            </w:tcBorders>
          </w:tcPr>
          <w:p>
            <w:pPr>
              <w:spacing w:after="0"/>
              <w:rPr>
                <w:sz w:val="19"/>
                <w:szCs w:val="19"/>
                <w:color w:val="auto"/>
              </w:rPr>
            </w:pPr>
          </w:p>
        </w:tc>
        <w:tc>
          <w:tcPr>
            <w:tcW w:w="620" w:type="dxa"/>
            <w:vAlign w:val="bottom"/>
            <w:tcBorders>
              <w:bottom w:val="single" w:sz="8" w:color="000039"/>
            </w:tcBorders>
            <w:shd w:val="clear" w:color="auto" w:fill="F2F2F2"/>
          </w:tcPr>
          <w:p>
            <w:pPr>
              <w:spacing w:after="0"/>
              <w:rPr>
                <w:sz w:val="19"/>
                <w:szCs w:val="19"/>
                <w:color w:val="auto"/>
              </w:rPr>
            </w:pPr>
          </w:p>
        </w:tc>
        <w:tc>
          <w:tcPr>
            <w:tcW w:w="640" w:type="dxa"/>
            <w:vAlign w:val="bottom"/>
            <w:tcBorders>
              <w:bottom w:val="single" w:sz="8" w:color="000039"/>
            </w:tcBorders>
          </w:tcPr>
          <w:p>
            <w:pPr>
              <w:spacing w:after="0"/>
              <w:rPr>
                <w:sz w:val="19"/>
                <w:szCs w:val="19"/>
                <w:color w:val="auto"/>
              </w:rPr>
            </w:pPr>
          </w:p>
        </w:tc>
        <w:tc>
          <w:tcPr>
            <w:tcW w:w="720" w:type="dxa"/>
            <w:vAlign w:val="bottom"/>
            <w:tcBorders>
              <w:bottom w:val="single" w:sz="8" w:color="000039"/>
            </w:tcBorders>
            <w:shd w:val="clear" w:color="auto" w:fill="F2F2F2"/>
          </w:tcPr>
          <w:p>
            <w:pPr>
              <w:spacing w:after="0"/>
              <w:rPr>
                <w:sz w:val="19"/>
                <w:szCs w:val="19"/>
                <w:color w:val="auto"/>
              </w:rPr>
            </w:pPr>
          </w:p>
        </w:tc>
        <w:tc>
          <w:tcPr>
            <w:tcW w:w="540" w:type="dxa"/>
            <w:vAlign w:val="bottom"/>
            <w:tcBorders>
              <w:bottom w:val="single" w:sz="8" w:color="000039"/>
            </w:tcBorders>
          </w:tcPr>
          <w:p>
            <w:pPr>
              <w:spacing w:after="0"/>
              <w:rPr>
                <w:sz w:val="19"/>
                <w:szCs w:val="19"/>
                <w:color w:val="auto"/>
              </w:rPr>
            </w:pPr>
          </w:p>
        </w:tc>
        <w:tc>
          <w:tcPr>
            <w:tcW w:w="540" w:type="dxa"/>
            <w:vAlign w:val="bottom"/>
            <w:tcBorders>
              <w:bottom w:val="single" w:sz="8" w:color="000039"/>
            </w:tcBorders>
            <w:shd w:val="clear" w:color="auto" w:fill="F2F2F2"/>
          </w:tcPr>
          <w:p>
            <w:pPr>
              <w:spacing w:after="0"/>
              <w:rPr>
                <w:sz w:val="19"/>
                <w:szCs w:val="19"/>
                <w:color w:val="auto"/>
              </w:rPr>
            </w:pPr>
          </w:p>
        </w:tc>
        <w:tc>
          <w:tcPr>
            <w:tcW w:w="720" w:type="dxa"/>
            <w:vAlign w:val="bottom"/>
            <w:tcBorders>
              <w:bottom w:val="single" w:sz="8" w:color="000039"/>
            </w:tcBorders>
          </w:tcPr>
          <w:p>
            <w:pPr>
              <w:spacing w:after="0"/>
              <w:rPr>
                <w:sz w:val="19"/>
                <w:szCs w:val="19"/>
                <w:color w:val="auto"/>
              </w:rPr>
            </w:pPr>
          </w:p>
        </w:tc>
        <w:tc>
          <w:tcPr>
            <w:tcW w:w="540" w:type="dxa"/>
            <w:vAlign w:val="bottom"/>
            <w:tcBorders>
              <w:bottom w:val="single" w:sz="8" w:color="000039"/>
            </w:tcBorders>
            <w:shd w:val="clear" w:color="auto" w:fill="F2F2F2"/>
          </w:tcPr>
          <w:p>
            <w:pPr>
              <w:spacing w:after="0"/>
              <w:rPr>
                <w:sz w:val="19"/>
                <w:szCs w:val="19"/>
                <w:color w:val="auto"/>
              </w:rPr>
            </w:pPr>
          </w:p>
        </w:tc>
        <w:tc>
          <w:tcPr>
            <w:tcW w:w="640" w:type="dxa"/>
            <w:vAlign w:val="bottom"/>
            <w:tcBorders>
              <w:bottom w:val="single" w:sz="8" w:color="000039"/>
            </w:tcBorders>
          </w:tcPr>
          <w:p>
            <w:pPr>
              <w:spacing w:after="0"/>
              <w:rPr>
                <w:sz w:val="19"/>
                <w:szCs w:val="19"/>
                <w:color w:val="auto"/>
              </w:rPr>
            </w:pPr>
          </w:p>
        </w:tc>
        <w:tc>
          <w:tcPr>
            <w:tcW w:w="720" w:type="dxa"/>
            <w:vAlign w:val="bottom"/>
            <w:tcBorders>
              <w:bottom w:val="single" w:sz="8" w:color="000039"/>
            </w:tcBorders>
            <w:shd w:val="clear" w:color="auto" w:fill="F2F2F2"/>
          </w:tcPr>
          <w:p>
            <w:pPr>
              <w:spacing w:after="0"/>
              <w:rPr>
                <w:sz w:val="19"/>
                <w:szCs w:val="19"/>
                <w:color w:val="auto"/>
              </w:rPr>
            </w:pPr>
          </w:p>
        </w:tc>
        <w:tc>
          <w:tcPr>
            <w:tcW w:w="720" w:type="dxa"/>
            <w:vAlign w:val="bottom"/>
            <w:tcBorders>
              <w:bottom w:val="single" w:sz="8" w:color="000039"/>
            </w:tcBorders>
          </w:tcPr>
          <w:p>
            <w:pPr>
              <w:spacing w:after="0"/>
              <w:rPr>
                <w:sz w:val="19"/>
                <w:szCs w:val="19"/>
                <w:color w:val="auto"/>
              </w:rPr>
            </w:pPr>
          </w:p>
        </w:tc>
        <w:tc>
          <w:tcPr>
            <w:tcW w:w="540" w:type="dxa"/>
            <w:vAlign w:val="bottom"/>
            <w:tcBorders>
              <w:bottom w:val="single" w:sz="8" w:color="000039"/>
            </w:tcBorders>
            <w:shd w:val="clear" w:color="auto" w:fill="F2F2F2"/>
          </w:tcPr>
          <w:p>
            <w:pPr>
              <w:spacing w:after="0"/>
              <w:rPr>
                <w:sz w:val="19"/>
                <w:szCs w:val="19"/>
                <w:color w:val="auto"/>
              </w:rPr>
            </w:pPr>
          </w:p>
        </w:tc>
        <w:tc>
          <w:tcPr>
            <w:tcW w:w="720" w:type="dxa"/>
            <w:vAlign w:val="bottom"/>
            <w:tcBorders>
              <w:bottom w:val="single" w:sz="8" w:color="000039"/>
            </w:tcBorders>
          </w:tcPr>
          <w:p>
            <w:pPr>
              <w:spacing w:after="0"/>
              <w:rPr>
                <w:sz w:val="19"/>
                <w:szCs w:val="19"/>
                <w:color w:val="auto"/>
              </w:rPr>
            </w:pPr>
          </w:p>
        </w:tc>
        <w:tc>
          <w:tcPr>
            <w:tcW w:w="700" w:type="dxa"/>
            <w:vAlign w:val="bottom"/>
            <w:tcBorders>
              <w:bottom w:val="single" w:sz="8" w:color="000039"/>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Leadership</w:t>
            </w:r>
          </w:p>
        </w:tc>
        <w:tc>
          <w:tcPr>
            <w:tcW w:w="620" w:type="dxa"/>
            <w:vAlign w:val="bottom"/>
            <w:shd w:val="clear" w:color="auto" w:fill="F2F2F2"/>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shd w:val="clear" w:color="auto" w:fill="F2F2F2"/>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tcBorders>
              <w:bottom w:val="single" w:sz="8" w:color="000039"/>
            </w:tcBorders>
          </w:tcPr>
          <w:p>
            <w:pPr>
              <w:spacing w:after="0"/>
              <w:rPr>
                <w:sz w:val="9"/>
                <w:szCs w:val="9"/>
                <w:color w:val="auto"/>
              </w:rPr>
            </w:pPr>
          </w:p>
        </w:tc>
        <w:tc>
          <w:tcPr>
            <w:tcW w:w="620" w:type="dxa"/>
            <w:vAlign w:val="bottom"/>
            <w:tcBorders>
              <w:bottom w:val="single" w:sz="8" w:color="000039"/>
            </w:tcBorders>
            <w:shd w:val="clear" w:color="auto" w:fill="F2F2F2"/>
          </w:tcPr>
          <w:p>
            <w:pPr>
              <w:spacing w:after="0"/>
              <w:rPr>
                <w:sz w:val="9"/>
                <w:szCs w:val="9"/>
                <w:color w:val="auto"/>
              </w:rPr>
            </w:pPr>
          </w:p>
        </w:tc>
        <w:tc>
          <w:tcPr>
            <w:tcW w:w="640" w:type="dxa"/>
            <w:vAlign w:val="bottom"/>
            <w:tcBorders>
              <w:bottom w:val="single" w:sz="8" w:color="000039"/>
            </w:tcBorders>
          </w:tcPr>
          <w:p>
            <w:pPr>
              <w:spacing w:after="0"/>
              <w:rPr>
                <w:sz w:val="9"/>
                <w:szCs w:val="9"/>
                <w:color w:val="auto"/>
              </w:rPr>
            </w:pPr>
          </w:p>
        </w:tc>
        <w:tc>
          <w:tcPr>
            <w:tcW w:w="720" w:type="dxa"/>
            <w:vAlign w:val="bottom"/>
            <w:tcBorders>
              <w:bottom w:val="single" w:sz="8" w:color="000039"/>
            </w:tcBorders>
            <w:shd w:val="clear" w:color="auto" w:fill="F2F2F2"/>
          </w:tcPr>
          <w:p>
            <w:pPr>
              <w:spacing w:after="0"/>
              <w:rPr>
                <w:sz w:val="9"/>
                <w:szCs w:val="9"/>
                <w:color w:val="auto"/>
              </w:rPr>
            </w:pPr>
          </w:p>
        </w:tc>
        <w:tc>
          <w:tcPr>
            <w:tcW w:w="540" w:type="dxa"/>
            <w:vAlign w:val="bottom"/>
            <w:tcBorders>
              <w:bottom w:val="single" w:sz="8" w:color="000039"/>
            </w:tcBorders>
          </w:tcPr>
          <w:p>
            <w:pPr>
              <w:spacing w:after="0"/>
              <w:rPr>
                <w:sz w:val="9"/>
                <w:szCs w:val="9"/>
                <w:color w:val="auto"/>
              </w:rPr>
            </w:pPr>
          </w:p>
        </w:tc>
        <w:tc>
          <w:tcPr>
            <w:tcW w:w="540" w:type="dxa"/>
            <w:vAlign w:val="bottom"/>
            <w:tcBorders>
              <w:bottom w:val="single" w:sz="8" w:color="000039"/>
            </w:tcBorders>
            <w:shd w:val="clear" w:color="auto" w:fill="F2F2F2"/>
          </w:tcPr>
          <w:p>
            <w:pPr>
              <w:spacing w:after="0"/>
              <w:rPr>
                <w:sz w:val="9"/>
                <w:szCs w:val="9"/>
                <w:color w:val="auto"/>
              </w:rPr>
            </w:pPr>
          </w:p>
        </w:tc>
        <w:tc>
          <w:tcPr>
            <w:tcW w:w="720" w:type="dxa"/>
            <w:vAlign w:val="bottom"/>
            <w:tcBorders>
              <w:bottom w:val="single" w:sz="8" w:color="000039"/>
            </w:tcBorders>
          </w:tcPr>
          <w:p>
            <w:pPr>
              <w:spacing w:after="0"/>
              <w:rPr>
                <w:sz w:val="9"/>
                <w:szCs w:val="9"/>
                <w:color w:val="auto"/>
              </w:rPr>
            </w:pPr>
          </w:p>
        </w:tc>
        <w:tc>
          <w:tcPr>
            <w:tcW w:w="540" w:type="dxa"/>
            <w:vAlign w:val="bottom"/>
            <w:tcBorders>
              <w:bottom w:val="single" w:sz="8" w:color="000039"/>
            </w:tcBorders>
            <w:shd w:val="clear" w:color="auto" w:fill="F2F2F2"/>
          </w:tcPr>
          <w:p>
            <w:pPr>
              <w:spacing w:after="0"/>
              <w:rPr>
                <w:sz w:val="9"/>
                <w:szCs w:val="9"/>
                <w:color w:val="auto"/>
              </w:rPr>
            </w:pPr>
          </w:p>
        </w:tc>
        <w:tc>
          <w:tcPr>
            <w:tcW w:w="640" w:type="dxa"/>
            <w:vAlign w:val="bottom"/>
            <w:tcBorders>
              <w:bottom w:val="single" w:sz="8" w:color="000039"/>
            </w:tcBorders>
          </w:tcPr>
          <w:p>
            <w:pPr>
              <w:spacing w:after="0"/>
              <w:rPr>
                <w:sz w:val="9"/>
                <w:szCs w:val="9"/>
                <w:color w:val="auto"/>
              </w:rPr>
            </w:pPr>
          </w:p>
        </w:tc>
        <w:tc>
          <w:tcPr>
            <w:tcW w:w="720" w:type="dxa"/>
            <w:vAlign w:val="bottom"/>
            <w:tcBorders>
              <w:bottom w:val="single" w:sz="8" w:color="000039"/>
            </w:tcBorders>
            <w:shd w:val="clear" w:color="auto" w:fill="F2F2F2"/>
          </w:tcPr>
          <w:p>
            <w:pPr>
              <w:spacing w:after="0"/>
              <w:rPr>
                <w:sz w:val="9"/>
                <w:szCs w:val="9"/>
                <w:color w:val="auto"/>
              </w:rPr>
            </w:pPr>
          </w:p>
        </w:tc>
        <w:tc>
          <w:tcPr>
            <w:tcW w:w="720" w:type="dxa"/>
            <w:vAlign w:val="bottom"/>
            <w:tcBorders>
              <w:bottom w:val="single" w:sz="8" w:color="000039"/>
            </w:tcBorders>
          </w:tcPr>
          <w:p>
            <w:pPr>
              <w:spacing w:after="0"/>
              <w:rPr>
                <w:sz w:val="9"/>
                <w:szCs w:val="9"/>
                <w:color w:val="auto"/>
              </w:rPr>
            </w:pPr>
          </w:p>
        </w:tc>
        <w:tc>
          <w:tcPr>
            <w:tcW w:w="540" w:type="dxa"/>
            <w:vAlign w:val="bottom"/>
            <w:tcBorders>
              <w:bottom w:val="single" w:sz="8" w:color="000039"/>
            </w:tcBorders>
            <w:shd w:val="clear" w:color="auto" w:fill="F2F2F2"/>
          </w:tcPr>
          <w:p>
            <w:pPr>
              <w:spacing w:after="0"/>
              <w:rPr>
                <w:sz w:val="9"/>
                <w:szCs w:val="9"/>
                <w:color w:val="auto"/>
              </w:rPr>
            </w:pPr>
          </w:p>
        </w:tc>
        <w:tc>
          <w:tcPr>
            <w:tcW w:w="720" w:type="dxa"/>
            <w:vAlign w:val="bottom"/>
            <w:tcBorders>
              <w:bottom w:val="single" w:sz="8" w:color="000039"/>
            </w:tcBorders>
          </w:tcPr>
          <w:p>
            <w:pPr>
              <w:spacing w:after="0"/>
              <w:rPr>
                <w:sz w:val="9"/>
                <w:szCs w:val="9"/>
                <w:color w:val="auto"/>
              </w:rPr>
            </w:pPr>
          </w:p>
        </w:tc>
        <w:tc>
          <w:tcPr>
            <w:tcW w:w="700" w:type="dxa"/>
            <w:vAlign w:val="bottom"/>
            <w:tcBorders>
              <w:bottom w:val="single" w:sz="8" w:color="000039"/>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Global</w:t>
            </w:r>
          </w:p>
        </w:tc>
        <w:tc>
          <w:tcPr>
            <w:tcW w:w="620" w:type="dxa"/>
            <w:vAlign w:val="bottom"/>
            <w:vMerge w:val="restart"/>
            <w:shd w:val="clear" w:color="auto" w:fill="F2F2F2"/>
          </w:tcPr>
          <w:p>
            <w:pPr>
              <w:spacing w:after="0"/>
              <w:rPr>
                <w:sz w:val="21"/>
                <w:szCs w:val="21"/>
                <w:color w:val="auto"/>
              </w:rPr>
            </w:pPr>
          </w:p>
        </w:tc>
        <w:tc>
          <w:tcPr>
            <w:tcW w:w="640" w:type="dxa"/>
            <w:vAlign w:val="bottom"/>
            <w:vMerge w:val="restart"/>
          </w:tcPr>
          <w:p>
            <w:pPr>
              <w:spacing w:after="0"/>
              <w:rPr>
                <w:sz w:val="21"/>
                <w:szCs w:val="21"/>
                <w:color w:val="auto"/>
              </w:rPr>
            </w:pPr>
          </w:p>
        </w:tc>
        <w:tc>
          <w:tcPr>
            <w:tcW w:w="720" w:type="dxa"/>
            <w:vAlign w:val="bottom"/>
            <w:vMerge w:val="restart"/>
            <w:shd w:val="clear" w:color="auto" w:fill="F2F2F2"/>
          </w:tcPr>
          <w:p>
            <w:pPr>
              <w:spacing w:after="0"/>
              <w:rPr>
                <w:sz w:val="21"/>
                <w:szCs w:val="21"/>
                <w:color w:val="auto"/>
              </w:rPr>
            </w:pPr>
          </w:p>
        </w:tc>
        <w:tc>
          <w:tcPr>
            <w:tcW w:w="540" w:type="dxa"/>
            <w:vAlign w:val="bottom"/>
            <w:vMerge w:val="restart"/>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720" w:type="dxa"/>
            <w:vAlign w:val="bottom"/>
            <w:vMerge w:val="restart"/>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640" w:type="dxa"/>
            <w:vAlign w:val="bottom"/>
            <w:vMerge w:val="restart"/>
          </w:tcPr>
          <w:p>
            <w:pPr>
              <w:spacing w:after="0"/>
              <w:rPr>
                <w:sz w:val="21"/>
                <w:szCs w:val="21"/>
                <w:color w:val="auto"/>
              </w:rPr>
            </w:pPr>
          </w:p>
        </w:tc>
        <w:tc>
          <w:tcPr>
            <w:tcW w:w="720" w:type="dxa"/>
            <w:vAlign w:val="bottom"/>
            <w:vMerge w:val="restart"/>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720" w:type="dxa"/>
            <w:vAlign w:val="bottom"/>
            <w:vMerge w:val="restart"/>
          </w:tcPr>
          <w:p>
            <w:pPr>
              <w:spacing w:after="0"/>
              <w:rPr>
                <w:sz w:val="21"/>
                <w:szCs w:val="21"/>
                <w:color w:val="auto"/>
              </w:rPr>
            </w:pPr>
          </w:p>
        </w:tc>
        <w:tc>
          <w:tcPr>
            <w:tcW w:w="700" w:type="dxa"/>
            <w:vAlign w:val="bottom"/>
            <w:vMerge w:val="restart"/>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Business</w:t>
            </w:r>
          </w:p>
        </w:tc>
        <w:tc>
          <w:tcPr>
            <w:tcW w:w="620" w:type="dxa"/>
            <w:vAlign w:val="bottom"/>
            <w:vMerge w:val="continue"/>
            <w:shd w:val="clear" w:color="auto" w:fill="F2F2F2"/>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vMerge w:val="continue"/>
            <w:shd w:val="clear" w:color="auto" w:fill="F2F2F2"/>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vMerge w:val="continue"/>
            <w:shd w:val="clear" w:color="auto" w:fill="F2F2F2"/>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vMerge w:val="continue"/>
            <w:shd w:val="clear" w:color="auto" w:fill="F2F2F2"/>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vMerge w:val="continue"/>
            <w:shd w:val="clear" w:color="auto" w:fill="F2F2F2"/>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vMerge w:val="continue"/>
            <w:shd w:val="clear" w:color="auto" w:fill="F2F2F2"/>
          </w:tcPr>
          <w:p>
            <w:pPr>
              <w:spacing w:after="0"/>
              <w:rPr>
                <w:sz w:val="16"/>
                <w:szCs w:val="16"/>
                <w:color w:val="auto"/>
              </w:rPr>
            </w:pPr>
          </w:p>
        </w:tc>
        <w:tc>
          <w:tcPr>
            <w:tcW w:w="720" w:type="dxa"/>
            <w:vAlign w:val="bottom"/>
            <w:vMerge w:val="continue"/>
          </w:tcPr>
          <w:p>
            <w:pPr>
              <w:spacing w:after="0"/>
              <w:rPr>
                <w:sz w:val="16"/>
                <w:szCs w:val="16"/>
                <w:color w:val="auto"/>
              </w:rPr>
            </w:pPr>
          </w:p>
        </w:tc>
        <w:tc>
          <w:tcPr>
            <w:tcW w:w="700" w:type="dxa"/>
            <w:vAlign w:val="bottom"/>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&amp; Strategy</w:t>
            </w:r>
          </w:p>
        </w:tc>
        <w:tc>
          <w:tcPr>
            <w:tcW w:w="620" w:type="dxa"/>
            <w:vAlign w:val="bottom"/>
            <w:shd w:val="clear" w:color="auto" w:fill="F2F2F2"/>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shd w:val="clear" w:color="auto" w:fill="F2F2F2"/>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shd w:val="clear" w:color="auto" w:fill="F2F2F2"/>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shd w:val="clear" w:color="auto" w:fill="F2F2F2"/>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shd w:val="clear" w:color="auto" w:fill="F2F2F2"/>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shd w:val="clear" w:color="auto" w:fill="F2F2F2"/>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000039"/>
            </w:tcBorders>
          </w:tcPr>
          <w:p>
            <w:pPr>
              <w:spacing w:after="0"/>
              <w:rPr>
                <w:sz w:val="8"/>
                <w:szCs w:val="8"/>
                <w:color w:val="auto"/>
              </w:rPr>
            </w:pPr>
          </w:p>
        </w:tc>
        <w:tc>
          <w:tcPr>
            <w:tcW w:w="620" w:type="dxa"/>
            <w:vAlign w:val="bottom"/>
            <w:tcBorders>
              <w:bottom w:val="single" w:sz="8" w:color="000039"/>
            </w:tcBorders>
            <w:shd w:val="clear" w:color="auto" w:fill="F2F2F2"/>
          </w:tcPr>
          <w:p>
            <w:pPr>
              <w:spacing w:after="0"/>
              <w:rPr>
                <w:sz w:val="8"/>
                <w:szCs w:val="8"/>
                <w:color w:val="auto"/>
              </w:rPr>
            </w:pPr>
          </w:p>
        </w:tc>
        <w:tc>
          <w:tcPr>
            <w:tcW w:w="640" w:type="dxa"/>
            <w:vAlign w:val="bottom"/>
            <w:tcBorders>
              <w:bottom w:val="single" w:sz="8" w:color="000039"/>
            </w:tcBorders>
          </w:tcPr>
          <w:p>
            <w:pPr>
              <w:spacing w:after="0"/>
              <w:rPr>
                <w:sz w:val="8"/>
                <w:szCs w:val="8"/>
                <w:color w:val="auto"/>
              </w:rPr>
            </w:pPr>
          </w:p>
        </w:tc>
        <w:tc>
          <w:tcPr>
            <w:tcW w:w="720" w:type="dxa"/>
            <w:vAlign w:val="bottom"/>
            <w:tcBorders>
              <w:bottom w:val="single" w:sz="8" w:color="000039"/>
            </w:tcBorders>
            <w:shd w:val="clear" w:color="auto" w:fill="F2F2F2"/>
          </w:tcPr>
          <w:p>
            <w:pPr>
              <w:spacing w:after="0"/>
              <w:rPr>
                <w:sz w:val="8"/>
                <w:szCs w:val="8"/>
                <w:color w:val="auto"/>
              </w:rPr>
            </w:pPr>
          </w:p>
        </w:tc>
        <w:tc>
          <w:tcPr>
            <w:tcW w:w="540" w:type="dxa"/>
            <w:vAlign w:val="bottom"/>
            <w:tcBorders>
              <w:bottom w:val="single" w:sz="8" w:color="000039"/>
            </w:tcBorders>
          </w:tcPr>
          <w:p>
            <w:pPr>
              <w:spacing w:after="0"/>
              <w:rPr>
                <w:sz w:val="8"/>
                <w:szCs w:val="8"/>
                <w:color w:val="auto"/>
              </w:rPr>
            </w:pPr>
          </w:p>
        </w:tc>
        <w:tc>
          <w:tcPr>
            <w:tcW w:w="540" w:type="dxa"/>
            <w:vAlign w:val="bottom"/>
            <w:tcBorders>
              <w:bottom w:val="single" w:sz="8" w:color="000039"/>
            </w:tcBorders>
            <w:shd w:val="clear" w:color="auto" w:fill="F2F2F2"/>
          </w:tcPr>
          <w:p>
            <w:pPr>
              <w:spacing w:after="0"/>
              <w:rPr>
                <w:sz w:val="8"/>
                <w:szCs w:val="8"/>
                <w:color w:val="auto"/>
              </w:rPr>
            </w:pPr>
          </w:p>
        </w:tc>
        <w:tc>
          <w:tcPr>
            <w:tcW w:w="720" w:type="dxa"/>
            <w:vAlign w:val="bottom"/>
            <w:tcBorders>
              <w:bottom w:val="single" w:sz="8" w:color="000039"/>
            </w:tcBorders>
          </w:tcPr>
          <w:p>
            <w:pPr>
              <w:spacing w:after="0"/>
              <w:rPr>
                <w:sz w:val="8"/>
                <w:szCs w:val="8"/>
                <w:color w:val="auto"/>
              </w:rPr>
            </w:pPr>
          </w:p>
        </w:tc>
        <w:tc>
          <w:tcPr>
            <w:tcW w:w="540" w:type="dxa"/>
            <w:vAlign w:val="bottom"/>
            <w:tcBorders>
              <w:bottom w:val="single" w:sz="8" w:color="000039"/>
            </w:tcBorders>
            <w:shd w:val="clear" w:color="auto" w:fill="F2F2F2"/>
          </w:tcPr>
          <w:p>
            <w:pPr>
              <w:spacing w:after="0"/>
              <w:rPr>
                <w:sz w:val="8"/>
                <w:szCs w:val="8"/>
                <w:color w:val="auto"/>
              </w:rPr>
            </w:pPr>
          </w:p>
        </w:tc>
        <w:tc>
          <w:tcPr>
            <w:tcW w:w="640" w:type="dxa"/>
            <w:vAlign w:val="bottom"/>
            <w:tcBorders>
              <w:bottom w:val="single" w:sz="8" w:color="000039"/>
            </w:tcBorders>
          </w:tcPr>
          <w:p>
            <w:pPr>
              <w:spacing w:after="0"/>
              <w:rPr>
                <w:sz w:val="8"/>
                <w:szCs w:val="8"/>
                <w:color w:val="auto"/>
              </w:rPr>
            </w:pPr>
          </w:p>
        </w:tc>
        <w:tc>
          <w:tcPr>
            <w:tcW w:w="720" w:type="dxa"/>
            <w:vAlign w:val="bottom"/>
            <w:tcBorders>
              <w:bottom w:val="single" w:sz="8" w:color="000039"/>
            </w:tcBorders>
            <w:shd w:val="clear" w:color="auto" w:fill="F2F2F2"/>
          </w:tcPr>
          <w:p>
            <w:pPr>
              <w:spacing w:after="0"/>
              <w:rPr>
                <w:sz w:val="8"/>
                <w:szCs w:val="8"/>
                <w:color w:val="auto"/>
              </w:rPr>
            </w:pPr>
          </w:p>
        </w:tc>
        <w:tc>
          <w:tcPr>
            <w:tcW w:w="720" w:type="dxa"/>
            <w:vAlign w:val="bottom"/>
            <w:tcBorders>
              <w:bottom w:val="single" w:sz="8" w:color="000039"/>
            </w:tcBorders>
          </w:tcPr>
          <w:p>
            <w:pPr>
              <w:spacing w:after="0"/>
              <w:rPr>
                <w:sz w:val="8"/>
                <w:szCs w:val="8"/>
                <w:color w:val="auto"/>
              </w:rPr>
            </w:pPr>
          </w:p>
        </w:tc>
        <w:tc>
          <w:tcPr>
            <w:tcW w:w="540" w:type="dxa"/>
            <w:vAlign w:val="bottom"/>
            <w:tcBorders>
              <w:bottom w:val="single" w:sz="8" w:color="000039"/>
            </w:tcBorders>
            <w:shd w:val="clear" w:color="auto" w:fill="F2F2F2"/>
          </w:tcPr>
          <w:p>
            <w:pPr>
              <w:spacing w:after="0"/>
              <w:rPr>
                <w:sz w:val="8"/>
                <w:szCs w:val="8"/>
                <w:color w:val="auto"/>
              </w:rPr>
            </w:pPr>
          </w:p>
        </w:tc>
        <w:tc>
          <w:tcPr>
            <w:tcW w:w="720" w:type="dxa"/>
            <w:vAlign w:val="bottom"/>
            <w:tcBorders>
              <w:bottom w:val="single" w:sz="8" w:color="000039"/>
            </w:tcBorders>
          </w:tcPr>
          <w:p>
            <w:pPr>
              <w:spacing w:after="0"/>
              <w:rPr>
                <w:sz w:val="8"/>
                <w:szCs w:val="8"/>
                <w:color w:val="auto"/>
              </w:rPr>
            </w:pPr>
          </w:p>
        </w:tc>
        <w:tc>
          <w:tcPr>
            <w:tcW w:w="700" w:type="dxa"/>
            <w:vAlign w:val="bottom"/>
            <w:tcBorders>
              <w:bottom w:val="single" w:sz="8" w:color="000039"/>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Science/</w:t>
            </w:r>
          </w:p>
        </w:tc>
        <w:tc>
          <w:tcPr>
            <w:tcW w:w="620" w:type="dxa"/>
            <w:vAlign w:val="bottom"/>
            <w:vMerge w:val="restart"/>
            <w:shd w:val="clear" w:color="auto" w:fill="F2F2F2"/>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shd w:val="clear" w:color="auto" w:fill="F2F2F2"/>
          </w:tcPr>
          <w:p>
            <w:pPr>
              <w:spacing w:after="0"/>
              <w:rPr>
                <w:sz w:val="21"/>
                <w:szCs w:val="21"/>
                <w:color w:val="auto"/>
              </w:rPr>
            </w:pPr>
          </w:p>
        </w:tc>
        <w:tc>
          <w:tcPr>
            <w:tcW w:w="540" w:type="dxa"/>
            <w:vAlign w:val="bottom"/>
            <w:vMerge w:val="restart"/>
          </w:tcPr>
          <w:p>
            <w:pPr>
              <w:spacing w:after="0"/>
              <w:rPr>
                <w:sz w:val="21"/>
                <w:szCs w:val="21"/>
                <w:color w:val="auto"/>
              </w:rPr>
            </w:pPr>
          </w:p>
        </w:tc>
        <w:tc>
          <w:tcPr>
            <w:tcW w:w="540" w:type="dxa"/>
            <w:vAlign w:val="bottom"/>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shd w:val="clear" w:color="auto" w:fill="F2F2F2"/>
          </w:tcPr>
          <w:p>
            <w:pPr>
              <w:spacing w:after="0"/>
              <w:rPr>
                <w:sz w:val="21"/>
                <w:szCs w:val="21"/>
                <w:color w:val="auto"/>
              </w:rPr>
            </w:pPr>
          </w:p>
        </w:tc>
        <w:tc>
          <w:tcPr>
            <w:tcW w:w="640" w:type="dxa"/>
            <w:vAlign w:val="bottom"/>
            <w:vMerge w:val="restart"/>
          </w:tcPr>
          <w:p>
            <w:pPr>
              <w:spacing w:after="0"/>
              <w:rPr>
                <w:sz w:val="21"/>
                <w:szCs w:val="21"/>
                <w:color w:val="auto"/>
              </w:rPr>
            </w:pPr>
          </w:p>
        </w:tc>
        <w:tc>
          <w:tcPr>
            <w:tcW w:w="720" w:type="dxa"/>
            <w:vAlign w:val="bottom"/>
            <w:vMerge w:val="restart"/>
            <w:shd w:val="clear" w:color="auto" w:fill="F2F2F2"/>
          </w:tcPr>
          <w:p>
            <w:pPr>
              <w:spacing w:after="0"/>
              <w:rPr>
                <w:sz w:val="21"/>
                <w:szCs w:val="21"/>
                <w:color w:val="auto"/>
              </w:rPr>
            </w:pPr>
          </w:p>
        </w:tc>
        <w:tc>
          <w:tcPr>
            <w:tcW w:w="720" w:type="dxa"/>
            <w:vAlign w:val="bottom"/>
            <w:vMerge w:val="restart"/>
          </w:tcPr>
          <w:p>
            <w:pPr>
              <w:spacing w:after="0"/>
              <w:rPr>
                <w:sz w:val="21"/>
                <w:szCs w:val="21"/>
                <w:color w:val="auto"/>
              </w:rPr>
            </w:pPr>
          </w:p>
        </w:tc>
        <w:tc>
          <w:tcPr>
            <w:tcW w:w="540" w:type="dxa"/>
            <w:vAlign w:val="bottom"/>
            <w:shd w:val="clear" w:color="auto" w:fill="F2F2F2"/>
          </w:tcPr>
          <w:p>
            <w:pPr>
              <w:spacing w:after="0"/>
              <w:rPr>
                <w:sz w:val="21"/>
                <w:szCs w:val="21"/>
                <w:color w:val="auto"/>
              </w:rPr>
            </w:pPr>
          </w:p>
        </w:tc>
        <w:tc>
          <w:tcPr>
            <w:tcW w:w="720" w:type="dxa"/>
            <w:vAlign w:val="bottom"/>
            <w:vMerge w:val="restart"/>
          </w:tcPr>
          <w:p>
            <w:pPr>
              <w:spacing w:after="0"/>
              <w:rPr>
                <w:sz w:val="21"/>
                <w:szCs w:val="21"/>
                <w:color w:val="auto"/>
              </w:rPr>
            </w:pPr>
          </w:p>
        </w:tc>
        <w:tc>
          <w:tcPr>
            <w:tcW w:w="70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Research &amp;</w:t>
            </w:r>
          </w:p>
        </w:tc>
        <w:tc>
          <w:tcPr>
            <w:tcW w:w="620" w:type="dxa"/>
            <w:vAlign w:val="bottom"/>
            <w:vMerge w:val="continue"/>
            <w:shd w:val="clear" w:color="auto" w:fill="F2F2F2"/>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540" w:type="dxa"/>
            <w:vAlign w:val="bottom"/>
            <w:vMerge w:val="continue"/>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640" w:type="dxa"/>
            <w:vAlign w:val="bottom"/>
            <w:vMerge w:val="continue"/>
          </w:tcPr>
          <w:p>
            <w:pPr>
              <w:spacing w:after="0"/>
              <w:rPr>
                <w:sz w:val="15"/>
                <w:szCs w:val="15"/>
                <w:color w:val="auto"/>
              </w:rPr>
            </w:pPr>
          </w:p>
        </w:tc>
        <w:tc>
          <w:tcPr>
            <w:tcW w:w="720" w:type="dxa"/>
            <w:vAlign w:val="bottom"/>
            <w:vMerge w:val="continue"/>
            <w:shd w:val="clear" w:color="auto" w:fill="F2F2F2"/>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720" w:type="dxa"/>
            <w:vAlign w:val="bottom"/>
            <w:vMerge w:val="continue"/>
          </w:tcPr>
          <w:p>
            <w:pPr>
              <w:spacing w:after="0"/>
              <w:rPr>
                <w:sz w:val="15"/>
                <w:szCs w:val="15"/>
                <w:color w:val="auto"/>
              </w:rPr>
            </w:pPr>
          </w:p>
        </w:tc>
        <w:tc>
          <w:tcPr>
            <w:tcW w:w="7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Development</w:t>
            </w:r>
          </w:p>
        </w:tc>
        <w:tc>
          <w:tcPr>
            <w:tcW w:w="620" w:type="dxa"/>
            <w:vAlign w:val="bottom"/>
            <w:shd w:val="clear" w:color="auto" w:fill="F2F2F2"/>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0" w:type="dxa"/>
            <w:vAlign w:val="bottom"/>
            <w:tcBorders>
              <w:bottom w:val="single" w:sz="8" w:color="000039"/>
            </w:tcBorders>
          </w:tcPr>
          <w:p>
            <w:pPr>
              <w:spacing w:after="0"/>
              <w:rPr>
                <w:sz w:val="8"/>
                <w:szCs w:val="8"/>
                <w:color w:val="auto"/>
              </w:rPr>
            </w:pPr>
          </w:p>
        </w:tc>
        <w:tc>
          <w:tcPr>
            <w:tcW w:w="620" w:type="dxa"/>
            <w:vAlign w:val="bottom"/>
            <w:tcBorders>
              <w:bottom w:val="single" w:sz="8" w:color="000039"/>
            </w:tcBorders>
            <w:shd w:val="clear" w:color="auto" w:fill="F2F2F2"/>
          </w:tcPr>
          <w:p>
            <w:pPr>
              <w:spacing w:after="0"/>
              <w:rPr>
                <w:sz w:val="8"/>
                <w:szCs w:val="8"/>
                <w:color w:val="auto"/>
              </w:rPr>
            </w:pPr>
          </w:p>
        </w:tc>
        <w:tc>
          <w:tcPr>
            <w:tcW w:w="640" w:type="dxa"/>
            <w:vAlign w:val="bottom"/>
            <w:tcBorders>
              <w:bottom w:val="single" w:sz="8" w:color="000039"/>
            </w:tcBorders>
          </w:tcPr>
          <w:p>
            <w:pPr>
              <w:spacing w:after="0"/>
              <w:rPr>
                <w:sz w:val="8"/>
                <w:szCs w:val="8"/>
                <w:color w:val="auto"/>
              </w:rPr>
            </w:pPr>
          </w:p>
        </w:tc>
        <w:tc>
          <w:tcPr>
            <w:tcW w:w="720" w:type="dxa"/>
            <w:vAlign w:val="bottom"/>
            <w:tcBorders>
              <w:bottom w:val="single" w:sz="8" w:color="000039"/>
            </w:tcBorders>
            <w:shd w:val="clear" w:color="auto" w:fill="F2F2F2"/>
          </w:tcPr>
          <w:p>
            <w:pPr>
              <w:spacing w:after="0"/>
              <w:rPr>
                <w:sz w:val="8"/>
                <w:szCs w:val="8"/>
                <w:color w:val="auto"/>
              </w:rPr>
            </w:pPr>
          </w:p>
        </w:tc>
        <w:tc>
          <w:tcPr>
            <w:tcW w:w="540" w:type="dxa"/>
            <w:vAlign w:val="bottom"/>
            <w:tcBorders>
              <w:bottom w:val="single" w:sz="8" w:color="000039"/>
            </w:tcBorders>
          </w:tcPr>
          <w:p>
            <w:pPr>
              <w:spacing w:after="0"/>
              <w:rPr>
                <w:sz w:val="8"/>
                <w:szCs w:val="8"/>
                <w:color w:val="auto"/>
              </w:rPr>
            </w:pPr>
          </w:p>
        </w:tc>
        <w:tc>
          <w:tcPr>
            <w:tcW w:w="540" w:type="dxa"/>
            <w:vAlign w:val="bottom"/>
            <w:tcBorders>
              <w:bottom w:val="single" w:sz="8" w:color="000039"/>
            </w:tcBorders>
            <w:shd w:val="clear" w:color="auto" w:fill="F2F2F2"/>
          </w:tcPr>
          <w:p>
            <w:pPr>
              <w:spacing w:after="0"/>
              <w:rPr>
                <w:sz w:val="8"/>
                <w:szCs w:val="8"/>
                <w:color w:val="auto"/>
              </w:rPr>
            </w:pPr>
          </w:p>
        </w:tc>
        <w:tc>
          <w:tcPr>
            <w:tcW w:w="720" w:type="dxa"/>
            <w:vAlign w:val="bottom"/>
            <w:tcBorders>
              <w:bottom w:val="single" w:sz="8" w:color="000039"/>
            </w:tcBorders>
          </w:tcPr>
          <w:p>
            <w:pPr>
              <w:spacing w:after="0"/>
              <w:rPr>
                <w:sz w:val="8"/>
                <w:szCs w:val="8"/>
                <w:color w:val="auto"/>
              </w:rPr>
            </w:pPr>
          </w:p>
        </w:tc>
        <w:tc>
          <w:tcPr>
            <w:tcW w:w="540" w:type="dxa"/>
            <w:vAlign w:val="bottom"/>
            <w:tcBorders>
              <w:bottom w:val="single" w:sz="8" w:color="000039"/>
            </w:tcBorders>
            <w:shd w:val="clear" w:color="auto" w:fill="F2F2F2"/>
          </w:tcPr>
          <w:p>
            <w:pPr>
              <w:spacing w:after="0"/>
              <w:rPr>
                <w:sz w:val="8"/>
                <w:szCs w:val="8"/>
                <w:color w:val="auto"/>
              </w:rPr>
            </w:pPr>
          </w:p>
        </w:tc>
        <w:tc>
          <w:tcPr>
            <w:tcW w:w="640" w:type="dxa"/>
            <w:vAlign w:val="bottom"/>
            <w:tcBorders>
              <w:bottom w:val="single" w:sz="8" w:color="000039"/>
            </w:tcBorders>
          </w:tcPr>
          <w:p>
            <w:pPr>
              <w:spacing w:after="0"/>
              <w:rPr>
                <w:sz w:val="8"/>
                <w:szCs w:val="8"/>
                <w:color w:val="auto"/>
              </w:rPr>
            </w:pPr>
          </w:p>
        </w:tc>
        <w:tc>
          <w:tcPr>
            <w:tcW w:w="720" w:type="dxa"/>
            <w:vAlign w:val="bottom"/>
            <w:tcBorders>
              <w:bottom w:val="single" w:sz="8" w:color="000039"/>
            </w:tcBorders>
            <w:shd w:val="clear" w:color="auto" w:fill="F2F2F2"/>
          </w:tcPr>
          <w:p>
            <w:pPr>
              <w:spacing w:after="0"/>
              <w:rPr>
                <w:sz w:val="8"/>
                <w:szCs w:val="8"/>
                <w:color w:val="auto"/>
              </w:rPr>
            </w:pPr>
          </w:p>
        </w:tc>
        <w:tc>
          <w:tcPr>
            <w:tcW w:w="720" w:type="dxa"/>
            <w:vAlign w:val="bottom"/>
            <w:tcBorders>
              <w:bottom w:val="single" w:sz="8" w:color="000039"/>
            </w:tcBorders>
          </w:tcPr>
          <w:p>
            <w:pPr>
              <w:spacing w:after="0"/>
              <w:rPr>
                <w:sz w:val="8"/>
                <w:szCs w:val="8"/>
                <w:color w:val="auto"/>
              </w:rPr>
            </w:pPr>
          </w:p>
        </w:tc>
        <w:tc>
          <w:tcPr>
            <w:tcW w:w="540" w:type="dxa"/>
            <w:vAlign w:val="bottom"/>
            <w:tcBorders>
              <w:bottom w:val="single" w:sz="8" w:color="000039"/>
            </w:tcBorders>
            <w:shd w:val="clear" w:color="auto" w:fill="F2F2F2"/>
          </w:tcPr>
          <w:p>
            <w:pPr>
              <w:spacing w:after="0"/>
              <w:rPr>
                <w:sz w:val="8"/>
                <w:szCs w:val="8"/>
                <w:color w:val="auto"/>
              </w:rPr>
            </w:pPr>
          </w:p>
        </w:tc>
        <w:tc>
          <w:tcPr>
            <w:tcW w:w="720" w:type="dxa"/>
            <w:vAlign w:val="bottom"/>
            <w:tcBorders>
              <w:bottom w:val="single" w:sz="8" w:color="000039"/>
            </w:tcBorders>
          </w:tcPr>
          <w:p>
            <w:pPr>
              <w:spacing w:after="0"/>
              <w:rPr>
                <w:sz w:val="8"/>
                <w:szCs w:val="8"/>
                <w:color w:val="auto"/>
              </w:rPr>
            </w:pPr>
          </w:p>
        </w:tc>
        <w:tc>
          <w:tcPr>
            <w:tcW w:w="700" w:type="dxa"/>
            <w:vAlign w:val="bottom"/>
            <w:tcBorders>
              <w:bottom w:val="single" w:sz="8" w:color="000039"/>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620" w:type="dxa"/>
            <w:vAlign w:val="bottom"/>
            <w:shd w:val="clear" w:color="auto" w:fill="F2F2F2"/>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shd w:val="clear" w:color="auto" w:fill="F2F2F2"/>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shd w:val="clear" w:color="auto" w:fill="F2F2F2"/>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Governance</w:t>
            </w:r>
          </w:p>
        </w:tc>
        <w:tc>
          <w:tcPr>
            <w:tcW w:w="620" w:type="dxa"/>
            <w:vAlign w:val="bottom"/>
            <w:vMerge w:val="restart"/>
            <w:shd w:val="clear" w:color="auto" w:fill="F2F2F2"/>
          </w:tcPr>
          <w:p>
            <w:pPr>
              <w:spacing w:after="0"/>
              <w:rPr>
                <w:sz w:val="13"/>
                <w:szCs w:val="13"/>
                <w:color w:val="auto"/>
              </w:rPr>
            </w:pPr>
          </w:p>
        </w:tc>
        <w:tc>
          <w:tcPr>
            <w:tcW w:w="640" w:type="dxa"/>
            <w:vAlign w:val="bottom"/>
            <w:vMerge w:val="restart"/>
          </w:tcPr>
          <w:p>
            <w:pPr>
              <w:spacing w:after="0"/>
              <w:rPr>
                <w:sz w:val="13"/>
                <w:szCs w:val="13"/>
                <w:color w:val="auto"/>
              </w:rPr>
            </w:pPr>
          </w:p>
        </w:tc>
        <w:tc>
          <w:tcPr>
            <w:tcW w:w="720" w:type="dxa"/>
            <w:vAlign w:val="bottom"/>
            <w:vMerge w:val="restart"/>
            <w:shd w:val="clear" w:color="auto" w:fill="F2F2F2"/>
          </w:tcPr>
          <w:p>
            <w:pPr>
              <w:spacing w:after="0"/>
              <w:rPr>
                <w:sz w:val="13"/>
                <w:szCs w:val="13"/>
                <w:color w:val="auto"/>
              </w:rPr>
            </w:pPr>
          </w:p>
        </w:tc>
        <w:tc>
          <w:tcPr>
            <w:tcW w:w="540" w:type="dxa"/>
            <w:vAlign w:val="bottom"/>
            <w:vMerge w:val="restart"/>
          </w:tcPr>
          <w:p>
            <w:pPr>
              <w:spacing w:after="0"/>
              <w:rPr>
                <w:sz w:val="13"/>
                <w:szCs w:val="13"/>
                <w:color w:val="auto"/>
              </w:rPr>
            </w:pPr>
          </w:p>
        </w:tc>
        <w:tc>
          <w:tcPr>
            <w:tcW w:w="540" w:type="dxa"/>
            <w:vAlign w:val="bottom"/>
            <w:vMerge w:val="restart"/>
            <w:shd w:val="clear" w:color="auto" w:fill="F2F2F2"/>
          </w:tcPr>
          <w:p>
            <w:pPr>
              <w:spacing w:after="0"/>
              <w:rPr>
                <w:sz w:val="13"/>
                <w:szCs w:val="13"/>
                <w:color w:val="auto"/>
              </w:rPr>
            </w:pPr>
          </w:p>
        </w:tc>
        <w:tc>
          <w:tcPr>
            <w:tcW w:w="720" w:type="dxa"/>
            <w:vAlign w:val="bottom"/>
            <w:vMerge w:val="restart"/>
          </w:tcPr>
          <w:p>
            <w:pPr>
              <w:spacing w:after="0"/>
              <w:rPr>
                <w:sz w:val="13"/>
                <w:szCs w:val="13"/>
                <w:color w:val="auto"/>
              </w:rPr>
            </w:pPr>
          </w:p>
        </w:tc>
        <w:tc>
          <w:tcPr>
            <w:tcW w:w="540" w:type="dxa"/>
            <w:vAlign w:val="bottom"/>
            <w:vMerge w:val="restart"/>
            <w:shd w:val="clear" w:color="auto" w:fill="F2F2F2"/>
          </w:tcPr>
          <w:p>
            <w:pPr>
              <w:spacing w:after="0"/>
              <w:rPr>
                <w:sz w:val="13"/>
                <w:szCs w:val="13"/>
                <w:color w:val="auto"/>
              </w:rPr>
            </w:pPr>
          </w:p>
        </w:tc>
        <w:tc>
          <w:tcPr>
            <w:tcW w:w="640" w:type="dxa"/>
            <w:vAlign w:val="bottom"/>
            <w:vMerge w:val="restart"/>
          </w:tcPr>
          <w:p>
            <w:pPr>
              <w:spacing w:after="0"/>
              <w:rPr>
                <w:sz w:val="13"/>
                <w:szCs w:val="13"/>
                <w:color w:val="auto"/>
              </w:rPr>
            </w:pPr>
          </w:p>
        </w:tc>
        <w:tc>
          <w:tcPr>
            <w:tcW w:w="720" w:type="dxa"/>
            <w:vAlign w:val="bottom"/>
            <w:vMerge w:val="restart"/>
            <w:shd w:val="clear" w:color="auto" w:fill="F2F2F2"/>
          </w:tcPr>
          <w:p>
            <w:pPr>
              <w:spacing w:after="0"/>
              <w:rPr>
                <w:sz w:val="13"/>
                <w:szCs w:val="13"/>
                <w:color w:val="auto"/>
              </w:rPr>
            </w:pPr>
          </w:p>
        </w:tc>
        <w:tc>
          <w:tcPr>
            <w:tcW w:w="720" w:type="dxa"/>
            <w:vAlign w:val="bottom"/>
            <w:vMerge w:val="restart"/>
          </w:tcPr>
          <w:p>
            <w:pPr>
              <w:spacing w:after="0"/>
              <w:rPr>
                <w:sz w:val="13"/>
                <w:szCs w:val="13"/>
                <w:color w:val="auto"/>
              </w:rPr>
            </w:pPr>
          </w:p>
        </w:tc>
        <w:tc>
          <w:tcPr>
            <w:tcW w:w="540" w:type="dxa"/>
            <w:vAlign w:val="bottom"/>
            <w:vMerge w:val="restart"/>
            <w:shd w:val="clear" w:color="auto" w:fill="F2F2F2"/>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vMerge w:val="restart"/>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&amp; Public</w:t>
            </w:r>
          </w:p>
        </w:tc>
        <w:tc>
          <w:tcPr>
            <w:tcW w:w="620" w:type="dxa"/>
            <w:vAlign w:val="bottom"/>
            <w:vMerge w:val="continue"/>
            <w:shd w:val="clear" w:color="auto" w:fill="F2F2F2"/>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vMerge w:val="continue"/>
            <w:shd w:val="clear" w:color="auto" w:fill="F2F2F2"/>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vMerge w:val="continue"/>
            <w:shd w:val="clear" w:color="auto" w:fill="F2F2F2"/>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vMerge w:val="continue"/>
            <w:shd w:val="clear" w:color="auto" w:fill="F2F2F2"/>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vMerge w:val="continue"/>
            <w:shd w:val="clear" w:color="auto" w:fill="F2F2F2"/>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vMerge w:val="continue"/>
            <w:shd w:val="clear" w:color="auto" w:fill="F2F2F2"/>
          </w:tcPr>
          <w:p>
            <w:pPr>
              <w:spacing w:after="0"/>
              <w:rPr>
                <w:sz w:val="16"/>
                <w:szCs w:val="16"/>
                <w:color w:val="auto"/>
              </w:rPr>
            </w:pPr>
          </w:p>
        </w:tc>
        <w:tc>
          <w:tcPr>
            <w:tcW w:w="720" w:type="dxa"/>
            <w:vAlign w:val="bottom"/>
            <w:vMerge w:val="continue"/>
          </w:tcPr>
          <w:p>
            <w:pPr>
              <w:spacing w:after="0"/>
              <w:rPr>
                <w:sz w:val="16"/>
                <w:szCs w:val="16"/>
                <w:color w:val="auto"/>
              </w:rPr>
            </w:pPr>
          </w:p>
        </w:tc>
        <w:tc>
          <w:tcPr>
            <w:tcW w:w="700" w:type="dxa"/>
            <w:vAlign w:val="bottom"/>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rPr>
              <w:t>Company</w:t>
            </w:r>
          </w:p>
        </w:tc>
        <w:tc>
          <w:tcPr>
            <w:tcW w:w="620" w:type="dxa"/>
            <w:vAlign w:val="bottom"/>
            <w:shd w:val="clear" w:color="auto" w:fill="F2F2F2"/>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Board</w:t>
            </w:r>
          </w:p>
        </w:tc>
        <w:tc>
          <w:tcPr>
            <w:tcW w:w="620" w:type="dxa"/>
            <w:vAlign w:val="bottom"/>
            <w:shd w:val="clear" w:color="auto" w:fill="F2F2F2"/>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shd w:val="clear" w:color="auto" w:fill="F2F2F2"/>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20" w:type="dxa"/>
            <w:vAlign w:val="bottom"/>
            <w:tcBorders>
              <w:bottom w:val="single" w:sz="8" w:color="000039"/>
            </w:tcBorders>
          </w:tcPr>
          <w:p>
            <w:pPr>
              <w:spacing w:after="0"/>
              <w:rPr>
                <w:sz w:val="7"/>
                <w:szCs w:val="7"/>
                <w:color w:val="auto"/>
              </w:rPr>
            </w:pPr>
          </w:p>
        </w:tc>
        <w:tc>
          <w:tcPr>
            <w:tcW w:w="620" w:type="dxa"/>
            <w:vAlign w:val="bottom"/>
            <w:tcBorders>
              <w:bottom w:val="single" w:sz="8" w:color="000039"/>
            </w:tcBorders>
            <w:shd w:val="clear" w:color="auto" w:fill="F2F2F2"/>
          </w:tcPr>
          <w:p>
            <w:pPr>
              <w:spacing w:after="0"/>
              <w:rPr>
                <w:sz w:val="7"/>
                <w:szCs w:val="7"/>
                <w:color w:val="auto"/>
              </w:rPr>
            </w:pPr>
          </w:p>
        </w:tc>
        <w:tc>
          <w:tcPr>
            <w:tcW w:w="640" w:type="dxa"/>
            <w:vAlign w:val="bottom"/>
            <w:tcBorders>
              <w:bottom w:val="single" w:sz="8" w:color="000039"/>
            </w:tcBorders>
          </w:tcPr>
          <w:p>
            <w:pPr>
              <w:spacing w:after="0"/>
              <w:rPr>
                <w:sz w:val="7"/>
                <w:szCs w:val="7"/>
                <w:color w:val="auto"/>
              </w:rPr>
            </w:pPr>
          </w:p>
        </w:tc>
        <w:tc>
          <w:tcPr>
            <w:tcW w:w="720" w:type="dxa"/>
            <w:vAlign w:val="bottom"/>
            <w:tcBorders>
              <w:bottom w:val="single" w:sz="8" w:color="000039"/>
            </w:tcBorders>
            <w:shd w:val="clear" w:color="auto" w:fill="F2F2F2"/>
          </w:tcPr>
          <w:p>
            <w:pPr>
              <w:spacing w:after="0"/>
              <w:rPr>
                <w:sz w:val="7"/>
                <w:szCs w:val="7"/>
                <w:color w:val="auto"/>
              </w:rPr>
            </w:pPr>
          </w:p>
        </w:tc>
        <w:tc>
          <w:tcPr>
            <w:tcW w:w="540" w:type="dxa"/>
            <w:vAlign w:val="bottom"/>
            <w:tcBorders>
              <w:bottom w:val="single" w:sz="8" w:color="000039"/>
            </w:tcBorders>
          </w:tcPr>
          <w:p>
            <w:pPr>
              <w:spacing w:after="0"/>
              <w:rPr>
                <w:sz w:val="7"/>
                <w:szCs w:val="7"/>
                <w:color w:val="auto"/>
              </w:rPr>
            </w:pPr>
          </w:p>
        </w:tc>
        <w:tc>
          <w:tcPr>
            <w:tcW w:w="540" w:type="dxa"/>
            <w:vAlign w:val="bottom"/>
            <w:tcBorders>
              <w:bottom w:val="single" w:sz="8" w:color="000039"/>
            </w:tcBorders>
            <w:shd w:val="clear" w:color="auto" w:fill="F2F2F2"/>
          </w:tcPr>
          <w:p>
            <w:pPr>
              <w:spacing w:after="0"/>
              <w:rPr>
                <w:sz w:val="7"/>
                <w:szCs w:val="7"/>
                <w:color w:val="auto"/>
              </w:rPr>
            </w:pPr>
          </w:p>
        </w:tc>
        <w:tc>
          <w:tcPr>
            <w:tcW w:w="720" w:type="dxa"/>
            <w:vAlign w:val="bottom"/>
            <w:tcBorders>
              <w:bottom w:val="single" w:sz="8" w:color="000039"/>
            </w:tcBorders>
          </w:tcPr>
          <w:p>
            <w:pPr>
              <w:spacing w:after="0"/>
              <w:rPr>
                <w:sz w:val="7"/>
                <w:szCs w:val="7"/>
                <w:color w:val="auto"/>
              </w:rPr>
            </w:pPr>
          </w:p>
        </w:tc>
        <w:tc>
          <w:tcPr>
            <w:tcW w:w="540" w:type="dxa"/>
            <w:vAlign w:val="bottom"/>
            <w:tcBorders>
              <w:bottom w:val="single" w:sz="8" w:color="000039"/>
            </w:tcBorders>
            <w:shd w:val="clear" w:color="auto" w:fill="F2F2F2"/>
          </w:tcPr>
          <w:p>
            <w:pPr>
              <w:spacing w:after="0"/>
              <w:rPr>
                <w:sz w:val="7"/>
                <w:szCs w:val="7"/>
                <w:color w:val="auto"/>
              </w:rPr>
            </w:pPr>
          </w:p>
        </w:tc>
        <w:tc>
          <w:tcPr>
            <w:tcW w:w="640" w:type="dxa"/>
            <w:vAlign w:val="bottom"/>
            <w:tcBorders>
              <w:bottom w:val="single" w:sz="8" w:color="000039"/>
            </w:tcBorders>
          </w:tcPr>
          <w:p>
            <w:pPr>
              <w:spacing w:after="0"/>
              <w:rPr>
                <w:sz w:val="7"/>
                <w:szCs w:val="7"/>
                <w:color w:val="auto"/>
              </w:rPr>
            </w:pPr>
          </w:p>
        </w:tc>
        <w:tc>
          <w:tcPr>
            <w:tcW w:w="720" w:type="dxa"/>
            <w:vAlign w:val="bottom"/>
            <w:tcBorders>
              <w:bottom w:val="single" w:sz="8" w:color="000039"/>
            </w:tcBorders>
            <w:shd w:val="clear" w:color="auto" w:fill="F2F2F2"/>
          </w:tcPr>
          <w:p>
            <w:pPr>
              <w:spacing w:after="0"/>
              <w:rPr>
                <w:sz w:val="7"/>
                <w:szCs w:val="7"/>
                <w:color w:val="auto"/>
              </w:rPr>
            </w:pPr>
          </w:p>
        </w:tc>
        <w:tc>
          <w:tcPr>
            <w:tcW w:w="720" w:type="dxa"/>
            <w:vAlign w:val="bottom"/>
            <w:tcBorders>
              <w:bottom w:val="single" w:sz="8" w:color="000039"/>
            </w:tcBorders>
          </w:tcPr>
          <w:p>
            <w:pPr>
              <w:spacing w:after="0"/>
              <w:rPr>
                <w:sz w:val="7"/>
                <w:szCs w:val="7"/>
                <w:color w:val="auto"/>
              </w:rPr>
            </w:pPr>
          </w:p>
        </w:tc>
        <w:tc>
          <w:tcPr>
            <w:tcW w:w="540" w:type="dxa"/>
            <w:vAlign w:val="bottom"/>
            <w:tcBorders>
              <w:bottom w:val="single" w:sz="8" w:color="000039"/>
            </w:tcBorders>
            <w:shd w:val="clear" w:color="auto" w:fill="F2F2F2"/>
          </w:tcPr>
          <w:p>
            <w:pPr>
              <w:spacing w:after="0"/>
              <w:rPr>
                <w:sz w:val="7"/>
                <w:szCs w:val="7"/>
                <w:color w:val="auto"/>
              </w:rPr>
            </w:pPr>
          </w:p>
        </w:tc>
        <w:tc>
          <w:tcPr>
            <w:tcW w:w="720" w:type="dxa"/>
            <w:vAlign w:val="bottom"/>
            <w:tcBorders>
              <w:bottom w:val="single" w:sz="8" w:color="000039"/>
            </w:tcBorders>
          </w:tcPr>
          <w:p>
            <w:pPr>
              <w:spacing w:after="0"/>
              <w:rPr>
                <w:sz w:val="7"/>
                <w:szCs w:val="7"/>
                <w:color w:val="auto"/>
              </w:rPr>
            </w:pPr>
          </w:p>
        </w:tc>
        <w:tc>
          <w:tcPr>
            <w:tcW w:w="700" w:type="dxa"/>
            <w:vAlign w:val="bottom"/>
            <w:tcBorders>
              <w:bottom w:val="single" w:sz="8" w:color="000039"/>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Finance or</w:t>
            </w:r>
          </w:p>
        </w:tc>
        <w:tc>
          <w:tcPr>
            <w:tcW w:w="620" w:type="dxa"/>
            <w:vAlign w:val="bottom"/>
            <w:shd w:val="clear" w:color="auto" w:fill="F2F2F2"/>
          </w:tcPr>
          <w:p>
            <w:pPr>
              <w:spacing w:after="0"/>
              <w:rPr>
                <w:sz w:val="21"/>
                <w:szCs w:val="21"/>
                <w:color w:val="auto"/>
              </w:rPr>
            </w:pPr>
          </w:p>
        </w:tc>
        <w:tc>
          <w:tcPr>
            <w:tcW w:w="640" w:type="dxa"/>
            <w:vAlign w:val="bottom"/>
            <w:vMerge w:val="restart"/>
          </w:tcPr>
          <w:p>
            <w:pPr>
              <w:spacing w:after="0"/>
              <w:rPr>
                <w:sz w:val="21"/>
                <w:szCs w:val="21"/>
                <w:color w:val="auto"/>
              </w:rPr>
            </w:pPr>
          </w:p>
        </w:tc>
        <w:tc>
          <w:tcPr>
            <w:tcW w:w="720" w:type="dxa"/>
            <w:vAlign w:val="bottom"/>
            <w:vMerge w:val="restart"/>
            <w:shd w:val="clear" w:color="auto" w:fill="F2F2F2"/>
          </w:tcPr>
          <w:p>
            <w:pPr>
              <w:spacing w:after="0"/>
              <w:rPr>
                <w:sz w:val="21"/>
                <w:szCs w:val="21"/>
                <w:color w:val="auto"/>
              </w:rPr>
            </w:pPr>
          </w:p>
        </w:tc>
        <w:tc>
          <w:tcPr>
            <w:tcW w:w="540" w:type="dxa"/>
            <w:vAlign w:val="bottom"/>
            <w:vMerge w:val="restart"/>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720" w:type="dxa"/>
            <w:vAlign w:val="bottom"/>
            <w:vMerge w:val="restart"/>
          </w:tcPr>
          <w:p>
            <w:pPr>
              <w:spacing w:after="0"/>
              <w:rPr>
                <w:sz w:val="21"/>
                <w:szCs w:val="21"/>
                <w:color w:val="auto"/>
              </w:rPr>
            </w:pPr>
          </w:p>
        </w:tc>
        <w:tc>
          <w:tcPr>
            <w:tcW w:w="540" w:type="dxa"/>
            <w:vAlign w:val="bottom"/>
            <w:shd w:val="clear" w:color="auto" w:fill="F2F2F2"/>
          </w:tcPr>
          <w:p>
            <w:pPr>
              <w:spacing w:after="0"/>
              <w:rPr>
                <w:sz w:val="21"/>
                <w:szCs w:val="21"/>
                <w:color w:val="auto"/>
              </w:rPr>
            </w:pPr>
          </w:p>
        </w:tc>
        <w:tc>
          <w:tcPr>
            <w:tcW w:w="640" w:type="dxa"/>
            <w:vAlign w:val="bottom"/>
            <w:vMerge w:val="restart"/>
          </w:tcPr>
          <w:p>
            <w:pPr>
              <w:spacing w:after="0"/>
              <w:rPr>
                <w:sz w:val="21"/>
                <w:szCs w:val="21"/>
                <w:color w:val="auto"/>
              </w:rPr>
            </w:pPr>
          </w:p>
        </w:tc>
        <w:tc>
          <w:tcPr>
            <w:tcW w:w="720" w:type="dxa"/>
            <w:vAlign w:val="bottom"/>
            <w:vMerge w:val="restart"/>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vMerge w:val="restart"/>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Accounting</w:t>
            </w:r>
          </w:p>
        </w:tc>
        <w:tc>
          <w:tcPr>
            <w:tcW w:w="620" w:type="dxa"/>
            <w:vAlign w:val="bottom"/>
            <w:shd w:val="clear" w:color="auto" w:fill="F2F2F2"/>
          </w:tcPr>
          <w:p>
            <w:pPr>
              <w:spacing w:after="0"/>
              <w:rPr>
                <w:sz w:val="17"/>
                <w:szCs w:val="17"/>
                <w:color w:val="auto"/>
              </w:rPr>
            </w:pPr>
          </w:p>
        </w:tc>
        <w:tc>
          <w:tcPr>
            <w:tcW w:w="640" w:type="dxa"/>
            <w:vAlign w:val="bottom"/>
            <w:vMerge w:val="continue"/>
          </w:tcPr>
          <w:p>
            <w:pPr>
              <w:spacing w:after="0"/>
              <w:rPr>
                <w:sz w:val="17"/>
                <w:szCs w:val="17"/>
                <w:color w:val="auto"/>
              </w:rPr>
            </w:pPr>
          </w:p>
        </w:tc>
        <w:tc>
          <w:tcPr>
            <w:tcW w:w="720" w:type="dxa"/>
            <w:vAlign w:val="bottom"/>
            <w:vMerge w:val="continue"/>
            <w:shd w:val="clear" w:color="auto" w:fill="F2F2F2"/>
          </w:tcPr>
          <w:p>
            <w:pPr>
              <w:spacing w:after="0"/>
              <w:rPr>
                <w:sz w:val="17"/>
                <w:szCs w:val="17"/>
                <w:color w:val="auto"/>
              </w:rPr>
            </w:pPr>
          </w:p>
        </w:tc>
        <w:tc>
          <w:tcPr>
            <w:tcW w:w="540" w:type="dxa"/>
            <w:vAlign w:val="bottom"/>
            <w:vMerge w:val="continue"/>
          </w:tcPr>
          <w:p>
            <w:pPr>
              <w:spacing w:after="0"/>
              <w:rPr>
                <w:sz w:val="17"/>
                <w:szCs w:val="17"/>
                <w:color w:val="auto"/>
              </w:rPr>
            </w:pPr>
          </w:p>
        </w:tc>
        <w:tc>
          <w:tcPr>
            <w:tcW w:w="540" w:type="dxa"/>
            <w:vAlign w:val="bottom"/>
            <w:vMerge w:val="continue"/>
            <w:shd w:val="clear" w:color="auto" w:fill="F2F2F2"/>
          </w:tcPr>
          <w:p>
            <w:pPr>
              <w:spacing w:after="0"/>
              <w:rPr>
                <w:sz w:val="17"/>
                <w:szCs w:val="17"/>
                <w:color w:val="auto"/>
              </w:rPr>
            </w:pPr>
          </w:p>
        </w:tc>
        <w:tc>
          <w:tcPr>
            <w:tcW w:w="720" w:type="dxa"/>
            <w:vAlign w:val="bottom"/>
            <w:vMerge w:val="continue"/>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640" w:type="dxa"/>
            <w:vAlign w:val="bottom"/>
            <w:vMerge w:val="continue"/>
          </w:tcPr>
          <w:p>
            <w:pPr>
              <w:spacing w:after="0"/>
              <w:rPr>
                <w:sz w:val="17"/>
                <w:szCs w:val="17"/>
                <w:color w:val="auto"/>
              </w:rPr>
            </w:pPr>
          </w:p>
        </w:tc>
        <w:tc>
          <w:tcPr>
            <w:tcW w:w="720" w:type="dxa"/>
            <w:vAlign w:val="bottom"/>
            <w:vMerge w:val="continue"/>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vMerge w:val="continue"/>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20" w:type="dxa"/>
            <w:vAlign w:val="bottom"/>
            <w:tcBorders>
              <w:bottom w:val="single" w:sz="8" w:color="000039"/>
            </w:tcBorders>
          </w:tcPr>
          <w:p>
            <w:pPr>
              <w:spacing w:after="0"/>
              <w:rPr>
                <w:sz w:val="7"/>
                <w:szCs w:val="7"/>
                <w:color w:val="auto"/>
              </w:rPr>
            </w:pPr>
          </w:p>
        </w:tc>
        <w:tc>
          <w:tcPr>
            <w:tcW w:w="620" w:type="dxa"/>
            <w:vAlign w:val="bottom"/>
            <w:tcBorders>
              <w:bottom w:val="single" w:sz="8" w:color="000039"/>
            </w:tcBorders>
            <w:shd w:val="clear" w:color="auto" w:fill="F2F2F2"/>
          </w:tcPr>
          <w:p>
            <w:pPr>
              <w:spacing w:after="0"/>
              <w:rPr>
                <w:sz w:val="7"/>
                <w:szCs w:val="7"/>
                <w:color w:val="auto"/>
              </w:rPr>
            </w:pPr>
          </w:p>
        </w:tc>
        <w:tc>
          <w:tcPr>
            <w:tcW w:w="640" w:type="dxa"/>
            <w:vAlign w:val="bottom"/>
            <w:tcBorders>
              <w:bottom w:val="single" w:sz="8" w:color="000039"/>
            </w:tcBorders>
          </w:tcPr>
          <w:p>
            <w:pPr>
              <w:spacing w:after="0"/>
              <w:rPr>
                <w:sz w:val="7"/>
                <w:szCs w:val="7"/>
                <w:color w:val="auto"/>
              </w:rPr>
            </w:pPr>
          </w:p>
        </w:tc>
        <w:tc>
          <w:tcPr>
            <w:tcW w:w="720" w:type="dxa"/>
            <w:vAlign w:val="bottom"/>
            <w:tcBorders>
              <w:bottom w:val="single" w:sz="8" w:color="000039"/>
            </w:tcBorders>
            <w:shd w:val="clear" w:color="auto" w:fill="F2F2F2"/>
          </w:tcPr>
          <w:p>
            <w:pPr>
              <w:spacing w:after="0"/>
              <w:rPr>
                <w:sz w:val="7"/>
                <w:szCs w:val="7"/>
                <w:color w:val="auto"/>
              </w:rPr>
            </w:pPr>
          </w:p>
        </w:tc>
        <w:tc>
          <w:tcPr>
            <w:tcW w:w="540" w:type="dxa"/>
            <w:vAlign w:val="bottom"/>
            <w:tcBorders>
              <w:bottom w:val="single" w:sz="8" w:color="000039"/>
            </w:tcBorders>
          </w:tcPr>
          <w:p>
            <w:pPr>
              <w:spacing w:after="0"/>
              <w:rPr>
                <w:sz w:val="7"/>
                <w:szCs w:val="7"/>
                <w:color w:val="auto"/>
              </w:rPr>
            </w:pPr>
          </w:p>
        </w:tc>
        <w:tc>
          <w:tcPr>
            <w:tcW w:w="540" w:type="dxa"/>
            <w:vAlign w:val="bottom"/>
            <w:tcBorders>
              <w:bottom w:val="single" w:sz="8" w:color="000039"/>
            </w:tcBorders>
            <w:shd w:val="clear" w:color="auto" w:fill="F2F2F2"/>
          </w:tcPr>
          <w:p>
            <w:pPr>
              <w:spacing w:after="0"/>
              <w:rPr>
                <w:sz w:val="7"/>
                <w:szCs w:val="7"/>
                <w:color w:val="auto"/>
              </w:rPr>
            </w:pPr>
          </w:p>
        </w:tc>
        <w:tc>
          <w:tcPr>
            <w:tcW w:w="720" w:type="dxa"/>
            <w:vAlign w:val="bottom"/>
            <w:tcBorders>
              <w:bottom w:val="single" w:sz="8" w:color="000039"/>
            </w:tcBorders>
          </w:tcPr>
          <w:p>
            <w:pPr>
              <w:spacing w:after="0"/>
              <w:rPr>
                <w:sz w:val="7"/>
                <w:szCs w:val="7"/>
                <w:color w:val="auto"/>
              </w:rPr>
            </w:pPr>
          </w:p>
        </w:tc>
        <w:tc>
          <w:tcPr>
            <w:tcW w:w="540" w:type="dxa"/>
            <w:vAlign w:val="bottom"/>
            <w:tcBorders>
              <w:bottom w:val="single" w:sz="8" w:color="000039"/>
            </w:tcBorders>
            <w:shd w:val="clear" w:color="auto" w:fill="F2F2F2"/>
          </w:tcPr>
          <w:p>
            <w:pPr>
              <w:spacing w:after="0"/>
              <w:rPr>
                <w:sz w:val="7"/>
                <w:szCs w:val="7"/>
                <w:color w:val="auto"/>
              </w:rPr>
            </w:pPr>
          </w:p>
        </w:tc>
        <w:tc>
          <w:tcPr>
            <w:tcW w:w="640" w:type="dxa"/>
            <w:vAlign w:val="bottom"/>
            <w:tcBorders>
              <w:bottom w:val="single" w:sz="8" w:color="000039"/>
            </w:tcBorders>
          </w:tcPr>
          <w:p>
            <w:pPr>
              <w:spacing w:after="0"/>
              <w:rPr>
                <w:sz w:val="7"/>
                <w:szCs w:val="7"/>
                <w:color w:val="auto"/>
              </w:rPr>
            </w:pPr>
          </w:p>
        </w:tc>
        <w:tc>
          <w:tcPr>
            <w:tcW w:w="720" w:type="dxa"/>
            <w:vAlign w:val="bottom"/>
            <w:tcBorders>
              <w:bottom w:val="single" w:sz="8" w:color="000039"/>
            </w:tcBorders>
            <w:shd w:val="clear" w:color="auto" w:fill="F2F2F2"/>
          </w:tcPr>
          <w:p>
            <w:pPr>
              <w:spacing w:after="0"/>
              <w:rPr>
                <w:sz w:val="7"/>
                <w:szCs w:val="7"/>
                <w:color w:val="auto"/>
              </w:rPr>
            </w:pPr>
          </w:p>
        </w:tc>
        <w:tc>
          <w:tcPr>
            <w:tcW w:w="720" w:type="dxa"/>
            <w:vAlign w:val="bottom"/>
            <w:tcBorders>
              <w:bottom w:val="single" w:sz="8" w:color="000039"/>
            </w:tcBorders>
          </w:tcPr>
          <w:p>
            <w:pPr>
              <w:spacing w:after="0"/>
              <w:rPr>
                <w:sz w:val="7"/>
                <w:szCs w:val="7"/>
                <w:color w:val="auto"/>
              </w:rPr>
            </w:pPr>
          </w:p>
        </w:tc>
        <w:tc>
          <w:tcPr>
            <w:tcW w:w="540" w:type="dxa"/>
            <w:vAlign w:val="bottom"/>
            <w:tcBorders>
              <w:bottom w:val="single" w:sz="8" w:color="000039"/>
            </w:tcBorders>
            <w:shd w:val="clear" w:color="auto" w:fill="F2F2F2"/>
          </w:tcPr>
          <w:p>
            <w:pPr>
              <w:spacing w:after="0"/>
              <w:rPr>
                <w:sz w:val="7"/>
                <w:szCs w:val="7"/>
                <w:color w:val="auto"/>
              </w:rPr>
            </w:pPr>
          </w:p>
        </w:tc>
        <w:tc>
          <w:tcPr>
            <w:tcW w:w="720" w:type="dxa"/>
            <w:vAlign w:val="bottom"/>
            <w:tcBorders>
              <w:bottom w:val="single" w:sz="8" w:color="000039"/>
            </w:tcBorders>
          </w:tcPr>
          <w:p>
            <w:pPr>
              <w:spacing w:after="0"/>
              <w:rPr>
                <w:sz w:val="7"/>
                <w:szCs w:val="7"/>
                <w:color w:val="auto"/>
              </w:rPr>
            </w:pPr>
          </w:p>
        </w:tc>
        <w:tc>
          <w:tcPr>
            <w:tcW w:w="700" w:type="dxa"/>
            <w:vAlign w:val="bottom"/>
            <w:tcBorders>
              <w:bottom w:val="single" w:sz="8" w:color="000039"/>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Government</w:t>
            </w:r>
          </w:p>
        </w:tc>
        <w:tc>
          <w:tcPr>
            <w:tcW w:w="620" w:type="dxa"/>
            <w:vAlign w:val="bottom"/>
            <w:vMerge w:val="restart"/>
            <w:shd w:val="clear" w:color="auto" w:fill="F2F2F2"/>
          </w:tcPr>
          <w:p>
            <w:pPr>
              <w:spacing w:after="0"/>
              <w:rPr>
                <w:sz w:val="21"/>
                <w:szCs w:val="21"/>
                <w:color w:val="auto"/>
              </w:rPr>
            </w:pPr>
          </w:p>
        </w:tc>
        <w:tc>
          <w:tcPr>
            <w:tcW w:w="640" w:type="dxa"/>
            <w:vAlign w:val="bottom"/>
            <w:vMerge w:val="restart"/>
          </w:tcPr>
          <w:p>
            <w:pPr>
              <w:spacing w:after="0"/>
              <w:rPr>
                <w:sz w:val="21"/>
                <w:szCs w:val="21"/>
                <w:color w:val="auto"/>
              </w:rPr>
            </w:pPr>
          </w:p>
        </w:tc>
        <w:tc>
          <w:tcPr>
            <w:tcW w:w="720" w:type="dxa"/>
            <w:vAlign w:val="bottom"/>
            <w:vMerge w:val="restart"/>
            <w:shd w:val="clear" w:color="auto" w:fill="F2F2F2"/>
          </w:tcPr>
          <w:p>
            <w:pPr>
              <w:spacing w:after="0"/>
              <w:rPr>
                <w:sz w:val="21"/>
                <w:szCs w:val="21"/>
                <w:color w:val="auto"/>
              </w:rPr>
            </w:pPr>
          </w:p>
        </w:tc>
        <w:tc>
          <w:tcPr>
            <w:tcW w:w="540" w:type="dxa"/>
            <w:vAlign w:val="bottom"/>
            <w:vMerge w:val="restart"/>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720" w:type="dxa"/>
            <w:vAlign w:val="bottom"/>
            <w:vMerge w:val="restart"/>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640" w:type="dxa"/>
            <w:vAlign w:val="bottom"/>
            <w:vMerge w:val="restart"/>
          </w:tcPr>
          <w:p>
            <w:pPr>
              <w:spacing w:after="0"/>
              <w:rPr>
                <w:sz w:val="21"/>
                <w:szCs w:val="21"/>
                <w:color w:val="auto"/>
              </w:rPr>
            </w:pPr>
          </w:p>
        </w:tc>
        <w:tc>
          <w:tcPr>
            <w:tcW w:w="720" w:type="dxa"/>
            <w:vAlign w:val="bottom"/>
            <w:vMerge w:val="restart"/>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720" w:type="dxa"/>
            <w:vAlign w:val="bottom"/>
            <w:vMerge w:val="restart"/>
          </w:tcPr>
          <w:p>
            <w:pPr>
              <w:spacing w:after="0"/>
              <w:rPr>
                <w:sz w:val="21"/>
                <w:szCs w:val="21"/>
                <w:color w:val="auto"/>
              </w:rPr>
            </w:pPr>
          </w:p>
        </w:tc>
        <w:tc>
          <w:tcPr>
            <w:tcW w:w="700" w:type="dxa"/>
            <w:vAlign w:val="bottom"/>
            <w:vMerge w:val="restart"/>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Relations &amp;</w:t>
            </w:r>
          </w:p>
        </w:tc>
        <w:tc>
          <w:tcPr>
            <w:tcW w:w="620" w:type="dxa"/>
            <w:vAlign w:val="bottom"/>
            <w:vMerge w:val="continue"/>
            <w:shd w:val="clear" w:color="auto" w:fill="F2F2F2"/>
          </w:tcPr>
          <w:p>
            <w:pPr>
              <w:spacing w:after="0"/>
              <w:rPr>
                <w:sz w:val="15"/>
                <w:szCs w:val="15"/>
                <w:color w:val="auto"/>
              </w:rPr>
            </w:pPr>
          </w:p>
        </w:tc>
        <w:tc>
          <w:tcPr>
            <w:tcW w:w="640" w:type="dxa"/>
            <w:vAlign w:val="bottom"/>
            <w:vMerge w:val="continue"/>
          </w:tcPr>
          <w:p>
            <w:pPr>
              <w:spacing w:after="0"/>
              <w:rPr>
                <w:sz w:val="15"/>
                <w:szCs w:val="15"/>
                <w:color w:val="auto"/>
              </w:rPr>
            </w:pPr>
          </w:p>
        </w:tc>
        <w:tc>
          <w:tcPr>
            <w:tcW w:w="720" w:type="dxa"/>
            <w:vAlign w:val="bottom"/>
            <w:vMerge w:val="continue"/>
            <w:shd w:val="clear" w:color="auto" w:fill="F2F2F2"/>
          </w:tcPr>
          <w:p>
            <w:pPr>
              <w:spacing w:after="0"/>
              <w:rPr>
                <w:sz w:val="15"/>
                <w:szCs w:val="15"/>
                <w:color w:val="auto"/>
              </w:rPr>
            </w:pPr>
          </w:p>
        </w:tc>
        <w:tc>
          <w:tcPr>
            <w:tcW w:w="540" w:type="dxa"/>
            <w:vAlign w:val="bottom"/>
            <w:vMerge w:val="continue"/>
          </w:tcPr>
          <w:p>
            <w:pPr>
              <w:spacing w:after="0"/>
              <w:rPr>
                <w:sz w:val="15"/>
                <w:szCs w:val="15"/>
                <w:color w:val="auto"/>
              </w:rPr>
            </w:pPr>
          </w:p>
        </w:tc>
        <w:tc>
          <w:tcPr>
            <w:tcW w:w="540" w:type="dxa"/>
            <w:vAlign w:val="bottom"/>
            <w:vMerge w:val="continue"/>
            <w:shd w:val="clear" w:color="auto" w:fill="F2F2F2"/>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shd w:val="clear" w:color="auto" w:fill="F2F2F2"/>
          </w:tcPr>
          <w:p>
            <w:pPr>
              <w:spacing w:after="0"/>
              <w:rPr>
                <w:sz w:val="15"/>
                <w:szCs w:val="15"/>
                <w:color w:val="auto"/>
              </w:rPr>
            </w:pPr>
          </w:p>
        </w:tc>
        <w:tc>
          <w:tcPr>
            <w:tcW w:w="640" w:type="dxa"/>
            <w:vAlign w:val="bottom"/>
            <w:vMerge w:val="continue"/>
          </w:tcPr>
          <w:p>
            <w:pPr>
              <w:spacing w:after="0"/>
              <w:rPr>
                <w:sz w:val="15"/>
                <w:szCs w:val="15"/>
                <w:color w:val="auto"/>
              </w:rPr>
            </w:pPr>
          </w:p>
        </w:tc>
        <w:tc>
          <w:tcPr>
            <w:tcW w:w="720" w:type="dxa"/>
            <w:vAlign w:val="bottom"/>
            <w:vMerge w:val="continue"/>
            <w:shd w:val="clear" w:color="auto" w:fill="F2F2F2"/>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vMerge w:val="continue"/>
            <w:shd w:val="clear" w:color="auto" w:fill="F2F2F2"/>
          </w:tcPr>
          <w:p>
            <w:pPr>
              <w:spacing w:after="0"/>
              <w:rPr>
                <w:sz w:val="15"/>
                <w:szCs w:val="15"/>
                <w:color w:val="auto"/>
              </w:rPr>
            </w:pPr>
          </w:p>
        </w:tc>
        <w:tc>
          <w:tcPr>
            <w:tcW w:w="720" w:type="dxa"/>
            <w:vAlign w:val="bottom"/>
            <w:vMerge w:val="continue"/>
          </w:tcPr>
          <w:p>
            <w:pPr>
              <w:spacing w:after="0"/>
              <w:rPr>
                <w:sz w:val="15"/>
                <w:szCs w:val="15"/>
                <w:color w:val="auto"/>
              </w:rPr>
            </w:pPr>
          </w:p>
        </w:tc>
        <w:tc>
          <w:tcPr>
            <w:tcW w:w="700" w:type="dxa"/>
            <w:vAlign w:val="bottom"/>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Regulatory</w:t>
            </w:r>
          </w:p>
        </w:tc>
        <w:tc>
          <w:tcPr>
            <w:tcW w:w="620" w:type="dxa"/>
            <w:vAlign w:val="bottom"/>
            <w:shd w:val="clear" w:color="auto" w:fill="F2F2F2"/>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0" w:type="dxa"/>
            <w:vAlign w:val="bottom"/>
            <w:tcBorders>
              <w:bottom w:val="single" w:sz="8" w:color="000039"/>
            </w:tcBorders>
          </w:tcPr>
          <w:p>
            <w:pPr>
              <w:spacing w:after="0"/>
              <w:rPr>
                <w:sz w:val="8"/>
                <w:szCs w:val="8"/>
                <w:color w:val="auto"/>
              </w:rPr>
            </w:pPr>
          </w:p>
        </w:tc>
        <w:tc>
          <w:tcPr>
            <w:tcW w:w="620" w:type="dxa"/>
            <w:vAlign w:val="bottom"/>
            <w:tcBorders>
              <w:bottom w:val="single" w:sz="8" w:color="000039"/>
            </w:tcBorders>
            <w:shd w:val="clear" w:color="auto" w:fill="F2F2F2"/>
          </w:tcPr>
          <w:p>
            <w:pPr>
              <w:spacing w:after="0"/>
              <w:rPr>
                <w:sz w:val="8"/>
                <w:szCs w:val="8"/>
                <w:color w:val="auto"/>
              </w:rPr>
            </w:pPr>
          </w:p>
        </w:tc>
        <w:tc>
          <w:tcPr>
            <w:tcW w:w="640" w:type="dxa"/>
            <w:vAlign w:val="bottom"/>
            <w:tcBorders>
              <w:bottom w:val="single" w:sz="8" w:color="000039"/>
            </w:tcBorders>
          </w:tcPr>
          <w:p>
            <w:pPr>
              <w:spacing w:after="0"/>
              <w:rPr>
                <w:sz w:val="8"/>
                <w:szCs w:val="8"/>
                <w:color w:val="auto"/>
              </w:rPr>
            </w:pPr>
          </w:p>
        </w:tc>
        <w:tc>
          <w:tcPr>
            <w:tcW w:w="720" w:type="dxa"/>
            <w:vAlign w:val="bottom"/>
            <w:tcBorders>
              <w:bottom w:val="single" w:sz="8" w:color="000039"/>
            </w:tcBorders>
            <w:shd w:val="clear" w:color="auto" w:fill="F2F2F2"/>
          </w:tcPr>
          <w:p>
            <w:pPr>
              <w:spacing w:after="0"/>
              <w:rPr>
                <w:sz w:val="8"/>
                <w:szCs w:val="8"/>
                <w:color w:val="auto"/>
              </w:rPr>
            </w:pPr>
          </w:p>
        </w:tc>
        <w:tc>
          <w:tcPr>
            <w:tcW w:w="540" w:type="dxa"/>
            <w:vAlign w:val="bottom"/>
            <w:tcBorders>
              <w:bottom w:val="single" w:sz="8" w:color="000039"/>
            </w:tcBorders>
          </w:tcPr>
          <w:p>
            <w:pPr>
              <w:spacing w:after="0"/>
              <w:rPr>
                <w:sz w:val="8"/>
                <w:szCs w:val="8"/>
                <w:color w:val="auto"/>
              </w:rPr>
            </w:pPr>
          </w:p>
        </w:tc>
        <w:tc>
          <w:tcPr>
            <w:tcW w:w="540" w:type="dxa"/>
            <w:vAlign w:val="bottom"/>
            <w:tcBorders>
              <w:bottom w:val="single" w:sz="8" w:color="000039"/>
            </w:tcBorders>
            <w:shd w:val="clear" w:color="auto" w:fill="F2F2F2"/>
          </w:tcPr>
          <w:p>
            <w:pPr>
              <w:spacing w:after="0"/>
              <w:rPr>
                <w:sz w:val="8"/>
                <w:szCs w:val="8"/>
                <w:color w:val="auto"/>
              </w:rPr>
            </w:pPr>
          </w:p>
        </w:tc>
        <w:tc>
          <w:tcPr>
            <w:tcW w:w="720" w:type="dxa"/>
            <w:vAlign w:val="bottom"/>
            <w:tcBorders>
              <w:bottom w:val="single" w:sz="8" w:color="000039"/>
            </w:tcBorders>
          </w:tcPr>
          <w:p>
            <w:pPr>
              <w:spacing w:after="0"/>
              <w:rPr>
                <w:sz w:val="8"/>
                <w:szCs w:val="8"/>
                <w:color w:val="auto"/>
              </w:rPr>
            </w:pPr>
          </w:p>
        </w:tc>
        <w:tc>
          <w:tcPr>
            <w:tcW w:w="540" w:type="dxa"/>
            <w:vAlign w:val="bottom"/>
            <w:tcBorders>
              <w:bottom w:val="single" w:sz="8" w:color="000039"/>
            </w:tcBorders>
            <w:shd w:val="clear" w:color="auto" w:fill="F2F2F2"/>
          </w:tcPr>
          <w:p>
            <w:pPr>
              <w:spacing w:after="0"/>
              <w:rPr>
                <w:sz w:val="8"/>
                <w:szCs w:val="8"/>
                <w:color w:val="auto"/>
              </w:rPr>
            </w:pPr>
          </w:p>
        </w:tc>
        <w:tc>
          <w:tcPr>
            <w:tcW w:w="640" w:type="dxa"/>
            <w:vAlign w:val="bottom"/>
            <w:tcBorders>
              <w:bottom w:val="single" w:sz="8" w:color="000039"/>
            </w:tcBorders>
          </w:tcPr>
          <w:p>
            <w:pPr>
              <w:spacing w:after="0"/>
              <w:rPr>
                <w:sz w:val="8"/>
                <w:szCs w:val="8"/>
                <w:color w:val="auto"/>
              </w:rPr>
            </w:pPr>
          </w:p>
        </w:tc>
        <w:tc>
          <w:tcPr>
            <w:tcW w:w="720" w:type="dxa"/>
            <w:vAlign w:val="bottom"/>
            <w:tcBorders>
              <w:bottom w:val="single" w:sz="8" w:color="000039"/>
            </w:tcBorders>
            <w:shd w:val="clear" w:color="auto" w:fill="F2F2F2"/>
          </w:tcPr>
          <w:p>
            <w:pPr>
              <w:spacing w:after="0"/>
              <w:rPr>
                <w:sz w:val="8"/>
                <w:szCs w:val="8"/>
                <w:color w:val="auto"/>
              </w:rPr>
            </w:pPr>
          </w:p>
        </w:tc>
        <w:tc>
          <w:tcPr>
            <w:tcW w:w="720" w:type="dxa"/>
            <w:vAlign w:val="bottom"/>
            <w:tcBorders>
              <w:bottom w:val="single" w:sz="8" w:color="000039"/>
            </w:tcBorders>
          </w:tcPr>
          <w:p>
            <w:pPr>
              <w:spacing w:after="0"/>
              <w:rPr>
                <w:sz w:val="8"/>
                <w:szCs w:val="8"/>
                <w:color w:val="auto"/>
              </w:rPr>
            </w:pPr>
          </w:p>
        </w:tc>
        <w:tc>
          <w:tcPr>
            <w:tcW w:w="540" w:type="dxa"/>
            <w:vAlign w:val="bottom"/>
            <w:tcBorders>
              <w:bottom w:val="single" w:sz="8" w:color="000039"/>
            </w:tcBorders>
            <w:shd w:val="clear" w:color="auto" w:fill="F2F2F2"/>
          </w:tcPr>
          <w:p>
            <w:pPr>
              <w:spacing w:after="0"/>
              <w:rPr>
                <w:sz w:val="8"/>
                <w:szCs w:val="8"/>
                <w:color w:val="auto"/>
              </w:rPr>
            </w:pPr>
          </w:p>
        </w:tc>
        <w:tc>
          <w:tcPr>
            <w:tcW w:w="720" w:type="dxa"/>
            <w:vAlign w:val="bottom"/>
            <w:tcBorders>
              <w:bottom w:val="single" w:sz="8" w:color="000039"/>
            </w:tcBorders>
          </w:tcPr>
          <w:p>
            <w:pPr>
              <w:spacing w:after="0"/>
              <w:rPr>
                <w:sz w:val="8"/>
                <w:szCs w:val="8"/>
                <w:color w:val="auto"/>
              </w:rPr>
            </w:pPr>
          </w:p>
        </w:tc>
        <w:tc>
          <w:tcPr>
            <w:tcW w:w="700" w:type="dxa"/>
            <w:vAlign w:val="bottom"/>
            <w:tcBorders>
              <w:bottom w:val="single" w:sz="8" w:color="000039"/>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Marketing/</w:t>
            </w:r>
          </w:p>
        </w:tc>
        <w:tc>
          <w:tcPr>
            <w:tcW w:w="620" w:type="dxa"/>
            <w:vAlign w:val="bottom"/>
            <w:shd w:val="clear" w:color="auto" w:fill="F2F2F2"/>
          </w:tcPr>
          <w:p>
            <w:pPr>
              <w:spacing w:after="0"/>
              <w:rPr>
                <w:sz w:val="21"/>
                <w:szCs w:val="21"/>
                <w:color w:val="auto"/>
              </w:rPr>
            </w:pPr>
          </w:p>
        </w:tc>
        <w:tc>
          <w:tcPr>
            <w:tcW w:w="640" w:type="dxa"/>
            <w:vAlign w:val="bottom"/>
            <w:vMerge w:val="restart"/>
          </w:tcPr>
          <w:p>
            <w:pPr>
              <w:spacing w:after="0"/>
              <w:rPr>
                <w:sz w:val="21"/>
                <w:szCs w:val="21"/>
                <w:color w:val="auto"/>
              </w:rPr>
            </w:pPr>
          </w:p>
        </w:tc>
        <w:tc>
          <w:tcPr>
            <w:tcW w:w="720" w:type="dxa"/>
            <w:vAlign w:val="bottom"/>
            <w:vMerge w:val="restart"/>
            <w:shd w:val="clear" w:color="auto" w:fill="F2F2F2"/>
          </w:tcPr>
          <w:p>
            <w:pPr>
              <w:spacing w:after="0"/>
              <w:rPr>
                <w:sz w:val="21"/>
                <w:szCs w:val="21"/>
                <w:color w:val="auto"/>
              </w:rPr>
            </w:pPr>
          </w:p>
        </w:tc>
        <w:tc>
          <w:tcPr>
            <w:tcW w:w="540" w:type="dxa"/>
            <w:vAlign w:val="bottom"/>
            <w:vMerge w:val="restart"/>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shd w:val="clear" w:color="auto" w:fill="F2F2F2"/>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vMerge w:val="restart"/>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vMerge w:val="restart"/>
            <w:shd w:val="clear" w:color="auto" w:fill="F2F2F2"/>
          </w:tcPr>
          <w:p>
            <w:pPr>
              <w:spacing w:after="0"/>
              <w:rPr>
                <w:sz w:val="21"/>
                <w:szCs w:val="21"/>
                <w:color w:val="auto"/>
              </w:rPr>
            </w:pPr>
          </w:p>
        </w:tc>
        <w:tc>
          <w:tcPr>
            <w:tcW w:w="720" w:type="dxa"/>
            <w:vAlign w:val="bottom"/>
            <w:vMerge w:val="restart"/>
          </w:tcPr>
          <w:p>
            <w:pPr>
              <w:spacing w:after="0"/>
              <w:rPr>
                <w:sz w:val="21"/>
                <w:szCs w:val="21"/>
                <w:color w:val="auto"/>
              </w:rPr>
            </w:pPr>
          </w:p>
        </w:tc>
        <w:tc>
          <w:tcPr>
            <w:tcW w:w="700" w:type="dxa"/>
            <w:vAlign w:val="bottom"/>
            <w:vMerge w:val="restart"/>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Sales</w:t>
            </w:r>
          </w:p>
        </w:tc>
        <w:tc>
          <w:tcPr>
            <w:tcW w:w="620" w:type="dxa"/>
            <w:vAlign w:val="bottom"/>
            <w:shd w:val="clear" w:color="auto" w:fill="F2F2F2"/>
          </w:tcPr>
          <w:p>
            <w:pPr>
              <w:spacing w:after="0"/>
              <w:rPr>
                <w:sz w:val="17"/>
                <w:szCs w:val="17"/>
                <w:color w:val="auto"/>
              </w:rPr>
            </w:pPr>
          </w:p>
        </w:tc>
        <w:tc>
          <w:tcPr>
            <w:tcW w:w="640" w:type="dxa"/>
            <w:vAlign w:val="bottom"/>
            <w:vMerge w:val="continue"/>
          </w:tcPr>
          <w:p>
            <w:pPr>
              <w:spacing w:after="0"/>
              <w:rPr>
                <w:sz w:val="17"/>
                <w:szCs w:val="17"/>
                <w:color w:val="auto"/>
              </w:rPr>
            </w:pPr>
          </w:p>
        </w:tc>
        <w:tc>
          <w:tcPr>
            <w:tcW w:w="720" w:type="dxa"/>
            <w:vAlign w:val="bottom"/>
            <w:vMerge w:val="continue"/>
            <w:shd w:val="clear" w:color="auto" w:fill="F2F2F2"/>
          </w:tcPr>
          <w:p>
            <w:pPr>
              <w:spacing w:after="0"/>
              <w:rPr>
                <w:sz w:val="17"/>
                <w:szCs w:val="17"/>
                <w:color w:val="auto"/>
              </w:rPr>
            </w:pPr>
          </w:p>
        </w:tc>
        <w:tc>
          <w:tcPr>
            <w:tcW w:w="540" w:type="dxa"/>
            <w:vAlign w:val="bottom"/>
            <w:vMerge w:val="continue"/>
          </w:tcPr>
          <w:p>
            <w:pPr>
              <w:spacing w:after="0"/>
              <w:rPr>
                <w:sz w:val="17"/>
                <w:szCs w:val="17"/>
                <w:color w:val="auto"/>
              </w:rPr>
            </w:pPr>
          </w:p>
        </w:tc>
        <w:tc>
          <w:tcPr>
            <w:tcW w:w="540" w:type="dxa"/>
            <w:vAlign w:val="bottom"/>
            <w:vMerge w:val="continue"/>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vMerge w:val="continue"/>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vMerge w:val="continue"/>
            <w:shd w:val="clear" w:color="auto" w:fill="F2F2F2"/>
          </w:tcPr>
          <w:p>
            <w:pPr>
              <w:spacing w:after="0"/>
              <w:rPr>
                <w:sz w:val="17"/>
                <w:szCs w:val="17"/>
                <w:color w:val="auto"/>
              </w:rPr>
            </w:pPr>
          </w:p>
        </w:tc>
        <w:tc>
          <w:tcPr>
            <w:tcW w:w="720" w:type="dxa"/>
            <w:vAlign w:val="bottom"/>
            <w:vMerge w:val="continue"/>
          </w:tcPr>
          <w:p>
            <w:pPr>
              <w:spacing w:after="0"/>
              <w:rPr>
                <w:sz w:val="17"/>
                <w:szCs w:val="17"/>
                <w:color w:val="auto"/>
              </w:rPr>
            </w:pPr>
          </w:p>
        </w:tc>
        <w:tc>
          <w:tcPr>
            <w:tcW w:w="70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000039"/>
            </w:tcBorders>
          </w:tcPr>
          <w:p>
            <w:pPr>
              <w:spacing w:after="0"/>
              <w:rPr>
                <w:sz w:val="7"/>
                <w:szCs w:val="7"/>
                <w:color w:val="auto"/>
              </w:rPr>
            </w:pPr>
          </w:p>
        </w:tc>
        <w:tc>
          <w:tcPr>
            <w:tcW w:w="920" w:type="dxa"/>
            <w:vAlign w:val="bottom"/>
            <w:tcBorders>
              <w:bottom w:val="single" w:sz="8" w:color="000039"/>
            </w:tcBorders>
          </w:tcPr>
          <w:p>
            <w:pPr>
              <w:spacing w:after="0"/>
              <w:rPr>
                <w:sz w:val="7"/>
                <w:szCs w:val="7"/>
                <w:color w:val="auto"/>
              </w:rPr>
            </w:pPr>
          </w:p>
        </w:tc>
        <w:tc>
          <w:tcPr>
            <w:tcW w:w="620" w:type="dxa"/>
            <w:vAlign w:val="bottom"/>
            <w:tcBorders>
              <w:bottom w:val="single" w:sz="8" w:color="000039"/>
            </w:tcBorders>
            <w:shd w:val="clear" w:color="auto" w:fill="F2F2F2"/>
          </w:tcPr>
          <w:p>
            <w:pPr>
              <w:spacing w:after="0"/>
              <w:rPr>
                <w:sz w:val="7"/>
                <w:szCs w:val="7"/>
                <w:color w:val="auto"/>
              </w:rPr>
            </w:pPr>
          </w:p>
        </w:tc>
        <w:tc>
          <w:tcPr>
            <w:tcW w:w="640" w:type="dxa"/>
            <w:vAlign w:val="bottom"/>
            <w:tcBorders>
              <w:bottom w:val="single" w:sz="8" w:color="000039"/>
            </w:tcBorders>
          </w:tcPr>
          <w:p>
            <w:pPr>
              <w:spacing w:after="0"/>
              <w:rPr>
                <w:sz w:val="7"/>
                <w:szCs w:val="7"/>
                <w:color w:val="auto"/>
              </w:rPr>
            </w:pPr>
          </w:p>
        </w:tc>
        <w:tc>
          <w:tcPr>
            <w:tcW w:w="720" w:type="dxa"/>
            <w:vAlign w:val="bottom"/>
            <w:tcBorders>
              <w:bottom w:val="single" w:sz="8" w:color="000039"/>
            </w:tcBorders>
            <w:shd w:val="clear" w:color="auto" w:fill="F2F2F2"/>
          </w:tcPr>
          <w:p>
            <w:pPr>
              <w:spacing w:after="0"/>
              <w:rPr>
                <w:sz w:val="7"/>
                <w:szCs w:val="7"/>
                <w:color w:val="auto"/>
              </w:rPr>
            </w:pPr>
          </w:p>
        </w:tc>
        <w:tc>
          <w:tcPr>
            <w:tcW w:w="540" w:type="dxa"/>
            <w:vAlign w:val="bottom"/>
            <w:tcBorders>
              <w:bottom w:val="single" w:sz="8" w:color="000039"/>
            </w:tcBorders>
          </w:tcPr>
          <w:p>
            <w:pPr>
              <w:spacing w:after="0"/>
              <w:rPr>
                <w:sz w:val="7"/>
                <w:szCs w:val="7"/>
                <w:color w:val="auto"/>
              </w:rPr>
            </w:pPr>
          </w:p>
        </w:tc>
        <w:tc>
          <w:tcPr>
            <w:tcW w:w="540" w:type="dxa"/>
            <w:vAlign w:val="bottom"/>
            <w:tcBorders>
              <w:bottom w:val="single" w:sz="8" w:color="000039"/>
            </w:tcBorders>
            <w:shd w:val="clear" w:color="auto" w:fill="F2F2F2"/>
          </w:tcPr>
          <w:p>
            <w:pPr>
              <w:spacing w:after="0"/>
              <w:rPr>
                <w:sz w:val="7"/>
                <w:szCs w:val="7"/>
                <w:color w:val="auto"/>
              </w:rPr>
            </w:pPr>
          </w:p>
        </w:tc>
        <w:tc>
          <w:tcPr>
            <w:tcW w:w="720" w:type="dxa"/>
            <w:vAlign w:val="bottom"/>
            <w:tcBorders>
              <w:bottom w:val="single" w:sz="8" w:color="000039"/>
            </w:tcBorders>
          </w:tcPr>
          <w:p>
            <w:pPr>
              <w:spacing w:after="0"/>
              <w:rPr>
                <w:sz w:val="7"/>
                <w:szCs w:val="7"/>
                <w:color w:val="auto"/>
              </w:rPr>
            </w:pPr>
          </w:p>
        </w:tc>
        <w:tc>
          <w:tcPr>
            <w:tcW w:w="540" w:type="dxa"/>
            <w:vAlign w:val="bottom"/>
            <w:tcBorders>
              <w:bottom w:val="single" w:sz="8" w:color="000039"/>
            </w:tcBorders>
            <w:shd w:val="clear" w:color="auto" w:fill="F2F2F2"/>
          </w:tcPr>
          <w:p>
            <w:pPr>
              <w:spacing w:after="0"/>
              <w:rPr>
                <w:sz w:val="7"/>
                <w:szCs w:val="7"/>
                <w:color w:val="auto"/>
              </w:rPr>
            </w:pPr>
          </w:p>
        </w:tc>
        <w:tc>
          <w:tcPr>
            <w:tcW w:w="640" w:type="dxa"/>
            <w:vAlign w:val="bottom"/>
            <w:tcBorders>
              <w:bottom w:val="single" w:sz="8" w:color="000039"/>
            </w:tcBorders>
          </w:tcPr>
          <w:p>
            <w:pPr>
              <w:spacing w:after="0"/>
              <w:rPr>
                <w:sz w:val="7"/>
                <w:szCs w:val="7"/>
                <w:color w:val="auto"/>
              </w:rPr>
            </w:pPr>
          </w:p>
        </w:tc>
        <w:tc>
          <w:tcPr>
            <w:tcW w:w="720" w:type="dxa"/>
            <w:vAlign w:val="bottom"/>
            <w:tcBorders>
              <w:bottom w:val="single" w:sz="8" w:color="000039"/>
            </w:tcBorders>
            <w:shd w:val="clear" w:color="auto" w:fill="F2F2F2"/>
          </w:tcPr>
          <w:p>
            <w:pPr>
              <w:spacing w:after="0"/>
              <w:rPr>
                <w:sz w:val="7"/>
                <w:szCs w:val="7"/>
                <w:color w:val="auto"/>
              </w:rPr>
            </w:pPr>
          </w:p>
        </w:tc>
        <w:tc>
          <w:tcPr>
            <w:tcW w:w="720" w:type="dxa"/>
            <w:vAlign w:val="bottom"/>
            <w:tcBorders>
              <w:bottom w:val="single" w:sz="8" w:color="000039"/>
            </w:tcBorders>
          </w:tcPr>
          <w:p>
            <w:pPr>
              <w:spacing w:after="0"/>
              <w:rPr>
                <w:sz w:val="7"/>
                <w:szCs w:val="7"/>
                <w:color w:val="auto"/>
              </w:rPr>
            </w:pPr>
          </w:p>
        </w:tc>
        <w:tc>
          <w:tcPr>
            <w:tcW w:w="540" w:type="dxa"/>
            <w:vAlign w:val="bottom"/>
            <w:tcBorders>
              <w:bottom w:val="single" w:sz="8" w:color="000039"/>
            </w:tcBorders>
            <w:shd w:val="clear" w:color="auto" w:fill="F2F2F2"/>
          </w:tcPr>
          <w:p>
            <w:pPr>
              <w:spacing w:after="0"/>
              <w:rPr>
                <w:sz w:val="7"/>
                <w:szCs w:val="7"/>
                <w:color w:val="auto"/>
              </w:rPr>
            </w:pPr>
          </w:p>
        </w:tc>
        <w:tc>
          <w:tcPr>
            <w:tcW w:w="720" w:type="dxa"/>
            <w:vAlign w:val="bottom"/>
            <w:tcBorders>
              <w:bottom w:val="single" w:sz="8" w:color="000039"/>
            </w:tcBorders>
          </w:tcPr>
          <w:p>
            <w:pPr>
              <w:spacing w:after="0"/>
              <w:rPr>
                <w:sz w:val="7"/>
                <w:szCs w:val="7"/>
                <w:color w:val="auto"/>
              </w:rPr>
            </w:pPr>
          </w:p>
        </w:tc>
        <w:tc>
          <w:tcPr>
            <w:tcW w:w="700" w:type="dxa"/>
            <w:vAlign w:val="bottom"/>
            <w:tcBorders>
              <w:bottom w:val="single" w:sz="8" w:color="000039"/>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-3429000</wp:posOffset>
                </wp:positionV>
                <wp:extent cx="0" cy="340995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09950"/>
                        </a:xfrm>
                        <a:prstGeom prst="line">
                          <a:avLst/>
                        </a:prstGeom>
                        <a:solidFill>
                          <a:srgbClr val="FFFFFF"/>
                        </a:solidFill>
                        <a:ln w="38100">
                          <a:solidFill>
                            <a:srgbClr val="000039"/>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0pt" to="0pt,-1.4999pt" o:allowincell="f" strokecolor="#000039" strokeweight="3pt"/>
            </w:pict>
          </mc:Fallback>
        </mc:AlternateConten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auto"/>
        </w:rPr>
        <w:t>Board Oversight Responsibilities</w:t>
      </w:r>
    </w:p>
    <w:p>
      <w:pPr>
        <w:spacing w:after="0" w:line="17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Board has risk oversight responsibility for AbbVie and administers this responsibility both directly and with assistance from its committees. The Board reviews enterprise risks and discusses them with our senior management on a regular basis. These risks include those the company faces over various time horizons. Among the risks are those that are specific to AbbVie’s business and circumstances (e.g., pipeline advancement and significant product loss of exclusivity), those that are specific to AbbVie’s industry (e.g., manufacturing and regulatory compliance and health care industry dynamics such as pricing and patient access), and those faced by large, complex, multinational companies generally (e.g., tax policy). Specific relevant risk topics are reviewed and escalated to the Board or relevant committee at nearly all Board meetings throughout the year. The charters of the committees provide a framework for the types of risks to be reviewed at each committee and reported on to the full Board. The focus of the Board’s oversight varies based on the type and timing of the risk being discussed. For example, for a long-term risk, the Board focuses on advance planning to mitigate the risk over time. The Board periodically invites third parties to present on a range of topics and provide outside perspectives.</w:t>
      </w:r>
    </w:p>
    <w:p>
      <w:pPr>
        <w:spacing w:after="0" w:line="75"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AbbVie has a comprehensive enterprise risk management (ERM) program with risk management embedded within the operations of the company, clear accountability at the senior leadership level, and oversight by the Board. The audit committee oversees ERM. Through risk owners and the internal disclosure committee, there is a routine assessment of material risks to the company. Updates, if any, are provided to the Board or its committees together with updated public disclosures, when relevant. All directors, including the Lead Independent Director, are tasked with ensuring the Board appropriately exercises its risk management responsibilities and facilitate further discussion of risk matters in executive session as they deem necessary. In light of the regular assessment of risk, the Board or risk owner may consult with outside advisors to evaluate the risk landscape and anticipate trends. As the company grows, relevant risk management topics may be added, such as following a large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89">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50" w:name="page151"/>
    <w:bookmarkEnd w:id="150"/>
    <w:p>
      <w:pPr>
        <w:spacing w:after="0"/>
        <w:rPr>
          <w:sz w:val="20"/>
          <w:szCs w:val="20"/>
          <w:color w:val="auto"/>
        </w:rPr>
      </w:pPr>
      <w:r>
        <w:rPr>
          <w:rFonts w:ascii="Arial" w:cs="Arial" w:eastAsia="Arial" w:hAnsi="Arial"/>
          <w:sz w:val="20"/>
          <w:szCs w:val="20"/>
          <w:color w:val="808080"/>
        </w:rPr>
        <w:t>THE BOARD OF DIRECTORS AND ITS COMMITTEES</w:t>
      </w:r>
    </w:p>
    <w:p>
      <w:pPr>
        <w:spacing w:after="0" w:line="231" w:lineRule="exact"/>
        <w:rPr>
          <w:sz w:val="20"/>
          <w:szCs w:val="20"/>
          <w:color w:val="auto"/>
        </w:rPr>
      </w:pPr>
    </w:p>
    <w:p>
      <w:pPr>
        <w:ind w:right="360"/>
        <w:spacing w:after="0" w:line="254" w:lineRule="auto"/>
        <w:rPr>
          <w:sz w:val="20"/>
          <w:szCs w:val="20"/>
          <w:color w:val="auto"/>
        </w:rPr>
      </w:pPr>
      <w:r>
        <w:rPr>
          <w:rFonts w:ascii="Arial" w:cs="Arial" w:eastAsia="Arial" w:hAnsi="Arial"/>
          <w:sz w:val="20"/>
          <w:szCs w:val="20"/>
          <w:color w:val="auto"/>
        </w:rPr>
        <w:t>Acting with integrity is one of the foundational AbbVie Principles, and overseeing the company’s compliance program is a key activity for the Board. AbbVie’s Chief Ethics and Compliance Officer, who reports to the Executive Vice President, General Counsel and Secretary, regularly presents to the Board and committees on compliance matters.</w:t>
      </w:r>
    </w:p>
    <w:p>
      <w:pPr>
        <w:spacing w:after="0" w:line="66"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Board oversees AbbVie’s culture, employee engagement, and overall management of human capital. This oversight ensures that AbbVie is attracting, developing, and retaining best in class employees dedicated to making a remarkable impact on patients’ lives around the world. Examples of this oversight include (1) reviewing results of the biennial all employee survey, which assesses topics like employee engagement, inclusion, agility in processes, ethical decision making, and other issues critical to the company’s culture and (2) oversight of employee health and safety data and priorities. The Board also interacts with employees at various levels of seniority, not solely on the executive leadership team, which facilitates a better understanding of the company’s culture.</w:t>
      </w:r>
    </w:p>
    <w:p>
      <w:pPr>
        <w:spacing w:after="0" w:line="74"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The Board is actively involved in reviewing AbbVie’s privacy, cybersecurity, artificial intelligence, and other information technology risks and opportunities and discusses these topics on a regular basis. The Board and its committees also regularly review other ESG topics. For more details about committee responsibilities and oversight, please see the committee discussion in the section titled “Committees of the Board of Directors”.</w:t>
      </w:r>
    </w:p>
    <w:p>
      <w:pPr>
        <w:spacing w:after="0" w:line="67"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Each year, the Board and its committees conduct detailed self-evaluations covering topics such as Board and committee leadership structure, composition and effectiveness, quality of Board and committee materials and discussions, priority agenda items, schedule sufficiency, and Board processes. The evaluation forms are reviewed each year to ensure they will garner robust feedback, including on topics that are of recent interest to our investors. To ensure candid feedback, the evaluations are anonymous. The full Board, led by the Lead Independent Director, discusses the evaluation reports to determine what, if any, actions or improvements should be undertaken in the near- term and long-term. The Board, committee, and CEO evaluations are discussed in executive session to allow for additional candid discussion. Committee chairs are elected annually.</w:t>
      </w:r>
    </w:p>
    <w:p>
      <w:pPr>
        <w:sectPr>
          <w:pgSz w:w="11880" w:h="15480" w:orient="portrait"/>
          <w:cols w:equalWidth="0" w:num="1">
            <w:col w:w="10080"/>
          </w:cols>
          <w:pgMar w:left="900" w:top="702" w:right="900"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36"/>
          <w:szCs w:val="36"/>
          <w:color w:val="auto"/>
        </w:rPr>
        <w:t>Board Diversity</w:t>
      </w:r>
    </w:p>
    <w:p>
      <w:pPr>
        <w:spacing w:after="0" w:line="198"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AbbVie is committed to maintaining a Board of Directors with the skill sets, experience, and leadership necessary to provide effective oversight of AbbVie’s business. AbbVie serves patients in more than 180 countries and territories across many different diseases. As discussed in our governance guidelines, offering and representing diverse perspectives is an integral part of effective board 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3"/>
        </w:trPr>
        <w:tc>
          <w:tcPr>
            <w:tcW w:w="1600" w:type="dxa"/>
            <w:vAlign w:val="bottom"/>
            <w:tcBorders>
              <w:right w:val="single" w:sz="8" w:color="000039"/>
            </w:tcBorders>
            <w:shd w:val="clear" w:color="auto" w:fill="F2F2F2"/>
          </w:tcPr>
          <w:p>
            <w:pPr>
              <w:jc w:val="center"/>
              <w:spacing w:after="0"/>
              <w:rPr>
                <w:sz w:val="20"/>
                <w:szCs w:val="20"/>
                <w:color w:val="auto"/>
              </w:rPr>
            </w:pPr>
            <w:r>
              <w:rPr>
                <w:rFonts w:ascii="Arial" w:cs="Arial" w:eastAsia="Arial" w:hAnsi="Arial"/>
                <w:sz w:val="44"/>
                <w:szCs w:val="44"/>
                <w:color w:val="000039"/>
                <w:w w:val="99"/>
              </w:rPr>
              <w:t>38%</w:t>
            </w:r>
          </w:p>
        </w:tc>
        <w:tc>
          <w:tcPr>
            <w:tcW w:w="1640" w:type="dxa"/>
            <w:vAlign w:val="bottom"/>
            <w:shd w:val="clear" w:color="auto" w:fill="F2F2F2"/>
          </w:tcPr>
          <w:p>
            <w:pPr>
              <w:jc w:val="center"/>
              <w:spacing w:after="0"/>
              <w:rPr>
                <w:sz w:val="20"/>
                <w:szCs w:val="20"/>
                <w:color w:val="auto"/>
              </w:rPr>
            </w:pPr>
            <w:r>
              <w:rPr>
                <w:rFonts w:ascii="Arial" w:cs="Arial" w:eastAsia="Arial" w:hAnsi="Arial"/>
                <w:sz w:val="44"/>
                <w:szCs w:val="44"/>
                <w:color w:val="000039"/>
                <w:w w:val="99"/>
              </w:rPr>
              <w:t>15%</w:t>
            </w:r>
          </w:p>
        </w:tc>
      </w:tr>
      <w:tr>
        <w:trPr>
          <w:trHeight w:val="230"/>
        </w:trPr>
        <w:tc>
          <w:tcPr>
            <w:tcW w:w="1600" w:type="dxa"/>
            <w:vAlign w:val="bottom"/>
            <w:tcBorders>
              <w:right w:val="single" w:sz="8" w:color="000039"/>
            </w:tcBorders>
            <w:shd w:val="clear" w:color="auto" w:fill="F2F2F2"/>
          </w:tcPr>
          <w:p>
            <w:pPr>
              <w:jc w:val="center"/>
              <w:spacing w:after="0"/>
              <w:rPr>
                <w:sz w:val="20"/>
                <w:szCs w:val="20"/>
                <w:color w:val="auto"/>
              </w:rPr>
            </w:pPr>
            <w:r>
              <w:rPr>
                <w:rFonts w:ascii="Arial" w:cs="Arial" w:eastAsia="Arial" w:hAnsi="Arial"/>
                <w:sz w:val="20"/>
                <w:szCs w:val="20"/>
                <w:b w:val="1"/>
                <w:bCs w:val="1"/>
                <w:color w:val="000039"/>
                <w:w w:val="99"/>
              </w:rPr>
              <w:t>female Board</w:t>
            </w:r>
          </w:p>
        </w:tc>
        <w:tc>
          <w:tcPr>
            <w:tcW w:w="1640" w:type="dxa"/>
            <w:vAlign w:val="bottom"/>
            <w:shd w:val="clear" w:color="auto" w:fill="F2F2F2"/>
          </w:tcPr>
          <w:p>
            <w:pPr>
              <w:jc w:val="center"/>
              <w:spacing w:after="0"/>
              <w:rPr>
                <w:sz w:val="20"/>
                <w:szCs w:val="20"/>
                <w:color w:val="auto"/>
              </w:rPr>
            </w:pPr>
            <w:r>
              <w:rPr>
                <w:rFonts w:ascii="Arial" w:cs="Arial" w:eastAsia="Arial" w:hAnsi="Arial"/>
                <w:sz w:val="20"/>
                <w:szCs w:val="20"/>
                <w:b w:val="1"/>
                <w:bCs w:val="1"/>
                <w:color w:val="000039"/>
              </w:rPr>
              <w:t>ethnically or</w:t>
            </w:r>
          </w:p>
        </w:tc>
      </w:tr>
      <w:tr>
        <w:trPr>
          <w:trHeight w:val="253"/>
        </w:trPr>
        <w:tc>
          <w:tcPr>
            <w:tcW w:w="1600" w:type="dxa"/>
            <w:vAlign w:val="bottom"/>
            <w:tcBorders>
              <w:right w:val="single" w:sz="8" w:color="000039"/>
            </w:tcBorders>
            <w:shd w:val="clear" w:color="auto" w:fill="F2F2F2"/>
          </w:tcPr>
          <w:p>
            <w:pPr>
              <w:jc w:val="center"/>
              <w:spacing w:after="0"/>
              <w:rPr>
                <w:sz w:val="20"/>
                <w:szCs w:val="20"/>
                <w:color w:val="auto"/>
              </w:rPr>
            </w:pPr>
            <w:r>
              <w:rPr>
                <w:rFonts w:ascii="Arial" w:cs="Arial" w:eastAsia="Arial" w:hAnsi="Arial"/>
                <w:sz w:val="20"/>
                <w:szCs w:val="20"/>
                <w:b w:val="1"/>
                <w:bCs w:val="1"/>
                <w:color w:val="000039"/>
                <w:w w:val="98"/>
              </w:rPr>
              <w:t>members</w:t>
            </w:r>
          </w:p>
        </w:tc>
        <w:tc>
          <w:tcPr>
            <w:tcW w:w="1640" w:type="dxa"/>
            <w:vAlign w:val="bottom"/>
            <w:shd w:val="clear" w:color="auto" w:fill="F2F2F2"/>
          </w:tcPr>
          <w:p>
            <w:pPr>
              <w:jc w:val="center"/>
              <w:spacing w:after="0"/>
              <w:rPr>
                <w:sz w:val="20"/>
                <w:szCs w:val="20"/>
                <w:color w:val="auto"/>
              </w:rPr>
            </w:pPr>
            <w:r>
              <w:rPr>
                <w:rFonts w:ascii="Arial" w:cs="Arial" w:eastAsia="Arial" w:hAnsi="Arial"/>
                <w:sz w:val="20"/>
                <w:szCs w:val="20"/>
                <w:b w:val="1"/>
                <w:bCs w:val="1"/>
                <w:color w:val="000039"/>
                <w:w w:val="99"/>
              </w:rPr>
              <w:t>racially diverse</w:t>
            </w:r>
          </w:p>
        </w:tc>
      </w:tr>
      <w:tr>
        <w:trPr>
          <w:trHeight w:val="229"/>
        </w:trPr>
        <w:tc>
          <w:tcPr>
            <w:tcW w:w="1600" w:type="dxa"/>
            <w:vAlign w:val="bottom"/>
            <w:tcBorders>
              <w:right w:val="single" w:sz="8" w:color="000039"/>
            </w:tcBorders>
          </w:tcPr>
          <w:p>
            <w:pPr>
              <w:spacing w:after="0"/>
              <w:rPr>
                <w:sz w:val="19"/>
                <w:szCs w:val="19"/>
                <w:color w:val="auto"/>
              </w:rPr>
            </w:pPr>
          </w:p>
        </w:tc>
        <w:tc>
          <w:tcPr>
            <w:tcW w:w="1640" w:type="dxa"/>
            <w:vAlign w:val="bottom"/>
            <w:shd w:val="clear" w:color="auto" w:fill="F2F2F2"/>
          </w:tcPr>
          <w:p>
            <w:pPr>
              <w:jc w:val="center"/>
              <w:spacing w:after="0"/>
              <w:rPr>
                <w:sz w:val="20"/>
                <w:szCs w:val="20"/>
                <w:color w:val="auto"/>
              </w:rPr>
            </w:pPr>
            <w:r>
              <w:rPr>
                <w:rFonts w:ascii="Arial" w:cs="Arial" w:eastAsia="Arial" w:hAnsi="Arial"/>
                <w:sz w:val="20"/>
                <w:szCs w:val="20"/>
                <w:b w:val="1"/>
                <w:bCs w:val="1"/>
                <w:color w:val="000039"/>
                <w:w w:val="99"/>
              </w:rPr>
              <w:t>Board members</w:t>
            </w:r>
          </w:p>
        </w:tc>
      </w:tr>
      <w:tr>
        <w:trPr>
          <w:trHeight w:val="144"/>
        </w:trPr>
        <w:tc>
          <w:tcPr>
            <w:tcW w:w="1600" w:type="dxa"/>
            <w:vAlign w:val="bottom"/>
            <w:tcBorders>
              <w:right w:val="single" w:sz="8" w:color="000039"/>
            </w:tcBorders>
          </w:tcPr>
          <w:p>
            <w:pPr>
              <w:spacing w:after="0"/>
              <w:rPr>
                <w:sz w:val="12"/>
                <w:szCs w:val="12"/>
                <w:color w:val="auto"/>
              </w:rPr>
            </w:pPr>
          </w:p>
        </w:tc>
        <w:tc>
          <w:tcPr>
            <w:tcW w:w="1640" w:type="dxa"/>
            <w:vAlign w:val="bottom"/>
            <w:shd w:val="clear" w:color="auto" w:fill="F2F2F2"/>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-913765</wp:posOffset>
            </wp:positionV>
            <wp:extent cx="1029970" cy="927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90">
                      <a:extLst>
                        <a:ext uri="{28A0092B-C50C-407E-A947-70E740481C1C}"/>
                      </a:extLst>
                    </a:blip>
                    <a:srcRect/>
                    <a:stretch>
                      <a:fillRect/>
                    </a:stretch>
                  </pic:blipFill>
                  <pic:spPr bwMode="auto">
                    <a:xfrm>
                      <a:off x="0" y="0"/>
                      <a:ext cx="1029970" cy="927100"/>
                    </a:xfrm>
                    <a:prstGeom prst="rect">
                      <a:avLst/>
                    </a:prstGeom>
                    <a:noFill/>
                  </pic:spPr>
                </pic:pic>
              </a:graphicData>
            </a:graphic>
          </wp:anchor>
        </w:drawing>
      </w:r>
    </w:p>
    <w:p>
      <w:pPr>
        <w:spacing w:after="0" w:line="41" w:lineRule="exact"/>
        <w:rPr>
          <w:sz w:val="20"/>
          <w:szCs w:val="20"/>
          <w:color w:val="auto"/>
        </w:rPr>
      </w:pPr>
    </w:p>
    <w:p>
      <w:pPr>
        <w:sectPr>
          <w:pgSz w:w="11880" w:h="15480" w:orient="portrait"/>
          <w:cols w:equalWidth="0" w:num="2">
            <w:col w:w="6720" w:space="120"/>
            <w:col w:w="3240"/>
          </w:cols>
          <w:pgMar w:left="900" w:top="702" w:right="900" w:bottom="0" w:gutter="0" w:footer="0" w:header="0"/>
          <w:type w:val="continuous"/>
        </w:sectPr>
      </w:pPr>
    </w:p>
    <w:p>
      <w:pPr>
        <w:ind w:right="560"/>
        <w:spacing w:after="0" w:line="261" w:lineRule="auto"/>
        <w:rPr>
          <w:sz w:val="20"/>
          <w:szCs w:val="20"/>
          <w:color w:val="auto"/>
        </w:rPr>
      </w:pPr>
      <w:r>
        <w:rPr>
          <w:rFonts w:ascii="Arial" w:cs="Arial" w:eastAsia="Arial" w:hAnsi="Arial"/>
          <w:sz w:val="20"/>
          <w:szCs w:val="20"/>
          <w:color w:val="auto"/>
        </w:rPr>
        <w:t>These perspectives can result from diverse backgrounds, including varied professional skills, education, geography, or life experiences. As part of its comprehensive assessment of potential director nominees, the Board considers how a specific nominee would contribute to the board’s overall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22  </w:t>
      </w:r>
      <w:r>
        <w:rPr>
          <w:sz w:val="1"/>
          <w:szCs w:val="1"/>
          <w:color w:val="auto"/>
        </w:rPr>
        <w:drawing>
          <wp:inline distT="0" distB="0" distL="0" distR="0">
            <wp:extent cx="991870" cy="20066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91">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type w:val="continuous"/>
        </w:sectPr>
      </w:pPr>
    </w:p>
    <w:bookmarkStart w:id="151" w:name="page152"/>
    <w:bookmarkEnd w:id="151"/>
    <w:p>
      <w:pPr>
        <w:ind w:left="5120"/>
        <w:spacing w:after="0"/>
        <w:rPr>
          <w:sz w:val="20"/>
          <w:szCs w:val="20"/>
          <w:color w:val="auto"/>
        </w:rPr>
      </w:pPr>
      <w:r>
        <w:rPr>
          <w:rFonts w:ascii="Arial" w:cs="Arial" w:eastAsia="Arial" w:hAnsi="Arial"/>
          <w:sz w:val="19"/>
          <w:szCs w:val="19"/>
          <w:color w:val="808080"/>
        </w:rPr>
        <w:t>THE BOARD OF DIRECTORS AND ITS COMMITTEES</w:t>
      </w:r>
    </w:p>
    <w:p>
      <w:pPr>
        <w:spacing w:after="0" w:line="225" w:lineRule="exact"/>
        <w:rPr>
          <w:sz w:val="20"/>
          <w:szCs w:val="20"/>
          <w:color w:val="auto"/>
        </w:rPr>
      </w:pPr>
    </w:p>
    <w:p>
      <w:pPr>
        <w:spacing w:after="0"/>
        <w:rPr>
          <w:sz w:val="20"/>
          <w:szCs w:val="20"/>
          <w:color w:val="auto"/>
        </w:rPr>
      </w:pPr>
      <w:r>
        <w:rPr>
          <w:rFonts w:ascii="Arial" w:cs="Arial" w:eastAsia="Arial" w:hAnsi="Arial"/>
          <w:sz w:val="36"/>
          <w:szCs w:val="36"/>
          <w:color w:val="auto"/>
        </w:rPr>
        <w:t>Committees of the Board of Directors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Audit Committee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396"/>
        </w:trPr>
        <w:tc>
          <w:tcPr>
            <w:tcW w:w="14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8"/>
                <w:szCs w:val="18"/>
                <w:b w:val="1"/>
                <w:bCs w:val="1"/>
                <w:color w:val="auto"/>
              </w:rPr>
              <w:t>Members</w:t>
            </w:r>
          </w:p>
        </w:tc>
        <w:tc>
          <w:tcPr>
            <w:tcW w:w="6360" w:type="dxa"/>
            <w:vAlign w:val="bottom"/>
          </w:tcPr>
          <w:p>
            <w:pPr>
              <w:ind w:left="240"/>
              <w:spacing w:after="0"/>
              <w:rPr>
                <w:sz w:val="20"/>
                <w:szCs w:val="20"/>
                <w:color w:val="auto"/>
              </w:rPr>
            </w:pPr>
            <w:r>
              <w:rPr>
                <w:rFonts w:ascii="Arial" w:cs="Arial" w:eastAsia="Arial" w:hAnsi="Arial"/>
                <w:sz w:val="18"/>
                <w:szCs w:val="18"/>
                <w:b w:val="1"/>
                <w:bCs w:val="1"/>
                <w:color w:val="auto"/>
              </w:rPr>
              <w:t>Key Characteristics and Responsibilities</w:t>
            </w:r>
          </w:p>
        </w:tc>
        <w:tc>
          <w:tcPr>
            <w:tcW w:w="2280" w:type="dxa"/>
            <w:vAlign w:val="bottom"/>
          </w:tcPr>
          <w:p>
            <w:pPr>
              <w:ind w:left="300"/>
              <w:spacing w:after="0"/>
              <w:rPr>
                <w:sz w:val="20"/>
                <w:szCs w:val="20"/>
                <w:color w:val="auto"/>
              </w:rPr>
            </w:pPr>
            <w:r>
              <w:rPr>
                <w:rFonts w:ascii="Arial" w:cs="Arial" w:eastAsia="Arial" w:hAnsi="Arial"/>
                <w:sz w:val="18"/>
                <w:szCs w:val="18"/>
                <w:b w:val="1"/>
                <w:bCs w:val="1"/>
                <w:color w:val="auto"/>
              </w:rPr>
              <w:t>Meetings in 2025: 6</w:t>
            </w:r>
          </w:p>
        </w:tc>
        <w:tc>
          <w:tcPr>
            <w:tcW w:w="0" w:type="dxa"/>
            <w:vAlign w:val="bottom"/>
          </w:tcPr>
          <w:p>
            <w:pPr>
              <w:spacing w:after="0"/>
              <w:rPr>
                <w:sz w:val="1"/>
                <w:szCs w:val="1"/>
                <w:color w:val="auto"/>
              </w:rPr>
            </w:pPr>
          </w:p>
        </w:tc>
      </w:tr>
      <w:tr>
        <w:trPr>
          <w:trHeight w:val="189"/>
        </w:trPr>
        <w:tc>
          <w:tcPr>
            <w:tcW w:w="1440" w:type="dxa"/>
            <w:vAlign w:val="bottom"/>
            <w:tcBorders>
              <w:top w:val="single" w:sz="8" w:color="000039"/>
            </w:tcBorders>
          </w:tcPr>
          <w:p>
            <w:pPr>
              <w:spacing w:after="0"/>
              <w:rPr>
                <w:sz w:val="16"/>
                <w:szCs w:val="16"/>
                <w:color w:val="auto"/>
              </w:rPr>
            </w:pPr>
          </w:p>
        </w:tc>
        <w:tc>
          <w:tcPr>
            <w:tcW w:w="8640" w:type="dxa"/>
            <w:vAlign w:val="bottom"/>
            <w:tcBorders>
              <w:top w:val="single" w:sz="8" w:color="000039"/>
            </w:tcBorders>
            <w:gridSpan w:val="2"/>
          </w:tcPr>
          <w:p>
            <w:pPr>
              <w:ind w:left="240"/>
              <w:spacing w:after="0" w:line="189" w:lineRule="exact"/>
              <w:rPr>
                <w:sz w:val="20"/>
                <w:szCs w:val="20"/>
                <w:color w:val="auto"/>
              </w:rPr>
            </w:pPr>
            <w:r>
              <w:rPr>
                <w:rFonts w:ascii="Arial" w:cs="Arial" w:eastAsia="Arial" w:hAnsi="Arial"/>
                <w:sz w:val="18"/>
                <w:szCs w:val="18"/>
                <w:color w:val="auto"/>
              </w:rPr>
              <w:t>The audit committee is governed by a written charter. The charter sets forth the purposes of the audit</w:t>
            </w:r>
          </w:p>
        </w:tc>
        <w:tc>
          <w:tcPr>
            <w:tcW w:w="0" w:type="dxa"/>
            <w:vAlign w:val="bottom"/>
          </w:tcPr>
          <w:p>
            <w:pPr>
              <w:spacing w:after="0"/>
              <w:rPr>
                <w:sz w:val="1"/>
                <w:szCs w:val="1"/>
                <w:color w:val="auto"/>
              </w:rPr>
            </w:pPr>
          </w:p>
        </w:tc>
      </w:tr>
      <w:tr>
        <w:trPr>
          <w:trHeight w:val="208"/>
        </w:trPr>
        <w:tc>
          <w:tcPr>
            <w:tcW w:w="1440" w:type="dxa"/>
            <w:vAlign w:val="bottom"/>
            <w:vMerge w:val="restart"/>
          </w:tcPr>
          <w:p>
            <w:pPr>
              <w:spacing w:after="0"/>
              <w:rPr>
                <w:sz w:val="20"/>
                <w:szCs w:val="20"/>
                <w:color w:val="auto"/>
              </w:rPr>
            </w:pPr>
            <w:r>
              <w:rPr>
                <w:rFonts w:ascii="Arial" w:cs="Arial" w:eastAsia="Arial" w:hAnsi="Arial"/>
                <w:sz w:val="20"/>
                <w:szCs w:val="20"/>
                <w:b w:val="1"/>
                <w:bCs w:val="1"/>
                <w:color w:val="auto"/>
              </w:rPr>
              <w:t>F. Waddell</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committee, identifies qualifications required for the audit committee members, and describes the</w:t>
            </w: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360" w:type="dxa"/>
            <w:vAlign w:val="bottom"/>
          </w:tcPr>
          <w:p>
            <w:pPr>
              <w:ind w:left="520"/>
              <w:spacing w:after="0"/>
              <w:rPr>
                <w:sz w:val="20"/>
                <w:szCs w:val="20"/>
                <w:color w:val="auto"/>
              </w:rPr>
            </w:pPr>
            <w:r>
              <w:rPr>
                <w:rFonts w:ascii="Arial" w:cs="Arial" w:eastAsia="Arial" w:hAnsi="Arial"/>
                <w:sz w:val="18"/>
                <w:szCs w:val="18"/>
                <w:color w:val="auto"/>
              </w:rPr>
              <w:t>committee’s authority and responsibilities.</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440" w:type="dxa"/>
            <w:vAlign w:val="bottom"/>
          </w:tcPr>
          <w:p>
            <w:pPr>
              <w:ind w:left="140"/>
              <w:spacing w:after="0"/>
              <w:rPr>
                <w:sz w:val="20"/>
                <w:szCs w:val="20"/>
                <w:color w:val="auto"/>
              </w:rPr>
            </w:pPr>
            <w:r>
              <w:rPr>
                <w:rFonts w:ascii="Arial" w:cs="Arial" w:eastAsia="Arial" w:hAnsi="Arial"/>
                <w:sz w:val="20"/>
                <w:szCs w:val="20"/>
                <w:b w:val="1"/>
                <w:bCs w:val="1"/>
                <w:color w:val="000039"/>
              </w:rPr>
              <w:t>(Chair)</w:t>
            </w:r>
          </w:p>
        </w:tc>
        <w:tc>
          <w:tcPr>
            <w:tcW w:w="8640" w:type="dxa"/>
            <w:vAlign w:val="bottom"/>
            <w:gridSpan w:val="2"/>
          </w:tcPr>
          <w:p>
            <w:pPr>
              <w:ind w:left="240"/>
              <w:spacing w:after="0"/>
              <w:rPr>
                <w:sz w:val="20"/>
                <w:szCs w:val="20"/>
                <w:color w:val="auto"/>
              </w:rPr>
            </w:pPr>
            <w:r>
              <w:rPr>
                <w:rFonts w:ascii="Arial" w:cs="Arial" w:eastAsia="Arial" w:hAnsi="Arial"/>
                <w:sz w:val="18"/>
                <w:szCs w:val="18"/>
                <w:color w:val="auto"/>
              </w:rPr>
              <w:t>The audit committee assists the Board of Directors in fulfilling its oversight responsibility with respect</w:t>
            </w:r>
          </w:p>
        </w:tc>
        <w:tc>
          <w:tcPr>
            <w:tcW w:w="0" w:type="dxa"/>
            <w:vAlign w:val="bottom"/>
          </w:tcPr>
          <w:p>
            <w:pPr>
              <w:spacing w:after="0"/>
              <w:rPr>
                <w:sz w:val="1"/>
                <w:szCs w:val="1"/>
                <w:color w:val="auto"/>
              </w:rPr>
            </w:pPr>
          </w:p>
        </w:tc>
      </w:tr>
      <w:tr>
        <w:trPr>
          <w:trHeight w:val="184"/>
        </w:trPr>
        <w:tc>
          <w:tcPr>
            <w:tcW w:w="1440" w:type="dxa"/>
            <w:vAlign w:val="bottom"/>
            <w:vMerge w:val="restart"/>
          </w:tcPr>
          <w:p>
            <w:pPr>
              <w:spacing w:after="0"/>
              <w:rPr>
                <w:sz w:val="20"/>
                <w:szCs w:val="20"/>
                <w:color w:val="auto"/>
              </w:rPr>
            </w:pPr>
            <w:r>
              <w:rPr>
                <w:rFonts w:ascii="Arial" w:cs="Arial" w:eastAsia="Arial" w:hAnsi="Arial"/>
                <w:sz w:val="20"/>
                <w:szCs w:val="20"/>
                <w:b w:val="1"/>
                <w:bCs w:val="1"/>
                <w:color w:val="auto"/>
              </w:rPr>
              <w:t>R. Austin</w:t>
            </w:r>
          </w:p>
        </w:tc>
        <w:tc>
          <w:tcPr>
            <w:tcW w:w="8640" w:type="dxa"/>
            <w:vAlign w:val="bottom"/>
            <w:gridSpan w:val="2"/>
          </w:tcPr>
          <w:p>
            <w:pPr>
              <w:ind w:left="520"/>
              <w:spacing w:after="0" w:line="183" w:lineRule="exact"/>
              <w:rPr>
                <w:sz w:val="20"/>
                <w:szCs w:val="20"/>
                <w:color w:val="auto"/>
              </w:rPr>
            </w:pPr>
            <w:r>
              <w:rPr>
                <w:rFonts w:ascii="Arial" w:cs="Arial" w:eastAsia="Arial" w:hAnsi="Arial"/>
                <w:sz w:val="18"/>
                <w:szCs w:val="18"/>
                <w:color w:val="auto"/>
              </w:rPr>
              <w:t>to AbbVie’s accounting and financial reporting practices and the audit process, the quality and</w:t>
            </w:r>
          </w:p>
        </w:tc>
        <w:tc>
          <w:tcPr>
            <w:tcW w:w="0" w:type="dxa"/>
            <w:vAlign w:val="bottom"/>
          </w:tcPr>
          <w:p>
            <w:pPr>
              <w:spacing w:after="0"/>
              <w:rPr>
                <w:sz w:val="1"/>
                <w:szCs w:val="1"/>
                <w:color w:val="auto"/>
              </w:rPr>
            </w:pPr>
          </w:p>
        </w:tc>
      </w:tr>
      <w:tr>
        <w:trPr>
          <w:trHeight w:val="206"/>
        </w:trPr>
        <w:tc>
          <w:tcPr>
            <w:tcW w:w="1440" w:type="dxa"/>
            <w:vAlign w:val="bottom"/>
            <w:vMerge w:val="continue"/>
          </w:tcPr>
          <w:p>
            <w:pPr>
              <w:spacing w:after="0"/>
              <w:rPr>
                <w:sz w:val="17"/>
                <w:szCs w:val="17"/>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integrity of AbbVie’s financial statements, including a review of significant accounting policies, the</w:t>
            </w:r>
          </w:p>
        </w:tc>
        <w:tc>
          <w:tcPr>
            <w:tcW w:w="0" w:type="dxa"/>
            <w:vAlign w:val="bottom"/>
          </w:tcPr>
          <w:p>
            <w:pPr>
              <w:spacing w:after="0"/>
              <w:rPr>
                <w:sz w:val="1"/>
                <w:szCs w:val="1"/>
                <w:color w:val="auto"/>
              </w:rPr>
            </w:pPr>
          </w:p>
        </w:tc>
      </w:tr>
      <w:tr>
        <w:trPr>
          <w:trHeight w:val="208"/>
        </w:trPr>
        <w:tc>
          <w:tcPr>
            <w:tcW w:w="1440" w:type="dxa"/>
            <w:vAlign w:val="bottom"/>
            <w:vMerge w:val="restart"/>
          </w:tcPr>
          <w:p>
            <w:pPr>
              <w:spacing w:after="0"/>
              <w:rPr>
                <w:sz w:val="20"/>
                <w:szCs w:val="20"/>
                <w:color w:val="auto"/>
              </w:rPr>
            </w:pPr>
            <w:r>
              <w:rPr>
                <w:rFonts w:ascii="Arial" w:cs="Arial" w:eastAsia="Arial" w:hAnsi="Arial"/>
                <w:sz w:val="20"/>
                <w:szCs w:val="20"/>
                <w:b w:val="1"/>
                <w:bCs w:val="1"/>
                <w:color w:val="auto"/>
              </w:rPr>
              <w:t>W. Burnside</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independent auditors’ qualifications, independence, and performance, the performance of AbbVie’s</w:t>
            </w:r>
          </w:p>
        </w:tc>
        <w:tc>
          <w:tcPr>
            <w:tcW w:w="0" w:type="dxa"/>
            <w:vAlign w:val="bottom"/>
          </w:tcPr>
          <w:p>
            <w:pPr>
              <w:spacing w:after="0"/>
              <w:rPr>
                <w:sz w:val="1"/>
                <w:szCs w:val="1"/>
                <w:color w:val="auto"/>
              </w:rPr>
            </w:pPr>
          </w:p>
        </w:tc>
      </w:tr>
      <w:tr>
        <w:trPr>
          <w:trHeight w:val="206"/>
        </w:trPr>
        <w:tc>
          <w:tcPr>
            <w:tcW w:w="1440" w:type="dxa"/>
            <w:vAlign w:val="bottom"/>
            <w:vMerge w:val="continue"/>
          </w:tcPr>
          <w:p>
            <w:pPr>
              <w:spacing w:after="0"/>
              <w:rPr>
                <w:sz w:val="17"/>
                <w:szCs w:val="17"/>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internal audit function and internal auditors, certain areas of legal and regulatory compliance, and</w:t>
            </w:r>
          </w:p>
        </w:tc>
        <w:tc>
          <w:tcPr>
            <w:tcW w:w="0" w:type="dxa"/>
            <w:vAlign w:val="bottom"/>
          </w:tcPr>
          <w:p>
            <w:pPr>
              <w:spacing w:after="0"/>
              <w:rPr>
                <w:sz w:val="1"/>
                <w:szCs w:val="1"/>
                <w:color w:val="auto"/>
              </w:rPr>
            </w:pPr>
          </w:p>
        </w:tc>
      </w:tr>
      <w:tr>
        <w:trPr>
          <w:trHeight w:val="233"/>
        </w:trPr>
        <w:tc>
          <w:tcPr>
            <w:tcW w:w="1440" w:type="dxa"/>
            <w:vAlign w:val="bottom"/>
          </w:tcPr>
          <w:p>
            <w:pPr>
              <w:spacing w:after="0"/>
              <w:rPr>
                <w:sz w:val="20"/>
                <w:szCs w:val="20"/>
                <w:color w:val="auto"/>
              </w:rPr>
            </w:pPr>
            <w:r>
              <w:rPr>
                <w:rFonts w:ascii="Arial" w:cs="Arial" w:eastAsia="Arial" w:hAnsi="Arial"/>
                <w:sz w:val="20"/>
                <w:szCs w:val="20"/>
                <w:b w:val="1"/>
                <w:bCs w:val="1"/>
                <w:color w:val="auto"/>
              </w:rPr>
              <w:t>T. Falk</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enterprise risk management. The audit committee is directly responsible for the appointment, fees,</w:t>
            </w:r>
          </w:p>
        </w:tc>
        <w:tc>
          <w:tcPr>
            <w:tcW w:w="0" w:type="dxa"/>
            <w:vAlign w:val="bottom"/>
          </w:tcPr>
          <w:p>
            <w:pPr>
              <w:spacing w:after="0"/>
              <w:rPr>
                <w:sz w:val="1"/>
                <w:szCs w:val="1"/>
                <w:color w:val="auto"/>
              </w:rPr>
            </w:pPr>
          </w:p>
        </w:tc>
      </w:tr>
      <w:tr>
        <w:trPr>
          <w:trHeight w:val="223"/>
        </w:trPr>
        <w:tc>
          <w:tcPr>
            <w:tcW w:w="1440" w:type="dxa"/>
            <w:vAlign w:val="bottom"/>
            <w:vMerge w:val="restart"/>
          </w:tcPr>
          <w:p>
            <w:pPr>
              <w:spacing w:after="0"/>
              <w:rPr>
                <w:sz w:val="20"/>
                <w:szCs w:val="20"/>
                <w:color w:val="auto"/>
              </w:rPr>
            </w:pPr>
            <w:r>
              <w:rPr>
                <w:rFonts w:ascii="Arial" w:cs="Arial" w:eastAsia="Arial" w:hAnsi="Arial"/>
                <w:sz w:val="20"/>
                <w:szCs w:val="20"/>
                <w:b w:val="1"/>
                <w:bCs w:val="1"/>
                <w:color w:val="auto"/>
              </w:rPr>
              <w:t>M. Meyer</w:t>
            </w:r>
          </w:p>
        </w:tc>
        <w:tc>
          <w:tcPr>
            <w:tcW w:w="6360" w:type="dxa"/>
            <w:vAlign w:val="bottom"/>
          </w:tcPr>
          <w:p>
            <w:pPr>
              <w:ind w:left="520"/>
              <w:spacing w:after="0"/>
              <w:rPr>
                <w:sz w:val="20"/>
                <w:szCs w:val="20"/>
                <w:color w:val="auto"/>
              </w:rPr>
            </w:pPr>
            <w:r>
              <w:rPr>
                <w:rFonts w:ascii="Arial" w:cs="Arial" w:eastAsia="Arial" w:hAnsi="Arial"/>
                <w:sz w:val="18"/>
                <w:szCs w:val="18"/>
                <w:color w:val="auto"/>
              </w:rPr>
              <w:t>retention, and oversight of the work of AbbVie’s independent auditors.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8640" w:type="dxa"/>
            <w:vAlign w:val="bottom"/>
            <w:gridSpan w:val="2"/>
          </w:tcPr>
          <w:p>
            <w:pPr>
              <w:ind w:left="240"/>
              <w:spacing w:after="0"/>
              <w:rPr>
                <w:sz w:val="20"/>
                <w:szCs w:val="20"/>
                <w:color w:val="auto"/>
              </w:rPr>
            </w:pPr>
            <w:r>
              <w:rPr>
                <w:rFonts w:ascii="Arial" w:cs="Arial" w:eastAsia="Arial" w:hAnsi="Arial"/>
                <w:sz w:val="18"/>
                <w:szCs w:val="18"/>
                <w:color w:val="auto"/>
              </w:rPr>
              <w:t>The audit committee also reviews information security and technology risks, including cybersecurity.</w:t>
            </w:r>
          </w:p>
        </w:tc>
        <w:tc>
          <w:tcPr>
            <w:tcW w:w="0" w:type="dxa"/>
            <w:vAlign w:val="bottom"/>
          </w:tcPr>
          <w:p>
            <w:pPr>
              <w:spacing w:after="0"/>
              <w:rPr>
                <w:sz w:val="1"/>
                <w:szCs w:val="1"/>
                <w:color w:val="auto"/>
              </w:rPr>
            </w:pPr>
          </w:p>
        </w:tc>
      </w:tr>
      <w:tr>
        <w:trPr>
          <w:trHeight w:val="232"/>
        </w:trPr>
        <w:tc>
          <w:tcPr>
            <w:tcW w:w="1440" w:type="dxa"/>
            <w:vAlign w:val="bottom"/>
          </w:tcPr>
          <w:p>
            <w:pPr>
              <w:spacing w:after="0"/>
              <w:rPr>
                <w:sz w:val="20"/>
                <w:szCs w:val="20"/>
                <w:color w:val="auto"/>
              </w:rPr>
            </w:pPr>
            <w:r>
              <w:rPr>
                <w:rFonts w:ascii="Arial" w:cs="Arial" w:eastAsia="Arial" w:hAnsi="Arial"/>
                <w:sz w:val="20"/>
                <w:szCs w:val="20"/>
                <w:b w:val="1"/>
                <w:bCs w:val="1"/>
                <w:color w:val="auto"/>
              </w:rPr>
              <w:t>E. Rapp</w:t>
            </w:r>
          </w:p>
        </w:tc>
        <w:tc>
          <w:tcPr>
            <w:tcW w:w="8640" w:type="dxa"/>
            <w:vAlign w:val="bottom"/>
            <w:gridSpan w:val="2"/>
          </w:tcPr>
          <w:p>
            <w:pPr>
              <w:ind w:left="240"/>
              <w:spacing w:after="0"/>
              <w:rPr>
                <w:sz w:val="20"/>
                <w:szCs w:val="20"/>
                <w:color w:val="auto"/>
              </w:rPr>
            </w:pPr>
            <w:r>
              <w:rPr>
                <w:rFonts w:ascii="Arial" w:cs="Arial" w:eastAsia="Arial" w:hAnsi="Arial"/>
                <w:sz w:val="18"/>
                <w:szCs w:val="18"/>
                <w:color w:val="auto"/>
              </w:rPr>
              <w:t>Each of the members of the audit committee is financially literate, as required of audit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-1656080</wp:posOffset>
                </wp:positionV>
                <wp:extent cx="914400" cy="222885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2228850"/>
                        </a:xfrm>
                        <a:prstGeom prst="rect">
                          <a:avLst/>
                        </a:prstGeom>
                        <a:solidFill>
                          <a:srgbClr val="F2F2F2"/>
                        </a:solidFill>
                      </wps:spPr>
                      <wps:bodyPr/>
                    </wps:wsp>
                  </a:graphicData>
                </a:graphic>
              </wp:anchor>
            </w:drawing>
          </mc:Choice>
          <mc:Fallback>
            <w:pict>
              <v:rect id="Shape 367" o:spid="_x0000_s1392" style="position:absolute;margin-left:0pt;margin-top:-130.3999pt;width:72pt;height:17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ind w:left="1960" w:right="400"/>
        <w:spacing w:after="0" w:line="249" w:lineRule="auto"/>
        <w:rPr>
          <w:sz w:val="20"/>
          <w:szCs w:val="20"/>
          <w:color w:val="auto"/>
        </w:rPr>
      </w:pPr>
      <w:r>
        <w:rPr>
          <w:rFonts w:ascii="Arial" w:cs="Arial" w:eastAsia="Arial" w:hAnsi="Arial"/>
          <w:sz w:val="18"/>
          <w:szCs w:val="18"/>
          <w:color w:val="auto"/>
        </w:rPr>
        <w:t>members by the NYSE, and the independence requirements set forth in Section 10A(m)(3) of the Securities Exchange Act of 1934, as amended (the ‘‘Exchange Act’’).</w:t>
      </w:r>
    </w:p>
    <w:p>
      <w:pPr>
        <w:ind w:left="1960" w:right="20" w:firstLine="4"/>
        <w:spacing w:after="0" w:line="286" w:lineRule="auto"/>
        <w:rPr>
          <w:sz w:val="20"/>
          <w:szCs w:val="20"/>
          <w:color w:val="auto"/>
        </w:rPr>
      </w:pPr>
      <w:r>
        <w:rPr>
          <w:rFonts w:ascii="Arial" w:cs="Arial" w:eastAsia="Arial" w:hAnsi="Arial"/>
          <w:sz w:val="18"/>
          <w:szCs w:val="18"/>
          <w:color w:val="auto"/>
        </w:rPr>
        <w:t>The Board of Directors has determined that Ms. Austin, Mr. Falk, Mr. Rapp, and Mr. Waddell are each individually, an ‘‘audit committee financial expert.’’</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Compensation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914400" cy="24638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246380"/>
                        </a:xfrm>
                        <a:prstGeom prst="rect">
                          <a:avLst/>
                        </a:prstGeom>
                        <a:solidFill>
                          <a:srgbClr val="F2F2F2"/>
                        </a:solidFill>
                      </wps:spPr>
                      <wps:bodyPr/>
                    </wps:wsp>
                  </a:graphicData>
                </a:graphic>
              </wp:anchor>
            </w:drawing>
          </mc:Choice>
          <mc:Fallback>
            <w:pict>
              <v:rect id="Shape 368" o:spid="_x0000_s1393" style="position:absolute;margin-left:0pt;margin-top:7.15pt;width:72pt;height:19.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spacing w:after="0" w:line="204" w:lineRule="exact"/>
        <w:rPr>
          <w:sz w:val="20"/>
          <w:szCs w:val="20"/>
          <w:color w:val="auto"/>
        </w:rPr>
      </w:pPr>
    </w:p>
    <w:p>
      <w:pPr>
        <w:ind w:left="40"/>
        <w:spacing w:after="0"/>
        <w:tabs>
          <w:tab w:leader="none" w:pos="1660" w:val="left"/>
          <w:tab w:leader="none" w:pos="8080" w:val="left"/>
        </w:tabs>
        <w:rPr>
          <w:sz w:val="20"/>
          <w:szCs w:val="20"/>
          <w:color w:val="auto"/>
        </w:rPr>
      </w:pPr>
      <w:r>
        <w:rPr>
          <w:rFonts w:ascii="Arial" w:cs="Arial" w:eastAsia="Arial" w:hAnsi="Arial"/>
          <w:sz w:val="18"/>
          <w:szCs w:val="18"/>
          <w:b w:val="1"/>
          <w:bCs w:val="1"/>
          <w:color w:val="auto"/>
        </w:rPr>
        <w:t>Members</w:t>
      </w:r>
      <w:r>
        <w:rPr>
          <w:sz w:val="20"/>
          <w:szCs w:val="20"/>
          <w:color w:val="auto"/>
        </w:rPr>
        <w:tab/>
      </w:r>
      <w:r>
        <w:rPr>
          <w:rFonts w:ascii="Arial" w:cs="Arial" w:eastAsia="Arial" w:hAnsi="Arial"/>
          <w:sz w:val="18"/>
          <w:szCs w:val="18"/>
          <w:b w:val="1"/>
          <w:bCs w:val="1"/>
          <w:color w:val="auto"/>
        </w:rPr>
        <w:t>Key Characteristics and Responsibilities</w:t>
      </w:r>
      <w:r>
        <w:rPr>
          <w:sz w:val="20"/>
          <w:szCs w:val="20"/>
          <w:color w:val="auto"/>
        </w:rPr>
        <w:tab/>
      </w:r>
      <w:r>
        <w:rPr>
          <w:rFonts w:ascii="Arial" w:cs="Arial" w:eastAsia="Arial" w:hAnsi="Arial"/>
          <w:sz w:val="18"/>
          <w:szCs w:val="18"/>
          <w:b w:val="1"/>
          <w:bCs w:val="1"/>
          <w:color w:val="auto"/>
        </w:rPr>
        <w:t>Meetings in 2025: 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72390</wp:posOffset>
                </wp:positionV>
                <wp:extent cx="6400800"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pt" to="504pt,5.7pt" o:allowincell="f" strokecolor="#000039" strokeweight="1.5pt"/>
            </w:pict>
          </mc:Fallback>
        </mc:AlternateContent>
      </w:r>
    </w:p>
    <w:p>
      <w:pPr>
        <w:sectPr>
          <w:pgSz w:w="11880" w:h="15480" w:orient="portrait"/>
          <w:cols w:equalWidth="0" w:num="1">
            <w:col w:w="10080"/>
          </w:cols>
          <w:pgMar w:left="900" w:top="70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right="460" w:hanging="140"/>
        <w:spacing w:after="0" w:line="384" w:lineRule="auto"/>
        <w:tabs>
          <w:tab w:leader="none" w:pos="252"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Hart </w:t>
      </w:r>
      <w:r>
        <w:rPr>
          <w:rFonts w:ascii="Arial" w:cs="Arial" w:eastAsia="Arial" w:hAnsi="Arial"/>
          <w:sz w:val="19"/>
          <w:szCs w:val="19"/>
          <w:b w:val="1"/>
          <w:bCs w:val="1"/>
          <w:color w:val="000039"/>
        </w:rPr>
        <w:t>(Chair)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-1480820</wp:posOffset>
                </wp:positionV>
                <wp:extent cx="914400" cy="3437255"/>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3437255"/>
                        </a:xfrm>
                        <a:prstGeom prst="rect">
                          <a:avLst/>
                        </a:prstGeom>
                        <a:solidFill>
                          <a:srgbClr val="F2F2F2"/>
                        </a:solidFill>
                      </wps:spPr>
                      <wps:bodyPr/>
                    </wps:wsp>
                  </a:graphicData>
                </a:graphic>
              </wp:anchor>
            </w:drawing>
          </mc:Choice>
          <mc:Fallback>
            <w:pict>
              <v:rect id="Shape 370" o:spid="_x0000_s1395" style="position:absolute;margin-left:0pt;margin-top:-116.5999pt;width:72pt;height:270.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jc w:val="both"/>
        <w:ind w:right="180"/>
        <w:spacing w:after="0" w:line="408" w:lineRule="auto"/>
        <w:tabs>
          <w:tab w:leader="none" w:pos="255"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Alpern R. Austin T. Freyman F. Waddell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100" w:firstLine="4"/>
        <w:spacing w:after="0" w:line="255" w:lineRule="auto"/>
        <w:rPr>
          <w:sz w:val="20"/>
          <w:szCs w:val="20"/>
          <w:color w:val="auto"/>
        </w:rPr>
      </w:pPr>
      <w:r>
        <w:rPr>
          <w:rFonts w:ascii="Arial" w:cs="Arial" w:eastAsia="Arial" w:hAnsi="Arial"/>
          <w:sz w:val="18"/>
          <w:szCs w:val="18"/>
          <w:color w:val="auto"/>
        </w:rPr>
        <w:t>The compensation committee is governed by a written charter. The charter sets forth the purposes of the compensation committee, identifies qualifications required for the compensation committee members, and describes the committee’s authority and responsibilities.</w:t>
      </w:r>
    </w:p>
    <w:p>
      <w:pPr>
        <w:ind w:right="20" w:firstLine="4"/>
        <w:spacing w:after="0" w:line="249" w:lineRule="auto"/>
        <w:rPr>
          <w:sz w:val="20"/>
          <w:szCs w:val="20"/>
          <w:color w:val="auto"/>
        </w:rPr>
      </w:pPr>
      <w:r>
        <w:rPr>
          <w:rFonts w:ascii="Arial" w:cs="Arial" w:eastAsia="Arial" w:hAnsi="Arial"/>
          <w:sz w:val="18"/>
          <w:szCs w:val="18"/>
          <w:color w:val="auto"/>
        </w:rPr>
        <w:t>This committee assists the Board of Directors in carrying out the Board’s responsibilities relating to the compensation of AbbVie’s executive officers and directors. The compensation committee annually reviews the compensation paid to the directors and gives its recommendations to the full Board regarding both the amount of director compensation that should be paid and the allocation of that compensation between equity-based awards and cash.</w:t>
      </w:r>
    </w:p>
    <w:p>
      <w:pPr>
        <w:spacing w:after="0" w:line="1" w:lineRule="exact"/>
        <w:rPr>
          <w:sz w:val="20"/>
          <w:szCs w:val="20"/>
          <w:color w:val="auto"/>
        </w:rPr>
      </w:pPr>
    </w:p>
    <w:p>
      <w:pPr>
        <w:ind w:right="40" w:firstLine="5"/>
        <w:spacing w:after="0" w:line="249" w:lineRule="auto"/>
        <w:rPr>
          <w:sz w:val="20"/>
          <w:szCs w:val="20"/>
          <w:color w:val="auto"/>
        </w:rPr>
      </w:pPr>
      <w:r>
        <w:rPr>
          <w:rFonts w:ascii="Arial" w:cs="Arial" w:eastAsia="Arial" w:hAnsi="Arial"/>
          <w:sz w:val="18"/>
          <w:szCs w:val="18"/>
          <w:color w:val="auto"/>
        </w:rPr>
        <w:t>In recommending director compensation, the compensation committee takes into account director fees paid by companies in AbbVie’s Health Care Peer Group and reviews any arrangement that could be viewed as indirect director compensation. The processes and procedures used for the consideration and determination of executive compensation are described in the ‘‘Compensation Discussion and Analysis’’ section of this proxy statement.</w:t>
      </w:r>
    </w:p>
    <w:p>
      <w:pPr>
        <w:spacing w:after="0" w:line="1" w:lineRule="exact"/>
        <w:rPr>
          <w:sz w:val="20"/>
          <w:szCs w:val="20"/>
          <w:color w:val="auto"/>
        </w:rPr>
      </w:pPr>
    </w:p>
    <w:p>
      <w:pPr>
        <w:ind w:right="20" w:firstLine="4"/>
        <w:spacing w:after="0" w:line="249" w:lineRule="auto"/>
        <w:rPr>
          <w:sz w:val="20"/>
          <w:szCs w:val="20"/>
          <w:color w:val="auto"/>
        </w:rPr>
      </w:pPr>
      <w:r>
        <w:rPr>
          <w:rFonts w:ascii="Arial" w:cs="Arial" w:eastAsia="Arial" w:hAnsi="Arial"/>
          <w:sz w:val="18"/>
          <w:szCs w:val="18"/>
          <w:color w:val="auto"/>
        </w:rPr>
        <w:t>The committee also reviews, approves, and administers the incentive compensation plans in which the AbbVie executive officers participate and all of AbbVie’s equity-based plans. It may delegate the responsibility to administer and make grants under these plans to management, except to the extent that such delegation would be inconsistent with applicable law or regulations or with the listing rules of the NYSE.</w:t>
      </w:r>
    </w:p>
    <w:p>
      <w:pPr>
        <w:spacing w:after="0" w:line="1" w:lineRule="exact"/>
        <w:rPr>
          <w:sz w:val="20"/>
          <w:szCs w:val="20"/>
          <w:color w:val="auto"/>
        </w:rPr>
      </w:pPr>
    </w:p>
    <w:p>
      <w:pPr>
        <w:ind w:right="460" w:firstLine="4"/>
        <w:spacing w:after="0" w:line="278" w:lineRule="auto"/>
        <w:rPr>
          <w:sz w:val="20"/>
          <w:szCs w:val="20"/>
          <w:color w:val="auto"/>
        </w:rPr>
      </w:pPr>
      <w:r>
        <w:rPr>
          <w:rFonts w:ascii="Arial" w:cs="Arial" w:eastAsia="Arial" w:hAnsi="Arial"/>
          <w:sz w:val="17"/>
          <w:szCs w:val="17"/>
          <w:color w:val="auto"/>
        </w:rPr>
        <w:t>The compensation committee has the sole authority, under its charter, to select, retain and/or terminate independent advisors who may assist the committee in carrying out its responsibilities.</w:t>
      </w:r>
    </w:p>
    <w:p>
      <w:pPr>
        <w:ind w:right="20" w:firstLine="4"/>
        <w:spacing w:after="0" w:line="251" w:lineRule="auto"/>
        <w:rPr>
          <w:sz w:val="20"/>
          <w:szCs w:val="20"/>
          <w:color w:val="auto"/>
        </w:rPr>
      </w:pPr>
      <w:r>
        <w:rPr>
          <w:rFonts w:ascii="Arial" w:cs="Arial" w:eastAsia="Arial" w:hAnsi="Arial"/>
          <w:sz w:val="18"/>
          <w:szCs w:val="18"/>
          <w:color w:val="auto"/>
        </w:rPr>
        <w:t>The compensation committee reviews and discusses with management and its independent compensation consultant potential risks associated with AbbVie’s compensation policies and practices as discussed in the ‘‘Compensation Risk Assessment’’ section of this proxy statement. Each member of the committee qualifies as a ‘‘non-employee director’’ for purposes of Rule 16b-3 under the Exchange Act.</w:t>
      </w:r>
    </w:p>
    <w:p>
      <w:pPr>
        <w:spacing w:after="0" w:line="200" w:lineRule="exact"/>
        <w:rPr>
          <w:sz w:val="20"/>
          <w:szCs w:val="20"/>
          <w:color w:val="auto"/>
        </w:rPr>
      </w:pPr>
    </w:p>
    <w:p>
      <w:pPr>
        <w:sectPr>
          <w:pgSz w:w="11880" w:h="15480" w:orient="portrait"/>
          <w:cols w:equalWidth="0" w:num="2">
            <w:col w:w="1240" w:space="720"/>
            <w:col w:w="8120"/>
          </w:cols>
          <w:pgMar w:left="900" w:top="702"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92">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type w:val="continuous"/>
        </w:sectPr>
      </w:pPr>
    </w:p>
    <w:bookmarkStart w:id="152" w:name="page153"/>
    <w:bookmarkEnd w:id="152"/>
    <w:p>
      <w:pPr>
        <w:spacing w:after="0"/>
        <w:rPr>
          <w:sz w:val="20"/>
          <w:szCs w:val="20"/>
          <w:color w:val="auto"/>
        </w:rPr>
      </w:pPr>
      <w:r>
        <w:rPr>
          <w:rFonts w:ascii="Arial" w:cs="Arial" w:eastAsia="Arial" w:hAnsi="Arial"/>
          <w:sz w:val="20"/>
          <w:szCs w:val="20"/>
          <w:color w:val="808080"/>
        </w:rPr>
        <w:t>THE BOARD OF DIRECTORS AND ITS COMMITTEES</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compensation committee has engaged Semler Brossy as its independent compensation consultant. The independent compensation consultant provides counsel and advice to the committee on executive and non-employee director compensation matters. Semler Brossy, and its principal, report directly to the chair of the committee. The principal meets regularly, and as needed, with the committee in executive sessions, and has direct access to the committee chair during and between meetings. In partnership with the consultant, the committee determines what variables it will consider, including: peer groups against which performance and pay should be examined, metrics to be used in incentive plans to assess AbbVie’s performance, competitive short-and long-term incentive practices in the marketplace, and compensation levels relative to market benchmarks. The committee negotiates and approves all fees paid to Semler Brossy for these services. AbbVie did not engage Semler Brossy to perform any other services during 2025.</w:t>
      </w:r>
    </w:p>
    <w:p>
      <w:pPr>
        <w:spacing w:after="0" w:line="82"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Based on an assessment of internally developed information and information provided by Semler Brossy, the committee has determined that its independent compensation consultant does not have a conflict of interest. A copy of the compensation committee report is included in the ‘‘Compensation Committee Report’’ section of this proxy statement.</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Nominations and Governance Committee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14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8"/>
                <w:szCs w:val="18"/>
                <w:b w:val="1"/>
                <w:bCs w:val="1"/>
                <w:color w:val="auto"/>
              </w:rPr>
              <w:t>Members</w:t>
            </w:r>
          </w:p>
        </w:tc>
        <w:tc>
          <w:tcPr>
            <w:tcW w:w="5180" w:type="dxa"/>
            <w:vAlign w:val="bottom"/>
          </w:tcPr>
          <w:p>
            <w:pPr>
              <w:ind w:left="240"/>
              <w:spacing w:after="0"/>
              <w:rPr>
                <w:sz w:val="20"/>
                <w:szCs w:val="20"/>
                <w:color w:val="auto"/>
              </w:rPr>
            </w:pPr>
            <w:r>
              <w:rPr>
                <w:rFonts w:ascii="Arial" w:cs="Arial" w:eastAsia="Arial" w:hAnsi="Arial"/>
                <w:sz w:val="18"/>
                <w:szCs w:val="18"/>
                <w:b w:val="1"/>
                <w:bCs w:val="1"/>
                <w:color w:val="auto"/>
              </w:rPr>
              <w:t>Key Characteristics and Responsibilities</w:t>
            </w:r>
          </w:p>
        </w:tc>
        <w:tc>
          <w:tcPr>
            <w:tcW w:w="3460" w:type="dxa"/>
            <w:vAlign w:val="bottom"/>
          </w:tcPr>
          <w:p>
            <w:pPr>
              <w:ind w:left="1480"/>
              <w:spacing w:after="0"/>
              <w:rPr>
                <w:sz w:val="20"/>
                <w:szCs w:val="20"/>
                <w:color w:val="auto"/>
              </w:rPr>
            </w:pPr>
            <w:r>
              <w:rPr>
                <w:rFonts w:ascii="Arial" w:cs="Arial" w:eastAsia="Arial" w:hAnsi="Arial"/>
                <w:sz w:val="18"/>
                <w:szCs w:val="18"/>
                <w:b w:val="1"/>
                <w:bCs w:val="1"/>
                <w:color w:val="auto"/>
              </w:rPr>
              <w:t>Meetings in 2025: 4</w:t>
            </w:r>
          </w:p>
        </w:tc>
        <w:tc>
          <w:tcPr>
            <w:tcW w:w="0" w:type="dxa"/>
            <w:vAlign w:val="bottom"/>
          </w:tcPr>
          <w:p>
            <w:pPr>
              <w:spacing w:after="0"/>
              <w:rPr>
                <w:sz w:val="1"/>
                <w:szCs w:val="1"/>
                <w:color w:val="auto"/>
              </w:rPr>
            </w:pPr>
          </w:p>
        </w:tc>
      </w:tr>
      <w:tr>
        <w:trPr>
          <w:trHeight w:val="188"/>
        </w:trPr>
        <w:tc>
          <w:tcPr>
            <w:tcW w:w="1440" w:type="dxa"/>
            <w:vAlign w:val="bottom"/>
            <w:tcBorders>
              <w:top w:val="single" w:sz="8" w:color="000039"/>
            </w:tcBorders>
          </w:tcPr>
          <w:p>
            <w:pPr>
              <w:spacing w:after="0"/>
              <w:rPr>
                <w:sz w:val="16"/>
                <w:szCs w:val="16"/>
                <w:color w:val="auto"/>
              </w:rPr>
            </w:pPr>
          </w:p>
        </w:tc>
        <w:tc>
          <w:tcPr>
            <w:tcW w:w="8640" w:type="dxa"/>
            <w:vAlign w:val="bottom"/>
            <w:tcBorders>
              <w:top w:val="single" w:sz="8" w:color="000039"/>
            </w:tcBorders>
            <w:gridSpan w:val="2"/>
          </w:tcPr>
          <w:p>
            <w:pPr>
              <w:ind w:left="240"/>
              <w:spacing w:after="0" w:line="188" w:lineRule="exact"/>
              <w:rPr>
                <w:sz w:val="20"/>
                <w:szCs w:val="20"/>
                <w:color w:val="auto"/>
              </w:rPr>
            </w:pPr>
            <w:r>
              <w:rPr>
                <w:rFonts w:ascii="Arial" w:cs="Arial" w:eastAsia="Arial" w:hAnsi="Arial"/>
                <w:sz w:val="18"/>
                <w:szCs w:val="18"/>
                <w:color w:val="auto"/>
              </w:rPr>
              <w:t>The nominations and governance committee is governed by a written charter. The charter sets forth</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b w:val="1"/>
                <w:bCs w:val="1"/>
                <w:color w:val="auto"/>
              </w:rPr>
              <w:t>T. Freyman</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the purposes of the nominations and governance committee, identifies qualifications required for the</w:t>
            </w:r>
          </w:p>
        </w:tc>
        <w:tc>
          <w:tcPr>
            <w:tcW w:w="0" w:type="dxa"/>
            <w:vAlign w:val="bottom"/>
          </w:tcPr>
          <w:p>
            <w:pPr>
              <w:spacing w:after="0"/>
              <w:rPr>
                <w:sz w:val="1"/>
                <w:szCs w:val="1"/>
                <w:color w:val="auto"/>
              </w:rPr>
            </w:pPr>
          </w:p>
        </w:tc>
      </w:tr>
      <w:tr>
        <w:trPr>
          <w:trHeight w:val="185"/>
        </w:trPr>
        <w:tc>
          <w:tcPr>
            <w:tcW w:w="1440" w:type="dxa"/>
            <w:vAlign w:val="bottom"/>
            <w:vMerge w:val="restart"/>
          </w:tcPr>
          <w:p>
            <w:pPr>
              <w:ind w:left="140"/>
              <w:spacing w:after="0"/>
              <w:rPr>
                <w:sz w:val="20"/>
                <w:szCs w:val="20"/>
                <w:color w:val="auto"/>
              </w:rPr>
            </w:pPr>
            <w:r>
              <w:rPr>
                <w:rFonts w:ascii="Arial" w:cs="Arial" w:eastAsia="Arial" w:hAnsi="Arial"/>
                <w:sz w:val="20"/>
                <w:szCs w:val="20"/>
                <w:b w:val="1"/>
                <w:bCs w:val="1"/>
                <w:color w:val="000039"/>
              </w:rPr>
              <w:t>(Chair)</w:t>
            </w:r>
          </w:p>
        </w:tc>
        <w:tc>
          <w:tcPr>
            <w:tcW w:w="8640" w:type="dxa"/>
            <w:vAlign w:val="bottom"/>
            <w:gridSpan w:val="2"/>
          </w:tcPr>
          <w:p>
            <w:pPr>
              <w:ind w:left="520"/>
              <w:spacing w:after="0" w:line="185" w:lineRule="exact"/>
              <w:rPr>
                <w:sz w:val="20"/>
                <w:szCs w:val="20"/>
                <w:color w:val="auto"/>
              </w:rPr>
            </w:pPr>
            <w:r>
              <w:rPr>
                <w:rFonts w:ascii="Arial" w:cs="Arial" w:eastAsia="Arial" w:hAnsi="Arial"/>
                <w:sz w:val="18"/>
                <w:szCs w:val="18"/>
                <w:color w:val="auto"/>
              </w:rPr>
              <w:t>nominations and governance committee members, and describes the committee’s authority and</w:t>
            </w: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5180" w:type="dxa"/>
            <w:vAlign w:val="bottom"/>
          </w:tcPr>
          <w:p>
            <w:pPr>
              <w:ind w:left="520"/>
              <w:spacing w:after="0"/>
              <w:rPr>
                <w:sz w:val="20"/>
                <w:szCs w:val="20"/>
                <w:color w:val="auto"/>
              </w:rPr>
            </w:pPr>
            <w:r>
              <w:rPr>
                <w:rFonts w:ascii="Arial" w:cs="Arial" w:eastAsia="Arial" w:hAnsi="Arial"/>
                <w:sz w:val="18"/>
                <w:szCs w:val="18"/>
                <w:color w:val="auto"/>
              </w:rPr>
              <w:t>responsibilities.</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440" w:type="dxa"/>
            <w:vAlign w:val="bottom"/>
          </w:tcPr>
          <w:p>
            <w:pPr>
              <w:spacing w:after="0"/>
              <w:rPr>
                <w:sz w:val="20"/>
                <w:szCs w:val="20"/>
                <w:color w:val="auto"/>
              </w:rPr>
            </w:pPr>
            <w:r>
              <w:rPr>
                <w:rFonts w:ascii="Arial" w:cs="Arial" w:eastAsia="Arial" w:hAnsi="Arial"/>
                <w:sz w:val="20"/>
                <w:szCs w:val="20"/>
                <w:b w:val="1"/>
                <w:bCs w:val="1"/>
                <w:color w:val="auto"/>
              </w:rPr>
              <w:t>R. Austin</w:t>
            </w:r>
          </w:p>
        </w:tc>
        <w:tc>
          <w:tcPr>
            <w:tcW w:w="8640" w:type="dxa"/>
            <w:vAlign w:val="bottom"/>
            <w:gridSpan w:val="2"/>
          </w:tcPr>
          <w:p>
            <w:pPr>
              <w:ind w:left="240"/>
              <w:spacing w:after="0"/>
              <w:rPr>
                <w:sz w:val="20"/>
                <w:szCs w:val="20"/>
                <w:color w:val="auto"/>
              </w:rPr>
            </w:pPr>
            <w:r>
              <w:rPr>
                <w:rFonts w:ascii="Arial" w:cs="Arial" w:eastAsia="Arial" w:hAnsi="Arial"/>
                <w:sz w:val="18"/>
                <w:szCs w:val="18"/>
                <w:color w:val="auto"/>
              </w:rPr>
              <w:t>This committee assists the Board of Directors in identifying individuals qualified to become Board</w:t>
            </w:r>
          </w:p>
        </w:tc>
        <w:tc>
          <w:tcPr>
            <w:tcW w:w="0" w:type="dxa"/>
            <w:vAlign w:val="bottom"/>
          </w:tcPr>
          <w:p>
            <w:pPr>
              <w:spacing w:after="0"/>
              <w:rPr>
                <w:sz w:val="1"/>
                <w:szCs w:val="1"/>
                <w:color w:val="auto"/>
              </w:rPr>
            </w:pPr>
          </w:p>
        </w:tc>
      </w:tr>
      <w:tr>
        <w:trPr>
          <w:trHeight w:val="184"/>
        </w:trPr>
        <w:tc>
          <w:tcPr>
            <w:tcW w:w="1440" w:type="dxa"/>
            <w:vAlign w:val="bottom"/>
            <w:vMerge w:val="restart"/>
          </w:tcPr>
          <w:p>
            <w:pPr>
              <w:spacing w:after="0"/>
              <w:rPr>
                <w:sz w:val="20"/>
                <w:szCs w:val="20"/>
                <w:color w:val="auto"/>
              </w:rPr>
            </w:pPr>
            <w:r>
              <w:rPr>
                <w:rFonts w:ascii="Arial" w:cs="Arial" w:eastAsia="Arial" w:hAnsi="Arial"/>
                <w:sz w:val="20"/>
                <w:szCs w:val="20"/>
                <w:b w:val="1"/>
                <w:bCs w:val="1"/>
                <w:color w:val="auto"/>
              </w:rPr>
              <w:t>J. Davis</w:t>
            </w:r>
          </w:p>
        </w:tc>
        <w:tc>
          <w:tcPr>
            <w:tcW w:w="8640" w:type="dxa"/>
            <w:vAlign w:val="bottom"/>
            <w:gridSpan w:val="2"/>
          </w:tcPr>
          <w:p>
            <w:pPr>
              <w:ind w:left="520"/>
              <w:spacing w:after="0" w:line="183" w:lineRule="exact"/>
              <w:rPr>
                <w:sz w:val="20"/>
                <w:szCs w:val="20"/>
                <w:color w:val="auto"/>
              </w:rPr>
            </w:pPr>
            <w:r>
              <w:rPr>
                <w:rFonts w:ascii="Arial" w:cs="Arial" w:eastAsia="Arial" w:hAnsi="Arial"/>
                <w:sz w:val="18"/>
                <w:szCs w:val="18"/>
                <w:color w:val="auto"/>
              </w:rPr>
              <w:t>members and recommends to the Board the nominees for election as directors at the next annual</w:t>
            </w:r>
          </w:p>
        </w:tc>
        <w:tc>
          <w:tcPr>
            <w:tcW w:w="0" w:type="dxa"/>
            <w:vAlign w:val="bottom"/>
          </w:tcPr>
          <w:p>
            <w:pPr>
              <w:spacing w:after="0"/>
              <w:rPr>
                <w:sz w:val="1"/>
                <w:szCs w:val="1"/>
                <w:color w:val="auto"/>
              </w:rPr>
            </w:pPr>
          </w:p>
        </w:tc>
      </w:tr>
      <w:tr>
        <w:trPr>
          <w:trHeight w:val="207"/>
        </w:trPr>
        <w:tc>
          <w:tcPr>
            <w:tcW w:w="1440" w:type="dxa"/>
            <w:vAlign w:val="bottom"/>
            <w:vMerge w:val="continue"/>
          </w:tcPr>
          <w:p>
            <w:pPr>
              <w:spacing w:after="0"/>
              <w:rPr>
                <w:sz w:val="18"/>
                <w:szCs w:val="18"/>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meeting of stockholders, recommends to the Board the persons to be elected as executive officers of</w:t>
            </w:r>
          </w:p>
        </w:tc>
        <w:tc>
          <w:tcPr>
            <w:tcW w:w="0" w:type="dxa"/>
            <w:vAlign w:val="bottom"/>
          </w:tcPr>
          <w:p>
            <w:pPr>
              <w:spacing w:after="0"/>
              <w:rPr>
                <w:sz w:val="1"/>
                <w:szCs w:val="1"/>
                <w:color w:val="auto"/>
              </w:rPr>
            </w:pPr>
          </w:p>
        </w:tc>
      </w:tr>
      <w:tr>
        <w:trPr>
          <w:trHeight w:val="207"/>
        </w:trPr>
        <w:tc>
          <w:tcPr>
            <w:tcW w:w="1440" w:type="dxa"/>
            <w:vAlign w:val="bottom"/>
            <w:vMerge w:val="restart"/>
          </w:tcPr>
          <w:p>
            <w:pPr>
              <w:spacing w:after="0"/>
              <w:rPr>
                <w:sz w:val="20"/>
                <w:szCs w:val="20"/>
                <w:color w:val="auto"/>
              </w:rPr>
            </w:pPr>
            <w:r>
              <w:rPr>
                <w:rFonts w:ascii="Arial" w:cs="Arial" w:eastAsia="Arial" w:hAnsi="Arial"/>
                <w:sz w:val="20"/>
                <w:szCs w:val="20"/>
                <w:b w:val="1"/>
                <w:bCs w:val="1"/>
                <w:color w:val="auto"/>
              </w:rPr>
              <w:t>B. Hart</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AbbVie, recommends to the Board the corporate governance guidelines applicable to AbbVie,</w:t>
            </w:r>
          </w:p>
        </w:tc>
        <w:tc>
          <w:tcPr>
            <w:tcW w:w="0" w:type="dxa"/>
            <w:vAlign w:val="bottom"/>
          </w:tcPr>
          <w:p>
            <w:pPr>
              <w:spacing w:after="0"/>
              <w:rPr>
                <w:sz w:val="1"/>
                <w:szCs w:val="1"/>
                <w:color w:val="auto"/>
              </w:rPr>
            </w:pPr>
          </w:p>
        </w:tc>
      </w:tr>
      <w:tr>
        <w:trPr>
          <w:trHeight w:val="206"/>
        </w:trPr>
        <w:tc>
          <w:tcPr>
            <w:tcW w:w="1440" w:type="dxa"/>
            <w:vAlign w:val="bottom"/>
            <w:vMerge w:val="continue"/>
          </w:tcPr>
          <w:p>
            <w:pPr>
              <w:spacing w:after="0"/>
              <w:rPr>
                <w:sz w:val="17"/>
                <w:szCs w:val="17"/>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oversees the evaluation of the Board and management, and serves in an advisory capacity to the</w:t>
            </w:r>
          </w:p>
        </w:tc>
        <w:tc>
          <w:tcPr>
            <w:tcW w:w="0" w:type="dxa"/>
            <w:vAlign w:val="bottom"/>
          </w:tcPr>
          <w:p>
            <w:pPr>
              <w:spacing w:after="0"/>
              <w:rPr>
                <w:sz w:val="1"/>
                <w:szCs w:val="1"/>
                <w:color w:val="auto"/>
              </w:rPr>
            </w:pPr>
          </w:p>
        </w:tc>
      </w:tr>
      <w:tr>
        <w:trPr>
          <w:trHeight w:val="209"/>
        </w:trPr>
        <w:tc>
          <w:tcPr>
            <w:tcW w:w="1440" w:type="dxa"/>
            <w:vAlign w:val="bottom"/>
            <w:vMerge w:val="restart"/>
          </w:tcPr>
          <w:p>
            <w:pPr>
              <w:spacing w:after="0"/>
              <w:rPr>
                <w:sz w:val="20"/>
                <w:szCs w:val="20"/>
                <w:color w:val="auto"/>
              </w:rPr>
            </w:pPr>
            <w:r>
              <w:rPr>
                <w:rFonts w:ascii="Arial" w:cs="Arial" w:eastAsia="Arial" w:hAnsi="Arial"/>
                <w:sz w:val="20"/>
                <w:szCs w:val="20"/>
                <w:b w:val="1"/>
                <w:bCs w:val="1"/>
                <w:color w:val="auto"/>
              </w:rPr>
              <w:t>E. Rapp</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Board and the Chairman of the Board on matters of organization, management succession plans,</w:t>
            </w:r>
          </w:p>
        </w:tc>
        <w:tc>
          <w:tcPr>
            <w:tcW w:w="0" w:type="dxa"/>
            <w:vAlign w:val="bottom"/>
          </w:tcPr>
          <w:p>
            <w:pPr>
              <w:spacing w:after="0"/>
              <w:rPr>
                <w:sz w:val="1"/>
                <w:szCs w:val="1"/>
                <w:color w:val="auto"/>
              </w:rPr>
            </w:pPr>
          </w:p>
        </w:tc>
      </w:tr>
      <w:tr>
        <w:trPr>
          <w:trHeight w:val="151"/>
        </w:trPr>
        <w:tc>
          <w:tcPr>
            <w:tcW w:w="1440" w:type="dxa"/>
            <w:vAlign w:val="bottom"/>
            <w:vMerge w:val="continue"/>
          </w:tcPr>
          <w:p>
            <w:pPr>
              <w:spacing w:after="0"/>
              <w:rPr>
                <w:sz w:val="13"/>
                <w:szCs w:val="13"/>
                <w:color w:val="auto"/>
              </w:rPr>
            </w:pPr>
          </w:p>
        </w:tc>
        <w:tc>
          <w:tcPr>
            <w:tcW w:w="8640" w:type="dxa"/>
            <w:vAlign w:val="bottom"/>
            <w:gridSpan w:val="2"/>
            <w:vMerge w:val="restart"/>
          </w:tcPr>
          <w:p>
            <w:pPr>
              <w:ind w:left="520"/>
              <w:spacing w:after="0"/>
              <w:rPr>
                <w:sz w:val="20"/>
                <w:szCs w:val="20"/>
                <w:color w:val="auto"/>
              </w:rPr>
            </w:pPr>
            <w:r>
              <w:rPr>
                <w:rFonts w:ascii="Arial" w:cs="Arial" w:eastAsia="Arial" w:hAnsi="Arial"/>
                <w:sz w:val="18"/>
                <w:szCs w:val="18"/>
                <w:color w:val="auto"/>
              </w:rPr>
              <w:t>major changes in the organizational structure of AbbVie, and the conduct of Board activities.</w:t>
            </w:r>
          </w:p>
        </w:tc>
        <w:tc>
          <w:tcPr>
            <w:tcW w:w="0" w:type="dxa"/>
            <w:vAlign w:val="bottom"/>
          </w:tcPr>
          <w:p>
            <w:pPr>
              <w:spacing w:after="0"/>
              <w:rPr>
                <w:sz w:val="1"/>
                <w:szCs w:val="1"/>
                <w:color w:val="auto"/>
              </w:rPr>
            </w:pPr>
          </w:p>
        </w:tc>
      </w:tr>
      <w:tr>
        <w:trPr>
          <w:trHeight w:val="93"/>
        </w:trPr>
        <w:tc>
          <w:tcPr>
            <w:tcW w:w="1440" w:type="dxa"/>
            <w:vAlign w:val="bottom"/>
            <w:vMerge w:val="restart"/>
          </w:tcPr>
          <w:p>
            <w:pPr>
              <w:spacing w:after="0"/>
              <w:rPr>
                <w:sz w:val="20"/>
                <w:szCs w:val="20"/>
                <w:color w:val="auto"/>
              </w:rPr>
            </w:pPr>
            <w:r>
              <w:rPr>
                <w:rFonts w:ascii="Arial" w:cs="Arial" w:eastAsia="Arial" w:hAnsi="Arial"/>
                <w:sz w:val="20"/>
                <w:szCs w:val="20"/>
                <w:b w:val="1"/>
                <w:bCs w:val="1"/>
                <w:color w:val="auto"/>
              </w:rPr>
              <w:t>R. Roberts</w:t>
            </w:r>
          </w:p>
        </w:tc>
        <w:tc>
          <w:tcPr>
            <w:tcW w:w="8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440" w:type="dxa"/>
            <w:vAlign w:val="bottom"/>
            <w:vMerge w:val="continue"/>
          </w:tcPr>
          <w:p>
            <w:pPr>
              <w:spacing w:after="0"/>
              <w:rPr>
                <w:sz w:val="18"/>
                <w:szCs w:val="18"/>
                <w:color w:val="auto"/>
              </w:rPr>
            </w:pPr>
          </w:p>
        </w:tc>
        <w:tc>
          <w:tcPr>
            <w:tcW w:w="8640" w:type="dxa"/>
            <w:vAlign w:val="bottom"/>
            <w:gridSpan w:val="2"/>
          </w:tcPr>
          <w:p>
            <w:pPr>
              <w:ind w:left="240"/>
              <w:spacing w:after="0"/>
              <w:rPr>
                <w:sz w:val="20"/>
                <w:szCs w:val="20"/>
                <w:color w:val="auto"/>
              </w:rPr>
            </w:pPr>
            <w:r>
              <w:rPr>
                <w:rFonts w:ascii="Arial" w:cs="Arial" w:eastAsia="Arial" w:hAnsi="Arial"/>
                <w:sz w:val="18"/>
                <w:szCs w:val="18"/>
                <w:color w:val="auto"/>
              </w:rPr>
              <w:t>The process used by this committee to identify a nominee to serve as a member of the Board of</w:t>
            </w: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1"/>
                <w:szCs w:val="21"/>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Directors depends on the qualities being sought, as described in the skills chart shown in this section.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-1771650</wp:posOffset>
                </wp:positionV>
                <wp:extent cx="914400" cy="2072005"/>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2072005"/>
                        </a:xfrm>
                        <a:prstGeom prst="rect">
                          <a:avLst/>
                        </a:prstGeom>
                        <a:solidFill>
                          <a:srgbClr val="F2F2F2"/>
                        </a:solidFill>
                      </wps:spPr>
                      <wps:bodyPr/>
                    </wps:wsp>
                  </a:graphicData>
                </a:graphic>
              </wp:anchor>
            </w:drawing>
          </mc:Choice>
          <mc:Fallback>
            <w:pict>
              <v:rect id="Shape 372" o:spid="_x0000_s1397" style="position:absolute;margin-left:0pt;margin-top:-139.4999pt;width:72pt;height:16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ind w:left="1960" w:right="360" w:firstLine="4"/>
        <w:spacing w:after="0" w:line="284" w:lineRule="auto"/>
        <w:rPr>
          <w:sz w:val="20"/>
          <w:szCs w:val="20"/>
          <w:color w:val="auto"/>
        </w:rPr>
      </w:pPr>
      <w:r>
        <w:rPr>
          <w:rFonts w:ascii="Arial" w:cs="Arial" w:eastAsia="Arial" w:hAnsi="Arial"/>
          <w:sz w:val="18"/>
          <w:szCs w:val="18"/>
          <w:color w:val="auto"/>
        </w:rPr>
        <w:t>From time to time, AbbVie engages an executive search firm to assist the committee in identifying individuals qualified to be Board members.</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Public Policy and Sustainability Committee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14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8"/>
                <w:szCs w:val="18"/>
                <w:b w:val="1"/>
                <w:bCs w:val="1"/>
                <w:color w:val="auto"/>
              </w:rPr>
              <w:t>Members</w:t>
            </w:r>
          </w:p>
        </w:tc>
        <w:tc>
          <w:tcPr>
            <w:tcW w:w="5180" w:type="dxa"/>
            <w:vAlign w:val="bottom"/>
          </w:tcPr>
          <w:p>
            <w:pPr>
              <w:ind w:left="240"/>
              <w:spacing w:after="0"/>
              <w:rPr>
                <w:sz w:val="20"/>
                <w:szCs w:val="20"/>
                <w:color w:val="auto"/>
              </w:rPr>
            </w:pPr>
            <w:r>
              <w:rPr>
                <w:rFonts w:ascii="Arial" w:cs="Arial" w:eastAsia="Arial" w:hAnsi="Arial"/>
                <w:sz w:val="18"/>
                <w:szCs w:val="18"/>
                <w:b w:val="1"/>
                <w:bCs w:val="1"/>
                <w:color w:val="auto"/>
              </w:rPr>
              <w:t>Key Characteristics and Responsibilities</w:t>
            </w:r>
          </w:p>
        </w:tc>
        <w:tc>
          <w:tcPr>
            <w:tcW w:w="3460" w:type="dxa"/>
            <w:vAlign w:val="bottom"/>
          </w:tcPr>
          <w:p>
            <w:pPr>
              <w:ind w:left="1480"/>
              <w:spacing w:after="0"/>
              <w:rPr>
                <w:sz w:val="20"/>
                <w:szCs w:val="20"/>
                <w:color w:val="auto"/>
              </w:rPr>
            </w:pPr>
            <w:r>
              <w:rPr>
                <w:rFonts w:ascii="Arial" w:cs="Arial" w:eastAsia="Arial" w:hAnsi="Arial"/>
                <w:sz w:val="18"/>
                <w:szCs w:val="18"/>
                <w:b w:val="1"/>
                <w:bCs w:val="1"/>
                <w:color w:val="auto"/>
              </w:rPr>
              <w:t>Meetings in 2025: 4</w:t>
            </w:r>
          </w:p>
        </w:tc>
        <w:tc>
          <w:tcPr>
            <w:tcW w:w="0" w:type="dxa"/>
            <w:vAlign w:val="bottom"/>
          </w:tcPr>
          <w:p>
            <w:pPr>
              <w:spacing w:after="0"/>
              <w:rPr>
                <w:sz w:val="1"/>
                <w:szCs w:val="1"/>
                <w:color w:val="auto"/>
              </w:rPr>
            </w:pPr>
          </w:p>
        </w:tc>
      </w:tr>
      <w:tr>
        <w:trPr>
          <w:trHeight w:val="188"/>
        </w:trPr>
        <w:tc>
          <w:tcPr>
            <w:tcW w:w="1440" w:type="dxa"/>
            <w:vAlign w:val="bottom"/>
            <w:tcBorders>
              <w:top w:val="single" w:sz="8" w:color="000039"/>
            </w:tcBorders>
            <w:shd w:val="clear" w:color="auto" w:fill="F2F2F2"/>
          </w:tcPr>
          <w:p>
            <w:pPr>
              <w:spacing w:after="0" w:line="188" w:lineRule="exact"/>
              <w:rPr>
                <w:sz w:val="20"/>
                <w:szCs w:val="20"/>
                <w:color w:val="auto"/>
              </w:rPr>
            </w:pPr>
            <w:r>
              <w:rPr>
                <w:rFonts w:ascii="Arial" w:cs="Arial" w:eastAsia="Arial" w:hAnsi="Arial"/>
                <w:sz w:val="20"/>
                <w:szCs w:val="20"/>
                <w:b w:val="1"/>
                <w:bCs w:val="1"/>
                <w:color w:val="auto"/>
              </w:rPr>
              <w:t>M. Meyer</w:t>
            </w:r>
          </w:p>
        </w:tc>
        <w:tc>
          <w:tcPr>
            <w:tcW w:w="8640" w:type="dxa"/>
            <w:vAlign w:val="bottom"/>
            <w:tcBorders>
              <w:top w:val="single" w:sz="8" w:color="000039"/>
            </w:tcBorders>
            <w:gridSpan w:val="2"/>
          </w:tcPr>
          <w:p>
            <w:pPr>
              <w:ind w:left="240"/>
              <w:spacing w:after="0" w:line="189" w:lineRule="exact"/>
              <w:rPr>
                <w:sz w:val="20"/>
                <w:szCs w:val="20"/>
                <w:color w:val="auto"/>
              </w:rPr>
            </w:pPr>
            <w:r>
              <w:rPr>
                <w:rFonts w:ascii="Arial" w:cs="Arial" w:eastAsia="Arial" w:hAnsi="Arial"/>
                <w:sz w:val="18"/>
                <w:szCs w:val="18"/>
                <w:color w:val="auto"/>
              </w:rPr>
              <w:t>The public policy and sustainability committee is governed by a written charter. The charter sets forth</w:t>
            </w:r>
          </w:p>
        </w:tc>
        <w:tc>
          <w:tcPr>
            <w:tcW w:w="0" w:type="dxa"/>
            <w:vAlign w:val="bottom"/>
          </w:tcPr>
          <w:p>
            <w:pPr>
              <w:spacing w:after="0"/>
              <w:rPr>
                <w:sz w:val="1"/>
                <w:szCs w:val="1"/>
                <w:color w:val="auto"/>
              </w:rPr>
            </w:pPr>
          </w:p>
        </w:tc>
      </w:tr>
      <w:tr>
        <w:trPr>
          <w:trHeight w:val="207"/>
        </w:trPr>
        <w:tc>
          <w:tcPr>
            <w:tcW w:w="1440" w:type="dxa"/>
            <w:vAlign w:val="bottom"/>
            <w:vMerge w:val="restart"/>
            <w:shd w:val="clear" w:color="auto" w:fill="F2F2F2"/>
          </w:tcPr>
          <w:p>
            <w:pPr>
              <w:ind w:left="140"/>
              <w:spacing w:after="0"/>
              <w:rPr>
                <w:sz w:val="20"/>
                <w:szCs w:val="20"/>
                <w:color w:val="auto"/>
              </w:rPr>
            </w:pPr>
            <w:r>
              <w:rPr>
                <w:rFonts w:ascii="Arial" w:cs="Arial" w:eastAsia="Arial" w:hAnsi="Arial"/>
                <w:sz w:val="20"/>
                <w:szCs w:val="20"/>
                <w:b w:val="1"/>
                <w:bCs w:val="1"/>
                <w:color w:val="000039"/>
              </w:rPr>
              <w:t>(Chair)</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the purposes of the public policy and sustainability committee, identifies qualifications required for the</w:t>
            </w:r>
          </w:p>
        </w:tc>
        <w:tc>
          <w:tcPr>
            <w:tcW w:w="0" w:type="dxa"/>
            <w:vAlign w:val="bottom"/>
          </w:tcPr>
          <w:p>
            <w:pPr>
              <w:spacing w:after="0"/>
              <w:rPr>
                <w:sz w:val="1"/>
                <w:szCs w:val="1"/>
                <w:color w:val="auto"/>
              </w:rPr>
            </w:pPr>
          </w:p>
        </w:tc>
      </w:tr>
      <w:tr>
        <w:trPr>
          <w:trHeight w:val="208"/>
        </w:trPr>
        <w:tc>
          <w:tcPr>
            <w:tcW w:w="1440" w:type="dxa"/>
            <w:vAlign w:val="bottom"/>
            <w:vMerge w:val="continue"/>
            <w:shd w:val="clear" w:color="auto" w:fill="F2F2F2"/>
          </w:tcPr>
          <w:p>
            <w:pPr>
              <w:spacing w:after="0"/>
              <w:rPr>
                <w:sz w:val="18"/>
                <w:szCs w:val="18"/>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public policy and sustainability committee members, and describes the committee’s authority and</w:t>
            </w:r>
          </w:p>
        </w:tc>
        <w:tc>
          <w:tcPr>
            <w:tcW w:w="0" w:type="dxa"/>
            <w:vAlign w:val="bottom"/>
          </w:tcPr>
          <w:p>
            <w:pPr>
              <w:spacing w:after="0"/>
              <w:rPr>
                <w:sz w:val="1"/>
                <w:szCs w:val="1"/>
                <w:color w:val="auto"/>
              </w:rPr>
            </w:pPr>
          </w:p>
        </w:tc>
      </w:tr>
      <w:tr>
        <w:trPr>
          <w:trHeight w:val="245"/>
        </w:trPr>
        <w:tc>
          <w:tcPr>
            <w:tcW w:w="1440" w:type="dxa"/>
            <w:vAlign w:val="bottom"/>
            <w:vMerge w:val="restart"/>
            <w:shd w:val="clear" w:color="auto" w:fill="F2F2F2"/>
          </w:tcPr>
          <w:p>
            <w:pPr>
              <w:spacing w:after="0"/>
              <w:rPr>
                <w:sz w:val="20"/>
                <w:szCs w:val="20"/>
                <w:color w:val="auto"/>
              </w:rPr>
            </w:pPr>
            <w:r>
              <w:rPr>
                <w:rFonts w:ascii="Arial" w:cs="Arial" w:eastAsia="Arial" w:hAnsi="Arial"/>
                <w:sz w:val="20"/>
                <w:szCs w:val="20"/>
                <w:b w:val="1"/>
                <w:bCs w:val="1"/>
                <w:color w:val="auto"/>
              </w:rPr>
              <w:t>R. Alpern</w:t>
            </w:r>
          </w:p>
        </w:tc>
        <w:tc>
          <w:tcPr>
            <w:tcW w:w="5180" w:type="dxa"/>
            <w:vAlign w:val="bottom"/>
          </w:tcPr>
          <w:p>
            <w:pPr>
              <w:ind w:left="520"/>
              <w:spacing w:after="0"/>
              <w:rPr>
                <w:sz w:val="20"/>
                <w:szCs w:val="20"/>
                <w:color w:val="auto"/>
              </w:rPr>
            </w:pPr>
            <w:r>
              <w:rPr>
                <w:rFonts w:ascii="Arial" w:cs="Arial" w:eastAsia="Arial" w:hAnsi="Arial"/>
                <w:sz w:val="18"/>
                <w:szCs w:val="18"/>
                <w:color w:val="auto"/>
              </w:rPr>
              <w:t>responsibilities.</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1440" w:type="dxa"/>
            <w:vAlign w:val="bottom"/>
            <w:vMerge w:val="continue"/>
            <w:shd w:val="clear" w:color="auto" w:fill="F2F2F2"/>
          </w:tcPr>
          <w:p>
            <w:pPr>
              <w:spacing w:after="0"/>
              <w:rPr>
                <w:sz w:val="9"/>
                <w:szCs w:val="9"/>
                <w:color w:val="auto"/>
              </w:rPr>
            </w:pPr>
          </w:p>
        </w:tc>
        <w:tc>
          <w:tcPr>
            <w:tcW w:w="8640" w:type="dxa"/>
            <w:vAlign w:val="bottom"/>
            <w:gridSpan w:val="2"/>
            <w:vMerge w:val="restart"/>
          </w:tcPr>
          <w:p>
            <w:pPr>
              <w:ind w:left="240"/>
              <w:spacing w:after="0"/>
              <w:rPr>
                <w:sz w:val="20"/>
                <w:szCs w:val="20"/>
                <w:color w:val="auto"/>
              </w:rPr>
            </w:pPr>
            <w:r>
              <w:rPr>
                <w:rFonts w:ascii="Arial" w:cs="Arial" w:eastAsia="Arial" w:hAnsi="Arial"/>
                <w:sz w:val="18"/>
                <w:szCs w:val="18"/>
                <w:color w:val="auto"/>
              </w:rPr>
              <w:t>This committee assists the Board of Directors in fulfilling its oversight responsibility with respect to</w:t>
            </w:r>
          </w:p>
        </w:tc>
        <w:tc>
          <w:tcPr>
            <w:tcW w:w="0" w:type="dxa"/>
            <w:vAlign w:val="bottom"/>
          </w:tcPr>
          <w:p>
            <w:pPr>
              <w:spacing w:after="0"/>
              <w:rPr>
                <w:sz w:val="1"/>
                <w:szCs w:val="1"/>
                <w:color w:val="auto"/>
              </w:rPr>
            </w:pPr>
          </w:p>
        </w:tc>
      </w:tr>
      <w:tr>
        <w:trPr>
          <w:trHeight w:val="93"/>
        </w:trPr>
        <w:tc>
          <w:tcPr>
            <w:tcW w:w="1440" w:type="dxa"/>
            <w:vAlign w:val="bottom"/>
            <w:vMerge w:val="restart"/>
            <w:shd w:val="clear" w:color="auto" w:fill="F2F2F2"/>
          </w:tcPr>
          <w:p>
            <w:pPr>
              <w:spacing w:after="0"/>
              <w:rPr>
                <w:sz w:val="20"/>
                <w:szCs w:val="20"/>
                <w:color w:val="auto"/>
              </w:rPr>
            </w:pPr>
            <w:r>
              <w:rPr>
                <w:rFonts w:ascii="Arial" w:cs="Arial" w:eastAsia="Arial" w:hAnsi="Arial"/>
                <w:sz w:val="20"/>
                <w:szCs w:val="20"/>
                <w:b w:val="1"/>
                <w:bCs w:val="1"/>
                <w:color w:val="auto"/>
              </w:rPr>
              <w:t>R. Austin</w:t>
            </w:r>
          </w:p>
        </w:tc>
        <w:tc>
          <w:tcPr>
            <w:tcW w:w="8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440" w:type="dxa"/>
            <w:vAlign w:val="bottom"/>
            <w:vMerge w:val="continue"/>
            <w:shd w:val="clear" w:color="auto" w:fill="F2F2F2"/>
          </w:tcPr>
          <w:p>
            <w:pPr>
              <w:spacing w:after="0"/>
              <w:rPr>
                <w:sz w:val="18"/>
                <w:szCs w:val="18"/>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AbbVie’s public policy, certain areas of legal and regulatory compliance, governmental affairs, health</w:t>
            </w:r>
          </w:p>
        </w:tc>
        <w:tc>
          <w:tcPr>
            <w:tcW w:w="0" w:type="dxa"/>
            <w:vAlign w:val="bottom"/>
          </w:tcPr>
          <w:p>
            <w:pPr>
              <w:spacing w:after="0"/>
              <w:rPr>
                <w:sz w:val="1"/>
                <w:szCs w:val="1"/>
                <w:color w:val="auto"/>
              </w:rPr>
            </w:pPr>
          </w:p>
        </w:tc>
      </w:tr>
      <w:tr>
        <w:trPr>
          <w:trHeight w:val="208"/>
        </w:trPr>
        <w:tc>
          <w:tcPr>
            <w:tcW w:w="1440" w:type="dxa"/>
            <w:vAlign w:val="bottom"/>
            <w:vMerge w:val="restart"/>
            <w:shd w:val="clear" w:color="auto" w:fill="F2F2F2"/>
          </w:tcPr>
          <w:p>
            <w:pPr>
              <w:spacing w:after="0"/>
              <w:rPr>
                <w:sz w:val="20"/>
                <w:szCs w:val="20"/>
                <w:color w:val="auto"/>
              </w:rPr>
            </w:pPr>
            <w:r>
              <w:rPr>
                <w:rFonts w:ascii="Arial" w:cs="Arial" w:eastAsia="Arial" w:hAnsi="Arial"/>
                <w:sz w:val="20"/>
                <w:szCs w:val="20"/>
                <w:b w:val="1"/>
                <w:bCs w:val="1"/>
                <w:color w:val="auto"/>
              </w:rPr>
              <w:t>W. Burnside</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care compliance, social responsibility, and sustainability and environmental matters that affect or</w:t>
            </w:r>
          </w:p>
        </w:tc>
        <w:tc>
          <w:tcPr>
            <w:tcW w:w="0" w:type="dxa"/>
            <w:vAlign w:val="bottom"/>
          </w:tcPr>
          <w:p>
            <w:pPr>
              <w:spacing w:after="0"/>
              <w:rPr>
                <w:sz w:val="1"/>
                <w:szCs w:val="1"/>
                <w:color w:val="auto"/>
              </w:rPr>
            </w:pPr>
          </w:p>
        </w:tc>
      </w:tr>
      <w:tr>
        <w:trPr>
          <w:trHeight w:val="245"/>
        </w:trPr>
        <w:tc>
          <w:tcPr>
            <w:tcW w:w="1440" w:type="dxa"/>
            <w:vAlign w:val="bottom"/>
            <w:vMerge w:val="continue"/>
            <w:shd w:val="clear" w:color="auto" w:fill="F2F2F2"/>
          </w:tcPr>
          <w:p>
            <w:pPr>
              <w:spacing w:after="0"/>
              <w:rPr>
                <w:sz w:val="21"/>
                <w:szCs w:val="21"/>
                <w:color w:val="auto"/>
              </w:rPr>
            </w:pPr>
          </w:p>
        </w:tc>
        <w:tc>
          <w:tcPr>
            <w:tcW w:w="5180" w:type="dxa"/>
            <w:vAlign w:val="bottom"/>
          </w:tcPr>
          <w:p>
            <w:pPr>
              <w:ind w:left="520"/>
              <w:spacing w:after="0"/>
              <w:rPr>
                <w:sz w:val="20"/>
                <w:szCs w:val="20"/>
                <w:color w:val="auto"/>
              </w:rPr>
            </w:pPr>
            <w:r>
              <w:rPr>
                <w:rFonts w:ascii="Arial" w:cs="Arial" w:eastAsia="Arial" w:hAnsi="Arial"/>
                <w:sz w:val="18"/>
                <w:szCs w:val="18"/>
                <w:color w:val="auto"/>
              </w:rPr>
              <w:t>could affect AbbVie.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40" w:type="dxa"/>
            <w:vAlign w:val="bottom"/>
            <w:shd w:val="clear" w:color="auto" w:fill="F2F2F2"/>
          </w:tcPr>
          <w:p>
            <w:pPr>
              <w:spacing w:after="0" w:line="223" w:lineRule="exact"/>
              <w:rPr>
                <w:sz w:val="20"/>
                <w:szCs w:val="20"/>
                <w:color w:val="auto"/>
              </w:rPr>
            </w:pPr>
            <w:r>
              <w:rPr>
                <w:rFonts w:ascii="Arial" w:cs="Arial" w:eastAsia="Arial" w:hAnsi="Arial"/>
                <w:sz w:val="20"/>
                <w:szCs w:val="20"/>
                <w:b w:val="1"/>
                <w:bCs w:val="1"/>
                <w:color w:val="auto"/>
              </w:rPr>
              <w:t>S. Quaggin</w:t>
            </w:r>
          </w:p>
        </w:tc>
        <w:tc>
          <w:tcPr>
            <w:tcW w:w="8640" w:type="dxa"/>
            <w:vAlign w:val="bottom"/>
            <w:gridSpan w:val="2"/>
          </w:tcPr>
          <w:p>
            <w:pPr>
              <w:ind w:left="240"/>
              <w:spacing w:after="0"/>
              <w:rPr>
                <w:sz w:val="20"/>
                <w:szCs w:val="20"/>
                <w:color w:val="auto"/>
              </w:rPr>
            </w:pPr>
            <w:r>
              <w:rPr>
                <w:rFonts w:ascii="Arial" w:cs="Arial" w:eastAsia="Arial" w:hAnsi="Arial"/>
                <w:sz w:val="18"/>
                <w:szCs w:val="18"/>
                <w:color w:val="auto"/>
              </w:rPr>
              <w:t>Other topics within the committee’s purview include but are not limited to ethics and compliance</w:t>
            </w:r>
          </w:p>
        </w:tc>
        <w:tc>
          <w:tcPr>
            <w:tcW w:w="0" w:type="dxa"/>
            <w:vAlign w:val="bottom"/>
          </w:tcPr>
          <w:p>
            <w:pPr>
              <w:spacing w:after="0"/>
              <w:rPr>
                <w:sz w:val="1"/>
                <w:szCs w:val="1"/>
                <w:color w:val="auto"/>
              </w:rPr>
            </w:pPr>
          </w:p>
        </w:tc>
      </w:tr>
      <w:tr>
        <w:trPr>
          <w:trHeight w:val="193"/>
        </w:trPr>
        <w:tc>
          <w:tcPr>
            <w:tcW w:w="1440" w:type="dxa"/>
            <w:vAlign w:val="bottom"/>
            <w:vMerge w:val="restart"/>
            <w:shd w:val="clear" w:color="auto" w:fill="F2F2F2"/>
          </w:tcPr>
          <w:p>
            <w:pPr>
              <w:spacing w:after="0"/>
              <w:rPr>
                <w:sz w:val="20"/>
                <w:szCs w:val="20"/>
                <w:color w:val="auto"/>
              </w:rPr>
            </w:pPr>
            <w:r>
              <w:rPr>
                <w:rFonts w:ascii="Arial" w:cs="Arial" w:eastAsia="Arial" w:hAnsi="Arial"/>
                <w:sz w:val="20"/>
                <w:szCs w:val="20"/>
                <w:b w:val="1"/>
                <w:bCs w:val="1"/>
                <w:color w:val="auto"/>
              </w:rPr>
              <w:t>R. Roberts</w:t>
            </w:r>
          </w:p>
        </w:tc>
        <w:tc>
          <w:tcPr>
            <w:tcW w:w="8640" w:type="dxa"/>
            <w:vAlign w:val="bottom"/>
            <w:gridSpan w:val="2"/>
          </w:tcPr>
          <w:p>
            <w:pPr>
              <w:ind w:left="520"/>
              <w:spacing w:after="0" w:line="194" w:lineRule="exact"/>
              <w:rPr>
                <w:sz w:val="20"/>
                <w:szCs w:val="20"/>
                <w:color w:val="auto"/>
              </w:rPr>
            </w:pPr>
            <w:r>
              <w:rPr>
                <w:rFonts w:ascii="Arial" w:cs="Arial" w:eastAsia="Arial" w:hAnsi="Arial"/>
                <w:sz w:val="18"/>
                <w:szCs w:val="18"/>
                <w:color w:val="auto"/>
              </w:rPr>
              <w:t>matters, government and regulatory trends relevant to AbbVie’s business, political contributions, and</w:t>
            </w:r>
          </w:p>
        </w:tc>
        <w:tc>
          <w:tcPr>
            <w:tcW w:w="0" w:type="dxa"/>
            <w:vAlign w:val="bottom"/>
          </w:tcPr>
          <w:p>
            <w:pPr>
              <w:spacing w:after="0"/>
              <w:rPr>
                <w:sz w:val="1"/>
                <w:szCs w:val="1"/>
                <w:color w:val="auto"/>
              </w:rPr>
            </w:pPr>
          </w:p>
        </w:tc>
      </w:tr>
      <w:tr>
        <w:trPr>
          <w:trHeight w:val="245"/>
        </w:trPr>
        <w:tc>
          <w:tcPr>
            <w:tcW w:w="1440" w:type="dxa"/>
            <w:vAlign w:val="bottom"/>
            <w:vMerge w:val="continue"/>
            <w:shd w:val="clear" w:color="auto" w:fill="F2F2F2"/>
          </w:tcPr>
          <w:p>
            <w:pPr>
              <w:spacing w:after="0"/>
              <w:rPr>
                <w:sz w:val="21"/>
                <w:szCs w:val="21"/>
                <w:color w:val="auto"/>
              </w:rPr>
            </w:pPr>
          </w:p>
        </w:tc>
        <w:tc>
          <w:tcPr>
            <w:tcW w:w="5180" w:type="dxa"/>
            <w:vAlign w:val="bottom"/>
          </w:tcPr>
          <w:p>
            <w:pPr>
              <w:ind w:left="520"/>
              <w:spacing w:after="0"/>
              <w:rPr>
                <w:sz w:val="20"/>
                <w:szCs w:val="20"/>
                <w:color w:val="auto"/>
              </w:rPr>
            </w:pPr>
            <w:r>
              <w:rPr>
                <w:rFonts w:ascii="Arial" w:cs="Arial" w:eastAsia="Arial" w:hAnsi="Arial"/>
                <w:sz w:val="18"/>
                <w:szCs w:val="18"/>
                <w:color w:val="auto"/>
              </w:rPr>
              <w:t>corporate philanthropy.</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1440" w:type="dxa"/>
            <w:vAlign w:val="bottom"/>
            <w:shd w:val="clear" w:color="auto" w:fill="F2F2F2"/>
          </w:tcPr>
          <w:p>
            <w:pPr>
              <w:spacing w:after="0"/>
              <w:rPr>
                <w:sz w:val="6"/>
                <w:szCs w:val="6"/>
                <w:color w:val="auto"/>
              </w:rPr>
            </w:pPr>
          </w:p>
        </w:tc>
        <w:tc>
          <w:tcPr>
            <w:tcW w:w="5180" w:type="dxa"/>
            <w:vAlign w:val="bottom"/>
          </w:tcPr>
          <w:p>
            <w:pPr>
              <w:spacing w:after="0"/>
              <w:rPr>
                <w:sz w:val="6"/>
                <w:szCs w:val="6"/>
                <w:color w:val="auto"/>
              </w:rPr>
            </w:pP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Executive Committee</w:t>
      </w:r>
    </w:p>
    <w:p>
      <w:pPr>
        <w:spacing w:after="0" w:line="123"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The executive committee members are Mr. Michael, chair, Ms. Austin, Mr. Freyman, Mr. Hart, Ms. Meyer, and Mr. Waddell. This committee may exercise all of the authority of the Board in the management of AbbVie, except for matters expressly reserved by law for Board action.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24  </w:t>
      </w:r>
      <w:r>
        <w:rPr>
          <w:sz w:val="1"/>
          <w:szCs w:val="1"/>
          <w:color w:val="auto"/>
        </w:rPr>
        <w:drawing>
          <wp:inline distT="0" distB="0" distL="0" distR="0">
            <wp:extent cx="991870" cy="20066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93">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53" w:name="page154"/>
    <w:bookmarkEnd w:id="153"/>
    <w:p>
      <w:pPr>
        <w:spacing w:after="0"/>
        <w:rPr>
          <w:sz w:val="20"/>
          <w:szCs w:val="20"/>
          <w:color w:val="auto"/>
        </w:rPr>
      </w:pPr>
      <w:r>
        <w:rPr>
          <w:rFonts w:ascii="Arial" w:cs="Arial" w:eastAsia="Arial" w:hAnsi="Arial"/>
          <w:sz w:val="39"/>
          <w:szCs w:val="39"/>
          <w:u w:val="single" w:color="auto"/>
          <w:color w:val="000039"/>
        </w:rPr>
        <w:t>COMMUNICATING WITH THE BOARD OF DIRECTORS</w:t>
      </w:r>
    </w:p>
    <w:p>
      <w:pPr>
        <w:spacing w:after="0" w:line="32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Stockholders and other interested parties may communicate with the Board of Directors by writing a letter to the Chairman of the Board, to the Lead Independent Director, or to the independent directors c/o AbbVie Inc., 1 North Waukegan Road, AP34, North Chicago, Illinois 60064, Attention: corporate secretary. The corporate secretary regularly forwards to the addressee all letters other than mass mailings, advertisements, and other materials not relevant to AbbVie’s business. In addition, directors regularly receive a log of all correspondence received by the company that is addressed to a member of the Board and may request any correspondence on that 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94">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861" w:right="900" w:bottom="0" w:gutter="0" w:footer="0" w:header="0"/>
        </w:sectPr>
      </w:pPr>
    </w:p>
    <w:bookmarkStart w:id="154" w:name="page155"/>
    <w:bookmarkEnd w:id="154"/>
    <w:p>
      <w:pPr>
        <w:spacing w:after="0"/>
        <w:rPr>
          <w:sz w:val="20"/>
          <w:szCs w:val="20"/>
          <w:color w:val="auto"/>
        </w:rPr>
      </w:pPr>
      <w:r>
        <w:rPr>
          <w:rFonts w:ascii="Arial" w:cs="Arial" w:eastAsia="Arial" w:hAnsi="Arial"/>
          <w:sz w:val="39"/>
          <w:szCs w:val="39"/>
          <w:color w:val="000039"/>
        </w:rPr>
        <w:t>DIRECTOR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53340</wp:posOffset>
                </wp:positionV>
                <wp:extent cx="6438900"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4.2pt" to="505.5pt,4.2pt" o:allowincell="f" strokecolor="#000039" strokeweight="1.5pt"/>
            </w:pict>
          </mc:Fallback>
        </mc:AlternateContent>
      </w:r>
    </w:p>
    <w:p>
      <w:pPr>
        <w:sectPr>
          <w:pgSz w:w="11880" w:h="15480" w:orient="portrait"/>
          <w:cols w:equalWidth="0" w:num="1">
            <w:col w:w="10080"/>
          </w:cols>
          <w:pgMar w:left="900" w:top="861" w:right="900" w:bottom="0" w:gutter="0" w:footer="0" w:header="0"/>
        </w:sectPr>
      </w:pPr>
    </w:p>
    <w:p>
      <w:pPr>
        <w:spacing w:after="0" w:line="321" w:lineRule="exact"/>
        <w:rPr>
          <w:sz w:val="20"/>
          <w:szCs w:val="20"/>
          <w:color w:val="auto"/>
        </w:rPr>
      </w:pPr>
    </w:p>
    <w:p>
      <w:pPr>
        <w:jc w:val="both"/>
        <w:ind w:right="100"/>
        <w:spacing w:after="0" w:line="248" w:lineRule="auto"/>
        <w:rPr>
          <w:sz w:val="20"/>
          <w:szCs w:val="20"/>
          <w:color w:val="auto"/>
        </w:rPr>
      </w:pPr>
      <w:r>
        <w:rPr>
          <w:rFonts w:ascii="Arial" w:cs="Arial" w:eastAsia="Arial" w:hAnsi="Arial"/>
          <w:sz w:val="20"/>
          <w:szCs w:val="20"/>
          <w:color w:val="auto"/>
        </w:rPr>
        <w:t>AbbVie employees are not compensated for serving on the Board or Board committees. AbbVie’s non-employee directors are compensated for their service under the AbbVie Non-Employee Directors’ Fee Plan and the AbbVie Amended and Restated 2013 Incentive Stock Program. As described in “Committees of the Board of Directors— Compensation Committee,” director compensation is reviewed annually by the compensation committee with the independent compensation consultant, including a review of director compensation against AbbVie’s Health Care Peer Group, and a recommendation is then provided to the full Board.</w:t>
      </w:r>
    </w:p>
    <w:p>
      <w:pPr>
        <w:spacing w:after="0" w:line="114"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The following table sets forth the non-employee directors’ 2025 compensation, and Mr. Gonzalez’s 2025 employee compensation as Executive Chairman of the Board until his retirement on July 1, 2025. The process for setting Mr. Gonzalez’s Executive Chairman pay package is detailed in our 2025 proxy statement.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jc w:val="right"/>
              <w:ind w:right="87"/>
              <w:spacing w:after="0"/>
              <w:rPr>
                <w:sz w:val="20"/>
                <w:szCs w:val="20"/>
                <w:color w:val="auto"/>
              </w:rPr>
            </w:pPr>
            <w:r>
              <w:rPr>
                <w:rFonts w:ascii="Arial" w:cs="Arial" w:eastAsia="Arial" w:hAnsi="Arial"/>
                <w:sz w:val="16"/>
                <w:szCs w:val="16"/>
                <w:b w:val="1"/>
                <w:bCs w:val="1"/>
                <w:color w:val="000039"/>
              </w:rPr>
              <w:t>Change in</w:t>
            </w: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jc w:val="right"/>
              <w:ind w:right="87"/>
              <w:spacing w:after="0"/>
              <w:rPr>
                <w:sz w:val="20"/>
                <w:szCs w:val="20"/>
                <w:color w:val="auto"/>
              </w:rPr>
            </w:pPr>
            <w:r>
              <w:rPr>
                <w:rFonts w:ascii="Arial" w:cs="Arial" w:eastAsia="Arial" w:hAnsi="Arial"/>
                <w:sz w:val="16"/>
                <w:szCs w:val="16"/>
                <w:b w:val="1"/>
                <w:bCs w:val="1"/>
                <w:color w:val="000039"/>
              </w:rPr>
              <w:t>Pension Value</w:t>
            </w: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jc w:val="right"/>
              <w:ind w:right="87"/>
              <w:spacing w:after="0"/>
              <w:rPr>
                <w:sz w:val="20"/>
                <w:szCs w:val="20"/>
                <w:color w:val="auto"/>
              </w:rPr>
            </w:pPr>
            <w:r>
              <w:rPr>
                <w:rFonts w:ascii="Arial" w:cs="Arial" w:eastAsia="Arial" w:hAnsi="Arial"/>
                <w:sz w:val="16"/>
                <w:szCs w:val="16"/>
                <w:b w:val="1"/>
                <w:bCs w:val="1"/>
                <w:color w:val="000039"/>
              </w:rPr>
              <w:t>and</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jc w:val="right"/>
              <w:ind w:right="87"/>
              <w:spacing w:after="0"/>
              <w:rPr>
                <w:sz w:val="20"/>
                <w:szCs w:val="20"/>
                <w:color w:val="auto"/>
              </w:rPr>
            </w:pPr>
            <w:r>
              <w:rPr>
                <w:rFonts w:ascii="Arial" w:cs="Arial" w:eastAsia="Arial" w:hAnsi="Arial"/>
                <w:sz w:val="16"/>
                <w:szCs w:val="16"/>
                <w:b w:val="1"/>
                <w:bCs w:val="1"/>
                <w:color w:val="000039"/>
              </w:rPr>
              <w:t>Nonqualified</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5"/>
        </w:trPr>
        <w:tc>
          <w:tcPr>
            <w:tcW w:w="1540" w:type="dxa"/>
            <w:vAlign w:val="bottom"/>
          </w:tcPr>
          <w:p>
            <w:pPr>
              <w:spacing w:after="0"/>
              <w:rPr>
                <w:sz w:val="16"/>
                <w:szCs w:val="16"/>
                <w:color w:val="auto"/>
              </w:rPr>
            </w:pPr>
          </w:p>
        </w:tc>
        <w:tc>
          <w:tcPr>
            <w:tcW w:w="1660" w:type="dxa"/>
            <w:vAlign w:val="bottom"/>
          </w:tcPr>
          <w:p>
            <w:pPr>
              <w:jc w:val="right"/>
              <w:ind w:right="164"/>
              <w:spacing w:after="0"/>
              <w:rPr>
                <w:sz w:val="20"/>
                <w:szCs w:val="20"/>
                <w:color w:val="auto"/>
              </w:rPr>
            </w:pPr>
            <w:r>
              <w:rPr>
                <w:rFonts w:ascii="Arial" w:cs="Arial" w:eastAsia="Arial" w:hAnsi="Arial"/>
                <w:sz w:val="16"/>
                <w:szCs w:val="16"/>
                <w:b w:val="1"/>
                <w:bCs w:val="1"/>
                <w:color w:val="000039"/>
              </w:rPr>
              <w:t>Fees</w:t>
            </w:r>
          </w:p>
        </w:tc>
        <w:tc>
          <w:tcPr>
            <w:tcW w:w="1460" w:type="dxa"/>
            <w:vAlign w:val="bottom"/>
          </w:tcPr>
          <w:p>
            <w:pPr>
              <w:jc w:val="right"/>
              <w:ind w:right="144"/>
              <w:spacing w:after="0"/>
              <w:rPr>
                <w:sz w:val="20"/>
                <w:szCs w:val="20"/>
                <w:color w:val="auto"/>
              </w:rPr>
            </w:pPr>
            <w:r>
              <w:rPr>
                <w:rFonts w:ascii="Arial" w:cs="Arial" w:eastAsia="Arial" w:hAnsi="Arial"/>
                <w:sz w:val="16"/>
                <w:szCs w:val="16"/>
                <w:b w:val="1"/>
                <w:bCs w:val="1"/>
                <w:color w:val="000039"/>
              </w:rPr>
              <w:t>Restricted</w:t>
            </w:r>
          </w:p>
        </w:tc>
        <w:tc>
          <w:tcPr>
            <w:tcW w:w="1280" w:type="dxa"/>
            <w:vAlign w:val="bottom"/>
          </w:tcPr>
          <w:p>
            <w:pPr>
              <w:spacing w:after="0"/>
              <w:rPr>
                <w:sz w:val="16"/>
                <w:szCs w:val="16"/>
                <w:color w:val="auto"/>
              </w:rPr>
            </w:pPr>
          </w:p>
        </w:tc>
        <w:tc>
          <w:tcPr>
            <w:tcW w:w="1420" w:type="dxa"/>
            <w:vAlign w:val="bottom"/>
          </w:tcPr>
          <w:p>
            <w:pPr>
              <w:jc w:val="right"/>
              <w:ind w:right="87"/>
              <w:spacing w:after="0"/>
              <w:rPr>
                <w:sz w:val="20"/>
                <w:szCs w:val="20"/>
                <w:color w:val="auto"/>
              </w:rPr>
            </w:pPr>
            <w:r>
              <w:rPr>
                <w:rFonts w:ascii="Arial" w:cs="Arial" w:eastAsia="Arial" w:hAnsi="Arial"/>
                <w:sz w:val="16"/>
                <w:szCs w:val="16"/>
                <w:b w:val="1"/>
                <w:bCs w:val="1"/>
                <w:color w:val="000039"/>
              </w:rPr>
              <w:t>Deferred</w:t>
            </w: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1540" w:type="dxa"/>
            <w:vAlign w:val="bottom"/>
          </w:tcPr>
          <w:p>
            <w:pPr>
              <w:spacing w:after="0"/>
              <w:rPr>
                <w:sz w:val="15"/>
                <w:szCs w:val="15"/>
                <w:color w:val="auto"/>
              </w:rPr>
            </w:pPr>
          </w:p>
        </w:tc>
        <w:tc>
          <w:tcPr>
            <w:tcW w:w="1660" w:type="dxa"/>
            <w:vAlign w:val="bottom"/>
          </w:tcPr>
          <w:p>
            <w:pPr>
              <w:jc w:val="right"/>
              <w:ind w:right="164"/>
              <w:spacing w:after="0"/>
              <w:rPr>
                <w:sz w:val="20"/>
                <w:szCs w:val="20"/>
                <w:color w:val="auto"/>
              </w:rPr>
            </w:pPr>
            <w:r>
              <w:rPr>
                <w:rFonts w:ascii="Arial" w:cs="Arial" w:eastAsia="Arial" w:hAnsi="Arial"/>
                <w:sz w:val="16"/>
                <w:szCs w:val="16"/>
                <w:b w:val="1"/>
                <w:bCs w:val="1"/>
                <w:color w:val="000039"/>
              </w:rPr>
              <w:t>Earned or</w:t>
            </w:r>
          </w:p>
        </w:tc>
        <w:tc>
          <w:tcPr>
            <w:tcW w:w="1460" w:type="dxa"/>
            <w:vAlign w:val="bottom"/>
          </w:tcPr>
          <w:p>
            <w:pPr>
              <w:jc w:val="right"/>
              <w:ind w:right="144"/>
              <w:spacing w:after="0"/>
              <w:rPr>
                <w:sz w:val="20"/>
                <w:szCs w:val="20"/>
                <w:color w:val="auto"/>
              </w:rPr>
            </w:pPr>
            <w:r>
              <w:rPr>
                <w:rFonts w:ascii="Arial" w:cs="Arial" w:eastAsia="Arial" w:hAnsi="Arial"/>
                <w:sz w:val="16"/>
                <w:szCs w:val="16"/>
                <w:b w:val="1"/>
                <w:bCs w:val="1"/>
                <w:color w:val="000039"/>
              </w:rPr>
              <w:t>Stock Unit</w:t>
            </w:r>
          </w:p>
        </w:tc>
        <w:tc>
          <w:tcPr>
            <w:tcW w:w="1280" w:type="dxa"/>
            <w:vAlign w:val="bottom"/>
          </w:tcPr>
          <w:p>
            <w:pPr>
              <w:jc w:val="right"/>
              <w:ind w:right="63"/>
              <w:spacing w:after="0"/>
              <w:rPr>
                <w:sz w:val="20"/>
                <w:szCs w:val="20"/>
                <w:color w:val="auto"/>
              </w:rPr>
            </w:pPr>
            <w:r>
              <w:rPr>
                <w:rFonts w:ascii="Arial" w:cs="Arial" w:eastAsia="Arial" w:hAnsi="Arial"/>
                <w:sz w:val="16"/>
                <w:szCs w:val="16"/>
                <w:b w:val="1"/>
                <w:bCs w:val="1"/>
                <w:color w:val="000039"/>
              </w:rPr>
              <w:t>Option</w:t>
            </w:r>
          </w:p>
        </w:tc>
        <w:tc>
          <w:tcPr>
            <w:tcW w:w="1420" w:type="dxa"/>
            <w:vAlign w:val="bottom"/>
          </w:tcPr>
          <w:p>
            <w:pPr>
              <w:jc w:val="right"/>
              <w:ind w:right="87"/>
              <w:spacing w:after="0"/>
              <w:rPr>
                <w:sz w:val="20"/>
                <w:szCs w:val="20"/>
                <w:color w:val="auto"/>
              </w:rPr>
            </w:pPr>
            <w:r>
              <w:rPr>
                <w:rFonts w:ascii="Arial" w:cs="Arial" w:eastAsia="Arial" w:hAnsi="Arial"/>
                <w:sz w:val="16"/>
                <w:szCs w:val="16"/>
                <w:b w:val="1"/>
                <w:bCs w:val="1"/>
                <w:color w:val="000039"/>
              </w:rPr>
              <w:t>Compensation</w:t>
            </w:r>
          </w:p>
        </w:tc>
        <w:tc>
          <w:tcPr>
            <w:tcW w:w="1480" w:type="dxa"/>
            <w:vAlign w:val="bottom"/>
          </w:tcPr>
          <w:p>
            <w:pPr>
              <w:jc w:val="right"/>
              <w:ind w:right="143"/>
              <w:spacing w:after="0"/>
              <w:rPr>
                <w:sz w:val="20"/>
                <w:szCs w:val="20"/>
                <w:color w:val="auto"/>
              </w:rPr>
            </w:pPr>
            <w:r>
              <w:rPr>
                <w:rFonts w:ascii="Arial" w:cs="Arial" w:eastAsia="Arial" w:hAnsi="Arial"/>
                <w:sz w:val="16"/>
                <w:szCs w:val="16"/>
                <w:b w:val="1"/>
                <w:bCs w:val="1"/>
                <w:color w:val="000039"/>
              </w:rPr>
              <w:t>All Other</w:t>
            </w:r>
          </w:p>
        </w:tc>
        <w:tc>
          <w:tcPr>
            <w:tcW w:w="1240" w:type="dxa"/>
            <w:vAlign w:val="bottom"/>
          </w:tcPr>
          <w:p>
            <w:pPr>
              <w:spacing w:after="0"/>
              <w:rPr>
                <w:sz w:val="15"/>
                <w:szCs w:val="15"/>
                <w:color w:val="auto"/>
              </w:rPr>
            </w:pPr>
          </w:p>
        </w:tc>
      </w:tr>
      <w:tr>
        <w:trPr>
          <w:trHeight w:val="184"/>
        </w:trPr>
        <w:tc>
          <w:tcPr>
            <w:tcW w:w="1540" w:type="dxa"/>
            <w:vAlign w:val="bottom"/>
          </w:tcPr>
          <w:p>
            <w:pPr>
              <w:spacing w:after="0"/>
              <w:rPr>
                <w:sz w:val="15"/>
                <w:szCs w:val="15"/>
                <w:color w:val="auto"/>
              </w:rPr>
            </w:pPr>
          </w:p>
        </w:tc>
        <w:tc>
          <w:tcPr>
            <w:tcW w:w="1660" w:type="dxa"/>
            <w:vAlign w:val="bottom"/>
          </w:tcPr>
          <w:p>
            <w:pPr>
              <w:jc w:val="right"/>
              <w:ind w:right="164"/>
              <w:spacing w:after="0"/>
              <w:rPr>
                <w:sz w:val="20"/>
                <w:szCs w:val="20"/>
                <w:color w:val="auto"/>
              </w:rPr>
            </w:pPr>
            <w:r>
              <w:rPr>
                <w:rFonts w:ascii="Arial" w:cs="Arial" w:eastAsia="Arial" w:hAnsi="Arial"/>
                <w:sz w:val="16"/>
                <w:szCs w:val="16"/>
                <w:b w:val="1"/>
                <w:bCs w:val="1"/>
                <w:color w:val="000039"/>
              </w:rPr>
              <w:t>Paid in Cash</w:t>
            </w:r>
          </w:p>
        </w:tc>
        <w:tc>
          <w:tcPr>
            <w:tcW w:w="1460" w:type="dxa"/>
            <w:vAlign w:val="bottom"/>
          </w:tcPr>
          <w:p>
            <w:pPr>
              <w:jc w:val="right"/>
              <w:ind w:right="144"/>
              <w:spacing w:after="0"/>
              <w:rPr>
                <w:sz w:val="20"/>
                <w:szCs w:val="20"/>
                <w:color w:val="auto"/>
              </w:rPr>
            </w:pPr>
            <w:r>
              <w:rPr>
                <w:rFonts w:ascii="Arial" w:cs="Arial" w:eastAsia="Arial" w:hAnsi="Arial"/>
                <w:sz w:val="16"/>
                <w:szCs w:val="16"/>
                <w:b w:val="1"/>
                <w:bCs w:val="1"/>
                <w:color w:val="000039"/>
              </w:rPr>
              <w:t>Awards</w:t>
            </w:r>
          </w:p>
        </w:tc>
        <w:tc>
          <w:tcPr>
            <w:tcW w:w="1280" w:type="dxa"/>
            <w:vAlign w:val="bottom"/>
          </w:tcPr>
          <w:p>
            <w:pPr>
              <w:jc w:val="right"/>
              <w:ind w:right="63"/>
              <w:spacing w:after="0"/>
              <w:rPr>
                <w:sz w:val="20"/>
                <w:szCs w:val="20"/>
                <w:color w:val="auto"/>
              </w:rPr>
            </w:pPr>
            <w:r>
              <w:rPr>
                <w:rFonts w:ascii="Arial" w:cs="Arial" w:eastAsia="Arial" w:hAnsi="Arial"/>
                <w:sz w:val="16"/>
                <w:szCs w:val="16"/>
                <w:b w:val="1"/>
                <w:bCs w:val="1"/>
                <w:color w:val="000039"/>
              </w:rPr>
              <w:t>Awards</w:t>
            </w:r>
          </w:p>
        </w:tc>
        <w:tc>
          <w:tcPr>
            <w:tcW w:w="1420" w:type="dxa"/>
            <w:vAlign w:val="bottom"/>
          </w:tcPr>
          <w:p>
            <w:pPr>
              <w:jc w:val="right"/>
              <w:ind w:right="87"/>
              <w:spacing w:after="0"/>
              <w:rPr>
                <w:sz w:val="20"/>
                <w:szCs w:val="20"/>
                <w:color w:val="auto"/>
              </w:rPr>
            </w:pPr>
            <w:r>
              <w:rPr>
                <w:rFonts w:ascii="Arial" w:cs="Arial" w:eastAsia="Arial" w:hAnsi="Arial"/>
                <w:sz w:val="16"/>
                <w:szCs w:val="16"/>
                <w:b w:val="1"/>
                <w:bCs w:val="1"/>
                <w:color w:val="000039"/>
              </w:rPr>
              <w:t>Earnings</w:t>
            </w:r>
          </w:p>
        </w:tc>
        <w:tc>
          <w:tcPr>
            <w:tcW w:w="1480" w:type="dxa"/>
            <w:vAlign w:val="bottom"/>
          </w:tcPr>
          <w:p>
            <w:pPr>
              <w:jc w:val="right"/>
              <w:ind w:right="143"/>
              <w:spacing w:after="0"/>
              <w:rPr>
                <w:sz w:val="20"/>
                <w:szCs w:val="20"/>
                <w:color w:val="auto"/>
              </w:rPr>
            </w:pPr>
            <w:r>
              <w:rPr>
                <w:rFonts w:ascii="Arial" w:cs="Arial" w:eastAsia="Arial" w:hAnsi="Arial"/>
                <w:sz w:val="16"/>
                <w:szCs w:val="16"/>
                <w:b w:val="1"/>
                <w:bCs w:val="1"/>
                <w:color w:val="000039"/>
              </w:rPr>
              <w:t>Compensation</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39"/>
              </w:rPr>
              <w:t>Total</w:t>
            </w:r>
          </w:p>
        </w:tc>
      </w:tr>
      <w:tr>
        <w:trPr>
          <w:trHeight w:val="204"/>
        </w:trPr>
        <w:tc>
          <w:tcPr>
            <w:tcW w:w="1540" w:type="dxa"/>
            <w:vAlign w:val="bottom"/>
            <w:tcBorders>
              <w:bottom w:val="single" w:sz="8" w:color="000039"/>
            </w:tcBorders>
          </w:tcPr>
          <w:p>
            <w:pPr>
              <w:spacing w:after="0"/>
              <w:rPr>
                <w:sz w:val="20"/>
                <w:szCs w:val="20"/>
                <w:color w:val="auto"/>
              </w:rPr>
            </w:pPr>
            <w:r>
              <w:rPr>
                <w:rFonts w:ascii="Arial" w:cs="Arial" w:eastAsia="Arial" w:hAnsi="Arial"/>
                <w:sz w:val="16"/>
                <w:szCs w:val="16"/>
                <w:b w:val="1"/>
                <w:bCs w:val="1"/>
                <w:color w:val="000039"/>
              </w:rPr>
              <w:t>Name</w:t>
            </w:r>
          </w:p>
        </w:tc>
        <w:tc>
          <w:tcPr>
            <w:tcW w:w="1660" w:type="dxa"/>
            <w:vAlign w:val="bottom"/>
            <w:tcBorders>
              <w:bottom w:val="single" w:sz="8" w:color="000039"/>
            </w:tcBorders>
          </w:tcPr>
          <w:p>
            <w:pPr>
              <w:jc w:val="right"/>
              <w:ind w:right="124"/>
              <w:spacing w:after="0"/>
              <w:rPr>
                <w:sz w:val="20"/>
                <w:szCs w:val="20"/>
                <w:color w:val="auto"/>
              </w:rPr>
            </w:pPr>
            <w:r>
              <w:rPr>
                <w:rFonts w:ascii="Arial" w:cs="Arial" w:eastAsia="Arial" w:hAnsi="Arial"/>
                <w:sz w:val="16"/>
                <w:szCs w:val="16"/>
                <w:b w:val="1"/>
                <w:bCs w:val="1"/>
                <w:color w:val="000039"/>
              </w:rPr>
              <w:t>($)(1)</w:t>
            </w:r>
          </w:p>
        </w:tc>
        <w:tc>
          <w:tcPr>
            <w:tcW w:w="1460" w:type="dxa"/>
            <w:vAlign w:val="bottom"/>
            <w:tcBorders>
              <w:bottom w:val="single" w:sz="8" w:color="000039"/>
            </w:tcBorders>
          </w:tcPr>
          <w:p>
            <w:pPr>
              <w:jc w:val="right"/>
              <w:ind w:right="104"/>
              <w:spacing w:after="0"/>
              <w:rPr>
                <w:sz w:val="20"/>
                <w:szCs w:val="20"/>
                <w:color w:val="auto"/>
              </w:rPr>
            </w:pPr>
            <w:r>
              <w:rPr>
                <w:rFonts w:ascii="Arial" w:cs="Arial" w:eastAsia="Arial" w:hAnsi="Arial"/>
                <w:sz w:val="16"/>
                <w:szCs w:val="16"/>
                <w:b w:val="1"/>
                <w:bCs w:val="1"/>
                <w:color w:val="000039"/>
              </w:rPr>
              <w:t>($)(2)</w:t>
            </w:r>
          </w:p>
        </w:tc>
        <w:tc>
          <w:tcPr>
            <w:tcW w:w="1280" w:type="dxa"/>
            <w:vAlign w:val="bottom"/>
            <w:tcBorders>
              <w:bottom w:val="single" w:sz="8" w:color="000039"/>
            </w:tcBorders>
          </w:tcPr>
          <w:p>
            <w:pPr>
              <w:jc w:val="right"/>
              <w:ind w:right="23"/>
              <w:spacing w:after="0"/>
              <w:rPr>
                <w:sz w:val="20"/>
                <w:szCs w:val="20"/>
                <w:color w:val="auto"/>
              </w:rPr>
            </w:pPr>
            <w:r>
              <w:rPr>
                <w:rFonts w:ascii="Arial" w:cs="Arial" w:eastAsia="Arial" w:hAnsi="Arial"/>
                <w:sz w:val="16"/>
                <w:szCs w:val="16"/>
                <w:b w:val="1"/>
                <w:bCs w:val="1"/>
                <w:color w:val="000039"/>
              </w:rPr>
              <w:t>($)(3)</w:t>
            </w:r>
          </w:p>
        </w:tc>
        <w:tc>
          <w:tcPr>
            <w:tcW w:w="1420" w:type="dxa"/>
            <w:vAlign w:val="bottom"/>
            <w:tcBorders>
              <w:bottom w:val="single" w:sz="8" w:color="000039"/>
            </w:tcBorders>
          </w:tcPr>
          <w:p>
            <w:pPr>
              <w:jc w:val="right"/>
              <w:ind w:right="47"/>
              <w:spacing w:after="0"/>
              <w:rPr>
                <w:sz w:val="20"/>
                <w:szCs w:val="20"/>
                <w:color w:val="auto"/>
              </w:rPr>
            </w:pPr>
            <w:r>
              <w:rPr>
                <w:rFonts w:ascii="Arial" w:cs="Arial" w:eastAsia="Arial" w:hAnsi="Arial"/>
                <w:sz w:val="16"/>
                <w:szCs w:val="16"/>
                <w:b w:val="1"/>
                <w:bCs w:val="1"/>
                <w:color w:val="000039"/>
              </w:rPr>
              <w:t>($)(4)</w:t>
            </w:r>
          </w:p>
        </w:tc>
        <w:tc>
          <w:tcPr>
            <w:tcW w:w="1480" w:type="dxa"/>
            <w:vAlign w:val="bottom"/>
            <w:tcBorders>
              <w:bottom w:val="single" w:sz="8" w:color="000039"/>
            </w:tcBorders>
          </w:tcPr>
          <w:p>
            <w:pPr>
              <w:jc w:val="right"/>
              <w:ind w:right="83"/>
              <w:spacing w:after="0"/>
              <w:rPr>
                <w:sz w:val="20"/>
                <w:szCs w:val="20"/>
                <w:color w:val="auto"/>
              </w:rPr>
            </w:pPr>
            <w:r>
              <w:rPr>
                <w:rFonts w:ascii="Arial" w:cs="Arial" w:eastAsia="Arial" w:hAnsi="Arial"/>
                <w:sz w:val="16"/>
                <w:szCs w:val="16"/>
                <w:b w:val="1"/>
                <w:bCs w:val="1"/>
                <w:color w:val="000039"/>
              </w:rPr>
              <w:t>($)(5)</w:t>
            </w:r>
          </w:p>
        </w:tc>
        <w:tc>
          <w:tcPr>
            <w:tcW w:w="1240" w:type="dxa"/>
            <w:vAlign w:val="bottom"/>
            <w:tcBorders>
              <w:bottom w:val="single" w:sz="8" w:color="000039"/>
            </w:tcBorders>
          </w:tcPr>
          <w:p>
            <w:pPr>
              <w:jc w:val="right"/>
              <w:spacing w:after="0"/>
              <w:rPr>
                <w:sz w:val="20"/>
                <w:szCs w:val="20"/>
                <w:color w:val="auto"/>
              </w:rPr>
            </w:pPr>
            <w:r>
              <w:rPr>
                <w:rFonts w:ascii="Arial" w:cs="Arial" w:eastAsia="Arial" w:hAnsi="Arial"/>
                <w:sz w:val="16"/>
                <w:szCs w:val="16"/>
                <w:b w:val="1"/>
                <w:bCs w:val="1"/>
                <w:color w:val="000039"/>
              </w:rPr>
              <w:t>($)</w:t>
            </w:r>
          </w:p>
        </w:tc>
      </w:tr>
      <w:tr>
        <w:trPr>
          <w:trHeight w:val="220"/>
        </w:trPr>
        <w:tc>
          <w:tcPr>
            <w:tcW w:w="1540" w:type="dxa"/>
            <w:vAlign w:val="bottom"/>
            <w:shd w:val="clear" w:color="auto" w:fill="D9D9D9"/>
          </w:tcPr>
          <w:p>
            <w:pPr>
              <w:spacing w:after="0" w:line="220" w:lineRule="exact"/>
              <w:rPr>
                <w:sz w:val="20"/>
                <w:szCs w:val="20"/>
                <w:color w:val="auto"/>
              </w:rPr>
            </w:pPr>
            <w:r>
              <w:rPr>
                <w:rFonts w:ascii="Arial" w:cs="Arial" w:eastAsia="Arial" w:hAnsi="Arial"/>
                <w:sz w:val="20"/>
                <w:szCs w:val="20"/>
                <w:color w:val="auto"/>
              </w:rPr>
              <w:t>R. Alpern</w:t>
            </w:r>
          </w:p>
        </w:tc>
        <w:tc>
          <w:tcPr>
            <w:tcW w:w="1660" w:type="dxa"/>
            <w:vAlign w:val="bottom"/>
            <w:shd w:val="clear" w:color="auto" w:fill="D9D9D9"/>
          </w:tcPr>
          <w:p>
            <w:pPr>
              <w:jc w:val="right"/>
              <w:ind w:right="184"/>
              <w:spacing w:after="0" w:line="220" w:lineRule="exact"/>
              <w:rPr>
                <w:sz w:val="20"/>
                <w:szCs w:val="20"/>
                <w:color w:val="auto"/>
              </w:rPr>
            </w:pPr>
            <w:r>
              <w:rPr>
                <w:rFonts w:ascii="Arial" w:cs="Arial" w:eastAsia="Arial" w:hAnsi="Arial"/>
                <w:sz w:val="20"/>
                <w:szCs w:val="20"/>
                <w:color w:val="auto"/>
              </w:rPr>
              <w:t>122,917</w:t>
            </w:r>
          </w:p>
        </w:tc>
        <w:tc>
          <w:tcPr>
            <w:tcW w:w="1460" w:type="dxa"/>
            <w:vAlign w:val="bottom"/>
            <w:shd w:val="clear" w:color="auto" w:fill="D9D9D9"/>
          </w:tcPr>
          <w:p>
            <w:pPr>
              <w:jc w:val="right"/>
              <w:ind w:right="164"/>
              <w:spacing w:after="0" w:line="220" w:lineRule="exact"/>
              <w:rPr>
                <w:sz w:val="20"/>
                <w:szCs w:val="20"/>
                <w:color w:val="auto"/>
              </w:rPr>
            </w:pPr>
            <w:r>
              <w:rPr>
                <w:rFonts w:ascii="Arial" w:cs="Arial" w:eastAsia="Arial" w:hAnsi="Arial"/>
                <w:sz w:val="20"/>
                <w:szCs w:val="20"/>
                <w:color w:val="auto"/>
              </w:rPr>
              <w:t>224,961</w:t>
            </w:r>
          </w:p>
        </w:tc>
        <w:tc>
          <w:tcPr>
            <w:tcW w:w="1280" w:type="dxa"/>
            <w:vAlign w:val="bottom"/>
            <w:shd w:val="clear" w:color="auto" w:fill="D9D9D9"/>
          </w:tcPr>
          <w:p>
            <w:pPr>
              <w:jc w:val="right"/>
              <w:ind w:right="83"/>
              <w:spacing w:after="0" w:line="220" w:lineRule="exact"/>
              <w:rPr>
                <w:sz w:val="20"/>
                <w:szCs w:val="20"/>
                <w:color w:val="auto"/>
              </w:rPr>
            </w:pPr>
            <w:r>
              <w:rPr>
                <w:rFonts w:ascii="Arial" w:cs="Arial" w:eastAsia="Arial" w:hAnsi="Arial"/>
                <w:sz w:val="20"/>
                <w:szCs w:val="20"/>
                <w:color w:val="auto"/>
              </w:rPr>
              <w:t>0</w:t>
            </w:r>
          </w:p>
        </w:tc>
        <w:tc>
          <w:tcPr>
            <w:tcW w:w="1420" w:type="dxa"/>
            <w:vAlign w:val="bottom"/>
            <w:shd w:val="clear" w:color="auto" w:fill="D9D9D9"/>
          </w:tcPr>
          <w:p>
            <w:pPr>
              <w:jc w:val="right"/>
              <w:ind w:right="107"/>
              <w:spacing w:after="0" w:line="220" w:lineRule="exact"/>
              <w:rPr>
                <w:sz w:val="20"/>
                <w:szCs w:val="20"/>
                <w:color w:val="auto"/>
              </w:rPr>
            </w:pPr>
            <w:r>
              <w:rPr>
                <w:rFonts w:ascii="Arial" w:cs="Arial" w:eastAsia="Arial" w:hAnsi="Arial"/>
                <w:sz w:val="20"/>
                <w:szCs w:val="20"/>
                <w:color w:val="auto"/>
              </w:rPr>
              <w:t>125,616</w:t>
            </w:r>
          </w:p>
        </w:tc>
        <w:tc>
          <w:tcPr>
            <w:tcW w:w="1480" w:type="dxa"/>
            <w:vAlign w:val="bottom"/>
            <w:shd w:val="clear" w:color="auto" w:fill="D9D9D9"/>
          </w:tcPr>
          <w:p>
            <w:pPr>
              <w:jc w:val="right"/>
              <w:ind w:right="163"/>
              <w:spacing w:after="0" w:line="220" w:lineRule="exact"/>
              <w:rPr>
                <w:sz w:val="20"/>
                <w:szCs w:val="20"/>
                <w:color w:val="auto"/>
              </w:rPr>
            </w:pPr>
            <w:r>
              <w:rPr>
                <w:rFonts w:ascii="Arial" w:cs="Arial" w:eastAsia="Arial" w:hAnsi="Arial"/>
                <w:sz w:val="20"/>
                <w:szCs w:val="20"/>
                <w:color w:val="auto"/>
              </w:rPr>
              <w:t>25,000</w:t>
            </w:r>
          </w:p>
        </w:tc>
        <w:tc>
          <w:tcPr>
            <w:tcW w:w="1240" w:type="dxa"/>
            <w:vAlign w:val="bottom"/>
            <w:shd w:val="clear" w:color="auto" w:fill="D9D9D9"/>
          </w:tcPr>
          <w:p>
            <w:pPr>
              <w:jc w:val="right"/>
              <w:spacing w:after="0" w:line="220" w:lineRule="exact"/>
              <w:rPr>
                <w:sz w:val="20"/>
                <w:szCs w:val="20"/>
                <w:color w:val="auto"/>
              </w:rPr>
            </w:pPr>
            <w:r>
              <w:rPr>
                <w:rFonts w:ascii="Arial" w:cs="Arial" w:eastAsia="Arial" w:hAnsi="Arial"/>
                <w:sz w:val="20"/>
                <w:szCs w:val="20"/>
                <w:color w:val="auto"/>
              </w:rPr>
              <w:t>498,494</w:t>
            </w:r>
          </w:p>
        </w:tc>
      </w:tr>
      <w:tr>
        <w:trPr>
          <w:trHeight w:val="229"/>
        </w:trPr>
        <w:tc>
          <w:tcPr>
            <w:tcW w:w="1540" w:type="dxa"/>
            <w:vAlign w:val="bottom"/>
          </w:tcPr>
          <w:p>
            <w:pPr>
              <w:spacing w:after="0"/>
              <w:rPr>
                <w:sz w:val="20"/>
                <w:szCs w:val="20"/>
                <w:color w:val="auto"/>
              </w:rPr>
            </w:pPr>
            <w:r>
              <w:rPr>
                <w:rFonts w:ascii="Arial" w:cs="Arial" w:eastAsia="Arial" w:hAnsi="Arial"/>
                <w:sz w:val="20"/>
                <w:szCs w:val="20"/>
                <w:color w:val="auto"/>
              </w:rPr>
              <w:t>R. Austin</w:t>
            </w:r>
          </w:p>
        </w:tc>
        <w:tc>
          <w:tcPr>
            <w:tcW w:w="1660" w:type="dxa"/>
            <w:vAlign w:val="bottom"/>
          </w:tcPr>
          <w:p>
            <w:pPr>
              <w:jc w:val="right"/>
              <w:ind w:right="184"/>
              <w:spacing w:after="0"/>
              <w:rPr>
                <w:sz w:val="20"/>
                <w:szCs w:val="20"/>
                <w:color w:val="auto"/>
              </w:rPr>
            </w:pPr>
            <w:r>
              <w:rPr>
                <w:rFonts w:ascii="Arial" w:cs="Arial" w:eastAsia="Arial" w:hAnsi="Arial"/>
                <w:sz w:val="20"/>
                <w:szCs w:val="20"/>
                <w:color w:val="auto"/>
              </w:rPr>
              <w:t>182,917</w:t>
            </w:r>
          </w:p>
        </w:tc>
        <w:tc>
          <w:tcPr>
            <w:tcW w:w="1460" w:type="dxa"/>
            <w:vAlign w:val="bottom"/>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tcPr>
          <w:p>
            <w:pPr>
              <w:jc w:val="right"/>
              <w:ind w:right="163"/>
              <w:spacing w:after="0"/>
              <w:rPr>
                <w:sz w:val="20"/>
                <w:szCs w:val="20"/>
                <w:color w:val="auto"/>
              </w:rPr>
            </w:pPr>
            <w:r>
              <w:rPr>
                <w:rFonts w:ascii="Arial" w:cs="Arial" w:eastAsia="Arial" w:hAnsi="Arial"/>
                <w:sz w:val="20"/>
                <w:szCs w:val="20"/>
                <w:color w:val="auto"/>
              </w:rPr>
              <w:t>25,000</w:t>
            </w:r>
          </w:p>
        </w:tc>
        <w:tc>
          <w:tcPr>
            <w:tcW w:w="1240" w:type="dxa"/>
            <w:vAlign w:val="bottom"/>
          </w:tcPr>
          <w:p>
            <w:pPr>
              <w:jc w:val="right"/>
              <w:spacing w:after="0"/>
              <w:rPr>
                <w:sz w:val="20"/>
                <w:szCs w:val="20"/>
                <w:color w:val="auto"/>
              </w:rPr>
            </w:pPr>
            <w:r>
              <w:rPr>
                <w:rFonts w:ascii="Arial" w:cs="Arial" w:eastAsia="Arial" w:hAnsi="Arial"/>
                <w:sz w:val="20"/>
                <w:szCs w:val="20"/>
                <w:color w:val="auto"/>
              </w:rPr>
              <w:t>432,878</w:t>
            </w:r>
          </w:p>
        </w:tc>
      </w:tr>
      <w:tr>
        <w:trPr>
          <w:trHeight w:val="230"/>
        </w:trPr>
        <w:tc>
          <w:tcPr>
            <w:tcW w:w="1540" w:type="dxa"/>
            <w:vAlign w:val="bottom"/>
            <w:shd w:val="clear" w:color="auto" w:fill="D9D9D9"/>
          </w:tcPr>
          <w:p>
            <w:pPr>
              <w:spacing w:after="0"/>
              <w:rPr>
                <w:sz w:val="20"/>
                <w:szCs w:val="20"/>
                <w:color w:val="auto"/>
              </w:rPr>
            </w:pPr>
            <w:r>
              <w:rPr>
                <w:rFonts w:ascii="Arial" w:cs="Arial" w:eastAsia="Arial" w:hAnsi="Arial"/>
                <w:sz w:val="20"/>
                <w:szCs w:val="20"/>
                <w:color w:val="auto"/>
              </w:rPr>
              <w:t>W. Burnside</w:t>
            </w:r>
          </w:p>
        </w:tc>
        <w:tc>
          <w:tcPr>
            <w:tcW w:w="1660" w:type="dxa"/>
            <w:vAlign w:val="bottom"/>
            <w:shd w:val="clear" w:color="auto" w:fill="D9D9D9"/>
          </w:tcPr>
          <w:p>
            <w:pPr>
              <w:jc w:val="right"/>
              <w:ind w:right="184"/>
              <w:spacing w:after="0"/>
              <w:rPr>
                <w:sz w:val="20"/>
                <w:szCs w:val="20"/>
                <w:color w:val="auto"/>
              </w:rPr>
            </w:pPr>
            <w:r>
              <w:rPr>
                <w:rFonts w:ascii="Arial" w:cs="Arial" w:eastAsia="Arial" w:hAnsi="Arial"/>
                <w:sz w:val="20"/>
                <w:szCs w:val="20"/>
                <w:color w:val="auto"/>
              </w:rPr>
              <w:t>132,917</w:t>
            </w:r>
          </w:p>
        </w:tc>
        <w:tc>
          <w:tcPr>
            <w:tcW w:w="1460" w:type="dxa"/>
            <w:vAlign w:val="bottom"/>
            <w:shd w:val="clear" w:color="auto" w:fill="D9D9D9"/>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shd w:val="clear" w:color="auto" w:fill="D9D9D9"/>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shd w:val="clear" w:color="auto" w:fill="D9D9D9"/>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shd w:val="clear" w:color="auto" w:fill="D9D9D9"/>
          </w:tcPr>
          <w:p>
            <w:pPr>
              <w:jc w:val="right"/>
              <w:ind w:right="163"/>
              <w:spacing w:after="0"/>
              <w:rPr>
                <w:sz w:val="20"/>
                <w:szCs w:val="20"/>
                <w:color w:val="auto"/>
              </w:rPr>
            </w:pPr>
            <w:r>
              <w:rPr>
                <w:rFonts w:ascii="Arial" w:cs="Arial" w:eastAsia="Arial" w:hAnsi="Arial"/>
                <w:sz w:val="20"/>
                <w:szCs w:val="20"/>
                <w:color w:val="auto"/>
              </w:rPr>
              <w:t>25,000</w:t>
            </w:r>
          </w:p>
        </w:tc>
        <w:tc>
          <w:tcPr>
            <w:tcW w:w="12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382,878</w:t>
            </w:r>
          </w:p>
        </w:tc>
      </w:tr>
      <w:tr>
        <w:trPr>
          <w:trHeight w:val="230"/>
        </w:trPr>
        <w:tc>
          <w:tcPr>
            <w:tcW w:w="1540" w:type="dxa"/>
            <w:vAlign w:val="bottom"/>
          </w:tcPr>
          <w:p>
            <w:pPr>
              <w:spacing w:after="0"/>
              <w:rPr>
                <w:sz w:val="20"/>
                <w:szCs w:val="20"/>
                <w:color w:val="auto"/>
              </w:rPr>
            </w:pPr>
            <w:r>
              <w:rPr>
                <w:rFonts w:ascii="Arial" w:cs="Arial" w:eastAsia="Arial" w:hAnsi="Arial"/>
                <w:sz w:val="20"/>
                <w:szCs w:val="20"/>
                <w:color w:val="auto"/>
              </w:rPr>
              <w:t>J. Davis</w:t>
            </w:r>
          </w:p>
        </w:tc>
        <w:tc>
          <w:tcPr>
            <w:tcW w:w="1660" w:type="dxa"/>
            <w:vAlign w:val="bottom"/>
          </w:tcPr>
          <w:p>
            <w:pPr>
              <w:jc w:val="right"/>
              <w:ind w:right="184"/>
              <w:spacing w:after="0"/>
              <w:rPr>
                <w:sz w:val="20"/>
                <w:szCs w:val="20"/>
                <w:color w:val="auto"/>
              </w:rPr>
            </w:pPr>
            <w:r>
              <w:rPr>
                <w:rFonts w:ascii="Arial" w:cs="Arial" w:eastAsia="Arial" w:hAnsi="Arial"/>
                <w:sz w:val="20"/>
                <w:szCs w:val="20"/>
                <w:color w:val="auto"/>
              </w:rPr>
              <w:t>122,917</w:t>
            </w:r>
          </w:p>
        </w:tc>
        <w:tc>
          <w:tcPr>
            <w:tcW w:w="1460" w:type="dxa"/>
            <w:vAlign w:val="bottom"/>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tcPr>
          <w:p>
            <w:pPr>
              <w:jc w:val="right"/>
              <w:ind w:right="163"/>
              <w:spacing w:after="0"/>
              <w:rPr>
                <w:sz w:val="20"/>
                <w:szCs w:val="20"/>
                <w:color w:val="auto"/>
              </w:rPr>
            </w:pPr>
            <w:r>
              <w:rPr>
                <w:rFonts w:ascii="Arial" w:cs="Arial" w:eastAsia="Arial" w:hAnsi="Arial"/>
                <w:sz w:val="20"/>
                <w:szCs w:val="20"/>
                <w:color w:val="auto"/>
              </w:rPr>
              <w:t>25,000</w:t>
            </w:r>
          </w:p>
        </w:tc>
        <w:tc>
          <w:tcPr>
            <w:tcW w:w="1240" w:type="dxa"/>
            <w:vAlign w:val="bottom"/>
          </w:tcPr>
          <w:p>
            <w:pPr>
              <w:jc w:val="right"/>
              <w:spacing w:after="0"/>
              <w:rPr>
                <w:sz w:val="20"/>
                <w:szCs w:val="20"/>
                <w:color w:val="auto"/>
              </w:rPr>
            </w:pPr>
            <w:r>
              <w:rPr>
                <w:rFonts w:ascii="Arial" w:cs="Arial" w:eastAsia="Arial" w:hAnsi="Arial"/>
                <w:sz w:val="20"/>
                <w:szCs w:val="20"/>
                <w:color w:val="auto"/>
              </w:rPr>
              <w:t>372,878</w:t>
            </w:r>
          </w:p>
        </w:tc>
      </w:tr>
      <w:tr>
        <w:trPr>
          <w:trHeight w:val="229"/>
        </w:trPr>
        <w:tc>
          <w:tcPr>
            <w:tcW w:w="1540" w:type="dxa"/>
            <w:vAlign w:val="bottom"/>
            <w:shd w:val="clear" w:color="auto" w:fill="D9D9D9"/>
          </w:tcPr>
          <w:p>
            <w:pPr>
              <w:spacing w:after="0" w:line="229" w:lineRule="exact"/>
              <w:rPr>
                <w:sz w:val="20"/>
                <w:szCs w:val="20"/>
                <w:color w:val="auto"/>
              </w:rPr>
            </w:pPr>
            <w:r>
              <w:rPr>
                <w:rFonts w:ascii="Arial" w:cs="Arial" w:eastAsia="Arial" w:hAnsi="Arial"/>
                <w:sz w:val="20"/>
                <w:szCs w:val="20"/>
                <w:color w:val="auto"/>
              </w:rPr>
              <w:t>T. Falk</w:t>
            </w:r>
            <w:r>
              <w:rPr>
                <w:rFonts w:ascii="Arial" w:cs="Arial" w:eastAsia="Arial" w:hAnsi="Arial"/>
                <w:sz w:val="25"/>
                <w:szCs w:val="25"/>
                <w:color w:val="auto"/>
                <w:vertAlign w:val="superscript"/>
              </w:rPr>
              <w:t>(6)</w:t>
            </w:r>
          </w:p>
        </w:tc>
        <w:tc>
          <w:tcPr>
            <w:tcW w:w="1660" w:type="dxa"/>
            <w:vAlign w:val="bottom"/>
            <w:shd w:val="clear" w:color="auto" w:fill="D9D9D9"/>
          </w:tcPr>
          <w:p>
            <w:pPr>
              <w:jc w:val="right"/>
              <w:ind w:right="184"/>
              <w:spacing w:after="0"/>
              <w:rPr>
                <w:sz w:val="20"/>
                <w:szCs w:val="20"/>
                <w:color w:val="auto"/>
              </w:rPr>
            </w:pPr>
            <w:r>
              <w:rPr>
                <w:rFonts w:ascii="Arial" w:cs="Arial" w:eastAsia="Arial" w:hAnsi="Arial"/>
                <w:sz w:val="20"/>
                <w:szCs w:val="20"/>
                <w:color w:val="auto"/>
              </w:rPr>
              <w:t>78,750</w:t>
            </w:r>
          </w:p>
        </w:tc>
        <w:tc>
          <w:tcPr>
            <w:tcW w:w="1460" w:type="dxa"/>
            <w:vAlign w:val="bottom"/>
            <w:shd w:val="clear" w:color="auto" w:fill="D9D9D9"/>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shd w:val="clear" w:color="auto" w:fill="D9D9D9"/>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shd w:val="clear" w:color="auto" w:fill="D9D9D9"/>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shd w:val="clear" w:color="auto" w:fill="D9D9D9"/>
          </w:tcPr>
          <w:p>
            <w:pPr>
              <w:jc w:val="right"/>
              <w:ind w:right="163"/>
              <w:spacing w:after="0"/>
              <w:rPr>
                <w:sz w:val="20"/>
                <w:szCs w:val="20"/>
                <w:color w:val="auto"/>
              </w:rPr>
            </w:pPr>
            <w:r>
              <w:rPr>
                <w:rFonts w:ascii="Arial" w:cs="Arial" w:eastAsia="Arial" w:hAnsi="Arial"/>
                <w:sz w:val="20"/>
                <w:szCs w:val="20"/>
                <w:color w:val="auto"/>
              </w:rPr>
              <w:t>25,000</w:t>
            </w:r>
          </w:p>
        </w:tc>
        <w:tc>
          <w:tcPr>
            <w:tcW w:w="12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328,711</w:t>
            </w:r>
          </w:p>
        </w:tc>
      </w:tr>
      <w:tr>
        <w:trPr>
          <w:trHeight w:val="230"/>
        </w:trPr>
        <w:tc>
          <w:tcPr>
            <w:tcW w:w="1540" w:type="dxa"/>
            <w:vAlign w:val="bottom"/>
          </w:tcPr>
          <w:p>
            <w:pPr>
              <w:spacing w:after="0"/>
              <w:rPr>
                <w:sz w:val="20"/>
                <w:szCs w:val="20"/>
                <w:color w:val="auto"/>
              </w:rPr>
            </w:pPr>
            <w:r>
              <w:rPr>
                <w:rFonts w:ascii="Arial" w:cs="Arial" w:eastAsia="Arial" w:hAnsi="Arial"/>
                <w:sz w:val="20"/>
                <w:szCs w:val="20"/>
                <w:color w:val="auto"/>
              </w:rPr>
              <w:t>T. Freyman</w:t>
            </w:r>
          </w:p>
        </w:tc>
        <w:tc>
          <w:tcPr>
            <w:tcW w:w="1660" w:type="dxa"/>
            <w:vAlign w:val="bottom"/>
          </w:tcPr>
          <w:p>
            <w:pPr>
              <w:jc w:val="right"/>
              <w:ind w:right="184"/>
              <w:spacing w:after="0"/>
              <w:rPr>
                <w:sz w:val="20"/>
                <w:szCs w:val="20"/>
                <w:color w:val="auto"/>
              </w:rPr>
            </w:pPr>
            <w:r>
              <w:rPr>
                <w:rFonts w:ascii="Arial" w:cs="Arial" w:eastAsia="Arial" w:hAnsi="Arial"/>
                <w:sz w:val="20"/>
                <w:szCs w:val="20"/>
                <w:color w:val="auto"/>
              </w:rPr>
              <w:t>147,917</w:t>
            </w:r>
          </w:p>
        </w:tc>
        <w:tc>
          <w:tcPr>
            <w:tcW w:w="1460" w:type="dxa"/>
            <w:vAlign w:val="bottom"/>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tcPr>
          <w:p>
            <w:pPr>
              <w:jc w:val="right"/>
              <w:ind w:right="163"/>
              <w:spacing w:after="0"/>
              <w:rPr>
                <w:sz w:val="20"/>
                <w:szCs w:val="20"/>
                <w:color w:val="auto"/>
              </w:rPr>
            </w:pPr>
            <w:r>
              <w:rPr>
                <w:rFonts w:ascii="Arial" w:cs="Arial" w:eastAsia="Arial" w:hAnsi="Arial"/>
                <w:sz w:val="20"/>
                <w:szCs w:val="20"/>
                <w:color w:val="auto"/>
              </w:rPr>
              <w:t>25,000</w:t>
            </w:r>
          </w:p>
        </w:tc>
        <w:tc>
          <w:tcPr>
            <w:tcW w:w="1240" w:type="dxa"/>
            <w:vAlign w:val="bottom"/>
          </w:tcPr>
          <w:p>
            <w:pPr>
              <w:jc w:val="right"/>
              <w:spacing w:after="0"/>
              <w:rPr>
                <w:sz w:val="20"/>
                <w:szCs w:val="20"/>
                <w:color w:val="auto"/>
              </w:rPr>
            </w:pPr>
            <w:r>
              <w:rPr>
                <w:rFonts w:ascii="Arial" w:cs="Arial" w:eastAsia="Arial" w:hAnsi="Arial"/>
                <w:sz w:val="20"/>
                <w:szCs w:val="20"/>
                <w:color w:val="auto"/>
              </w:rPr>
              <w:t>397,878</w:t>
            </w:r>
          </w:p>
        </w:tc>
      </w:tr>
      <w:tr>
        <w:trPr>
          <w:trHeight w:val="230"/>
        </w:trPr>
        <w:tc>
          <w:tcPr>
            <w:tcW w:w="1540" w:type="dxa"/>
            <w:vAlign w:val="bottom"/>
            <w:shd w:val="clear" w:color="auto" w:fill="D9D9D9"/>
          </w:tcPr>
          <w:p>
            <w:pPr>
              <w:spacing w:after="0"/>
              <w:rPr>
                <w:sz w:val="20"/>
                <w:szCs w:val="20"/>
                <w:color w:val="auto"/>
              </w:rPr>
            </w:pPr>
            <w:r>
              <w:rPr>
                <w:rFonts w:ascii="Arial" w:cs="Arial" w:eastAsia="Arial" w:hAnsi="Arial"/>
                <w:sz w:val="20"/>
                <w:szCs w:val="20"/>
                <w:color w:val="auto"/>
              </w:rPr>
              <w:t>B. Hart</w:t>
            </w:r>
          </w:p>
        </w:tc>
        <w:tc>
          <w:tcPr>
            <w:tcW w:w="1660" w:type="dxa"/>
            <w:vAlign w:val="bottom"/>
            <w:shd w:val="clear" w:color="auto" w:fill="D9D9D9"/>
          </w:tcPr>
          <w:p>
            <w:pPr>
              <w:jc w:val="right"/>
              <w:ind w:right="184"/>
              <w:spacing w:after="0"/>
              <w:rPr>
                <w:sz w:val="20"/>
                <w:szCs w:val="20"/>
                <w:color w:val="auto"/>
              </w:rPr>
            </w:pPr>
            <w:r>
              <w:rPr>
                <w:rFonts w:ascii="Arial" w:cs="Arial" w:eastAsia="Arial" w:hAnsi="Arial"/>
                <w:sz w:val="20"/>
                <w:szCs w:val="20"/>
                <w:color w:val="auto"/>
              </w:rPr>
              <w:t>147,917</w:t>
            </w:r>
          </w:p>
        </w:tc>
        <w:tc>
          <w:tcPr>
            <w:tcW w:w="1460" w:type="dxa"/>
            <w:vAlign w:val="bottom"/>
            <w:shd w:val="clear" w:color="auto" w:fill="D9D9D9"/>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shd w:val="clear" w:color="auto" w:fill="D9D9D9"/>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shd w:val="clear" w:color="auto" w:fill="D9D9D9"/>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shd w:val="clear" w:color="auto" w:fill="D9D9D9"/>
          </w:tcPr>
          <w:p>
            <w:pPr>
              <w:jc w:val="right"/>
              <w:ind w:right="163"/>
              <w:spacing w:after="0"/>
              <w:rPr>
                <w:sz w:val="20"/>
                <w:szCs w:val="20"/>
                <w:color w:val="auto"/>
              </w:rPr>
            </w:pPr>
            <w:r>
              <w:rPr>
                <w:rFonts w:ascii="Arial" w:cs="Arial" w:eastAsia="Arial" w:hAnsi="Arial"/>
                <w:sz w:val="20"/>
                <w:szCs w:val="20"/>
                <w:color w:val="auto"/>
              </w:rPr>
              <w:t>25,000</w:t>
            </w:r>
          </w:p>
        </w:tc>
        <w:tc>
          <w:tcPr>
            <w:tcW w:w="12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397,878</w:t>
            </w:r>
          </w:p>
        </w:tc>
      </w:tr>
      <w:tr>
        <w:trPr>
          <w:trHeight w:val="229"/>
        </w:trPr>
        <w:tc>
          <w:tcPr>
            <w:tcW w:w="1540" w:type="dxa"/>
            <w:vAlign w:val="bottom"/>
          </w:tcPr>
          <w:p>
            <w:pPr>
              <w:spacing w:after="0"/>
              <w:rPr>
                <w:sz w:val="20"/>
                <w:szCs w:val="20"/>
                <w:color w:val="auto"/>
              </w:rPr>
            </w:pPr>
            <w:r>
              <w:rPr>
                <w:rFonts w:ascii="Arial" w:cs="Arial" w:eastAsia="Arial" w:hAnsi="Arial"/>
                <w:sz w:val="20"/>
                <w:szCs w:val="20"/>
                <w:color w:val="auto"/>
              </w:rPr>
              <w:t>M. Meyer</w:t>
            </w:r>
          </w:p>
        </w:tc>
        <w:tc>
          <w:tcPr>
            <w:tcW w:w="1660" w:type="dxa"/>
            <w:vAlign w:val="bottom"/>
          </w:tcPr>
          <w:p>
            <w:pPr>
              <w:jc w:val="right"/>
              <w:ind w:right="184"/>
              <w:spacing w:after="0"/>
              <w:rPr>
                <w:sz w:val="20"/>
                <w:szCs w:val="20"/>
                <w:color w:val="auto"/>
              </w:rPr>
            </w:pPr>
            <w:r>
              <w:rPr>
                <w:rFonts w:ascii="Arial" w:cs="Arial" w:eastAsia="Arial" w:hAnsi="Arial"/>
                <w:sz w:val="20"/>
                <w:szCs w:val="20"/>
                <w:color w:val="auto"/>
              </w:rPr>
              <w:t>157,917</w:t>
            </w:r>
          </w:p>
        </w:tc>
        <w:tc>
          <w:tcPr>
            <w:tcW w:w="1460" w:type="dxa"/>
            <w:vAlign w:val="bottom"/>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tcPr>
          <w:p>
            <w:pPr>
              <w:jc w:val="right"/>
              <w:ind w:right="163"/>
              <w:spacing w:after="0"/>
              <w:rPr>
                <w:sz w:val="20"/>
                <w:szCs w:val="20"/>
                <w:color w:val="auto"/>
              </w:rPr>
            </w:pPr>
            <w:r>
              <w:rPr>
                <w:rFonts w:ascii="Arial" w:cs="Arial" w:eastAsia="Arial" w:hAnsi="Arial"/>
                <w:sz w:val="20"/>
                <w:szCs w:val="20"/>
                <w:color w:val="auto"/>
              </w:rPr>
              <w:t>25,000</w:t>
            </w:r>
          </w:p>
        </w:tc>
        <w:tc>
          <w:tcPr>
            <w:tcW w:w="1240" w:type="dxa"/>
            <w:vAlign w:val="bottom"/>
          </w:tcPr>
          <w:p>
            <w:pPr>
              <w:jc w:val="right"/>
              <w:spacing w:after="0"/>
              <w:rPr>
                <w:sz w:val="20"/>
                <w:szCs w:val="20"/>
                <w:color w:val="auto"/>
              </w:rPr>
            </w:pPr>
            <w:r>
              <w:rPr>
                <w:rFonts w:ascii="Arial" w:cs="Arial" w:eastAsia="Arial" w:hAnsi="Arial"/>
                <w:sz w:val="20"/>
                <w:szCs w:val="20"/>
                <w:color w:val="auto"/>
              </w:rPr>
              <w:t>407,878</w:t>
            </w:r>
          </w:p>
        </w:tc>
      </w:tr>
      <w:tr>
        <w:trPr>
          <w:trHeight w:val="230"/>
        </w:trPr>
        <w:tc>
          <w:tcPr>
            <w:tcW w:w="1540" w:type="dxa"/>
            <w:vAlign w:val="bottom"/>
            <w:shd w:val="clear" w:color="auto" w:fill="D9D9D9"/>
          </w:tcPr>
          <w:p>
            <w:pPr>
              <w:spacing w:after="0"/>
              <w:rPr>
                <w:sz w:val="20"/>
                <w:szCs w:val="20"/>
                <w:color w:val="auto"/>
              </w:rPr>
            </w:pPr>
            <w:r>
              <w:rPr>
                <w:rFonts w:ascii="Arial" w:cs="Arial" w:eastAsia="Arial" w:hAnsi="Arial"/>
                <w:sz w:val="20"/>
                <w:szCs w:val="20"/>
                <w:color w:val="auto"/>
              </w:rPr>
              <w:t>S. Quaggin</w:t>
            </w:r>
          </w:p>
        </w:tc>
        <w:tc>
          <w:tcPr>
            <w:tcW w:w="1660" w:type="dxa"/>
            <w:vAlign w:val="bottom"/>
            <w:shd w:val="clear" w:color="auto" w:fill="D9D9D9"/>
          </w:tcPr>
          <w:p>
            <w:pPr>
              <w:jc w:val="right"/>
              <w:ind w:right="184"/>
              <w:spacing w:after="0"/>
              <w:rPr>
                <w:sz w:val="20"/>
                <w:szCs w:val="20"/>
                <w:color w:val="auto"/>
              </w:rPr>
            </w:pPr>
            <w:r>
              <w:rPr>
                <w:rFonts w:ascii="Arial" w:cs="Arial" w:eastAsia="Arial" w:hAnsi="Arial"/>
                <w:sz w:val="20"/>
                <w:szCs w:val="20"/>
                <w:color w:val="auto"/>
              </w:rPr>
              <w:t>122,917</w:t>
            </w:r>
          </w:p>
        </w:tc>
        <w:tc>
          <w:tcPr>
            <w:tcW w:w="1460" w:type="dxa"/>
            <w:vAlign w:val="bottom"/>
            <w:shd w:val="clear" w:color="auto" w:fill="D9D9D9"/>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shd w:val="clear" w:color="auto" w:fill="D9D9D9"/>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shd w:val="clear" w:color="auto" w:fill="D9D9D9"/>
          </w:tcPr>
          <w:p>
            <w:pPr>
              <w:jc w:val="right"/>
              <w:ind w:right="107"/>
              <w:spacing w:after="0"/>
              <w:rPr>
                <w:sz w:val="20"/>
                <w:szCs w:val="20"/>
                <w:color w:val="auto"/>
              </w:rPr>
            </w:pPr>
            <w:r>
              <w:rPr>
                <w:rFonts w:ascii="Arial" w:cs="Arial" w:eastAsia="Arial" w:hAnsi="Arial"/>
                <w:sz w:val="20"/>
                <w:szCs w:val="20"/>
                <w:color w:val="auto"/>
              </w:rPr>
              <w:t>3,970</w:t>
            </w:r>
          </w:p>
        </w:tc>
        <w:tc>
          <w:tcPr>
            <w:tcW w:w="1480" w:type="dxa"/>
            <w:vAlign w:val="bottom"/>
            <w:shd w:val="clear" w:color="auto" w:fill="D9D9D9"/>
          </w:tcPr>
          <w:p>
            <w:pPr>
              <w:jc w:val="right"/>
              <w:ind w:right="163"/>
              <w:spacing w:after="0"/>
              <w:rPr>
                <w:sz w:val="20"/>
                <w:szCs w:val="20"/>
                <w:color w:val="auto"/>
              </w:rPr>
            </w:pPr>
            <w:r>
              <w:rPr>
                <w:rFonts w:ascii="Arial" w:cs="Arial" w:eastAsia="Arial" w:hAnsi="Arial"/>
                <w:sz w:val="20"/>
                <w:szCs w:val="20"/>
                <w:color w:val="auto"/>
              </w:rPr>
              <w:t>7,663</w:t>
            </w:r>
          </w:p>
        </w:tc>
        <w:tc>
          <w:tcPr>
            <w:tcW w:w="12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359,511</w:t>
            </w:r>
          </w:p>
        </w:tc>
      </w:tr>
      <w:tr>
        <w:trPr>
          <w:trHeight w:val="230"/>
        </w:trPr>
        <w:tc>
          <w:tcPr>
            <w:tcW w:w="1540" w:type="dxa"/>
            <w:vAlign w:val="bottom"/>
          </w:tcPr>
          <w:p>
            <w:pPr>
              <w:spacing w:after="0"/>
              <w:rPr>
                <w:sz w:val="20"/>
                <w:szCs w:val="20"/>
                <w:color w:val="auto"/>
              </w:rPr>
            </w:pPr>
            <w:r>
              <w:rPr>
                <w:rFonts w:ascii="Arial" w:cs="Arial" w:eastAsia="Arial" w:hAnsi="Arial"/>
                <w:sz w:val="20"/>
                <w:szCs w:val="20"/>
                <w:color w:val="auto"/>
              </w:rPr>
              <w:t>E. Rapp</w:t>
            </w:r>
          </w:p>
        </w:tc>
        <w:tc>
          <w:tcPr>
            <w:tcW w:w="1660" w:type="dxa"/>
            <w:vAlign w:val="bottom"/>
          </w:tcPr>
          <w:p>
            <w:pPr>
              <w:jc w:val="right"/>
              <w:ind w:right="184"/>
              <w:spacing w:after="0"/>
              <w:rPr>
                <w:sz w:val="20"/>
                <w:szCs w:val="20"/>
                <w:color w:val="auto"/>
              </w:rPr>
            </w:pPr>
            <w:r>
              <w:rPr>
                <w:rFonts w:ascii="Arial" w:cs="Arial" w:eastAsia="Arial" w:hAnsi="Arial"/>
                <w:sz w:val="20"/>
                <w:szCs w:val="20"/>
                <w:color w:val="auto"/>
              </w:rPr>
              <w:t>132,917</w:t>
            </w:r>
          </w:p>
        </w:tc>
        <w:tc>
          <w:tcPr>
            <w:tcW w:w="1460" w:type="dxa"/>
            <w:vAlign w:val="bottom"/>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tcPr>
          <w:p>
            <w:pPr>
              <w:jc w:val="right"/>
              <w:ind w:right="163"/>
              <w:spacing w:after="0"/>
              <w:rPr>
                <w:sz w:val="20"/>
                <w:szCs w:val="20"/>
                <w:color w:val="auto"/>
              </w:rPr>
            </w:pPr>
            <w:r>
              <w:rPr>
                <w:rFonts w:ascii="Arial" w:cs="Arial" w:eastAsia="Arial" w:hAnsi="Arial"/>
                <w:sz w:val="20"/>
                <w:szCs w:val="20"/>
                <w:color w:val="auto"/>
              </w:rPr>
              <w:t>25,560</w:t>
            </w:r>
          </w:p>
        </w:tc>
        <w:tc>
          <w:tcPr>
            <w:tcW w:w="1240" w:type="dxa"/>
            <w:vAlign w:val="bottom"/>
          </w:tcPr>
          <w:p>
            <w:pPr>
              <w:jc w:val="right"/>
              <w:spacing w:after="0"/>
              <w:rPr>
                <w:sz w:val="20"/>
                <w:szCs w:val="20"/>
                <w:color w:val="auto"/>
              </w:rPr>
            </w:pPr>
            <w:r>
              <w:rPr>
                <w:rFonts w:ascii="Arial" w:cs="Arial" w:eastAsia="Arial" w:hAnsi="Arial"/>
                <w:sz w:val="20"/>
                <w:szCs w:val="20"/>
                <w:color w:val="auto"/>
              </w:rPr>
              <w:t>383,438</w:t>
            </w:r>
          </w:p>
        </w:tc>
      </w:tr>
      <w:tr>
        <w:trPr>
          <w:trHeight w:val="229"/>
        </w:trPr>
        <w:tc>
          <w:tcPr>
            <w:tcW w:w="1540" w:type="dxa"/>
            <w:vAlign w:val="bottom"/>
            <w:shd w:val="clear" w:color="auto" w:fill="D9D9D9"/>
          </w:tcPr>
          <w:p>
            <w:pPr>
              <w:spacing w:after="0"/>
              <w:rPr>
                <w:sz w:val="20"/>
                <w:szCs w:val="20"/>
                <w:color w:val="auto"/>
              </w:rPr>
            </w:pPr>
            <w:r>
              <w:rPr>
                <w:rFonts w:ascii="Arial" w:cs="Arial" w:eastAsia="Arial" w:hAnsi="Arial"/>
                <w:sz w:val="20"/>
                <w:szCs w:val="20"/>
                <w:color w:val="auto"/>
              </w:rPr>
              <w:t>R. Roberts</w:t>
            </w:r>
          </w:p>
        </w:tc>
        <w:tc>
          <w:tcPr>
            <w:tcW w:w="1660" w:type="dxa"/>
            <w:vAlign w:val="bottom"/>
            <w:shd w:val="clear" w:color="auto" w:fill="D9D9D9"/>
          </w:tcPr>
          <w:p>
            <w:pPr>
              <w:jc w:val="right"/>
              <w:ind w:right="184"/>
              <w:spacing w:after="0"/>
              <w:rPr>
                <w:sz w:val="20"/>
                <w:szCs w:val="20"/>
                <w:color w:val="auto"/>
              </w:rPr>
            </w:pPr>
            <w:r>
              <w:rPr>
                <w:rFonts w:ascii="Arial" w:cs="Arial" w:eastAsia="Arial" w:hAnsi="Arial"/>
                <w:sz w:val="20"/>
                <w:szCs w:val="20"/>
                <w:color w:val="auto"/>
              </w:rPr>
              <w:t>122,917</w:t>
            </w:r>
          </w:p>
        </w:tc>
        <w:tc>
          <w:tcPr>
            <w:tcW w:w="1460" w:type="dxa"/>
            <w:vAlign w:val="bottom"/>
            <w:shd w:val="clear" w:color="auto" w:fill="D9D9D9"/>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shd w:val="clear" w:color="auto" w:fill="D9D9D9"/>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shd w:val="clear" w:color="auto" w:fill="D9D9D9"/>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shd w:val="clear" w:color="auto" w:fill="D9D9D9"/>
          </w:tcPr>
          <w:p>
            <w:pPr>
              <w:jc w:val="right"/>
              <w:ind w:right="163"/>
              <w:spacing w:after="0"/>
              <w:rPr>
                <w:sz w:val="20"/>
                <w:szCs w:val="20"/>
                <w:color w:val="auto"/>
              </w:rPr>
            </w:pPr>
            <w:r>
              <w:rPr>
                <w:rFonts w:ascii="Arial" w:cs="Arial" w:eastAsia="Arial" w:hAnsi="Arial"/>
                <w:sz w:val="20"/>
                <w:szCs w:val="20"/>
                <w:color w:val="auto"/>
              </w:rPr>
              <w:t>25,000</w:t>
            </w:r>
          </w:p>
        </w:tc>
        <w:tc>
          <w:tcPr>
            <w:tcW w:w="12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372,878</w:t>
            </w:r>
          </w:p>
        </w:tc>
      </w:tr>
      <w:tr>
        <w:trPr>
          <w:trHeight w:val="230"/>
        </w:trPr>
        <w:tc>
          <w:tcPr>
            <w:tcW w:w="1540" w:type="dxa"/>
            <w:vAlign w:val="bottom"/>
          </w:tcPr>
          <w:p>
            <w:pPr>
              <w:spacing w:after="0" w:line="230" w:lineRule="exact"/>
              <w:rPr>
                <w:sz w:val="20"/>
                <w:szCs w:val="20"/>
                <w:color w:val="auto"/>
              </w:rPr>
            </w:pPr>
            <w:r>
              <w:rPr>
                <w:rFonts w:ascii="Arial" w:cs="Arial" w:eastAsia="Arial" w:hAnsi="Arial"/>
                <w:sz w:val="20"/>
                <w:szCs w:val="20"/>
                <w:color w:val="auto"/>
              </w:rPr>
              <w:t>G. Tilton</w:t>
            </w:r>
            <w:r>
              <w:rPr>
                <w:rFonts w:ascii="Arial" w:cs="Arial" w:eastAsia="Arial" w:hAnsi="Arial"/>
                <w:sz w:val="25"/>
                <w:szCs w:val="25"/>
                <w:color w:val="auto"/>
                <w:vertAlign w:val="superscript"/>
              </w:rPr>
              <w:t>(7)</w:t>
            </w:r>
          </w:p>
        </w:tc>
        <w:tc>
          <w:tcPr>
            <w:tcW w:w="1660" w:type="dxa"/>
            <w:vAlign w:val="bottom"/>
          </w:tcPr>
          <w:p>
            <w:pPr>
              <w:jc w:val="right"/>
              <w:ind w:right="184"/>
              <w:spacing w:after="0"/>
              <w:rPr>
                <w:sz w:val="20"/>
                <w:szCs w:val="20"/>
                <w:color w:val="auto"/>
              </w:rPr>
            </w:pPr>
            <w:r>
              <w:rPr>
                <w:rFonts w:ascii="Arial" w:cs="Arial" w:eastAsia="Arial" w:hAnsi="Arial"/>
                <w:sz w:val="20"/>
                <w:szCs w:val="20"/>
                <w:color w:val="auto"/>
              </w:rPr>
              <w:t>65,417</w:t>
            </w:r>
          </w:p>
        </w:tc>
        <w:tc>
          <w:tcPr>
            <w:tcW w:w="1460" w:type="dxa"/>
            <w:vAlign w:val="bottom"/>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tcPr>
          <w:p>
            <w:pPr>
              <w:jc w:val="right"/>
              <w:ind w:right="163"/>
              <w:spacing w:after="0"/>
              <w:rPr>
                <w:sz w:val="20"/>
                <w:szCs w:val="20"/>
                <w:color w:val="auto"/>
              </w:rPr>
            </w:pPr>
            <w:r>
              <w:rPr>
                <w:rFonts w:ascii="Arial" w:cs="Arial" w:eastAsia="Arial" w:hAnsi="Arial"/>
                <w:sz w:val="20"/>
                <w:szCs w:val="20"/>
                <w:color w:val="auto"/>
              </w:rPr>
              <w:t>26,996</w:t>
            </w:r>
          </w:p>
        </w:tc>
        <w:tc>
          <w:tcPr>
            <w:tcW w:w="1240" w:type="dxa"/>
            <w:vAlign w:val="bottom"/>
          </w:tcPr>
          <w:p>
            <w:pPr>
              <w:jc w:val="right"/>
              <w:spacing w:after="0"/>
              <w:rPr>
                <w:sz w:val="20"/>
                <w:szCs w:val="20"/>
                <w:color w:val="auto"/>
              </w:rPr>
            </w:pPr>
            <w:r>
              <w:rPr>
                <w:rFonts w:ascii="Arial" w:cs="Arial" w:eastAsia="Arial" w:hAnsi="Arial"/>
                <w:sz w:val="20"/>
                <w:szCs w:val="20"/>
                <w:color w:val="auto"/>
              </w:rPr>
              <w:t>317,374</w:t>
            </w:r>
          </w:p>
        </w:tc>
      </w:tr>
      <w:tr>
        <w:trPr>
          <w:trHeight w:val="230"/>
        </w:trPr>
        <w:tc>
          <w:tcPr>
            <w:tcW w:w="1540" w:type="dxa"/>
            <w:vAlign w:val="bottom"/>
            <w:shd w:val="clear" w:color="auto" w:fill="D9D9D9"/>
          </w:tcPr>
          <w:p>
            <w:pPr>
              <w:spacing w:after="0"/>
              <w:rPr>
                <w:sz w:val="20"/>
                <w:szCs w:val="20"/>
                <w:color w:val="auto"/>
              </w:rPr>
            </w:pPr>
            <w:r>
              <w:rPr>
                <w:rFonts w:ascii="Arial" w:cs="Arial" w:eastAsia="Arial" w:hAnsi="Arial"/>
                <w:sz w:val="20"/>
                <w:szCs w:val="20"/>
                <w:color w:val="auto"/>
              </w:rPr>
              <w:t>F. Waddell</w:t>
            </w:r>
          </w:p>
        </w:tc>
        <w:tc>
          <w:tcPr>
            <w:tcW w:w="1660" w:type="dxa"/>
            <w:vAlign w:val="bottom"/>
            <w:shd w:val="clear" w:color="auto" w:fill="D9D9D9"/>
          </w:tcPr>
          <w:p>
            <w:pPr>
              <w:jc w:val="right"/>
              <w:ind w:right="184"/>
              <w:spacing w:after="0"/>
              <w:rPr>
                <w:sz w:val="20"/>
                <w:szCs w:val="20"/>
                <w:color w:val="auto"/>
              </w:rPr>
            </w:pPr>
            <w:r>
              <w:rPr>
                <w:rFonts w:ascii="Arial" w:cs="Arial" w:eastAsia="Arial" w:hAnsi="Arial"/>
                <w:sz w:val="20"/>
                <w:szCs w:val="20"/>
                <w:color w:val="auto"/>
              </w:rPr>
              <w:t>152,917</w:t>
            </w:r>
          </w:p>
        </w:tc>
        <w:tc>
          <w:tcPr>
            <w:tcW w:w="1460" w:type="dxa"/>
            <w:vAlign w:val="bottom"/>
            <w:shd w:val="clear" w:color="auto" w:fill="D9D9D9"/>
          </w:tcPr>
          <w:p>
            <w:pPr>
              <w:jc w:val="right"/>
              <w:ind w:right="164"/>
              <w:spacing w:after="0"/>
              <w:rPr>
                <w:sz w:val="20"/>
                <w:szCs w:val="20"/>
                <w:color w:val="auto"/>
              </w:rPr>
            </w:pPr>
            <w:r>
              <w:rPr>
                <w:rFonts w:ascii="Arial" w:cs="Arial" w:eastAsia="Arial" w:hAnsi="Arial"/>
                <w:sz w:val="20"/>
                <w:szCs w:val="20"/>
                <w:color w:val="auto"/>
              </w:rPr>
              <w:t>224,961</w:t>
            </w:r>
          </w:p>
        </w:tc>
        <w:tc>
          <w:tcPr>
            <w:tcW w:w="1280" w:type="dxa"/>
            <w:vAlign w:val="bottom"/>
            <w:shd w:val="clear" w:color="auto" w:fill="D9D9D9"/>
          </w:tcPr>
          <w:p>
            <w:pPr>
              <w:jc w:val="right"/>
              <w:ind w:right="83"/>
              <w:spacing w:after="0"/>
              <w:rPr>
                <w:sz w:val="20"/>
                <w:szCs w:val="20"/>
                <w:color w:val="auto"/>
              </w:rPr>
            </w:pPr>
            <w:r>
              <w:rPr>
                <w:rFonts w:ascii="Arial" w:cs="Arial" w:eastAsia="Arial" w:hAnsi="Arial"/>
                <w:sz w:val="20"/>
                <w:szCs w:val="20"/>
                <w:color w:val="auto"/>
              </w:rPr>
              <w:t>0</w:t>
            </w:r>
          </w:p>
        </w:tc>
        <w:tc>
          <w:tcPr>
            <w:tcW w:w="1420" w:type="dxa"/>
            <w:vAlign w:val="bottom"/>
            <w:shd w:val="clear" w:color="auto" w:fill="D9D9D9"/>
          </w:tcPr>
          <w:p>
            <w:pPr>
              <w:jc w:val="right"/>
              <w:ind w:right="107"/>
              <w:spacing w:after="0"/>
              <w:rPr>
                <w:sz w:val="20"/>
                <w:szCs w:val="20"/>
                <w:color w:val="auto"/>
              </w:rPr>
            </w:pPr>
            <w:r>
              <w:rPr>
                <w:rFonts w:ascii="Arial" w:cs="Arial" w:eastAsia="Arial" w:hAnsi="Arial"/>
                <w:sz w:val="20"/>
                <w:szCs w:val="20"/>
                <w:color w:val="auto"/>
              </w:rPr>
              <w:t>0</w:t>
            </w:r>
          </w:p>
        </w:tc>
        <w:tc>
          <w:tcPr>
            <w:tcW w:w="1480" w:type="dxa"/>
            <w:vAlign w:val="bottom"/>
            <w:shd w:val="clear" w:color="auto" w:fill="D9D9D9"/>
          </w:tcPr>
          <w:p>
            <w:pPr>
              <w:jc w:val="right"/>
              <w:ind w:right="163"/>
              <w:spacing w:after="0"/>
              <w:rPr>
                <w:sz w:val="20"/>
                <w:szCs w:val="20"/>
                <w:color w:val="auto"/>
              </w:rPr>
            </w:pPr>
            <w:r>
              <w:rPr>
                <w:rFonts w:ascii="Arial" w:cs="Arial" w:eastAsia="Arial" w:hAnsi="Arial"/>
                <w:sz w:val="20"/>
                <w:szCs w:val="20"/>
                <w:color w:val="auto"/>
              </w:rPr>
              <w:t>25,000</w:t>
            </w:r>
          </w:p>
        </w:tc>
        <w:tc>
          <w:tcPr>
            <w:tcW w:w="12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402,878</w:t>
            </w:r>
          </w:p>
        </w:tc>
      </w:tr>
      <w:tr>
        <w:trPr>
          <w:trHeight w:val="271"/>
        </w:trPr>
        <w:tc>
          <w:tcPr>
            <w:tcW w:w="1540" w:type="dxa"/>
            <w:vAlign w:val="bottom"/>
          </w:tcPr>
          <w:p>
            <w:pPr>
              <w:spacing w:after="0"/>
              <w:rPr>
                <w:sz w:val="20"/>
                <w:szCs w:val="20"/>
                <w:color w:val="auto"/>
              </w:rPr>
            </w:pPr>
            <w:r>
              <w:rPr>
                <w:rFonts w:ascii="Arial" w:cs="Arial" w:eastAsia="Arial" w:hAnsi="Arial"/>
                <w:sz w:val="20"/>
                <w:szCs w:val="20"/>
                <w:color w:val="auto"/>
              </w:rPr>
              <w:t>R. Gonzalez</w:t>
            </w:r>
          </w:p>
        </w:tc>
        <w:tc>
          <w:tcPr>
            <w:tcW w:w="1660" w:type="dxa"/>
            <w:vAlign w:val="bottom"/>
          </w:tcPr>
          <w:p>
            <w:pPr>
              <w:jc w:val="right"/>
              <w:ind w:right="184"/>
              <w:spacing w:after="0"/>
              <w:rPr>
                <w:sz w:val="20"/>
                <w:szCs w:val="20"/>
                <w:color w:val="auto"/>
              </w:rPr>
            </w:pPr>
            <w:r>
              <w:rPr>
                <w:rFonts w:ascii="Arial" w:cs="Arial" w:eastAsia="Arial" w:hAnsi="Arial"/>
                <w:sz w:val="20"/>
                <w:szCs w:val="20"/>
                <w:color w:val="auto"/>
              </w:rPr>
              <w:t>0</w:t>
            </w:r>
          </w:p>
        </w:tc>
        <w:tc>
          <w:tcPr>
            <w:tcW w:w="1460" w:type="dxa"/>
            <w:vAlign w:val="bottom"/>
          </w:tcPr>
          <w:p>
            <w:pPr>
              <w:jc w:val="right"/>
              <w:ind w:right="164"/>
              <w:spacing w:after="0"/>
              <w:rPr>
                <w:sz w:val="20"/>
                <w:szCs w:val="20"/>
                <w:color w:val="auto"/>
              </w:rPr>
            </w:pPr>
            <w:r>
              <w:rPr>
                <w:rFonts w:ascii="Arial" w:cs="Arial" w:eastAsia="Arial" w:hAnsi="Arial"/>
                <w:sz w:val="20"/>
                <w:szCs w:val="20"/>
                <w:color w:val="auto"/>
              </w:rPr>
              <w:t>10,365,982</w:t>
            </w:r>
          </w:p>
        </w:tc>
        <w:tc>
          <w:tcPr>
            <w:tcW w:w="1280" w:type="dxa"/>
            <w:vAlign w:val="bottom"/>
          </w:tcPr>
          <w:p>
            <w:pPr>
              <w:jc w:val="right"/>
              <w:ind w:right="83"/>
              <w:spacing w:after="0"/>
              <w:rPr>
                <w:sz w:val="20"/>
                <w:szCs w:val="20"/>
                <w:color w:val="auto"/>
              </w:rPr>
            </w:pPr>
            <w:r>
              <w:rPr>
                <w:rFonts w:ascii="Arial" w:cs="Arial" w:eastAsia="Arial" w:hAnsi="Arial"/>
                <w:sz w:val="20"/>
                <w:szCs w:val="20"/>
                <w:color w:val="auto"/>
              </w:rPr>
              <w:t>2,499,343</w:t>
            </w:r>
          </w:p>
        </w:tc>
        <w:tc>
          <w:tcPr>
            <w:tcW w:w="1420" w:type="dxa"/>
            <w:vAlign w:val="bottom"/>
          </w:tcPr>
          <w:p>
            <w:pPr>
              <w:jc w:val="right"/>
              <w:ind w:right="107"/>
              <w:spacing w:after="0"/>
              <w:rPr>
                <w:sz w:val="20"/>
                <w:szCs w:val="20"/>
                <w:color w:val="auto"/>
              </w:rPr>
            </w:pPr>
            <w:r>
              <w:rPr>
                <w:rFonts w:ascii="Arial" w:cs="Arial" w:eastAsia="Arial" w:hAnsi="Arial"/>
                <w:sz w:val="20"/>
                <w:szCs w:val="20"/>
                <w:color w:val="auto"/>
              </w:rPr>
              <w:t>1,721,855</w:t>
            </w:r>
          </w:p>
        </w:tc>
        <w:tc>
          <w:tcPr>
            <w:tcW w:w="1480" w:type="dxa"/>
            <w:vAlign w:val="bottom"/>
          </w:tcPr>
          <w:p>
            <w:pPr>
              <w:jc w:val="right"/>
              <w:ind w:right="163"/>
              <w:spacing w:after="0"/>
              <w:rPr>
                <w:sz w:val="20"/>
                <w:szCs w:val="20"/>
                <w:color w:val="auto"/>
              </w:rPr>
            </w:pPr>
            <w:r>
              <w:rPr>
                <w:rFonts w:ascii="Arial" w:cs="Arial" w:eastAsia="Arial" w:hAnsi="Arial"/>
                <w:sz w:val="20"/>
                <w:szCs w:val="20"/>
                <w:color w:val="auto"/>
              </w:rPr>
              <w:t>2,484,243</w:t>
            </w:r>
          </w:p>
        </w:tc>
        <w:tc>
          <w:tcPr>
            <w:tcW w:w="1240" w:type="dxa"/>
            <w:vAlign w:val="bottom"/>
          </w:tcPr>
          <w:p>
            <w:pPr>
              <w:jc w:val="right"/>
              <w:spacing w:after="0"/>
              <w:rPr>
                <w:sz w:val="20"/>
                <w:szCs w:val="20"/>
                <w:color w:val="auto"/>
              </w:rPr>
            </w:pPr>
            <w:r>
              <w:rPr>
                <w:rFonts w:ascii="Arial" w:cs="Arial" w:eastAsia="Arial" w:hAnsi="Arial"/>
                <w:sz w:val="20"/>
                <w:szCs w:val="20"/>
                <w:color w:val="auto"/>
              </w:rPr>
              <w:t>17,071,423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80010</wp:posOffset>
                </wp:positionV>
                <wp:extent cx="1599565"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3pt" to="125.9pt,6.3pt" o:allowincell="f" strokecolor="#000000" strokeweight="1.0199pt"/>
            </w:pict>
          </mc:Fallback>
        </mc:AlternateContent>
      </w:r>
    </w:p>
    <w:p>
      <w:pPr>
        <w:spacing w:after="0" w:line="148" w:lineRule="exact"/>
        <w:rPr>
          <w:sz w:val="20"/>
          <w:szCs w:val="20"/>
          <w:color w:val="auto"/>
        </w:rPr>
      </w:pPr>
    </w:p>
    <w:p>
      <w:pPr>
        <w:ind w:left="360" w:right="20" w:hanging="360"/>
        <w:spacing w:after="0" w:line="246" w:lineRule="auto"/>
        <w:tabs>
          <w:tab w:leader="none" w:pos="3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Under the AbbVie Non-Employee Directors’ Fee Plan as in effect as of May 9, 2025, non-employee directors earned $125,000 per year for service as a director and $25,000 per year for service as a chair of a Board committee, other than the chair of the audit committee. The chair of the audit committee received $30,000 per year for service as chair of that committee and the other members of the audit committee received $10,000 per year as a committee member. The Lead Independent Director received $50,000 in 2025 for service in that role. The non-employee director and committee fees are earned monthly for each calendar month or portion thereof that the director holds the position, excluding the month in which the director is first elected to the position.</w:t>
      </w:r>
    </w:p>
    <w:p>
      <w:pPr>
        <w:spacing w:after="0" w:line="114" w:lineRule="exact"/>
        <w:rPr>
          <w:rFonts w:ascii="Arial" w:cs="Arial" w:eastAsia="Arial" w:hAnsi="Arial"/>
          <w:sz w:val="20"/>
          <w:szCs w:val="20"/>
          <w:color w:val="auto"/>
        </w:rPr>
      </w:pPr>
    </w:p>
    <w:p>
      <w:pPr>
        <w:ind w:left="360" w:right="40"/>
        <w:spacing w:after="0" w:line="244" w:lineRule="auto"/>
        <w:rPr>
          <w:rFonts w:ascii="Arial" w:cs="Arial" w:eastAsia="Arial" w:hAnsi="Arial"/>
          <w:sz w:val="20"/>
          <w:szCs w:val="20"/>
          <w:color w:val="auto"/>
        </w:rPr>
      </w:pPr>
      <w:r>
        <w:rPr>
          <w:rFonts w:ascii="Arial" w:cs="Arial" w:eastAsia="Arial" w:hAnsi="Arial"/>
          <w:sz w:val="20"/>
          <w:szCs w:val="20"/>
          <w:color w:val="auto"/>
        </w:rPr>
        <w:t>Fees earned under the AbbVie Non-Employee Directors’ Fee Plan are, at the director’s election, paid currently in cash, delivered in the form of vested non-qualified stock options (based on an independent appraisal of their fair value), deferred (as an unfunded AbbVie obligation), or paid currently into an individual grantor trust established by an eligible director. The distribution of deferred fees and amounts held in a director’s grantor trust generally commences at the later of when the director reaches age 65 or upon retirement from the Board of Directors. Deferred fees and fees deposited in a trust may be credited to a stock equivalent account that earns the same return as if the fees were invested in AbbVie stock or to a guaranteed interest account. If necessary, AbbVie contributes funds to a director’s trust so that as of year-end the stock equivalent account balance (net of taxes) is not less than seventy-five percent of the market value of the related AbbVie common stock at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26  </w:t>
      </w:r>
      <w:r>
        <w:rPr>
          <w:sz w:val="1"/>
          <w:szCs w:val="1"/>
          <w:color w:val="auto"/>
        </w:rPr>
        <w:drawing>
          <wp:inline distT="0" distB="0" distL="0" distR="0">
            <wp:extent cx="991870" cy="20066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95">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861" w:right="900" w:bottom="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20"/>
          <w:szCs w:val="20"/>
          <w:color w:val="808080"/>
        </w:rPr>
        <w:t>DIRECTOR COMPENSATION</w:t>
      </w:r>
    </w:p>
    <w:p>
      <w:pPr>
        <w:spacing w:after="0" w:line="231" w:lineRule="exact"/>
        <w:rPr>
          <w:sz w:val="20"/>
          <w:szCs w:val="20"/>
          <w:color w:val="auto"/>
        </w:rPr>
      </w:pPr>
    </w:p>
    <w:p>
      <w:pPr>
        <w:ind w:left="361" w:right="80" w:hanging="360"/>
        <w:spacing w:after="0" w:line="250" w:lineRule="auto"/>
        <w:tabs>
          <w:tab w:leader="none" w:pos="361"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amounts in this column represent the aggregate grant date fair value of the restricted stock unit awards granted during 2025, determined in accordance with Financial Accounting Standards Board (FASB) Accounting Standards Codification (ASC) Topic 718. AbbVie generally determines the grant date fair value of the awards by multiplying the number of units granted by the average of the high and low market prices of one share of AbbVie common stock on the award grant date.</w:t>
      </w:r>
    </w:p>
    <w:p>
      <w:pPr>
        <w:spacing w:after="0" w:line="111" w:lineRule="exact"/>
        <w:rPr>
          <w:rFonts w:ascii="Arial" w:cs="Arial" w:eastAsia="Arial" w:hAnsi="Arial"/>
          <w:sz w:val="20"/>
          <w:szCs w:val="20"/>
          <w:color w:val="auto"/>
        </w:rPr>
      </w:pPr>
    </w:p>
    <w:p>
      <w:pPr>
        <w:ind w:left="361" w:right="40"/>
        <w:spacing w:after="0" w:line="245" w:lineRule="auto"/>
        <w:rPr>
          <w:rFonts w:ascii="Arial" w:cs="Arial" w:eastAsia="Arial" w:hAnsi="Arial"/>
          <w:sz w:val="20"/>
          <w:szCs w:val="20"/>
          <w:color w:val="auto"/>
        </w:rPr>
      </w:pPr>
      <w:r>
        <w:rPr>
          <w:rFonts w:ascii="Arial" w:cs="Arial" w:eastAsia="Arial" w:hAnsi="Arial"/>
          <w:sz w:val="20"/>
          <w:szCs w:val="20"/>
          <w:color w:val="auto"/>
        </w:rPr>
        <w:t>In addition to the fees described in footnote (1), each non-employee director elected to or serving on the Board of Directors on the day of the 2025 annual stockholder meeting received under the AbbVie Amended and Restated 2013 Incentive Stock Program vested restricted stock units with a target grant date value of $225,000. In 2025, this equated to 1,203 restricted stock units (after rounding the award down to the nearest whole unit), with a reportable value of $224,961. The non-employee directors receive cash payments equal to the dividends paid on the shares covered by the units at the same rate as other stockholders, but do not otherwise have access to the restricted stock units during their Board service. Upon termination or retirement from the Board, death, or a change in control of the company, a non-employee director will receive one common share for each restricted stock unit outstanding.</w:t>
      </w:r>
    </w:p>
    <w:p>
      <w:pPr>
        <w:spacing w:after="0" w:line="117" w:lineRule="exact"/>
        <w:rPr>
          <w:rFonts w:ascii="Arial" w:cs="Arial" w:eastAsia="Arial" w:hAnsi="Arial"/>
          <w:sz w:val="20"/>
          <w:szCs w:val="20"/>
          <w:color w:val="auto"/>
        </w:rPr>
      </w:pPr>
    </w:p>
    <w:p>
      <w:pPr>
        <w:ind w:left="361" w:right="20"/>
        <w:spacing w:after="0" w:line="249" w:lineRule="auto"/>
        <w:rPr>
          <w:rFonts w:ascii="Arial" w:cs="Arial" w:eastAsia="Arial" w:hAnsi="Arial"/>
          <w:sz w:val="20"/>
          <w:szCs w:val="20"/>
          <w:color w:val="auto"/>
        </w:rPr>
      </w:pPr>
      <w:r>
        <w:rPr>
          <w:rFonts w:ascii="Arial" w:cs="Arial" w:eastAsia="Arial" w:hAnsi="Arial"/>
          <w:sz w:val="20"/>
          <w:szCs w:val="20"/>
          <w:color w:val="auto"/>
        </w:rPr>
        <w:t>The following AbbVie non-employee director restricted stock units were outstanding as of December 31, 2025: R. Alpern, 35,517; R. Austin, 26,958; W. Burnside, 26,958; J. Davis, 2,525; T. Falk, 1,203; T. Freyman, 9,410; B. Hart, 19,472; M. Meyer, 16,498; S. Quaggin, 2,525; E. Rapp, 26,958; R. Roberts, 13,728; and</w:t>
      </w:r>
    </w:p>
    <w:p>
      <w:pPr>
        <w:spacing w:after="0" w:line="1" w:lineRule="exact"/>
        <w:rPr>
          <w:rFonts w:ascii="Arial" w:cs="Arial" w:eastAsia="Arial" w:hAnsi="Arial"/>
          <w:sz w:val="20"/>
          <w:szCs w:val="20"/>
          <w:color w:val="auto"/>
        </w:rPr>
      </w:pPr>
    </w:p>
    <w:p>
      <w:pPr>
        <w:ind w:left="361"/>
        <w:spacing w:after="0"/>
        <w:rPr>
          <w:rFonts w:ascii="Arial" w:cs="Arial" w:eastAsia="Arial" w:hAnsi="Arial"/>
          <w:sz w:val="20"/>
          <w:szCs w:val="20"/>
          <w:color w:val="auto"/>
        </w:rPr>
      </w:pPr>
      <w:r>
        <w:rPr>
          <w:rFonts w:ascii="Arial" w:cs="Arial" w:eastAsia="Arial" w:hAnsi="Arial"/>
          <w:sz w:val="20"/>
          <w:szCs w:val="20"/>
          <w:color w:val="auto"/>
        </w:rPr>
        <w:t>F. Waddell, 26,958.</w:t>
      </w:r>
    </w:p>
    <w:p>
      <w:pPr>
        <w:spacing w:after="0" w:line="133" w:lineRule="exact"/>
        <w:rPr>
          <w:sz w:val="20"/>
          <w:szCs w:val="20"/>
          <w:color w:val="auto"/>
        </w:rPr>
      </w:pPr>
    </w:p>
    <w:p>
      <w:pPr>
        <w:ind w:left="361" w:right="40"/>
        <w:spacing w:after="0" w:line="247" w:lineRule="auto"/>
        <w:rPr>
          <w:sz w:val="20"/>
          <w:szCs w:val="20"/>
          <w:color w:val="auto"/>
        </w:rPr>
      </w:pPr>
      <w:r>
        <w:rPr>
          <w:rFonts w:ascii="Arial" w:cs="Arial" w:eastAsia="Arial" w:hAnsi="Arial"/>
          <w:sz w:val="20"/>
          <w:szCs w:val="20"/>
          <w:color w:val="auto"/>
        </w:rPr>
        <w:t>For Mr. Gonzalez, the amount in this column represents the total grant date fair value of performance awards granted to him on February 13, 2025. Mr. Gonzalez’s award terms and assumptions are consistent with our NEOs, as described in the “Executive Compensation” section of this proxy statement. The number of performance shares and performance-vested restricted stock units held by Mr. Gonzalez as of December 31, 2025, was 112,450 and 68,458, respectively. Mr. Gonzalez met the age and service conditions for retirement eligibility under the performance award agreements; therefore, his awards will continue to vest over the three-year performance period subject to award terms.</w:t>
      </w:r>
    </w:p>
    <w:p>
      <w:pPr>
        <w:spacing w:after="0" w:line="114" w:lineRule="exact"/>
        <w:rPr>
          <w:sz w:val="20"/>
          <w:szCs w:val="20"/>
          <w:color w:val="auto"/>
        </w:rPr>
      </w:pPr>
    </w:p>
    <w:p>
      <w:pPr>
        <w:ind w:left="361" w:hanging="360"/>
        <w:spacing w:after="0"/>
        <w:tabs>
          <w:tab w:leader="none" w:pos="361" w:val="left"/>
        </w:tabs>
        <w:numPr>
          <w:ilvl w:val="0"/>
          <w:numId w:val="86"/>
        </w:numPr>
        <w:rPr>
          <w:rFonts w:ascii="Arial" w:cs="Arial" w:eastAsia="Arial" w:hAnsi="Arial"/>
          <w:sz w:val="20"/>
          <w:szCs w:val="20"/>
          <w:color w:val="auto"/>
        </w:rPr>
      </w:pPr>
      <w:r>
        <w:rPr>
          <w:rFonts w:ascii="Arial" w:cs="Arial" w:eastAsia="Arial" w:hAnsi="Arial"/>
          <w:sz w:val="20"/>
          <w:szCs w:val="20"/>
          <w:color w:val="auto"/>
        </w:rPr>
        <w:t>For non-employee directors, no AbbVie stock options were outstanding as of December 31, 2025. For</w:t>
      </w:r>
    </w:p>
    <w:p>
      <w:pPr>
        <w:spacing w:after="0" w:line="26" w:lineRule="exact"/>
        <w:rPr>
          <w:rFonts w:ascii="Arial" w:cs="Arial" w:eastAsia="Arial" w:hAnsi="Arial"/>
          <w:sz w:val="20"/>
          <w:szCs w:val="20"/>
          <w:color w:val="auto"/>
        </w:rPr>
      </w:pPr>
    </w:p>
    <w:p>
      <w:pPr>
        <w:ind w:left="361" w:right="100"/>
        <w:spacing w:after="0" w:line="243" w:lineRule="auto"/>
        <w:rPr>
          <w:rFonts w:ascii="Arial" w:cs="Arial" w:eastAsia="Arial" w:hAnsi="Arial"/>
          <w:sz w:val="20"/>
          <w:szCs w:val="20"/>
          <w:color w:val="auto"/>
        </w:rPr>
      </w:pPr>
      <w:r>
        <w:rPr>
          <w:rFonts w:ascii="Arial" w:cs="Arial" w:eastAsia="Arial" w:hAnsi="Arial"/>
          <w:sz w:val="20"/>
          <w:szCs w:val="20"/>
          <w:color w:val="auto"/>
        </w:rPr>
        <w:t>Mr. Gonzalez, the amount in this column represents the grant date fair value of stock options granted to him on February 13, 2025. Mr. Gonzalez’s award terms and assumptions are consistent with our NEOs, as described in the “Executive Compensation” section of this proxy statement. The aggregate number of stock options held by Mr. Gonzalez as of December 31, 2025, was 450,981. Mr. Gonzalez met the age and service conditions for retirement eligibility under the option award agreements; therefore, his unvested options will continue to vest and vested options will remain exercisable subject to award terms.</w:t>
      </w:r>
    </w:p>
    <w:p>
      <w:pPr>
        <w:spacing w:after="0" w:line="116" w:lineRule="exact"/>
        <w:rPr>
          <w:rFonts w:ascii="Arial" w:cs="Arial" w:eastAsia="Arial" w:hAnsi="Arial"/>
          <w:sz w:val="20"/>
          <w:szCs w:val="20"/>
          <w:color w:val="auto"/>
        </w:rPr>
      </w:pPr>
    </w:p>
    <w:p>
      <w:pPr>
        <w:ind w:left="361" w:right="20" w:hanging="360"/>
        <w:spacing w:after="0" w:line="250" w:lineRule="auto"/>
        <w:tabs>
          <w:tab w:leader="none" w:pos="361" w:val="left"/>
        </w:tabs>
        <w:numPr>
          <w:ilvl w:val="0"/>
          <w:numId w:val="86"/>
        </w:numPr>
        <w:rPr>
          <w:rFonts w:ascii="Arial" w:cs="Arial" w:eastAsia="Arial" w:hAnsi="Arial"/>
          <w:sz w:val="20"/>
          <w:szCs w:val="20"/>
          <w:color w:val="auto"/>
        </w:rPr>
      </w:pPr>
      <w:r>
        <w:rPr>
          <w:rFonts w:ascii="Arial" w:cs="Arial" w:eastAsia="Arial" w:hAnsi="Arial"/>
          <w:sz w:val="20"/>
          <w:szCs w:val="20"/>
          <w:color w:val="auto"/>
        </w:rPr>
        <w:t>For non-employee directors, the totals in this column include reportable interest credited under the AbbVie Non-Employee Directors’ Fee Plan during 2025. For Mr. Gonzalez, the totals in this column include reportable interest of $1,721,855 credited under his AbbVie Performance Incentive Plan and the AbbVie Supplemental Savings Plan grantor trusts, consistent with those established by eligible NEOs as described in the “Executive Compensation” section of this proxy statement.</w:t>
      </w:r>
    </w:p>
    <w:p>
      <w:pPr>
        <w:spacing w:after="0" w:line="112" w:lineRule="exact"/>
        <w:rPr>
          <w:rFonts w:ascii="Arial" w:cs="Arial" w:eastAsia="Arial" w:hAnsi="Arial"/>
          <w:sz w:val="20"/>
          <w:szCs w:val="20"/>
          <w:color w:val="auto"/>
        </w:rPr>
      </w:pPr>
    </w:p>
    <w:p>
      <w:pPr>
        <w:ind w:left="361" w:right="120"/>
        <w:spacing w:after="0" w:line="250" w:lineRule="auto"/>
        <w:rPr>
          <w:rFonts w:ascii="Arial" w:cs="Arial" w:eastAsia="Arial" w:hAnsi="Arial"/>
          <w:sz w:val="20"/>
          <w:szCs w:val="20"/>
          <w:color w:val="auto"/>
        </w:rPr>
      </w:pPr>
      <w:r>
        <w:rPr>
          <w:rFonts w:ascii="Arial" w:cs="Arial" w:eastAsia="Arial" w:hAnsi="Arial"/>
          <w:sz w:val="20"/>
          <w:szCs w:val="20"/>
          <w:color w:val="auto"/>
        </w:rPr>
        <w:t>Mr. Gonzalez’s change in pension value during 2025 under the AbbVie Pension Plan was $(54,397) and under the AbbVie Supplemental Pension Plan was $(945,535), in each case, which is excluded from this column in accordance with SEC rules since the aggregate is negative. The terms and assumptions related to the plan amounts are consistent with our NEOs as described in the “Executive Compensation” section of this proxy statement.</w:t>
      </w:r>
    </w:p>
    <w:p>
      <w:pPr>
        <w:spacing w:after="0" w:line="111" w:lineRule="exact"/>
        <w:rPr>
          <w:rFonts w:ascii="Arial" w:cs="Arial" w:eastAsia="Arial" w:hAnsi="Arial"/>
          <w:sz w:val="20"/>
          <w:szCs w:val="20"/>
          <w:color w:val="auto"/>
        </w:rPr>
      </w:pPr>
    </w:p>
    <w:p>
      <w:pPr>
        <w:ind w:left="361" w:right="160" w:hanging="361"/>
        <w:spacing w:after="0" w:line="258" w:lineRule="auto"/>
        <w:tabs>
          <w:tab w:leader="none" w:pos="361" w:val="left"/>
        </w:tabs>
        <w:numPr>
          <w:ilvl w:val="0"/>
          <w:numId w:val="86"/>
        </w:numPr>
        <w:rPr>
          <w:rFonts w:ascii="Arial" w:cs="Arial" w:eastAsia="Arial" w:hAnsi="Arial"/>
          <w:sz w:val="19"/>
          <w:szCs w:val="19"/>
          <w:color w:val="auto"/>
        </w:rPr>
      </w:pPr>
      <w:r>
        <w:rPr>
          <w:rFonts w:ascii="Arial" w:cs="Arial" w:eastAsia="Arial" w:hAnsi="Arial"/>
          <w:sz w:val="19"/>
          <w:szCs w:val="19"/>
          <w:color w:val="auto"/>
        </w:rPr>
        <w:t>Charitable contributions made by AbbVie’s non-employee directors and Mr. Gonzalez are eligible for a matching contribution (up to $25,000 annually). For 2025 contributions, the AbbVie Foundation made charitable matching contributions on behalf of the following AbbVie directors: R. Alpern, $25,000; R. Austin, $25,000; W. Burnside, $25,000; J. Davis, $25,000; T. Falk, $25,000; T. Freyman, $25,000; B. Hart, $25,000; M. Meyer, $25,000; S. Quaggin, $7,663; E. Rapp, $25,000; R. Roberts, $25,000; G. Tilton, $25,000;</w:t>
      </w:r>
    </w:p>
    <w:p>
      <w:pPr>
        <w:spacing w:after="0" w:line="3" w:lineRule="exact"/>
        <w:rPr>
          <w:sz w:val="20"/>
          <w:szCs w:val="20"/>
          <w:color w:val="auto"/>
        </w:rPr>
      </w:pPr>
    </w:p>
    <w:p>
      <w:pPr>
        <w:ind w:left="361"/>
        <w:spacing w:after="0"/>
        <w:rPr>
          <w:sz w:val="20"/>
          <w:szCs w:val="20"/>
          <w:color w:val="auto"/>
        </w:rPr>
      </w:pPr>
      <w:r>
        <w:rPr>
          <w:rFonts w:ascii="Arial" w:cs="Arial" w:eastAsia="Arial" w:hAnsi="Arial"/>
          <w:sz w:val="20"/>
          <w:szCs w:val="20"/>
          <w:color w:val="auto"/>
        </w:rPr>
        <w:t>F. Waddell, $25,000; and R. Gonzalez, $20,000.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5501"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-212725</wp:posOffset>
            </wp:positionV>
            <wp:extent cx="991870" cy="2006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96">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1"/>
          </w:cols>
          <w:pgMar w:left="899" w:top="702" w:right="900" w:bottom="0" w:gutter="0" w:footer="0" w:header="0"/>
        </w:sectPr>
      </w:pPr>
    </w:p>
    <w:bookmarkStart w:id="156" w:name="page157"/>
    <w:bookmarkEnd w:id="156"/>
    <w:p>
      <w:pPr>
        <w:spacing w:after="0"/>
        <w:rPr>
          <w:sz w:val="20"/>
          <w:szCs w:val="20"/>
          <w:color w:val="auto"/>
        </w:rPr>
      </w:pPr>
      <w:r>
        <w:rPr>
          <w:rFonts w:ascii="Arial" w:cs="Arial" w:eastAsia="Arial" w:hAnsi="Arial"/>
          <w:sz w:val="20"/>
          <w:szCs w:val="20"/>
          <w:color w:val="808080"/>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This column also includes reimbursement for certain taxes related to spousal air and other travel, and</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Mr. Gonzalez’s post-retirement use of an AbbVie office and administrative assistant (see below), as follows:</w:t>
      </w:r>
    </w:p>
    <w:p>
      <w:pPr>
        <w:ind w:left="360"/>
        <w:spacing w:after="0"/>
        <w:rPr>
          <w:sz w:val="20"/>
          <w:szCs w:val="20"/>
          <w:color w:val="auto"/>
        </w:rPr>
      </w:pPr>
      <w:r>
        <w:rPr>
          <w:rFonts w:ascii="Arial" w:cs="Arial" w:eastAsia="Arial" w:hAnsi="Arial"/>
          <w:sz w:val="20"/>
          <w:szCs w:val="20"/>
          <w:color w:val="auto"/>
        </w:rPr>
        <w:t>E. Rapp, $560; G. Tilton, $1,996; and R. Gonzalez, $116,884.</w:t>
      </w:r>
    </w:p>
    <w:p>
      <w:pPr>
        <w:spacing w:after="0" w:line="134" w:lineRule="exact"/>
        <w:rPr>
          <w:sz w:val="20"/>
          <w:szCs w:val="20"/>
          <w:color w:val="auto"/>
        </w:rPr>
      </w:pPr>
    </w:p>
    <w:p>
      <w:pPr>
        <w:ind w:left="360"/>
        <w:spacing w:after="0" w:line="248" w:lineRule="auto"/>
        <w:rPr>
          <w:sz w:val="20"/>
          <w:szCs w:val="20"/>
          <w:color w:val="auto"/>
        </w:rPr>
      </w:pPr>
      <w:r>
        <w:rPr>
          <w:rFonts w:ascii="Arial" w:cs="Arial" w:eastAsia="Arial" w:hAnsi="Arial"/>
          <w:sz w:val="20"/>
          <w:szCs w:val="20"/>
          <w:color w:val="auto"/>
        </w:rPr>
        <w:t>For Mr. Gonzalez, this column includes $1,022,959 attributable to earnings under the AbbVie Performance Incentive Plan grantor trust and $289,270 attributable to earnings under the AbbVie Supplemental Savings Plan grantor trust, in each case, net of the reportable interest previously included in the 2025 proxy statement. It also includes $784,615 in base salary he earned in 2025 through his retirement. The 2025 proxy statement details the decisions regarding his base salary as Executive Chairman, which was not adjusted through his retirement date. Mr. Gonzalez was not eligible for a 2025 bonus due to his retirement.</w:t>
      </w:r>
    </w:p>
    <w:p>
      <w:pPr>
        <w:spacing w:after="0" w:line="184" w:lineRule="exact"/>
        <w:rPr>
          <w:sz w:val="20"/>
          <w:szCs w:val="20"/>
          <w:color w:val="auto"/>
        </w:rPr>
      </w:pPr>
    </w:p>
    <w:p>
      <w:pPr>
        <w:ind w:left="360"/>
        <w:spacing w:after="0" w:line="244" w:lineRule="auto"/>
        <w:rPr>
          <w:sz w:val="20"/>
          <w:szCs w:val="20"/>
          <w:color w:val="auto"/>
        </w:rPr>
      </w:pPr>
      <w:r>
        <w:rPr>
          <w:rFonts w:ascii="Arial" w:cs="Arial" w:eastAsia="Arial" w:hAnsi="Arial"/>
          <w:sz w:val="20"/>
          <w:szCs w:val="20"/>
          <w:color w:val="auto"/>
        </w:rPr>
        <w:t>As Executive Chairman, Mr. Gonzalez was entitled to the same benefits as our NEOs, as described in the “Executive Compensation” section of this proxy statement. The amount in this column includes the following benefits: AbbVie contributions to the AbbVie Savings Plan and the AbbVie Supplemental Savings Plan, as applicable, in the amount of $ 39,231; the cost of providing a corporate automobile (less the amount reimbursed by Mr. Gonzalez) in the amount of $21,132; a financial planning services allowance in the amount of $10,000; and the cost of non- business-related air and other travel and services (less the amount reimbursed by Mr. Gonzalez) in the amount of $1,726. Mr. Gonzalez was also eligible to participate in the same executive disability benefit as our NEOs described in the “Executive Compensation – Potential Payments upon Termination or Change in Control” section of this proxy statement. Following his retirement as Executive Chairman, Mr. Gonzalez continued to have access to an AbbVie office and administrative assistant support for a period of transition. This is valued at approximately $178,426 from July 1, 2025 (the date of his retirement) to December 31, 2025.</w:t>
      </w:r>
    </w:p>
    <w:p>
      <w:pPr>
        <w:spacing w:after="0" w:line="116" w:lineRule="exact"/>
        <w:rPr>
          <w:sz w:val="20"/>
          <w:szCs w:val="20"/>
          <w:color w:val="auto"/>
        </w:rPr>
      </w:pPr>
    </w:p>
    <w:p>
      <w:pPr>
        <w:ind w:left="360" w:hanging="360"/>
        <w:spacing w:after="0"/>
        <w:tabs>
          <w:tab w:leader="none" w:pos="3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Mr. Falk was appointed to the Board effective May 9, 2025.</w:t>
      </w:r>
    </w:p>
    <w:p>
      <w:pPr>
        <w:spacing w:after="0" w:line="229" w:lineRule="exact"/>
        <w:rPr>
          <w:rFonts w:ascii="Arial" w:cs="Arial" w:eastAsia="Arial" w:hAnsi="Arial"/>
          <w:sz w:val="20"/>
          <w:szCs w:val="20"/>
          <w:color w:val="auto"/>
        </w:rPr>
      </w:pPr>
    </w:p>
    <w:p>
      <w:pPr>
        <w:ind w:left="360" w:hanging="360"/>
        <w:spacing w:after="0"/>
        <w:tabs>
          <w:tab w:leader="none" w:pos="3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Mr. Tilton retired from the Board effective July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28  </w:t>
      </w:r>
      <w:r>
        <w:rPr>
          <w:sz w:val="1"/>
          <w:szCs w:val="1"/>
          <w:color w:val="auto"/>
        </w:rPr>
        <w:drawing>
          <wp:inline distT="0" distB="0" distL="0" distR="0">
            <wp:extent cx="991870" cy="20066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97">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57" w:name="page158"/>
    <w:bookmarkEnd w:id="157"/>
    <w:p>
      <w:pPr>
        <w:spacing w:after="0"/>
        <w:rPr>
          <w:sz w:val="20"/>
          <w:szCs w:val="20"/>
          <w:color w:val="auto"/>
        </w:rPr>
      </w:pPr>
      <w:r>
        <w:rPr>
          <w:rFonts w:ascii="Arial" w:cs="Arial" w:eastAsia="Arial" w:hAnsi="Arial"/>
          <w:sz w:val="40"/>
          <w:szCs w:val="40"/>
          <w:color w:val="000039"/>
        </w:rPr>
        <w:t>SECURITIES OWNERSHIP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46355</wp:posOffset>
                </wp:positionV>
                <wp:extent cx="6438265"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65pt" to="505.5pt,3.65pt" o:allowincell="f" strokecolor="#000039" strokeweight="1.5pt"/>
            </w:pict>
          </mc:Fallback>
        </mc:AlternateContent>
      </w:r>
    </w:p>
    <w:p>
      <w:pPr>
        <w:sectPr>
          <w:pgSz w:w="11880" w:h="15480" w:orient="portrait"/>
          <w:cols w:equalWidth="0" w:num="1">
            <w:col w:w="10080"/>
          </w:cols>
          <w:pgMar w:left="900" w:top="861" w:right="900" w:bottom="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36"/>
          <w:szCs w:val="36"/>
          <w:color w:val="auto"/>
        </w:rPr>
        <w:t>Securities Ownership of Executive Officers and Directors</w:t>
      </w:r>
    </w:p>
    <w:p>
      <w:pPr>
        <w:spacing w:after="0" w:line="297"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The table below reflects the number of shares of AbbVie common stock beneficially owned as of March 6, 2026, by each director and director nominee, the Chief Executive Officer, the Chief Financial Officer, and the three other most highly paid executive officers (NEOs), and by all directors and executive officers of AbbVie as a group. It also reflects the number of restricted stock units held by non-employee directors under the AbbVie Amended and Restated 2013 Incentive Stock Program.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20" w:type="dxa"/>
            <w:vAlign w:val="bottom"/>
          </w:tcPr>
          <w:p>
            <w:pPr>
              <w:jc w:val="right"/>
              <w:ind w:right="184"/>
              <w:spacing w:after="0"/>
              <w:rPr>
                <w:sz w:val="20"/>
                <w:szCs w:val="20"/>
                <w:color w:val="auto"/>
              </w:rPr>
            </w:pPr>
            <w:r>
              <w:rPr>
                <w:rFonts w:ascii="Arial" w:cs="Arial" w:eastAsia="Arial" w:hAnsi="Arial"/>
                <w:sz w:val="16"/>
                <w:szCs w:val="16"/>
                <w:b w:val="1"/>
                <w:bCs w:val="1"/>
                <w:color w:val="000039"/>
              </w:rPr>
              <w:t>Stock Options</w:t>
            </w:r>
          </w:p>
        </w:tc>
      </w:tr>
      <w:tr>
        <w:trPr>
          <w:trHeight w:val="184"/>
        </w:trPr>
        <w:tc>
          <w:tcPr>
            <w:tcW w:w="2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200" w:type="dxa"/>
            <w:vAlign w:val="bottom"/>
          </w:tcPr>
          <w:p>
            <w:pPr>
              <w:jc w:val="right"/>
              <w:ind w:right="85"/>
              <w:spacing w:after="0"/>
              <w:rPr>
                <w:sz w:val="20"/>
                <w:szCs w:val="20"/>
                <w:color w:val="auto"/>
              </w:rPr>
            </w:pPr>
            <w:r>
              <w:rPr>
                <w:rFonts w:ascii="Arial" w:cs="Arial" w:eastAsia="Arial" w:hAnsi="Arial"/>
                <w:sz w:val="16"/>
                <w:szCs w:val="16"/>
                <w:b w:val="1"/>
                <w:bCs w:val="1"/>
                <w:color w:val="000039"/>
              </w:rPr>
              <w:t>Shares</w:t>
            </w:r>
          </w:p>
        </w:tc>
        <w:tc>
          <w:tcPr>
            <w:tcW w:w="1720" w:type="dxa"/>
            <w:vAlign w:val="bottom"/>
          </w:tcPr>
          <w:p>
            <w:pPr>
              <w:jc w:val="right"/>
              <w:ind w:right="184"/>
              <w:spacing w:after="0"/>
              <w:rPr>
                <w:sz w:val="20"/>
                <w:szCs w:val="20"/>
                <w:color w:val="auto"/>
              </w:rPr>
            </w:pPr>
            <w:r>
              <w:rPr>
                <w:rFonts w:ascii="Arial" w:cs="Arial" w:eastAsia="Arial" w:hAnsi="Arial"/>
                <w:sz w:val="16"/>
                <w:szCs w:val="16"/>
                <w:b w:val="1"/>
                <w:bCs w:val="1"/>
                <w:color w:val="000039"/>
              </w:rPr>
              <w:t>Exercisable</w:t>
            </w:r>
          </w:p>
        </w:tc>
      </w:tr>
      <w:tr>
        <w:trPr>
          <w:trHeight w:val="184"/>
        </w:trPr>
        <w:tc>
          <w:tcPr>
            <w:tcW w:w="2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200" w:type="dxa"/>
            <w:vAlign w:val="bottom"/>
          </w:tcPr>
          <w:p>
            <w:pPr>
              <w:jc w:val="right"/>
              <w:ind w:right="85"/>
              <w:spacing w:after="0"/>
              <w:rPr>
                <w:sz w:val="20"/>
                <w:szCs w:val="20"/>
                <w:color w:val="auto"/>
              </w:rPr>
            </w:pPr>
            <w:r>
              <w:rPr>
                <w:rFonts w:ascii="Arial" w:cs="Arial" w:eastAsia="Arial" w:hAnsi="Arial"/>
                <w:sz w:val="16"/>
                <w:szCs w:val="16"/>
                <w:b w:val="1"/>
                <w:bCs w:val="1"/>
                <w:color w:val="000039"/>
              </w:rPr>
              <w:t>Beneficially</w:t>
            </w:r>
          </w:p>
        </w:tc>
        <w:tc>
          <w:tcPr>
            <w:tcW w:w="1720" w:type="dxa"/>
            <w:vAlign w:val="bottom"/>
          </w:tcPr>
          <w:p>
            <w:pPr>
              <w:jc w:val="right"/>
              <w:ind w:right="184"/>
              <w:spacing w:after="0"/>
              <w:rPr>
                <w:sz w:val="20"/>
                <w:szCs w:val="20"/>
                <w:color w:val="auto"/>
              </w:rPr>
            </w:pPr>
            <w:r>
              <w:rPr>
                <w:rFonts w:ascii="Arial" w:cs="Arial" w:eastAsia="Arial" w:hAnsi="Arial"/>
                <w:sz w:val="16"/>
                <w:szCs w:val="16"/>
                <w:b w:val="1"/>
                <w:bCs w:val="1"/>
                <w:color w:val="000039"/>
              </w:rPr>
              <w:t>within 60 days</w:t>
            </w:r>
          </w:p>
        </w:tc>
      </w:tr>
      <w:tr>
        <w:trPr>
          <w:trHeight w:val="202"/>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000039"/>
              </w:rPr>
              <w:t>Name</w:t>
            </w:r>
          </w:p>
        </w:tc>
        <w:tc>
          <w:tcPr>
            <w:tcW w:w="2200" w:type="dxa"/>
            <w:vAlign w:val="bottom"/>
            <w:tcBorders>
              <w:bottom w:val="single" w:sz="8" w:color="auto"/>
            </w:tcBorders>
          </w:tcPr>
          <w:p>
            <w:pPr>
              <w:jc w:val="right"/>
              <w:ind w:right="85"/>
              <w:spacing w:after="0" w:line="202" w:lineRule="exact"/>
              <w:rPr>
                <w:sz w:val="20"/>
                <w:szCs w:val="20"/>
                <w:color w:val="auto"/>
              </w:rPr>
            </w:pPr>
            <w:r>
              <w:rPr>
                <w:rFonts w:ascii="Arial" w:cs="Arial" w:eastAsia="Arial" w:hAnsi="Arial"/>
                <w:sz w:val="23"/>
                <w:szCs w:val="23"/>
                <w:b w:val="1"/>
                <w:bCs w:val="1"/>
                <w:color w:val="000039"/>
                <w:vertAlign w:val="subscript"/>
              </w:rPr>
              <w:t>Owned</w:t>
            </w:r>
            <w:r>
              <w:rPr>
                <w:rFonts w:ascii="Arial" w:cs="Arial" w:eastAsia="Arial" w:hAnsi="Arial"/>
                <w:sz w:val="8"/>
                <w:szCs w:val="8"/>
                <w:b w:val="1"/>
                <w:bCs w:val="1"/>
                <w:color w:val="000039"/>
              </w:rPr>
              <w:t xml:space="preserve"> (1)(2)(3)</w:t>
            </w:r>
          </w:p>
        </w:tc>
        <w:tc>
          <w:tcPr>
            <w:tcW w:w="17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000039"/>
              </w:rPr>
              <w:t>of March 6, 2026</w:t>
            </w:r>
          </w:p>
        </w:tc>
      </w:tr>
      <w:tr>
        <w:trPr>
          <w:trHeight w:val="220"/>
        </w:trPr>
        <w:tc>
          <w:tcPr>
            <w:tcW w:w="5320" w:type="dxa"/>
            <w:vAlign w:val="bottom"/>
            <w:gridSpan w:val="2"/>
            <w:shd w:val="clear" w:color="auto" w:fill="D9D9D9"/>
          </w:tcPr>
          <w:p>
            <w:pPr>
              <w:spacing w:after="0" w:line="220" w:lineRule="exact"/>
              <w:rPr>
                <w:sz w:val="20"/>
                <w:szCs w:val="20"/>
                <w:color w:val="auto"/>
              </w:rPr>
            </w:pPr>
            <w:r>
              <w:rPr>
                <w:rFonts w:ascii="Arial" w:cs="Arial" w:eastAsia="Arial" w:hAnsi="Arial"/>
                <w:sz w:val="20"/>
                <w:szCs w:val="20"/>
                <w:color w:val="auto"/>
              </w:rPr>
              <w:t>R. Michael</w:t>
            </w:r>
          </w:p>
        </w:tc>
        <w:tc>
          <w:tcPr>
            <w:tcW w:w="2200" w:type="dxa"/>
            <w:vAlign w:val="bottom"/>
            <w:shd w:val="clear" w:color="auto" w:fill="D9D9D9"/>
          </w:tcPr>
          <w:p>
            <w:pPr>
              <w:jc w:val="right"/>
              <w:ind w:right="125"/>
              <w:spacing w:after="0" w:line="220" w:lineRule="exact"/>
              <w:rPr>
                <w:sz w:val="20"/>
                <w:szCs w:val="20"/>
                <w:color w:val="auto"/>
              </w:rPr>
            </w:pPr>
            <w:r>
              <w:rPr>
                <w:rFonts w:ascii="Arial" w:cs="Arial" w:eastAsia="Arial" w:hAnsi="Arial"/>
                <w:sz w:val="20"/>
                <w:szCs w:val="20"/>
                <w:color w:val="auto"/>
              </w:rPr>
              <w:t>178,737</w:t>
            </w:r>
          </w:p>
        </w:tc>
        <w:tc>
          <w:tcPr>
            <w:tcW w:w="1720" w:type="dxa"/>
            <w:vAlign w:val="bottom"/>
            <w:shd w:val="clear" w:color="auto" w:fill="D9D9D9"/>
          </w:tcPr>
          <w:p>
            <w:pPr>
              <w:jc w:val="right"/>
              <w:ind w:right="204"/>
              <w:spacing w:after="0" w:line="220" w:lineRule="exact"/>
              <w:rPr>
                <w:sz w:val="20"/>
                <w:szCs w:val="20"/>
                <w:color w:val="auto"/>
              </w:rPr>
            </w:pPr>
            <w:r>
              <w:rPr>
                <w:rFonts w:ascii="Arial" w:cs="Arial" w:eastAsia="Arial" w:hAnsi="Arial"/>
                <w:sz w:val="20"/>
                <w:szCs w:val="20"/>
                <w:color w:val="auto"/>
              </w:rPr>
              <w:t>395,588</w:t>
            </w:r>
          </w:p>
        </w:tc>
      </w:tr>
      <w:tr>
        <w:trPr>
          <w:trHeight w:val="230"/>
        </w:trPr>
        <w:tc>
          <w:tcPr>
            <w:tcW w:w="5320" w:type="dxa"/>
            <w:vAlign w:val="bottom"/>
            <w:gridSpan w:val="2"/>
          </w:tcPr>
          <w:p>
            <w:pPr>
              <w:spacing w:after="0"/>
              <w:rPr>
                <w:sz w:val="20"/>
                <w:szCs w:val="20"/>
                <w:color w:val="auto"/>
              </w:rPr>
            </w:pPr>
            <w:r>
              <w:rPr>
                <w:rFonts w:ascii="Arial" w:cs="Arial" w:eastAsia="Arial" w:hAnsi="Arial"/>
                <w:sz w:val="20"/>
                <w:szCs w:val="20"/>
                <w:color w:val="auto"/>
              </w:rPr>
              <w:t>R. Alpern</w:t>
            </w:r>
          </w:p>
        </w:tc>
        <w:tc>
          <w:tcPr>
            <w:tcW w:w="2200" w:type="dxa"/>
            <w:vAlign w:val="bottom"/>
          </w:tcPr>
          <w:p>
            <w:pPr>
              <w:jc w:val="right"/>
              <w:ind w:right="125"/>
              <w:spacing w:after="0"/>
              <w:rPr>
                <w:sz w:val="20"/>
                <w:szCs w:val="20"/>
                <w:color w:val="auto"/>
              </w:rPr>
            </w:pPr>
            <w:r>
              <w:rPr>
                <w:rFonts w:ascii="Arial" w:cs="Arial" w:eastAsia="Arial" w:hAnsi="Arial"/>
                <w:sz w:val="20"/>
                <w:szCs w:val="20"/>
                <w:color w:val="auto"/>
              </w:rPr>
              <w:t>35,646</w:t>
            </w:r>
          </w:p>
        </w:tc>
        <w:tc>
          <w:tcPr>
            <w:tcW w:w="1720" w:type="dxa"/>
            <w:vAlign w:val="bottom"/>
          </w:tcPr>
          <w:p>
            <w:pPr>
              <w:jc w:val="right"/>
              <w:ind w:right="204"/>
              <w:spacing w:after="0"/>
              <w:rPr>
                <w:sz w:val="20"/>
                <w:szCs w:val="20"/>
                <w:color w:val="auto"/>
              </w:rPr>
            </w:pPr>
            <w:r>
              <w:rPr>
                <w:rFonts w:ascii="Arial" w:cs="Arial" w:eastAsia="Arial" w:hAnsi="Arial"/>
                <w:sz w:val="20"/>
                <w:szCs w:val="20"/>
                <w:color w:val="auto"/>
              </w:rPr>
              <w:t>0</w:t>
            </w:r>
          </w:p>
        </w:tc>
      </w:tr>
      <w:tr>
        <w:trPr>
          <w:trHeight w:val="230"/>
        </w:trPr>
        <w:tc>
          <w:tcPr>
            <w:tcW w:w="53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R. Austin</w:t>
            </w:r>
          </w:p>
        </w:tc>
        <w:tc>
          <w:tcPr>
            <w:tcW w:w="2200" w:type="dxa"/>
            <w:vAlign w:val="bottom"/>
            <w:shd w:val="clear" w:color="auto" w:fill="D9D9D9"/>
          </w:tcPr>
          <w:p>
            <w:pPr>
              <w:jc w:val="right"/>
              <w:ind w:right="125"/>
              <w:spacing w:after="0"/>
              <w:rPr>
                <w:sz w:val="20"/>
                <w:szCs w:val="20"/>
                <w:color w:val="auto"/>
              </w:rPr>
            </w:pPr>
            <w:r>
              <w:rPr>
                <w:rFonts w:ascii="Arial" w:cs="Arial" w:eastAsia="Arial" w:hAnsi="Arial"/>
                <w:sz w:val="20"/>
                <w:szCs w:val="20"/>
                <w:color w:val="auto"/>
              </w:rPr>
              <w:t>38,458</w:t>
            </w:r>
          </w:p>
        </w:tc>
        <w:tc>
          <w:tcPr>
            <w:tcW w:w="1720" w:type="dxa"/>
            <w:vAlign w:val="bottom"/>
            <w:shd w:val="clear" w:color="auto" w:fill="D9D9D9"/>
          </w:tcPr>
          <w:p>
            <w:pPr>
              <w:jc w:val="right"/>
              <w:ind w:right="204"/>
              <w:spacing w:after="0"/>
              <w:rPr>
                <w:sz w:val="20"/>
                <w:szCs w:val="20"/>
                <w:color w:val="auto"/>
              </w:rPr>
            </w:pPr>
            <w:r>
              <w:rPr>
                <w:rFonts w:ascii="Arial" w:cs="Arial" w:eastAsia="Arial" w:hAnsi="Arial"/>
                <w:sz w:val="20"/>
                <w:szCs w:val="20"/>
                <w:color w:val="auto"/>
              </w:rPr>
              <w:t>0</w:t>
            </w:r>
          </w:p>
        </w:tc>
      </w:tr>
      <w:tr>
        <w:trPr>
          <w:trHeight w:val="229"/>
        </w:trPr>
        <w:tc>
          <w:tcPr>
            <w:tcW w:w="5320" w:type="dxa"/>
            <w:vAlign w:val="bottom"/>
            <w:gridSpan w:val="2"/>
          </w:tcPr>
          <w:p>
            <w:pPr>
              <w:spacing w:after="0"/>
              <w:rPr>
                <w:sz w:val="20"/>
                <w:szCs w:val="20"/>
                <w:color w:val="auto"/>
              </w:rPr>
            </w:pPr>
            <w:r>
              <w:rPr>
                <w:rFonts w:ascii="Arial" w:cs="Arial" w:eastAsia="Arial" w:hAnsi="Arial"/>
                <w:sz w:val="20"/>
                <w:szCs w:val="20"/>
                <w:color w:val="auto"/>
              </w:rPr>
              <w:t>W. Burnside</w:t>
            </w:r>
          </w:p>
        </w:tc>
        <w:tc>
          <w:tcPr>
            <w:tcW w:w="2200" w:type="dxa"/>
            <w:vAlign w:val="bottom"/>
          </w:tcPr>
          <w:p>
            <w:pPr>
              <w:jc w:val="right"/>
              <w:ind w:right="125"/>
              <w:spacing w:after="0"/>
              <w:rPr>
                <w:sz w:val="20"/>
                <w:szCs w:val="20"/>
                <w:color w:val="auto"/>
              </w:rPr>
            </w:pPr>
            <w:r>
              <w:rPr>
                <w:rFonts w:ascii="Arial" w:cs="Arial" w:eastAsia="Arial" w:hAnsi="Arial"/>
                <w:sz w:val="20"/>
                <w:szCs w:val="20"/>
                <w:color w:val="auto"/>
              </w:rPr>
              <w:t>26,958</w:t>
            </w:r>
          </w:p>
        </w:tc>
        <w:tc>
          <w:tcPr>
            <w:tcW w:w="1720" w:type="dxa"/>
            <w:vAlign w:val="bottom"/>
          </w:tcPr>
          <w:p>
            <w:pPr>
              <w:jc w:val="right"/>
              <w:ind w:right="204"/>
              <w:spacing w:after="0"/>
              <w:rPr>
                <w:sz w:val="20"/>
                <w:szCs w:val="20"/>
                <w:color w:val="auto"/>
              </w:rPr>
            </w:pPr>
            <w:r>
              <w:rPr>
                <w:rFonts w:ascii="Arial" w:cs="Arial" w:eastAsia="Arial" w:hAnsi="Arial"/>
                <w:sz w:val="20"/>
                <w:szCs w:val="20"/>
                <w:color w:val="auto"/>
              </w:rPr>
              <w:t>0</w:t>
            </w:r>
          </w:p>
        </w:tc>
      </w:tr>
      <w:tr>
        <w:trPr>
          <w:trHeight w:val="230"/>
        </w:trPr>
        <w:tc>
          <w:tcPr>
            <w:tcW w:w="53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J. Davis</w:t>
            </w:r>
          </w:p>
        </w:tc>
        <w:tc>
          <w:tcPr>
            <w:tcW w:w="2200" w:type="dxa"/>
            <w:vAlign w:val="bottom"/>
            <w:shd w:val="clear" w:color="auto" w:fill="D9D9D9"/>
          </w:tcPr>
          <w:p>
            <w:pPr>
              <w:jc w:val="right"/>
              <w:ind w:right="125"/>
              <w:spacing w:after="0"/>
              <w:rPr>
                <w:sz w:val="20"/>
                <w:szCs w:val="20"/>
                <w:color w:val="auto"/>
              </w:rPr>
            </w:pPr>
            <w:r>
              <w:rPr>
                <w:rFonts w:ascii="Arial" w:cs="Arial" w:eastAsia="Arial" w:hAnsi="Arial"/>
                <w:sz w:val="20"/>
                <w:szCs w:val="20"/>
                <w:color w:val="auto"/>
              </w:rPr>
              <w:t>2,525</w:t>
            </w:r>
          </w:p>
        </w:tc>
        <w:tc>
          <w:tcPr>
            <w:tcW w:w="1720" w:type="dxa"/>
            <w:vAlign w:val="bottom"/>
            <w:shd w:val="clear" w:color="auto" w:fill="D9D9D9"/>
          </w:tcPr>
          <w:p>
            <w:pPr>
              <w:jc w:val="right"/>
              <w:ind w:right="204"/>
              <w:spacing w:after="0"/>
              <w:rPr>
                <w:sz w:val="20"/>
                <w:szCs w:val="20"/>
                <w:color w:val="auto"/>
              </w:rPr>
            </w:pPr>
            <w:r>
              <w:rPr>
                <w:rFonts w:ascii="Arial" w:cs="Arial" w:eastAsia="Arial" w:hAnsi="Arial"/>
                <w:sz w:val="20"/>
                <w:szCs w:val="20"/>
                <w:color w:val="auto"/>
              </w:rPr>
              <w:t>0</w:t>
            </w:r>
          </w:p>
        </w:tc>
      </w:tr>
      <w:tr>
        <w:trPr>
          <w:trHeight w:val="230"/>
        </w:trPr>
        <w:tc>
          <w:tcPr>
            <w:tcW w:w="5320" w:type="dxa"/>
            <w:vAlign w:val="bottom"/>
            <w:gridSpan w:val="2"/>
          </w:tcPr>
          <w:p>
            <w:pPr>
              <w:spacing w:after="0"/>
              <w:rPr>
                <w:sz w:val="20"/>
                <w:szCs w:val="20"/>
                <w:color w:val="auto"/>
              </w:rPr>
            </w:pPr>
            <w:r>
              <w:rPr>
                <w:rFonts w:ascii="Arial" w:cs="Arial" w:eastAsia="Arial" w:hAnsi="Arial"/>
                <w:sz w:val="20"/>
                <w:szCs w:val="20"/>
                <w:color w:val="auto"/>
              </w:rPr>
              <w:t>T. Falk</w:t>
            </w:r>
          </w:p>
        </w:tc>
        <w:tc>
          <w:tcPr>
            <w:tcW w:w="2200" w:type="dxa"/>
            <w:vAlign w:val="bottom"/>
          </w:tcPr>
          <w:p>
            <w:pPr>
              <w:jc w:val="right"/>
              <w:ind w:right="125"/>
              <w:spacing w:after="0"/>
              <w:rPr>
                <w:sz w:val="20"/>
                <w:szCs w:val="20"/>
                <w:color w:val="auto"/>
              </w:rPr>
            </w:pPr>
            <w:r>
              <w:rPr>
                <w:rFonts w:ascii="Arial" w:cs="Arial" w:eastAsia="Arial" w:hAnsi="Arial"/>
                <w:sz w:val="20"/>
                <w:szCs w:val="20"/>
                <w:color w:val="auto"/>
              </w:rPr>
              <w:t>4,203</w:t>
            </w:r>
          </w:p>
        </w:tc>
        <w:tc>
          <w:tcPr>
            <w:tcW w:w="1720" w:type="dxa"/>
            <w:vAlign w:val="bottom"/>
          </w:tcPr>
          <w:p>
            <w:pPr>
              <w:jc w:val="right"/>
              <w:ind w:right="204"/>
              <w:spacing w:after="0"/>
              <w:rPr>
                <w:sz w:val="20"/>
                <w:szCs w:val="20"/>
                <w:color w:val="auto"/>
              </w:rPr>
            </w:pPr>
            <w:r>
              <w:rPr>
                <w:rFonts w:ascii="Arial" w:cs="Arial" w:eastAsia="Arial" w:hAnsi="Arial"/>
                <w:sz w:val="20"/>
                <w:szCs w:val="20"/>
                <w:color w:val="auto"/>
              </w:rPr>
              <w:t>0</w:t>
            </w:r>
          </w:p>
        </w:tc>
      </w:tr>
      <w:tr>
        <w:trPr>
          <w:trHeight w:val="229"/>
        </w:trPr>
        <w:tc>
          <w:tcPr>
            <w:tcW w:w="53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T. Freyman</w:t>
            </w:r>
          </w:p>
        </w:tc>
        <w:tc>
          <w:tcPr>
            <w:tcW w:w="2200" w:type="dxa"/>
            <w:vAlign w:val="bottom"/>
            <w:shd w:val="clear" w:color="auto" w:fill="D9D9D9"/>
          </w:tcPr>
          <w:p>
            <w:pPr>
              <w:jc w:val="right"/>
              <w:ind w:right="125"/>
              <w:spacing w:after="0"/>
              <w:rPr>
                <w:sz w:val="20"/>
                <w:szCs w:val="20"/>
                <w:color w:val="auto"/>
              </w:rPr>
            </w:pPr>
            <w:r>
              <w:rPr>
                <w:rFonts w:ascii="Arial" w:cs="Arial" w:eastAsia="Arial" w:hAnsi="Arial"/>
                <w:sz w:val="20"/>
                <w:szCs w:val="20"/>
                <w:color w:val="auto"/>
              </w:rPr>
              <w:t>134,633</w:t>
            </w:r>
          </w:p>
        </w:tc>
        <w:tc>
          <w:tcPr>
            <w:tcW w:w="1720" w:type="dxa"/>
            <w:vAlign w:val="bottom"/>
            <w:shd w:val="clear" w:color="auto" w:fill="D9D9D9"/>
          </w:tcPr>
          <w:p>
            <w:pPr>
              <w:jc w:val="right"/>
              <w:ind w:right="204"/>
              <w:spacing w:after="0"/>
              <w:rPr>
                <w:sz w:val="20"/>
                <w:szCs w:val="20"/>
                <w:color w:val="auto"/>
              </w:rPr>
            </w:pPr>
            <w:r>
              <w:rPr>
                <w:rFonts w:ascii="Arial" w:cs="Arial" w:eastAsia="Arial" w:hAnsi="Arial"/>
                <w:sz w:val="20"/>
                <w:szCs w:val="20"/>
                <w:color w:val="auto"/>
              </w:rPr>
              <w:t>0</w:t>
            </w:r>
          </w:p>
        </w:tc>
      </w:tr>
      <w:tr>
        <w:trPr>
          <w:trHeight w:val="230"/>
        </w:trPr>
        <w:tc>
          <w:tcPr>
            <w:tcW w:w="5320" w:type="dxa"/>
            <w:vAlign w:val="bottom"/>
            <w:gridSpan w:val="2"/>
          </w:tcPr>
          <w:p>
            <w:pPr>
              <w:spacing w:after="0"/>
              <w:rPr>
                <w:sz w:val="20"/>
                <w:szCs w:val="20"/>
                <w:color w:val="auto"/>
              </w:rPr>
            </w:pPr>
            <w:r>
              <w:rPr>
                <w:rFonts w:ascii="Arial" w:cs="Arial" w:eastAsia="Arial" w:hAnsi="Arial"/>
                <w:sz w:val="20"/>
                <w:szCs w:val="20"/>
                <w:color w:val="auto"/>
              </w:rPr>
              <w:t>B. Hart</w:t>
            </w:r>
          </w:p>
        </w:tc>
        <w:tc>
          <w:tcPr>
            <w:tcW w:w="2200" w:type="dxa"/>
            <w:vAlign w:val="bottom"/>
          </w:tcPr>
          <w:p>
            <w:pPr>
              <w:jc w:val="right"/>
              <w:ind w:right="125"/>
              <w:spacing w:after="0"/>
              <w:rPr>
                <w:sz w:val="20"/>
                <w:szCs w:val="20"/>
                <w:color w:val="auto"/>
              </w:rPr>
            </w:pPr>
            <w:r>
              <w:rPr>
                <w:rFonts w:ascii="Arial" w:cs="Arial" w:eastAsia="Arial" w:hAnsi="Arial"/>
                <w:sz w:val="20"/>
                <w:szCs w:val="20"/>
                <w:color w:val="auto"/>
              </w:rPr>
              <w:t>19,472</w:t>
            </w:r>
          </w:p>
        </w:tc>
        <w:tc>
          <w:tcPr>
            <w:tcW w:w="1720" w:type="dxa"/>
            <w:vAlign w:val="bottom"/>
          </w:tcPr>
          <w:p>
            <w:pPr>
              <w:jc w:val="right"/>
              <w:ind w:right="204"/>
              <w:spacing w:after="0"/>
              <w:rPr>
                <w:sz w:val="20"/>
                <w:szCs w:val="20"/>
                <w:color w:val="auto"/>
              </w:rPr>
            </w:pPr>
            <w:r>
              <w:rPr>
                <w:rFonts w:ascii="Arial" w:cs="Arial" w:eastAsia="Arial" w:hAnsi="Arial"/>
                <w:sz w:val="20"/>
                <w:szCs w:val="20"/>
                <w:color w:val="auto"/>
              </w:rPr>
              <w:t>0</w:t>
            </w:r>
          </w:p>
        </w:tc>
      </w:tr>
      <w:tr>
        <w:trPr>
          <w:trHeight w:val="230"/>
        </w:trPr>
        <w:tc>
          <w:tcPr>
            <w:tcW w:w="53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M. Meyer</w:t>
            </w:r>
          </w:p>
        </w:tc>
        <w:tc>
          <w:tcPr>
            <w:tcW w:w="2200" w:type="dxa"/>
            <w:vAlign w:val="bottom"/>
            <w:shd w:val="clear" w:color="auto" w:fill="D9D9D9"/>
          </w:tcPr>
          <w:p>
            <w:pPr>
              <w:jc w:val="right"/>
              <w:ind w:right="125"/>
              <w:spacing w:after="0"/>
              <w:rPr>
                <w:sz w:val="20"/>
                <w:szCs w:val="20"/>
                <w:color w:val="auto"/>
              </w:rPr>
            </w:pPr>
            <w:r>
              <w:rPr>
                <w:rFonts w:ascii="Arial" w:cs="Arial" w:eastAsia="Arial" w:hAnsi="Arial"/>
                <w:sz w:val="20"/>
                <w:szCs w:val="20"/>
                <w:color w:val="auto"/>
              </w:rPr>
              <w:t>16,498</w:t>
            </w:r>
          </w:p>
        </w:tc>
        <w:tc>
          <w:tcPr>
            <w:tcW w:w="1720" w:type="dxa"/>
            <w:vAlign w:val="bottom"/>
            <w:shd w:val="clear" w:color="auto" w:fill="D9D9D9"/>
          </w:tcPr>
          <w:p>
            <w:pPr>
              <w:jc w:val="right"/>
              <w:ind w:right="204"/>
              <w:spacing w:after="0"/>
              <w:rPr>
                <w:sz w:val="20"/>
                <w:szCs w:val="20"/>
                <w:color w:val="auto"/>
              </w:rPr>
            </w:pPr>
            <w:r>
              <w:rPr>
                <w:rFonts w:ascii="Arial" w:cs="Arial" w:eastAsia="Arial" w:hAnsi="Arial"/>
                <w:sz w:val="20"/>
                <w:szCs w:val="20"/>
                <w:color w:val="auto"/>
              </w:rPr>
              <w:t>0</w:t>
            </w:r>
          </w:p>
        </w:tc>
      </w:tr>
      <w:tr>
        <w:trPr>
          <w:trHeight w:val="229"/>
        </w:trPr>
        <w:tc>
          <w:tcPr>
            <w:tcW w:w="5320" w:type="dxa"/>
            <w:vAlign w:val="bottom"/>
            <w:gridSpan w:val="2"/>
          </w:tcPr>
          <w:p>
            <w:pPr>
              <w:spacing w:after="0"/>
              <w:rPr>
                <w:sz w:val="20"/>
                <w:szCs w:val="20"/>
                <w:color w:val="auto"/>
              </w:rPr>
            </w:pPr>
            <w:r>
              <w:rPr>
                <w:rFonts w:ascii="Arial" w:cs="Arial" w:eastAsia="Arial" w:hAnsi="Arial"/>
                <w:sz w:val="20"/>
                <w:szCs w:val="20"/>
                <w:color w:val="auto"/>
              </w:rPr>
              <w:t>S. Quaggin</w:t>
            </w:r>
          </w:p>
        </w:tc>
        <w:tc>
          <w:tcPr>
            <w:tcW w:w="2200" w:type="dxa"/>
            <w:vAlign w:val="bottom"/>
          </w:tcPr>
          <w:p>
            <w:pPr>
              <w:jc w:val="right"/>
              <w:ind w:right="125"/>
              <w:spacing w:after="0"/>
              <w:rPr>
                <w:sz w:val="20"/>
                <w:szCs w:val="20"/>
                <w:color w:val="auto"/>
              </w:rPr>
            </w:pPr>
            <w:r>
              <w:rPr>
                <w:rFonts w:ascii="Arial" w:cs="Arial" w:eastAsia="Arial" w:hAnsi="Arial"/>
                <w:sz w:val="20"/>
                <w:szCs w:val="20"/>
                <w:color w:val="auto"/>
              </w:rPr>
              <w:t>2,525</w:t>
            </w:r>
          </w:p>
        </w:tc>
        <w:tc>
          <w:tcPr>
            <w:tcW w:w="1720" w:type="dxa"/>
            <w:vAlign w:val="bottom"/>
          </w:tcPr>
          <w:p>
            <w:pPr>
              <w:jc w:val="right"/>
              <w:ind w:right="204"/>
              <w:spacing w:after="0"/>
              <w:rPr>
                <w:sz w:val="20"/>
                <w:szCs w:val="20"/>
                <w:color w:val="auto"/>
              </w:rPr>
            </w:pPr>
            <w:r>
              <w:rPr>
                <w:rFonts w:ascii="Arial" w:cs="Arial" w:eastAsia="Arial" w:hAnsi="Arial"/>
                <w:sz w:val="20"/>
                <w:szCs w:val="20"/>
                <w:color w:val="auto"/>
              </w:rPr>
              <w:t>0</w:t>
            </w:r>
          </w:p>
        </w:tc>
      </w:tr>
      <w:tr>
        <w:trPr>
          <w:trHeight w:val="230"/>
        </w:trPr>
        <w:tc>
          <w:tcPr>
            <w:tcW w:w="53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E. Rapp</w:t>
            </w:r>
          </w:p>
        </w:tc>
        <w:tc>
          <w:tcPr>
            <w:tcW w:w="2200" w:type="dxa"/>
            <w:vAlign w:val="bottom"/>
            <w:shd w:val="clear" w:color="auto" w:fill="D9D9D9"/>
          </w:tcPr>
          <w:p>
            <w:pPr>
              <w:jc w:val="right"/>
              <w:ind w:right="125"/>
              <w:spacing w:after="0"/>
              <w:rPr>
                <w:sz w:val="20"/>
                <w:szCs w:val="20"/>
                <w:color w:val="auto"/>
              </w:rPr>
            </w:pPr>
            <w:r>
              <w:rPr>
                <w:rFonts w:ascii="Arial" w:cs="Arial" w:eastAsia="Arial" w:hAnsi="Arial"/>
                <w:sz w:val="20"/>
                <w:szCs w:val="20"/>
                <w:color w:val="auto"/>
              </w:rPr>
              <w:t>44,846</w:t>
            </w:r>
          </w:p>
        </w:tc>
        <w:tc>
          <w:tcPr>
            <w:tcW w:w="1720" w:type="dxa"/>
            <w:vAlign w:val="bottom"/>
            <w:shd w:val="clear" w:color="auto" w:fill="D9D9D9"/>
          </w:tcPr>
          <w:p>
            <w:pPr>
              <w:jc w:val="right"/>
              <w:ind w:right="204"/>
              <w:spacing w:after="0"/>
              <w:rPr>
                <w:sz w:val="20"/>
                <w:szCs w:val="20"/>
                <w:color w:val="auto"/>
              </w:rPr>
            </w:pPr>
            <w:r>
              <w:rPr>
                <w:rFonts w:ascii="Arial" w:cs="Arial" w:eastAsia="Arial" w:hAnsi="Arial"/>
                <w:sz w:val="20"/>
                <w:szCs w:val="20"/>
                <w:color w:val="auto"/>
              </w:rPr>
              <w:t>0</w:t>
            </w:r>
          </w:p>
        </w:tc>
      </w:tr>
      <w:tr>
        <w:trPr>
          <w:trHeight w:val="230"/>
        </w:trPr>
        <w:tc>
          <w:tcPr>
            <w:tcW w:w="5320" w:type="dxa"/>
            <w:vAlign w:val="bottom"/>
            <w:gridSpan w:val="2"/>
          </w:tcPr>
          <w:p>
            <w:pPr>
              <w:spacing w:after="0"/>
              <w:rPr>
                <w:sz w:val="20"/>
                <w:szCs w:val="20"/>
                <w:color w:val="auto"/>
              </w:rPr>
            </w:pPr>
            <w:r>
              <w:rPr>
                <w:rFonts w:ascii="Arial" w:cs="Arial" w:eastAsia="Arial" w:hAnsi="Arial"/>
                <w:sz w:val="20"/>
                <w:szCs w:val="20"/>
                <w:color w:val="auto"/>
              </w:rPr>
              <w:t>R. Roberts</w:t>
            </w:r>
          </w:p>
        </w:tc>
        <w:tc>
          <w:tcPr>
            <w:tcW w:w="2200" w:type="dxa"/>
            <w:vAlign w:val="bottom"/>
          </w:tcPr>
          <w:p>
            <w:pPr>
              <w:jc w:val="right"/>
              <w:ind w:right="125"/>
              <w:spacing w:after="0"/>
              <w:rPr>
                <w:sz w:val="20"/>
                <w:szCs w:val="20"/>
                <w:color w:val="auto"/>
              </w:rPr>
            </w:pPr>
            <w:r>
              <w:rPr>
                <w:rFonts w:ascii="Arial" w:cs="Arial" w:eastAsia="Arial" w:hAnsi="Arial"/>
                <w:sz w:val="20"/>
                <w:szCs w:val="20"/>
                <w:color w:val="auto"/>
              </w:rPr>
              <w:t>13,728</w:t>
            </w:r>
          </w:p>
        </w:tc>
        <w:tc>
          <w:tcPr>
            <w:tcW w:w="1720" w:type="dxa"/>
            <w:vAlign w:val="bottom"/>
          </w:tcPr>
          <w:p>
            <w:pPr>
              <w:jc w:val="right"/>
              <w:ind w:right="204"/>
              <w:spacing w:after="0"/>
              <w:rPr>
                <w:sz w:val="20"/>
                <w:szCs w:val="20"/>
                <w:color w:val="auto"/>
              </w:rPr>
            </w:pPr>
            <w:r>
              <w:rPr>
                <w:rFonts w:ascii="Arial" w:cs="Arial" w:eastAsia="Arial" w:hAnsi="Arial"/>
                <w:sz w:val="20"/>
                <w:szCs w:val="20"/>
                <w:color w:val="auto"/>
              </w:rPr>
              <w:t>0</w:t>
            </w:r>
          </w:p>
        </w:tc>
      </w:tr>
      <w:tr>
        <w:trPr>
          <w:trHeight w:val="229"/>
        </w:trPr>
        <w:tc>
          <w:tcPr>
            <w:tcW w:w="53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F. Waddell</w:t>
            </w:r>
          </w:p>
        </w:tc>
        <w:tc>
          <w:tcPr>
            <w:tcW w:w="2200" w:type="dxa"/>
            <w:vAlign w:val="bottom"/>
            <w:shd w:val="clear" w:color="auto" w:fill="D9D9D9"/>
          </w:tcPr>
          <w:p>
            <w:pPr>
              <w:jc w:val="right"/>
              <w:ind w:right="125"/>
              <w:spacing w:after="0"/>
              <w:rPr>
                <w:sz w:val="20"/>
                <w:szCs w:val="20"/>
                <w:color w:val="auto"/>
              </w:rPr>
            </w:pPr>
            <w:r>
              <w:rPr>
                <w:rFonts w:ascii="Arial" w:cs="Arial" w:eastAsia="Arial" w:hAnsi="Arial"/>
                <w:sz w:val="20"/>
                <w:szCs w:val="20"/>
                <w:color w:val="auto"/>
              </w:rPr>
              <w:t>28,958</w:t>
            </w:r>
          </w:p>
        </w:tc>
        <w:tc>
          <w:tcPr>
            <w:tcW w:w="1720" w:type="dxa"/>
            <w:vAlign w:val="bottom"/>
            <w:shd w:val="clear" w:color="auto" w:fill="D9D9D9"/>
          </w:tcPr>
          <w:p>
            <w:pPr>
              <w:jc w:val="right"/>
              <w:ind w:right="204"/>
              <w:spacing w:after="0"/>
              <w:rPr>
                <w:sz w:val="20"/>
                <w:szCs w:val="20"/>
                <w:color w:val="auto"/>
              </w:rPr>
            </w:pPr>
            <w:r>
              <w:rPr>
                <w:rFonts w:ascii="Arial" w:cs="Arial" w:eastAsia="Arial" w:hAnsi="Arial"/>
                <w:sz w:val="20"/>
                <w:szCs w:val="20"/>
                <w:color w:val="auto"/>
              </w:rPr>
              <w:t>0</w:t>
            </w:r>
          </w:p>
        </w:tc>
      </w:tr>
      <w:tr>
        <w:trPr>
          <w:trHeight w:val="230"/>
        </w:trPr>
        <w:tc>
          <w:tcPr>
            <w:tcW w:w="5320" w:type="dxa"/>
            <w:vAlign w:val="bottom"/>
            <w:gridSpan w:val="2"/>
          </w:tcPr>
          <w:p>
            <w:pPr>
              <w:spacing w:after="0"/>
              <w:rPr>
                <w:sz w:val="20"/>
                <w:szCs w:val="20"/>
                <w:color w:val="auto"/>
              </w:rPr>
            </w:pPr>
            <w:r>
              <w:rPr>
                <w:rFonts w:ascii="Arial" w:cs="Arial" w:eastAsia="Arial" w:hAnsi="Arial"/>
                <w:sz w:val="20"/>
                <w:szCs w:val="20"/>
                <w:color w:val="auto"/>
              </w:rPr>
              <w:t>S. Reents</w:t>
            </w:r>
          </w:p>
        </w:tc>
        <w:tc>
          <w:tcPr>
            <w:tcW w:w="2200" w:type="dxa"/>
            <w:vAlign w:val="bottom"/>
          </w:tcPr>
          <w:p>
            <w:pPr>
              <w:jc w:val="right"/>
              <w:ind w:right="125"/>
              <w:spacing w:after="0"/>
              <w:rPr>
                <w:sz w:val="20"/>
                <w:szCs w:val="20"/>
                <w:color w:val="auto"/>
              </w:rPr>
            </w:pPr>
            <w:r>
              <w:rPr>
                <w:rFonts w:ascii="Arial" w:cs="Arial" w:eastAsia="Arial" w:hAnsi="Arial"/>
                <w:sz w:val="20"/>
                <w:szCs w:val="20"/>
                <w:color w:val="auto"/>
              </w:rPr>
              <w:t>38,777</w:t>
            </w:r>
          </w:p>
        </w:tc>
        <w:tc>
          <w:tcPr>
            <w:tcW w:w="1720" w:type="dxa"/>
            <w:vAlign w:val="bottom"/>
          </w:tcPr>
          <w:p>
            <w:pPr>
              <w:jc w:val="right"/>
              <w:ind w:right="204"/>
              <w:spacing w:after="0"/>
              <w:rPr>
                <w:sz w:val="20"/>
                <w:szCs w:val="20"/>
                <w:color w:val="auto"/>
              </w:rPr>
            </w:pPr>
            <w:r>
              <w:rPr>
                <w:rFonts w:ascii="Arial" w:cs="Arial" w:eastAsia="Arial" w:hAnsi="Arial"/>
                <w:sz w:val="20"/>
                <w:szCs w:val="20"/>
                <w:color w:val="auto"/>
              </w:rPr>
              <w:t>150,720</w:t>
            </w:r>
          </w:p>
        </w:tc>
      </w:tr>
      <w:tr>
        <w:trPr>
          <w:trHeight w:val="230"/>
        </w:trPr>
        <w:tc>
          <w:tcPr>
            <w:tcW w:w="53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A. Saleki-Gerhardt</w:t>
            </w:r>
          </w:p>
        </w:tc>
        <w:tc>
          <w:tcPr>
            <w:tcW w:w="2200" w:type="dxa"/>
            <w:vAlign w:val="bottom"/>
            <w:shd w:val="clear" w:color="auto" w:fill="D9D9D9"/>
          </w:tcPr>
          <w:p>
            <w:pPr>
              <w:jc w:val="right"/>
              <w:ind w:right="125"/>
              <w:spacing w:after="0"/>
              <w:rPr>
                <w:sz w:val="20"/>
                <w:szCs w:val="20"/>
                <w:color w:val="auto"/>
              </w:rPr>
            </w:pPr>
            <w:r>
              <w:rPr>
                <w:rFonts w:ascii="Arial" w:cs="Arial" w:eastAsia="Arial" w:hAnsi="Arial"/>
                <w:sz w:val="20"/>
                <w:szCs w:val="20"/>
                <w:color w:val="auto"/>
              </w:rPr>
              <w:t>204,373</w:t>
            </w:r>
          </w:p>
        </w:tc>
        <w:tc>
          <w:tcPr>
            <w:tcW w:w="1720" w:type="dxa"/>
            <w:vAlign w:val="bottom"/>
            <w:shd w:val="clear" w:color="auto" w:fill="D9D9D9"/>
          </w:tcPr>
          <w:p>
            <w:pPr>
              <w:jc w:val="right"/>
              <w:ind w:right="204"/>
              <w:spacing w:after="0"/>
              <w:rPr>
                <w:sz w:val="20"/>
                <w:szCs w:val="20"/>
                <w:color w:val="auto"/>
              </w:rPr>
            </w:pPr>
            <w:r>
              <w:rPr>
                <w:rFonts w:ascii="Arial" w:cs="Arial" w:eastAsia="Arial" w:hAnsi="Arial"/>
                <w:sz w:val="20"/>
                <w:szCs w:val="20"/>
                <w:color w:val="auto"/>
              </w:rPr>
              <w:t>307,041</w:t>
            </w:r>
          </w:p>
        </w:tc>
      </w:tr>
      <w:tr>
        <w:trPr>
          <w:trHeight w:val="229"/>
        </w:trPr>
        <w:tc>
          <w:tcPr>
            <w:tcW w:w="5320" w:type="dxa"/>
            <w:vAlign w:val="bottom"/>
            <w:gridSpan w:val="2"/>
          </w:tcPr>
          <w:p>
            <w:pPr>
              <w:spacing w:after="0"/>
              <w:rPr>
                <w:sz w:val="20"/>
                <w:szCs w:val="20"/>
                <w:color w:val="auto"/>
              </w:rPr>
            </w:pPr>
            <w:r>
              <w:rPr>
                <w:rFonts w:ascii="Arial" w:cs="Arial" w:eastAsia="Arial" w:hAnsi="Arial"/>
                <w:sz w:val="20"/>
                <w:szCs w:val="20"/>
                <w:color w:val="auto"/>
              </w:rPr>
              <w:t>J. Stewart</w:t>
            </w:r>
          </w:p>
        </w:tc>
        <w:tc>
          <w:tcPr>
            <w:tcW w:w="2200" w:type="dxa"/>
            <w:vAlign w:val="bottom"/>
          </w:tcPr>
          <w:p>
            <w:pPr>
              <w:jc w:val="right"/>
              <w:ind w:right="125"/>
              <w:spacing w:after="0"/>
              <w:rPr>
                <w:sz w:val="20"/>
                <w:szCs w:val="20"/>
                <w:color w:val="auto"/>
              </w:rPr>
            </w:pPr>
            <w:r>
              <w:rPr>
                <w:rFonts w:ascii="Arial" w:cs="Arial" w:eastAsia="Arial" w:hAnsi="Arial"/>
                <w:sz w:val="20"/>
                <w:szCs w:val="20"/>
                <w:color w:val="auto"/>
              </w:rPr>
              <w:t>84,509</w:t>
            </w:r>
          </w:p>
        </w:tc>
        <w:tc>
          <w:tcPr>
            <w:tcW w:w="1720" w:type="dxa"/>
            <w:vAlign w:val="bottom"/>
          </w:tcPr>
          <w:p>
            <w:pPr>
              <w:jc w:val="right"/>
              <w:ind w:right="204"/>
              <w:spacing w:after="0"/>
              <w:rPr>
                <w:sz w:val="20"/>
                <w:szCs w:val="20"/>
                <w:color w:val="auto"/>
              </w:rPr>
            </w:pPr>
            <w:r>
              <w:rPr>
                <w:rFonts w:ascii="Arial" w:cs="Arial" w:eastAsia="Arial" w:hAnsi="Arial"/>
                <w:sz w:val="20"/>
                <w:szCs w:val="20"/>
                <w:color w:val="auto"/>
              </w:rPr>
              <w:t>218,315</w:t>
            </w:r>
          </w:p>
        </w:tc>
      </w:tr>
      <w:tr>
        <w:trPr>
          <w:trHeight w:val="230"/>
        </w:trPr>
        <w:tc>
          <w:tcPr>
            <w:tcW w:w="53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R. Thakkar</w:t>
            </w:r>
          </w:p>
        </w:tc>
        <w:tc>
          <w:tcPr>
            <w:tcW w:w="2200" w:type="dxa"/>
            <w:vAlign w:val="bottom"/>
            <w:shd w:val="clear" w:color="auto" w:fill="D9D9D9"/>
          </w:tcPr>
          <w:p>
            <w:pPr>
              <w:jc w:val="right"/>
              <w:ind w:right="125"/>
              <w:spacing w:after="0"/>
              <w:rPr>
                <w:sz w:val="20"/>
                <w:szCs w:val="20"/>
                <w:color w:val="auto"/>
              </w:rPr>
            </w:pPr>
            <w:r>
              <w:rPr>
                <w:rFonts w:ascii="Arial" w:cs="Arial" w:eastAsia="Arial" w:hAnsi="Arial"/>
                <w:sz w:val="20"/>
                <w:szCs w:val="20"/>
                <w:color w:val="auto"/>
              </w:rPr>
              <w:t>55,374</w:t>
            </w:r>
          </w:p>
        </w:tc>
        <w:tc>
          <w:tcPr>
            <w:tcW w:w="1720" w:type="dxa"/>
            <w:vAlign w:val="bottom"/>
            <w:shd w:val="clear" w:color="auto" w:fill="D9D9D9"/>
          </w:tcPr>
          <w:p>
            <w:pPr>
              <w:jc w:val="right"/>
              <w:ind w:right="204"/>
              <w:spacing w:after="0"/>
              <w:rPr>
                <w:sz w:val="20"/>
                <w:szCs w:val="20"/>
                <w:color w:val="auto"/>
              </w:rPr>
            </w:pPr>
            <w:r>
              <w:rPr>
                <w:rFonts w:ascii="Arial" w:cs="Arial" w:eastAsia="Arial" w:hAnsi="Arial"/>
                <w:sz w:val="20"/>
                <w:szCs w:val="20"/>
                <w:color w:val="auto"/>
              </w:rPr>
              <w:t>58,453</w:t>
            </w:r>
          </w:p>
        </w:tc>
      </w:tr>
      <w:tr>
        <w:trPr>
          <w:trHeight w:val="312"/>
        </w:trPr>
        <w:tc>
          <w:tcPr>
            <w:tcW w:w="532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All </w:t>
            </w:r>
            <w:r>
              <w:rPr>
                <w:rFonts w:ascii="Arial" w:cs="Arial" w:eastAsia="Arial" w:hAnsi="Arial"/>
                <w:sz w:val="20"/>
                <w:szCs w:val="20"/>
                <w:color w:val="auto"/>
              </w:rPr>
              <w:t>directors and executive officers as a</w:t>
            </w:r>
            <w:r>
              <w:rPr>
                <w:rFonts w:ascii="Arial" w:cs="Arial" w:eastAsia="Arial" w:hAnsi="Arial"/>
                <w:sz w:val="20"/>
                <w:szCs w:val="20"/>
                <w:b w:val="1"/>
                <w:bCs w:val="1"/>
                <w:color w:val="auto"/>
              </w:rPr>
              <w:t xml:space="preserve"> </w:t>
            </w:r>
            <w:r>
              <w:rPr>
                <w:rFonts w:ascii="Arial" w:cs="Arial" w:eastAsia="Arial" w:hAnsi="Arial"/>
                <w:sz w:val="20"/>
                <w:szCs w:val="20"/>
                <w:color w:val="auto"/>
              </w:rPr>
              <w:t>group</w:t>
            </w:r>
            <w:r>
              <w:rPr>
                <w:rFonts w:ascii="Arial" w:cs="Arial" w:eastAsia="Arial" w:hAnsi="Arial"/>
                <w:sz w:val="25"/>
                <w:szCs w:val="25"/>
                <w:color w:val="auto"/>
                <w:vertAlign w:val="superscript"/>
              </w:rPr>
              <w:t>(4)</w:t>
            </w:r>
          </w:p>
        </w:tc>
        <w:tc>
          <w:tcPr>
            <w:tcW w:w="2200" w:type="dxa"/>
            <w:vAlign w:val="bottom"/>
          </w:tcPr>
          <w:p>
            <w:pPr>
              <w:jc w:val="right"/>
              <w:ind w:right="125"/>
              <w:spacing w:after="0"/>
              <w:rPr>
                <w:sz w:val="20"/>
                <w:szCs w:val="20"/>
                <w:color w:val="auto"/>
              </w:rPr>
            </w:pPr>
            <w:r>
              <w:rPr>
                <w:rFonts w:ascii="Arial" w:cs="Arial" w:eastAsia="Arial" w:hAnsi="Arial"/>
                <w:sz w:val="20"/>
                <w:szCs w:val="20"/>
                <w:color w:val="auto"/>
              </w:rPr>
              <w:t>1,020,964</w:t>
            </w:r>
          </w:p>
        </w:tc>
        <w:tc>
          <w:tcPr>
            <w:tcW w:w="1720" w:type="dxa"/>
            <w:vAlign w:val="bottom"/>
          </w:tcPr>
          <w:p>
            <w:pPr>
              <w:jc w:val="right"/>
              <w:ind w:right="204"/>
              <w:spacing w:after="0"/>
              <w:rPr>
                <w:sz w:val="20"/>
                <w:szCs w:val="20"/>
                <w:color w:val="auto"/>
              </w:rPr>
            </w:pPr>
            <w:r>
              <w:rPr>
                <w:rFonts w:ascii="Arial" w:cs="Arial" w:eastAsia="Arial" w:hAnsi="Arial"/>
                <w:sz w:val="20"/>
                <w:szCs w:val="20"/>
                <w:color w:val="auto"/>
              </w:rPr>
              <w:t>1,339,372</w:t>
            </w:r>
          </w:p>
        </w:tc>
      </w:tr>
      <w:tr>
        <w:trPr>
          <w:trHeight w:val="20"/>
        </w:trPr>
        <w:tc>
          <w:tcPr>
            <w:tcW w:w="2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1599565"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pt" to="125.95pt,8.4pt" o:allowincell="f" strokecolor="#000000" strokeweight="1.02pt"/>
            </w:pict>
          </mc:Fallback>
        </mc:AlternateContent>
      </w:r>
    </w:p>
    <w:p>
      <w:pPr>
        <w:spacing w:after="0" w:line="191" w:lineRule="exact"/>
        <w:rPr>
          <w:sz w:val="20"/>
          <w:szCs w:val="20"/>
          <w:color w:val="auto"/>
        </w:rPr>
      </w:pPr>
    </w:p>
    <w:p>
      <w:pPr>
        <w:ind w:left="360" w:right="240" w:hanging="360"/>
        <w:spacing w:after="0" w:line="261" w:lineRule="auto"/>
        <w:tabs>
          <w:tab w:leader="none" w:pos="361"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table includes shares held in the executive officers’ accounts in the AbbVie Savings Plan as follows: all executive officers as a group, 6,247. Each executive officer has shared voting power and sole investment power with respect to the shares held in his or her account.</w:t>
      </w:r>
    </w:p>
    <w:p>
      <w:pPr>
        <w:spacing w:after="0" w:line="169" w:lineRule="exact"/>
        <w:rPr>
          <w:rFonts w:ascii="Arial" w:cs="Arial" w:eastAsia="Arial" w:hAnsi="Arial"/>
          <w:sz w:val="20"/>
          <w:szCs w:val="20"/>
          <w:color w:val="auto"/>
        </w:rPr>
      </w:pPr>
    </w:p>
    <w:p>
      <w:pPr>
        <w:ind w:left="360" w:right="140" w:hanging="360"/>
        <w:spacing w:after="0" w:line="283" w:lineRule="auto"/>
        <w:tabs>
          <w:tab w:leader="none" w:pos="361"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table includes restricted stock units held by the non-employee directors. The directors’ units are payable in stock as described in footnote (2) to the Director Compensation table.</w:t>
      </w:r>
    </w:p>
    <w:p>
      <w:pPr>
        <w:spacing w:after="0" w:line="151" w:lineRule="exact"/>
        <w:rPr>
          <w:rFonts w:ascii="Arial" w:cs="Arial" w:eastAsia="Arial" w:hAnsi="Arial"/>
          <w:sz w:val="20"/>
          <w:szCs w:val="20"/>
          <w:color w:val="auto"/>
        </w:rPr>
      </w:pPr>
    </w:p>
    <w:p>
      <w:pPr>
        <w:ind w:left="360" w:right="140" w:hanging="360"/>
        <w:spacing w:after="0" w:line="262" w:lineRule="auto"/>
        <w:tabs>
          <w:tab w:leader="none" w:pos="361"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table includes shared voting and/or investment power over shares as follows: A. Saleki-Gerhardt, 6,579; J. Stewart, 1,338; R. Thakkar, 2,998; T. Falk, 3,000; T. Freyman, 7,882; and all directors and executive officers as a group, 22,340.</w:t>
      </w:r>
    </w:p>
    <w:p>
      <w:pPr>
        <w:spacing w:after="0" w:line="171" w:lineRule="exact"/>
        <w:rPr>
          <w:rFonts w:ascii="Arial" w:cs="Arial" w:eastAsia="Arial" w:hAnsi="Arial"/>
          <w:sz w:val="20"/>
          <w:szCs w:val="20"/>
          <w:color w:val="auto"/>
        </w:rPr>
      </w:pPr>
    </w:p>
    <w:p>
      <w:pPr>
        <w:ind w:left="360" w:right="640" w:hanging="360"/>
        <w:spacing w:after="0" w:line="283" w:lineRule="auto"/>
        <w:tabs>
          <w:tab w:leader="none" w:pos="361"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directors and executive officers as a group own less than one percent of the outstanding shares of AbbVie.</w:t>
      </w:r>
    </w:p>
    <w:p>
      <w:pPr>
        <w:spacing w:after="0" w:line="101" w:lineRule="exact"/>
        <w:rPr>
          <w:sz w:val="20"/>
          <w:szCs w:val="20"/>
          <w:color w:val="auto"/>
        </w:rPr>
      </w:pPr>
    </w:p>
    <w:p>
      <w:pPr>
        <w:spacing w:after="0"/>
        <w:rPr>
          <w:sz w:val="20"/>
          <w:szCs w:val="20"/>
          <w:color w:val="auto"/>
        </w:rPr>
      </w:pPr>
      <w:r>
        <w:rPr>
          <w:rFonts w:ascii="Arial" w:cs="Arial" w:eastAsia="Arial" w:hAnsi="Arial"/>
          <w:sz w:val="36"/>
          <w:szCs w:val="36"/>
          <w:color w:val="auto"/>
        </w:rPr>
        <w:t>Securities Ownership of Principal Stockholders</w:t>
      </w:r>
    </w:p>
    <w:p>
      <w:pPr>
        <w:spacing w:after="0" w:line="217" w:lineRule="exact"/>
        <w:rPr>
          <w:sz w:val="20"/>
          <w:szCs w:val="20"/>
          <w:color w:val="auto"/>
        </w:rPr>
      </w:pPr>
    </w:p>
    <w:p>
      <w:pPr>
        <w:ind w:right="60"/>
        <w:spacing w:after="0" w:line="309" w:lineRule="auto"/>
        <w:rPr>
          <w:sz w:val="20"/>
          <w:szCs w:val="20"/>
          <w:color w:val="auto"/>
        </w:rPr>
      </w:pPr>
      <w:r>
        <w:rPr>
          <w:rFonts w:ascii="Arial" w:cs="Arial" w:eastAsia="Arial" w:hAnsi="Arial"/>
          <w:sz w:val="19"/>
          <w:szCs w:val="19"/>
          <w:color w:val="auto"/>
        </w:rPr>
        <w:t>The table below reports the number of shares of AbbVie common stock beneficially owned as of December 31, 2025, by each person known to AbbVie to own beneficially more than 5% of AbbVie’s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-212725</wp:posOffset>
            </wp:positionV>
            <wp:extent cx="991870" cy="2006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98">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861" w:right="900" w:bottom="0" w:gutter="0" w:footer="0" w:header="0"/>
          <w:type w:val="continuous"/>
        </w:sectPr>
      </w:pPr>
    </w:p>
    <w:bookmarkStart w:id="158" w:name="page159"/>
    <w:bookmarkEnd w:id="158"/>
    <w:p>
      <w:pPr>
        <w:spacing w:after="0"/>
        <w:rPr>
          <w:sz w:val="20"/>
          <w:szCs w:val="20"/>
          <w:color w:val="auto"/>
        </w:rPr>
      </w:pPr>
      <w:r>
        <w:rPr>
          <w:rFonts w:ascii="Arial" w:cs="Arial" w:eastAsia="Arial" w:hAnsi="Arial"/>
          <w:sz w:val="20"/>
          <w:szCs w:val="20"/>
          <w:color w:val="808080"/>
        </w:rPr>
        <w:t>SECURITIES OWNERSHIP</w:t>
      </w:r>
    </w:p>
    <w:p>
      <w:pPr>
        <w:spacing w:after="0" w:line="326"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b w:val="1"/>
                <w:bCs w:val="1"/>
                <w:color w:val="000039"/>
              </w:rPr>
              <w:t>Name and Address of Beneficial</w:t>
            </w:r>
          </w:p>
        </w:tc>
        <w:tc>
          <w:tcPr>
            <w:tcW w:w="360" w:type="dxa"/>
            <w:vAlign w:val="bottom"/>
          </w:tcPr>
          <w:p>
            <w:pPr>
              <w:spacing w:after="0"/>
              <w:rPr>
                <w:sz w:val="14"/>
                <w:szCs w:val="14"/>
                <w:color w:val="auto"/>
              </w:rPr>
            </w:pPr>
          </w:p>
        </w:tc>
        <w:tc>
          <w:tcPr>
            <w:tcW w:w="2170" w:type="dxa"/>
            <w:vAlign w:val="bottom"/>
          </w:tcPr>
          <w:p>
            <w:pPr>
              <w:spacing w:after="0"/>
              <w:rPr>
                <w:sz w:val="14"/>
                <w:szCs w:val="14"/>
                <w:color w:val="auto"/>
              </w:rPr>
            </w:pPr>
          </w:p>
        </w:tc>
        <w:tc>
          <w:tcPr>
            <w:tcW w:w="127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2240" w:type="dxa"/>
            <w:vAlign w:val="bottom"/>
          </w:tcPr>
          <w:p>
            <w:pPr>
              <w:spacing w:after="0"/>
              <w:rPr>
                <w:sz w:val="20"/>
                <w:szCs w:val="20"/>
                <w:color w:val="auto"/>
              </w:rPr>
            </w:pPr>
            <w:r>
              <w:rPr>
                <w:rFonts w:ascii="Arial" w:cs="Arial" w:eastAsia="Arial" w:hAnsi="Arial"/>
                <w:sz w:val="14"/>
                <w:szCs w:val="14"/>
                <w:b w:val="1"/>
                <w:bCs w:val="1"/>
                <w:color w:val="000039"/>
              </w:rPr>
              <w:t>Owner</w:t>
            </w:r>
          </w:p>
        </w:tc>
        <w:tc>
          <w:tcPr>
            <w:tcW w:w="360" w:type="dxa"/>
            <w:vAlign w:val="bottom"/>
          </w:tcPr>
          <w:p>
            <w:pPr>
              <w:spacing w:after="0"/>
              <w:rPr>
                <w:sz w:val="15"/>
                <w:szCs w:val="15"/>
                <w:color w:val="auto"/>
              </w:rPr>
            </w:pPr>
          </w:p>
        </w:tc>
        <w:tc>
          <w:tcPr>
            <w:tcW w:w="2170" w:type="dxa"/>
            <w:vAlign w:val="bottom"/>
          </w:tcPr>
          <w:p>
            <w:pPr>
              <w:jc w:val="right"/>
              <w:ind w:right="20"/>
              <w:spacing w:after="0"/>
              <w:rPr>
                <w:sz w:val="20"/>
                <w:szCs w:val="20"/>
                <w:color w:val="auto"/>
              </w:rPr>
            </w:pPr>
            <w:r>
              <w:rPr>
                <w:rFonts w:ascii="Arial" w:cs="Arial" w:eastAsia="Arial" w:hAnsi="Arial"/>
                <w:sz w:val="14"/>
                <w:szCs w:val="14"/>
                <w:b w:val="1"/>
                <w:bCs w:val="1"/>
                <w:color w:val="000039"/>
              </w:rPr>
              <w:t>Shares Beneficially Owned</w:t>
            </w:r>
          </w:p>
        </w:tc>
        <w:tc>
          <w:tcPr>
            <w:tcW w:w="1290" w:type="dxa"/>
            <w:vAlign w:val="bottom"/>
            <w:gridSpan w:val="2"/>
          </w:tcPr>
          <w:p>
            <w:pPr>
              <w:ind w:left="130"/>
              <w:spacing w:after="0"/>
              <w:rPr>
                <w:sz w:val="20"/>
                <w:szCs w:val="20"/>
                <w:color w:val="auto"/>
              </w:rPr>
            </w:pPr>
            <w:r>
              <w:rPr>
                <w:rFonts w:ascii="Arial" w:cs="Arial" w:eastAsia="Arial" w:hAnsi="Arial"/>
                <w:sz w:val="14"/>
                <w:szCs w:val="14"/>
                <w:b w:val="1"/>
                <w:bCs w:val="1"/>
                <w:color w:val="000039"/>
                <w:w w:val="98"/>
              </w:rPr>
              <w:t>Percent of Class*</w:t>
            </w:r>
          </w:p>
        </w:tc>
      </w:tr>
      <w:tr>
        <w:trPr>
          <w:trHeight w:val="185"/>
        </w:trPr>
        <w:tc>
          <w:tcPr>
            <w:tcW w:w="2240" w:type="dxa"/>
            <w:vAlign w:val="bottom"/>
            <w:tcBorders>
              <w:top w:val="single" w:sz="8" w:color="000039"/>
            </w:tcBorders>
            <w:shd w:val="clear" w:color="auto" w:fill="D9D9D9"/>
          </w:tcPr>
          <w:p>
            <w:pPr>
              <w:spacing w:after="0" w:line="185" w:lineRule="exact"/>
              <w:rPr>
                <w:sz w:val="20"/>
                <w:szCs w:val="20"/>
                <w:color w:val="auto"/>
              </w:rPr>
            </w:pPr>
            <w:r>
              <w:rPr>
                <w:rFonts w:ascii="Arial" w:cs="Arial" w:eastAsia="Arial" w:hAnsi="Arial"/>
                <w:sz w:val="18"/>
                <w:szCs w:val="18"/>
                <w:color w:val="auto"/>
              </w:rPr>
              <w:t>The Vanguard Group</w:t>
            </w:r>
          </w:p>
        </w:tc>
        <w:tc>
          <w:tcPr>
            <w:tcW w:w="360" w:type="dxa"/>
            <w:vAlign w:val="bottom"/>
            <w:tcBorders>
              <w:top w:val="single" w:sz="8" w:color="000039"/>
            </w:tcBorders>
            <w:shd w:val="clear" w:color="auto" w:fill="D9D9D9"/>
          </w:tcPr>
          <w:p>
            <w:pPr>
              <w:jc w:val="right"/>
              <w:spacing w:after="0" w:line="185" w:lineRule="exact"/>
              <w:rPr>
                <w:sz w:val="20"/>
                <w:szCs w:val="20"/>
                <w:color w:val="auto"/>
              </w:rPr>
            </w:pPr>
            <w:r>
              <w:rPr>
                <w:rFonts w:ascii="Arial" w:cs="Arial" w:eastAsia="Arial" w:hAnsi="Arial"/>
                <w:sz w:val="20"/>
                <w:szCs w:val="20"/>
                <w:color w:val="auto"/>
                <w:highlight w:val="lightGray"/>
                <w:w w:val="97"/>
              </w:rPr>
              <w:t>(1)</w:t>
            </w:r>
          </w:p>
        </w:tc>
        <w:tc>
          <w:tcPr>
            <w:tcW w:w="2170" w:type="dxa"/>
            <w:vAlign w:val="bottom"/>
            <w:tcBorders>
              <w:top w:val="single" w:sz="8" w:color="000039"/>
            </w:tcBorders>
            <w:shd w:val="clear" w:color="auto" w:fill="D9D9D9"/>
          </w:tcPr>
          <w:p>
            <w:pPr>
              <w:jc w:val="right"/>
              <w:ind w:right="40"/>
              <w:spacing w:after="0" w:line="185" w:lineRule="exact"/>
              <w:rPr>
                <w:sz w:val="20"/>
                <w:szCs w:val="20"/>
                <w:color w:val="auto"/>
              </w:rPr>
            </w:pPr>
            <w:r>
              <w:rPr>
                <w:rFonts w:ascii="Arial" w:cs="Arial" w:eastAsia="Arial" w:hAnsi="Arial"/>
                <w:sz w:val="20"/>
                <w:szCs w:val="20"/>
                <w:color w:val="auto"/>
              </w:rPr>
              <w:t>177,266,703</w:t>
            </w:r>
          </w:p>
        </w:tc>
        <w:tc>
          <w:tcPr>
            <w:tcW w:w="1270" w:type="dxa"/>
            <w:vAlign w:val="bottom"/>
            <w:tcBorders>
              <w:top w:val="single" w:sz="8" w:color="000039"/>
            </w:tcBorders>
            <w:shd w:val="clear" w:color="auto" w:fill="D9D9D9"/>
          </w:tcPr>
          <w:p>
            <w:pPr>
              <w:jc w:val="right"/>
              <w:spacing w:after="0" w:line="185" w:lineRule="exact"/>
              <w:rPr>
                <w:sz w:val="20"/>
                <w:szCs w:val="20"/>
                <w:color w:val="auto"/>
              </w:rPr>
            </w:pPr>
            <w:r>
              <w:rPr>
                <w:rFonts w:ascii="Arial" w:cs="Arial" w:eastAsia="Arial" w:hAnsi="Arial"/>
                <w:sz w:val="20"/>
                <w:szCs w:val="20"/>
                <w:color w:val="auto"/>
              </w:rPr>
              <w:t>10.02%</w:t>
            </w:r>
          </w:p>
        </w:tc>
        <w:tc>
          <w:tcPr>
            <w:tcW w:w="20" w:type="dxa"/>
            <w:vAlign w:val="bottom"/>
          </w:tcPr>
          <w:p>
            <w:pPr>
              <w:spacing w:after="0"/>
              <w:rPr>
                <w:sz w:val="16"/>
                <w:szCs w:val="16"/>
                <w:color w:val="auto"/>
              </w:rPr>
            </w:pPr>
          </w:p>
        </w:tc>
      </w:tr>
      <w:tr>
        <w:trPr>
          <w:trHeight w:val="234"/>
        </w:trPr>
        <w:tc>
          <w:tcPr>
            <w:tcW w:w="2240" w:type="dxa"/>
            <w:vAlign w:val="bottom"/>
            <w:shd w:val="clear" w:color="auto" w:fill="D9D9D9"/>
          </w:tcPr>
          <w:p>
            <w:pPr>
              <w:spacing w:after="0"/>
              <w:rPr>
                <w:sz w:val="20"/>
                <w:szCs w:val="20"/>
                <w:color w:val="auto"/>
              </w:rPr>
            </w:pPr>
            <w:r>
              <w:rPr>
                <w:rFonts w:ascii="Arial" w:cs="Arial" w:eastAsia="Arial" w:hAnsi="Arial"/>
                <w:sz w:val="18"/>
                <w:szCs w:val="18"/>
                <w:color w:val="auto"/>
              </w:rPr>
              <w:t>100 Vanguard Blvd.</w:t>
            </w:r>
          </w:p>
        </w:tc>
        <w:tc>
          <w:tcPr>
            <w:tcW w:w="360" w:type="dxa"/>
            <w:vAlign w:val="bottom"/>
            <w:shd w:val="clear" w:color="auto" w:fill="D9D9D9"/>
          </w:tcPr>
          <w:p>
            <w:pPr>
              <w:spacing w:after="0"/>
              <w:rPr>
                <w:sz w:val="20"/>
                <w:szCs w:val="20"/>
                <w:color w:val="auto"/>
              </w:rPr>
            </w:pPr>
          </w:p>
        </w:tc>
        <w:tc>
          <w:tcPr>
            <w:tcW w:w="2170" w:type="dxa"/>
            <w:vAlign w:val="bottom"/>
            <w:shd w:val="clear" w:color="auto" w:fill="D9D9D9"/>
          </w:tcPr>
          <w:p>
            <w:pPr>
              <w:spacing w:after="0"/>
              <w:rPr>
                <w:sz w:val="20"/>
                <w:szCs w:val="20"/>
                <w:color w:val="auto"/>
              </w:rPr>
            </w:pPr>
          </w:p>
        </w:tc>
        <w:tc>
          <w:tcPr>
            <w:tcW w:w="127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240" w:type="dxa"/>
            <w:vAlign w:val="bottom"/>
            <w:shd w:val="clear" w:color="auto" w:fill="D9D9D9"/>
          </w:tcPr>
          <w:p>
            <w:pPr>
              <w:spacing w:after="0"/>
              <w:rPr>
                <w:sz w:val="20"/>
                <w:szCs w:val="20"/>
                <w:color w:val="auto"/>
              </w:rPr>
            </w:pPr>
            <w:r>
              <w:rPr>
                <w:rFonts w:ascii="Arial" w:cs="Arial" w:eastAsia="Arial" w:hAnsi="Arial"/>
                <w:sz w:val="18"/>
                <w:szCs w:val="18"/>
                <w:color w:val="auto"/>
              </w:rPr>
              <w:t>Malvern, PA 19355</w:t>
            </w:r>
          </w:p>
        </w:tc>
        <w:tc>
          <w:tcPr>
            <w:tcW w:w="360" w:type="dxa"/>
            <w:vAlign w:val="bottom"/>
            <w:shd w:val="clear" w:color="auto" w:fill="D9D9D9"/>
          </w:tcPr>
          <w:p>
            <w:pPr>
              <w:spacing w:after="0"/>
              <w:rPr>
                <w:sz w:val="19"/>
                <w:szCs w:val="19"/>
                <w:color w:val="auto"/>
              </w:rPr>
            </w:pPr>
          </w:p>
        </w:tc>
        <w:tc>
          <w:tcPr>
            <w:tcW w:w="2170" w:type="dxa"/>
            <w:vAlign w:val="bottom"/>
            <w:shd w:val="clear" w:color="auto" w:fill="D9D9D9"/>
          </w:tcPr>
          <w:p>
            <w:pPr>
              <w:spacing w:after="0"/>
              <w:rPr>
                <w:sz w:val="19"/>
                <w:szCs w:val="19"/>
                <w:color w:val="auto"/>
              </w:rPr>
            </w:pPr>
          </w:p>
        </w:tc>
        <w:tc>
          <w:tcPr>
            <w:tcW w:w="127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2240" w:type="dxa"/>
            <w:vAlign w:val="bottom"/>
          </w:tcPr>
          <w:p>
            <w:pPr>
              <w:spacing w:after="0"/>
              <w:rPr>
                <w:sz w:val="20"/>
                <w:szCs w:val="20"/>
                <w:color w:val="auto"/>
              </w:rPr>
            </w:pPr>
            <w:r>
              <w:rPr>
                <w:rFonts w:ascii="Arial" w:cs="Arial" w:eastAsia="Arial" w:hAnsi="Arial"/>
                <w:sz w:val="18"/>
                <w:szCs w:val="18"/>
                <w:color w:val="auto"/>
              </w:rPr>
              <w:t>BlackRock, Inc.</w:t>
            </w:r>
          </w:p>
        </w:tc>
        <w:tc>
          <w:tcPr>
            <w:tcW w:w="360" w:type="dxa"/>
            <w:vAlign w:val="bottom"/>
          </w:tcPr>
          <w:p>
            <w:pPr>
              <w:jc w:val="right"/>
              <w:spacing w:after="0"/>
              <w:rPr>
                <w:sz w:val="20"/>
                <w:szCs w:val="20"/>
                <w:color w:val="auto"/>
              </w:rPr>
            </w:pPr>
            <w:r>
              <w:rPr>
                <w:rFonts w:ascii="Arial" w:cs="Arial" w:eastAsia="Arial" w:hAnsi="Arial"/>
                <w:sz w:val="20"/>
                <w:szCs w:val="20"/>
                <w:color w:val="auto"/>
                <w:w w:val="97"/>
              </w:rPr>
              <w:t>(2)</w:t>
            </w:r>
          </w:p>
        </w:tc>
        <w:tc>
          <w:tcPr>
            <w:tcW w:w="2170" w:type="dxa"/>
            <w:vAlign w:val="bottom"/>
          </w:tcPr>
          <w:p>
            <w:pPr>
              <w:jc w:val="right"/>
              <w:ind w:right="40"/>
              <w:spacing w:after="0"/>
              <w:rPr>
                <w:sz w:val="20"/>
                <w:szCs w:val="20"/>
                <w:color w:val="auto"/>
              </w:rPr>
            </w:pPr>
            <w:r>
              <w:rPr>
                <w:rFonts w:ascii="Arial" w:cs="Arial" w:eastAsia="Arial" w:hAnsi="Arial"/>
                <w:sz w:val="20"/>
                <w:szCs w:val="20"/>
                <w:color w:val="auto"/>
              </w:rPr>
              <w:t>143,180,060</w:t>
            </w:r>
          </w:p>
        </w:tc>
        <w:tc>
          <w:tcPr>
            <w:tcW w:w="1270" w:type="dxa"/>
            <w:vAlign w:val="bottom"/>
          </w:tcPr>
          <w:p>
            <w:pPr>
              <w:jc w:val="right"/>
              <w:spacing w:after="0"/>
              <w:rPr>
                <w:sz w:val="20"/>
                <w:szCs w:val="20"/>
                <w:color w:val="auto"/>
              </w:rPr>
            </w:pPr>
            <w:r>
              <w:rPr>
                <w:rFonts w:ascii="Arial" w:cs="Arial" w:eastAsia="Arial" w:hAnsi="Arial"/>
                <w:sz w:val="20"/>
                <w:szCs w:val="20"/>
                <w:color w:val="auto"/>
              </w:rPr>
              <w:t>8.09</w:t>
            </w:r>
          </w:p>
        </w:tc>
        <w:tc>
          <w:tcPr>
            <w:tcW w:w="20" w:type="dxa"/>
            <w:vAlign w:val="bottom"/>
          </w:tcPr>
          <w:p>
            <w:pPr>
              <w:spacing w:after="0"/>
              <w:rPr>
                <w:sz w:val="22"/>
                <w:szCs w:val="22"/>
                <w:color w:val="auto"/>
              </w:rPr>
            </w:pPr>
          </w:p>
        </w:tc>
      </w:tr>
    </w:tbl>
    <w:p>
      <w:pPr>
        <w:ind w:left="2020"/>
        <w:spacing w:after="0"/>
        <w:rPr>
          <w:sz w:val="20"/>
          <w:szCs w:val="20"/>
          <w:color w:val="auto"/>
        </w:rPr>
      </w:pPr>
      <w:r>
        <w:rPr>
          <w:rFonts w:ascii="Arial" w:cs="Arial" w:eastAsia="Arial" w:hAnsi="Arial"/>
          <w:sz w:val="18"/>
          <w:szCs w:val="18"/>
          <w:color w:val="auto"/>
        </w:rPr>
        <w:t>50 Hudson Yards</w:t>
      </w:r>
    </w:p>
    <w:p>
      <w:pPr>
        <w:spacing w:after="0" w:line="1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New York, NY 10001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1270635</wp:posOffset>
                </wp:positionH>
                <wp:positionV relativeFrom="paragraph">
                  <wp:posOffset>7620</wp:posOffset>
                </wp:positionV>
                <wp:extent cx="385000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500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05pt,0.6pt" to="403.2pt,0.6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116840</wp:posOffset>
                </wp:positionV>
                <wp:extent cx="1599565" cy="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9.2pt" to="125.9pt,9.2pt" o:allowincell="f" strokecolor="#000000" strokeweight="1.02pt"/>
            </w:pict>
          </mc:Fallback>
        </mc:AlternateContent>
      </w:r>
    </w:p>
    <w:p>
      <w:pPr>
        <w:spacing w:after="0" w:line="207" w:lineRule="exact"/>
        <w:rPr>
          <w:sz w:val="20"/>
          <w:szCs w:val="20"/>
          <w:color w:val="auto"/>
        </w:rPr>
      </w:pPr>
    </w:p>
    <w:p>
      <w:pPr>
        <w:ind w:left="360" w:hanging="360"/>
        <w:spacing w:after="0"/>
        <w:tabs>
          <w:tab w:leader="none" w:pos="3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Percent of class is calculated based on the shares of AbbVie common stock outstanding as of March 6, 2026.</w:t>
      </w:r>
    </w:p>
    <w:p>
      <w:pPr>
        <w:spacing w:after="0" w:line="211" w:lineRule="exact"/>
        <w:rPr>
          <w:sz w:val="20"/>
          <w:szCs w:val="20"/>
          <w:color w:val="auto"/>
        </w:rPr>
      </w:pPr>
    </w:p>
    <w:p>
      <w:pPr>
        <w:ind w:left="360" w:right="120" w:hanging="360"/>
        <w:spacing w:after="0" w:line="254" w:lineRule="auto"/>
        <w:tabs>
          <w:tab w:leader="none" w:pos="3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Based solely on the Schedule 13G/A filed with the SEC on July 7, 2025, reporting beneficial ownership as of June 30, 2025, by The Vanguard Group, which has shared voting power with respect to 2,360,296 shares, sole dispositive power with respect to 168,246,961 shares and shared dispositive power with respect to 9,019,742 shares.</w:t>
      </w:r>
    </w:p>
    <w:p>
      <w:pPr>
        <w:spacing w:after="0" w:line="81" w:lineRule="exact"/>
        <w:rPr>
          <w:rFonts w:ascii="Arial" w:cs="Arial" w:eastAsia="Arial" w:hAnsi="Arial"/>
          <w:sz w:val="20"/>
          <w:szCs w:val="20"/>
          <w:color w:val="auto"/>
        </w:rPr>
      </w:pPr>
    </w:p>
    <w:p>
      <w:pPr>
        <w:jc w:val="both"/>
        <w:ind w:left="360" w:right="140" w:hanging="360"/>
        <w:spacing w:after="0" w:line="262" w:lineRule="auto"/>
        <w:tabs>
          <w:tab w:leader="none" w:pos="3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Based solely on the Schedule 13G/A filed with the SEC on January 25, 2024, reporting beneficial ownership as of December 31, 2023, by BlackRock, Inc., which has sole voting power with respect to 129,971,632 and sole dispositive power with respect to 143,180,060 of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30  </w:t>
      </w:r>
      <w:r>
        <w:rPr>
          <w:sz w:val="1"/>
          <w:szCs w:val="1"/>
          <w:color w:val="auto"/>
        </w:rPr>
        <w:drawing>
          <wp:inline distT="0" distB="0" distL="0" distR="0">
            <wp:extent cx="991870" cy="20066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199">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40"/>
          </w:cols>
          <w:pgMar w:left="900" w:top="702" w:right="940" w:bottom="0" w:gutter="0" w:footer="0" w:header="0"/>
        </w:sectPr>
      </w:pPr>
    </w:p>
    <w:bookmarkStart w:id="159" w:name="page160"/>
    <w:bookmarkEnd w:id="159"/>
    <w:p>
      <w:pPr>
        <w:spacing w:after="0"/>
        <w:rPr>
          <w:sz w:val="20"/>
          <w:szCs w:val="20"/>
          <w:color w:val="auto"/>
        </w:rPr>
      </w:pPr>
      <w:r>
        <w:rPr>
          <w:rFonts w:ascii="Arial" w:cs="Arial" w:eastAsia="Arial" w:hAnsi="Arial"/>
          <w:sz w:val="39"/>
          <w:szCs w:val="39"/>
          <w:color w:val="000039"/>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53340</wp:posOffset>
                </wp:positionV>
                <wp:extent cx="6438900"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4.2pt" to="505.5pt,4.2pt" o:allowincell="f" strokecolor="#000039" strokeweight="1.5pt"/>
            </w:pict>
          </mc:Fallback>
        </mc:AlternateContent>
      </w:r>
    </w:p>
    <w:p>
      <w:pPr>
        <w:sectPr>
          <w:pgSz w:w="11880" w:h="15480" w:orient="portrait"/>
          <w:cols w:equalWidth="0" w:num="1">
            <w:col w:w="10080"/>
          </w:cols>
          <w:pgMar w:left="900" w:top="861" w:right="900" w:bottom="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36"/>
          <w:szCs w:val="36"/>
          <w:color w:val="auto"/>
        </w:rPr>
        <w:t>Compensation Discussion and Analysis</w:t>
      </w:r>
    </w:p>
    <w:p>
      <w:pPr>
        <w:spacing w:after="0" w:line="217" w:lineRule="exact"/>
        <w:rPr>
          <w:sz w:val="20"/>
          <w:szCs w:val="20"/>
          <w:color w:val="auto"/>
        </w:rPr>
      </w:pPr>
    </w:p>
    <w:p>
      <w:pPr>
        <w:ind w:right="480"/>
        <w:spacing w:after="0" w:line="282" w:lineRule="auto"/>
        <w:rPr>
          <w:sz w:val="20"/>
          <w:szCs w:val="20"/>
          <w:color w:val="auto"/>
        </w:rPr>
      </w:pPr>
      <w:r>
        <w:rPr>
          <w:rFonts w:ascii="Arial" w:cs="Arial" w:eastAsia="Arial" w:hAnsi="Arial"/>
          <w:sz w:val="19"/>
          <w:szCs w:val="19"/>
          <w:color w:val="auto"/>
        </w:rPr>
        <w:t>This Compensation Discussion and Analysis (CD&amp;A) describes the pay philosophy established for AbbVie's named executive officers (NEOs), the design of our compensation programs, the process used to examine performance in the context of executive pay decisions, and the performance goals and results for each NEO: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332105</wp:posOffset>
                </wp:positionH>
                <wp:positionV relativeFrom="paragraph">
                  <wp:posOffset>36830</wp:posOffset>
                </wp:positionV>
                <wp:extent cx="0" cy="95885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8850"/>
                        </a:xfrm>
                        <a:prstGeom prst="line">
                          <a:avLst/>
                        </a:prstGeom>
                        <a:solidFill>
                          <a:srgbClr val="FFFFFF"/>
                        </a:solidFill>
                        <a:ln w="28194">
                          <a:solidFill>
                            <a:srgbClr val="000039"/>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5pt,2.9pt" to="26.15pt,78.4pt" o:allowincell="f" strokecolor="#000039" strokeweight="2.22pt"/>
            </w:pict>
          </mc:Fallback>
        </mc:AlternateContent>
        <mc:AlternateContent>
          <mc:Choice Requires="wps">
            <w:drawing>
              <wp:anchor simplePos="0" relativeHeight="251657728" behindDoc="1" locked="0" layoutInCell="0" allowOverlap="1">
                <wp:simplePos x="0" y="0"/>
                <wp:positionH relativeFrom="column">
                  <wp:posOffset>6067425</wp:posOffset>
                </wp:positionH>
                <wp:positionV relativeFrom="paragraph">
                  <wp:posOffset>36830</wp:posOffset>
                </wp:positionV>
                <wp:extent cx="0" cy="95885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8850"/>
                        </a:xfrm>
                        <a:prstGeom prst="line">
                          <a:avLst/>
                        </a:prstGeom>
                        <a:solidFill>
                          <a:srgbClr val="FFFFFF"/>
                        </a:solidFill>
                        <a:ln w="28193">
                          <a:solidFill>
                            <a:srgbClr val="000039"/>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75pt,2.9pt" to="477.75pt,78.4pt" o:allowincell="f" strokecolor="#000039" strokeweight="2.2199pt"/>
            </w:pict>
          </mc:Fallback>
        </mc:AlternateContent>
      </w:r>
    </w:p>
    <w:p>
      <w:pPr>
        <w:spacing w:after="0" w:line="39" w:lineRule="exact"/>
        <w:rPr>
          <w:sz w:val="20"/>
          <w:szCs w:val="20"/>
          <w:color w:val="auto"/>
        </w:rPr>
      </w:pPr>
    </w:p>
    <w:tbl>
      <w:tblPr>
        <w:tblLayout w:type="fixed"/>
        <w:tblInd w:w="620" w:type="dxa"/>
        <w:tblCellMar>
          <w:top w:w="0" w:type="dxa"/>
          <w:left w:w="0" w:type="dxa"/>
          <w:bottom w:w="0" w:type="dxa"/>
          <w:right w:w="0" w:type="dxa"/>
        </w:tblCellMar>
      </w:tblPr>
      <w:tr>
        <w:trPr>
          <w:trHeight w:val="308"/>
        </w:trPr>
        <w:tc>
          <w:tcPr>
            <w:tcW w:w="1600" w:type="dxa"/>
            <w:vAlign w:val="bottom"/>
            <w:tcBorders>
              <w:right w:val="single" w:sz="8" w:color="000039"/>
            </w:tcBorders>
          </w:tcPr>
          <w:p>
            <w:pPr>
              <w:spacing w:after="0"/>
              <w:rPr>
                <w:sz w:val="20"/>
                <w:szCs w:val="20"/>
                <w:color w:val="auto"/>
              </w:rPr>
            </w:pPr>
            <w:r>
              <w:rPr>
                <w:rFonts w:ascii="Arial" w:cs="Arial" w:eastAsia="Arial" w:hAnsi="Arial"/>
                <w:sz w:val="18"/>
                <w:szCs w:val="18"/>
                <w:b w:val="1"/>
                <w:bCs w:val="1"/>
                <w:color w:val="auto"/>
              </w:rPr>
              <w:t>ROBERT A.</w:t>
            </w:r>
          </w:p>
        </w:tc>
        <w:tc>
          <w:tcPr>
            <w:tcW w:w="1680" w:type="dxa"/>
            <w:vAlign w:val="bottom"/>
            <w:tcBorders>
              <w:right w:val="single" w:sz="8" w:color="000039"/>
            </w:tcBorders>
          </w:tcPr>
          <w:p>
            <w:pPr>
              <w:ind w:left="80"/>
              <w:spacing w:after="0"/>
              <w:rPr>
                <w:sz w:val="20"/>
                <w:szCs w:val="20"/>
                <w:color w:val="auto"/>
              </w:rPr>
            </w:pPr>
            <w:r>
              <w:rPr>
                <w:rFonts w:ascii="Arial" w:cs="Arial" w:eastAsia="Arial" w:hAnsi="Arial"/>
                <w:sz w:val="18"/>
                <w:szCs w:val="18"/>
                <w:b w:val="1"/>
                <w:bCs w:val="1"/>
                <w:color w:val="auto"/>
              </w:rPr>
              <w:t>SCOTT T.</w:t>
            </w:r>
          </w:p>
        </w:tc>
        <w:tc>
          <w:tcPr>
            <w:tcW w:w="1660" w:type="dxa"/>
            <w:vAlign w:val="bottom"/>
            <w:tcBorders>
              <w:right w:val="single" w:sz="8" w:color="000039"/>
            </w:tcBorders>
          </w:tcPr>
          <w:p>
            <w:pPr>
              <w:ind w:left="60"/>
              <w:spacing w:after="0"/>
              <w:rPr>
                <w:sz w:val="20"/>
                <w:szCs w:val="20"/>
                <w:color w:val="auto"/>
              </w:rPr>
            </w:pPr>
            <w:r>
              <w:rPr>
                <w:rFonts w:ascii="Arial" w:cs="Arial" w:eastAsia="Arial" w:hAnsi="Arial"/>
                <w:sz w:val="18"/>
                <w:szCs w:val="18"/>
                <w:b w:val="1"/>
                <w:bCs w:val="1"/>
                <w:color w:val="auto"/>
              </w:rPr>
              <w:t>JEFFREY R.</w:t>
            </w:r>
          </w:p>
        </w:tc>
        <w:tc>
          <w:tcPr>
            <w:tcW w:w="1960" w:type="dxa"/>
            <w:vAlign w:val="bottom"/>
            <w:tcBorders>
              <w:right w:val="single" w:sz="8" w:color="000039"/>
            </w:tcBorders>
          </w:tcPr>
          <w:p>
            <w:pPr>
              <w:ind w:left="80"/>
              <w:spacing w:after="0"/>
              <w:rPr>
                <w:sz w:val="20"/>
                <w:szCs w:val="20"/>
                <w:color w:val="auto"/>
              </w:rPr>
            </w:pPr>
            <w:r>
              <w:rPr>
                <w:rFonts w:ascii="Arial" w:cs="Arial" w:eastAsia="Arial" w:hAnsi="Arial"/>
                <w:sz w:val="18"/>
                <w:szCs w:val="18"/>
                <w:b w:val="1"/>
                <w:bCs w:val="1"/>
                <w:color w:val="auto"/>
              </w:rPr>
              <w:t>AZITA</w:t>
            </w:r>
          </w:p>
        </w:tc>
        <w:tc>
          <w:tcPr>
            <w:tcW w:w="1900" w:type="dxa"/>
            <w:vAlign w:val="bottom"/>
          </w:tcPr>
          <w:p>
            <w:pPr>
              <w:ind w:left="60"/>
              <w:spacing w:after="0"/>
              <w:rPr>
                <w:sz w:val="20"/>
                <w:szCs w:val="20"/>
                <w:color w:val="auto"/>
              </w:rPr>
            </w:pPr>
            <w:r>
              <w:rPr>
                <w:rFonts w:ascii="Arial" w:cs="Arial" w:eastAsia="Arial" w:hAnsi="Arial"/>
                <w:sz w:val="18"/>
                <w:szCs w:val="18"/>
                <w:b w:val="1"/>
                <w:bCs w:val="1"/>
                <w:color w:val="auto"/>
              </w:rPr>
              <w:t>ROOPAL B.</w:t>
            </w:r>
          </w:p>
        </w:tc>
      </w:tr>
      <w:tr>
        <w:trPr>
          <w:trHeight w:val="255"/>
        </w:trPr>
        <w:tc>
          <w:tcPr>
            <w:tcW w:w="1600" w:type="dxa"/>
            <w:vAlign w:val="bottom"/>
            <w:tcBorders>
              <w:right w:val="single" w:sz="8" w:color="000039"/>
            </w:tcBorders>
          </w:tcPr>
          <w:p>
            <w:pPr>
              <w:spacing w:after="0"/>
              <w:rPr>
                <w:sz w:val="20"/>
                <w:szCs w:val="20"/>
                <w:color w:val="auto"/>
              </w:rPr>
            </w:pPr>
            <w:r>
              <w:rPr>
                <w:rFonts w:ascii="Arial" w:cs="Arial" w:eastAsia="Arial" w:hAnsi="Arial"/>
                <w:sz w:val="18"/>
                <w:szCs w:val="18"/>
                <w:b w:val="1"/>
                <w:bCs w:val="1"/>
                <w:color w:val="auto"/>
              </w:rPr>
              <w:t>MICHAEL</w:t>
            </w:r>
          </w:p>
        </w:tc>
        <w:tc>
          <w:tcPr>
            <w:tcW w:w="1680" w:type="dxa"/>
            <w:vAlign w:val="bottom"/>
            <w:tcBorders>
              <w:right w:val="single" w:sz="8" w:color="000039"/>
            </w:tcBorders>
          </w:tcPr>
          <w:p>
            <w:pPr>
              <w:ind w:left="80"/>
              <w:spacing w:after="0"/>
              <w:rPr>
                <w:sz w:val="20"/>
                <w:szCs w:val="20"/>
                <w:color w:val="auto"/>
              </w:rPr>
            </w:pPr>
            <w:r>
              <w:rPr>
                <w:rFonts w:ascii="Arial" w:cs="Arial" w:eastAsia="Arial" w:hAnsi="Arial"/>
                <w:sz w:val="18"/>
                <w:szCs w:val="18"/>
                <w:b w:val="1"/>
                <w:bCs w:val="1"/>
                <w:color w:val="auto"/>
              </w:rPr>
              <w:t>REENTS</w:t>
            </w:r>
          </w:p>
        </w:tc>
        <w:tc>
          <w:tcPr>
            <w:tcW w:w="1660" w:type="dxa"/>
            <w:vAlign w:val="bottom"/>
            <w:tcBorders>
              <w:right w:val="single" w:sz="8" w:color="000039"/>
            </w:tcBorders>
          </w:tcPr>
          <w:p>
            <w:pPr>
              <w:ind w:left="60"/>
              <w:spacing w:after="0"/>
              <w:rPr>
                <w:sz w:val="20"/>
                <w:szCs w:val="20"/>
                <w:color w:val="auto"/>
              </w:rPr>
            </w:pPr>
            <w:r>
              <w:rPr>
                <w:rFonts w:ascii="Arial" w:cs="Arial" w:eastAsia="Arial" w:hAnsi="Arial"/>
                <w:sz w:val="18"/>
                <w:szCs w:val="18"/>
                <w:b w:val="1"/>
                <w:bCs w:val="1"/>
                <w:color w:val="auto"/>
              </w:rPr>
              <w:t>STEWART</w:t>
            </w:r>
          </w:p>
        </w:tc>
        <w:tc>
          <w:tcPr>
            <w:tcW w:w="1960" w:type="dxa"/>
            <w:vAlign w:val="bottom"/>
            <w:tcBorders>
              <w:right w:val="single" w:sz="8" w:color="000039"/>
            </w:tcBorders>
          </w:tcPr>
          <w:p>
            <w:pPr>
              <w:ind w:left="80"/>
              <w:spacing w:after="0"/>
              <w:rPr>
                <w:sz w:val="20"/>
                <w:szCs w:val="20"/>
                <w:color w:val="auto"/>
              </w:rPr>
            </w:pPr>
            <w:r>
              <w:rPr>
                <w:rFonts w:ascii="Arial" w:cs="Arial" w:eastAsia="Arial" w:hAnsi="Arial"/>
                <w:sz w:val="18"/>
                <w:szCs w:val="18"/>
                <w:b w:val="1"/>
                <w:bCs w:val="1"/>
                <w:color w:val="auto"/>
              </w:rPr>
              <w:t>SALEKI-GERHARDT</w:t>
            </w:r>
          </w:p>
        </w:tc>
        <w:tc>
          <w:tcPr>
            <w:tcW w:w="1900" w:type="dxa"/>
            <w:vAlign w:val="bottom"/>
          </w:tcPr>
          <w:p>
            <w:pPr>
              <w:ind w:left="60"/>
              <w:spacing w:after="0"/>
              <w:rPr>
                <w:sz w:val="20"/>
                <w:szCs w:val="20"/>
                <w:color w:val="auto"/>
              </w:rPr>
            </w:pPr>
            <w:r>
              <w:rPr>
                <w:rFonts w:ascii="Arial" w:cs="Arial" w:eastAsia="Arial" w:hAnsi="Arial"/>
                <w:sz w:val="18"/>
                <w:szCs w:val="18"/>
                <w:b w:val="1"/>
                <w:bCs w:val="1"/>
                <w:color w:val="auto"/>
              </w:rPr>
              <w:t>THAKKAR</w:t>
            </w:r>
          </w:p>
        </w:tc>
      </w:tr>
      <w:tr>
        <w:trPr>
          <w:trHeight w:val="262"/>
        </w:trPr>
        <w:tc>
          <w:tcPr>
            <w:tcW w:w="1600" w:type="dxa"/>
            <w:vAlign w:val="bottom"/>
            <w:tcBorders>
              <w:right w:val="single" w:sz="8" w:color="000039"/>
            </w:tcBorders>
          </w:tcPr>
          <w:p>
            <w:pPr>
              <w:spacing w:after="0"/>
              <w:rPr>
                <w:sz w:val="20"/>
                <w:szCs w:val="20"/>
                <w:color w:val="auto"/>
              </w:rPr>
            </w:pPr>
            <w:r>
              <w:rPr>
                <w:rFonts w:ascii="Arial" w:cs="Arial" w:eastAsia="Arial" w:hAnsi="Arial"/>
                <w:sz w:val="16"/>
                <w:szCs w:val="16"/>
                <w:color w:val="auto"/>
              </w:rPr>
              <w:t>Chairman of the</w:t>
            </w:r>
          </w:p>
        </w:tc>
        <w:tc>
          <w:tcPr>
            <w:tcW w:w="1680" w:type="dxa"/>
            <w:vAlign w:val="bottom"/>
            <w:tcBorders>
              <w:right w:val="single" w:sz="8" w:color="000039"/>
            </w:tcBorders>
          </w:tcPr>
          <w:p>
            <w:pPr>
              <w:ind w:left="80"/>
              <w:spacing w:after="0"/>
              <w:rPr>
                <w:sz w:val="20"/>
                <w:szCs w:val="20"/>
                <w:color w:val="auto"/>
              </w:rPr>
            </w:pPr>
            <w:r>
              <w:rPr>
                <w:rFonts w:ascii="Arial" w:cs="Arial" w:eastAsia="Arial" w:hAnsi="Arial"/>
                <w:sz w:val="16"/>
                <w:szCs w:val="16"/>
                <w:color w:val="auto"/>
              </w:rPr>
              <w:t>Executive Vice</w:t>
            </w:r>
          </w:p>
        </w:tc>
        <w:tc>
          <w:tcPr>
            <w:tcW w:w="1660" w:type="dxa"/>
            <w:vAlign w:val="bottom"/>
            <w:tcBorders>
              <w:right w:val="single" w:sz="8" w:color="000039"/>
            </w:tcBorders>
          </w:tcPr>
          <w:p>
            <w:pPr>
              <w:ind w:left="60"/>
              <w:spacing w:after="0"/>
              <w:rPr>
                <w:sz w:val="20"/>
                <w:szCs w:val="20"/>
                <w:color w:val="auto"/>
              </w:rPr>
            </w:pPr>
            <w:r>
              <w:rPr>
                <w:rFonts w:ascii="Arial" w:cs="Arial" w:eastAsia="Arial" w:hAnsi="Arial"/>
                <w:sz w:val="16"/>
                <w:szCs w:val="16"/>
                <w:color w:val="auto"/>
              </w:rPr>
              <w:t>Executive Vice</w:t>
            </w:r>
          </w:p>
        </w:tc>
        <w:tc>
          <w:tcPr>
            <w:tcW w:w="1960" w:type="dxa"/>
            <w:vAlign w:val="bottom"/>
            <w:tcBorders>
              <w:right w:val="single" w:sz="8" w:color="000039"/>
            </w:tcBorders>
          </w:tcPr>
          <w:p>
            <w:pPr>
              <w:ind w:left="80"/>
              <w:spacing w:after="0"/>
              <w:rPr>
                <w:sz w:val="20"/>
                <w:szCs w:val="20"/>
                <w:color w:val="auto"/>
              </w:rPr>
            </w:pPr>
            <w:r>
              <w:rPr>
                <w:rFonts w:ascii="Arial" w:cs="Arial" w:eastAsia="Arial" w:hAnsi="Arial"/>
                <w:sz w:val="16"/>
                <w:szCs w:val="16"/>
                <w:color w:val="auto"/>
              </w:rPr>
              <w:t>Executive Vice</w:t>
            </w:r>
          </w:p>
        </w:tc>
        <w:tc>
          <w:tcPr>
            <w:tcW w:w="1900" w:type="dxa"/>
            <w:vAlign w:val="bottom"/>
          </w:tcPr>
          <w:p>
            <w:pPr>
              <w:ind w:left="60"/>
              <w:spacing w:after="0"/>
              <w:rPr>
                <w:sz w:val="20"/>
                <w:szCs w:val="20"/>
                <w:color w:val="auto"/>
              </w:rPr>
            </w:pPr>
            <w:r>
              <w:rPr>
                <w:rFonts w:ascii="Arial" w:cs="Arial" w:eastAsia="Arial" w:hAnsi="Arial"/>
                <w:sz w:val="16"/>
                <w:szCs w:val="16"/>
                <w:color w:val="auto"/>
              </w:rPr>
              <w:t>Executive Vice President,</w:t>
            </w:r>
          </w:p>
        </w:tc>
      </w:tr>
      <w:tr>
        <w:trPr>
          <w:trHeight w:val="184"/>
        </w:trPr>
        <w:tc>
          <w:tcPr>
            <w:tcW w:w="1600" w:type="dxa"/>
            <w:vAlign w:val="bottom"/>
            <w:tcBorders>
              <w:right w:val="single" w:sz="8" w:color="000039"/>
            </w:tcBorders>
          </w:tcPr>
          <w:p>
            <w:pPr>
              <w:spacing w:after="0"/>
              <w:rPr>
                <w:sz w:val="20"/>
                <w:szCs w:val="20"/>
                <w:color w:val="auto"/>
              </w:rPr>
            </w:pPr>
            <w:r>
              <w:rPr>
                <w:rFonts w:ascii="Arial" w:cs="Arial" w:eastAsia="Arial" w:hAnsi="Arial"/>
                <w:sz w:val="16"/>
                <w:szCs w:val="16"/>
                <w:color w:val="auto"/>
              </w:rPr>
              <w:t>Board and Chief</w:t>
            </w:r>
          </w:p>
        </w:tc>
        <w:tc>
          <w:tcPr>
            <w:tcW w:w="1680" w:type="dxa"/>
            <w:vAlign w:val="bottom"/>
            <w:tcBorders>
              <w:right w:val="single" w:sz="8" w:color="000039"/>
            </w:tcBorders>
          </w:tcPr>
          <w:p>
            <w:pPr>
              <w:ind w:left="80"/>
              <w:spacing w:after="0"/>
              <w:rPr>
                <w:sz w:val="20"/>
                <w:szCs w:val="20"/>
                <w:color w:val="auto"/>
              </w:rPr>
            </w:pPr>
            <w:r>
              <w:rPr>
                <w:rFonts w:ascii="Arial" w:cs="Arial" w:eastAsia="Arial" w:hAnsi="Arial"/>
                <w:sz w:val="16"/>
                <w:szCs w:val="16"/>
                <w:color w:val="auto"/>
              </w:rPr>
              <w:t>President, Chief</w:t>
            </w:r>
          </w:p>
        </w:tc>
        <w:tc>
          <w:tcPr>
            <w:tcW w:w="1660" w:type="dxa"/>
            <w:vAlign w:val="bottom"/>
            <w:tcBorders>
              <w:right w:val="single" w:sz="8" w:color="000039"/>
            </w:tcBorders>
          </w:tcPr>
          <w:p>
            <w:pPr>
              <w:ind w:left="60"/>
              <w:spacing w:after="0"/>
              <w:rPr>
                <w:sz w:val="20"/>
                <w:szCs w:val="20"/>
                <w:color w:val="auto"/>
              </w:rPr>
            </w:pPr>
            <w:r>
              <w:rPr>
                <w:rFonts w:ascii="Arial" w:cs="Arial" w:eastAsia="Arial" w:hAnsi="Arial"/>
                <w:sz w:val="16"/>
                <w:szCs w:val="16"/>
                <w:color w:val="auto"/>
              </w:rPr>
              <w:t>President, Chief</w:t>
            </w:r>
          </w:p>
        </w:tc>
        <w:tc>
          <w:tcPr>
            <w:tcW w:w="1960" w:type="dxa"/>
            <w:vAlign w:val="bottom"/>
            <w:tcBorders>
              <w:right w:val="single" w:sz="8" w:color="000039"/>
            </w:tcBorders>
          </w:tcPr>
          <w:p>
            <w:pPr>
              <w:ind w:left="80"/>
              <w:spacing w:after="0"/>
              <w:rPr>
                <w:sz w:val="20"/>
                <w:szCs w:val="20"/>
                <w:color w:val="auto"/>
              </w:rPr>
            </w:pPr>
            <w:r>
              <w:rPr>
                <w:rFonts w:ascii="Arial" w:cs="Arial" w:eastAsia="Arial" w:hAnsi="Arial"/>
                <w:sz w:val="16"/>
                <w:szCs w:val="16"/>
                <w:color w:val="auto"/>
              </w:rPr>
              <w:t>President, Chief</w:t>
            </w:r>
          </w:p>
        </w:tc>
        <w:tc>
          <w:tcPr>
            <w:tcW w:w="1900" w:type="dxa"/>
            <w:vAlign w:val="bottom"/>
          </w:tcPr>
          <w:p>
            <w:pPr>
              <w:ind w:left="60"/>
              <w:spacing w:after="0"/>
              <w:rPr>
                <w:sz w:val="20"/>
                <w:szCs w:val="20"/>
                <w:color w:val="auto"/>
              </w:rPr>
            </w:pPr>
            <w:r>
              <w:rPr>
                <w:rFonts w:ascii="Arial" w:cs="Arial" w:eastAsia="Arial" w:hAnsi="Arial"/>
                <w:sz w:val="16"/>
                <w:szCs w:val="16"/>
                <w:color w:val="auto"/>
                <w:w w:val="99"/>
              </w:rPr>
              <w:t>Research &amp; Development</w:t>
            </w:r>
          </w:p>
        </w:tc>
      </w:tr>
      <w:tr>
        <w:trPr>
          <w:trHeight w:val="184"/>
        </w:trPr>
        <w:tc>
          <w:tcPr>
            <w:tcW w:w="1600" w:type="dxa"/>
            <w:vAlign w:val="bottom"/>
            <w:tcBorders>
              <w:right w:val="single" w:sz="8" w:color="000039"/>
            </w:tcBorders>
          </w:tcPr>
          <w:p>
            <w:pPr>
              <w:spacing w:after="0"/>
              <w:rPr>
                <w:sz w:val="20"/>
                <w:szCs w:val="20"/>
                <w:color w:val="auto"/>
              </w:rPr>
            </w:pPr>
            <w:r>
              <w:rPr>
                <w:rFonts w:ascii="Arial" w:cs="Arial" w:eastAsia="Arial" w:hAnsi="Arial"/>
                <w:sz w:val="16"/>
                <w:szCs w:val="16"/>
                <w:color w:val="auto"/>
              </w:rPr>
              <w:t>Executive Officer</w:t>
            </w:r>
          </w:p>
        </w:tc>
        <w:tc>
          <w:tcPr>
            <w:tcW w:w="1680" w:type="dxa"/>
            <w:vAlign w:val="bottom"/>
            <w:tcBorders>
              <w:right w:val="single" w:sz="8" w:color="000039"/>
            </w:tcBorders>
          </w:tcPr>
          <w:p>
            <w:pPr>
              <w:ind w:left="80"/>
              <w:spacing w:after="0"/>
              <w:rPr>
                <w:sz w:val="20"/>
                <w:szCs w:val="20"/>
                <w:color w:val="auto"/>
              </w:rPr>
            </w:pPr>
            <w:r>
              <w:rPr>
                <w:rFonts w:ascii="Arial" w:cs="Arial" w:eastAsia="Arial" w:hAnsi="Arial"/>
                <w:sz w:val="16"/>
                <w:szCs w:val="16"/>
                <w:color w:val="auto"/>
              </w:rPr>
              <w:t>Financial Officer</w:t>
            </w:r>
          </w:p>
        </w:tc>
        <w:tc>
          <w:tcPr>
            <w:tcW w:w="1660" w:type="dxa"/>
            <w:vAlign w:val="bottom"/>
            <w:tcBorders>
              <w:right w:val="single" w:sz="8" w:color="000039"/>
            </w:tcBorders>
          </w:tcPr>
          <w:p>
            <w:pPr>
              <w:ind w:left="60"/>
              <w:spacing w:after="0"/>
              <w:rPr>
                <w:sz w:val="20"/>
                <w:szCs w:val="20"/>
                <w:color w:val="auto"/>
              </w:rPr>
            </w:pPr>
            <w:r>
              <w:rPr>
                <w:rFonts w:ascii="Arial" w:cs="Arial" w:eastAsia="Arial" w:hAnsi="Arial"/>
                <w:sz w:val="16"/>
                <w:szCs w:val="16"/>
                <w:color w:val="auto"/>
              </w:rPr>
              <w:t>Commercial Officer</w:t>
            </w:r>
          </w:p>
        </w:tc>
        <w:tc>
          <w:tcPr>
            <w:tcW w:w="1960" w:type="dxa"/>
            <w:vAlign w:val="bottom"/>
            <w:tcBorders>
              <w:right w:val="single" w:sz="8" w:color="000039"/>
            </w:tcBorders>
          </w:tcPr>
          <w:p>
            <w:pPr>
              <w:ind w:left="80"/>
              <w:spacing w:after="0"/>
              <w:rPr>
                <w:sz w:val="20"/>
                <w:szCs w:val="20"/>
                <w:color w:val="auto"/>
              </w:rPr>
            </w:pPr>
            <w:r>
              <w:rPr>
                <w:rFonts w:ascii="Arial" w:cs="Arial" w:eastAsia="Arial" w:hAnsi="Arial"/>
                <w:sz w:val="16"/>
                <w:szCs w:val="16"/>
                <w:color w:val="auto"/>
              </w:rPr>
              <w:t>Operations Officer</w:t>
            </w:r>
          </w:p>
        </w:tc>
        <w:tc>
          <w:tcPr>
            <w:tcW w:w="1900" w:type="dxa"/>
            <w:vAlign w:val="bottom"/>
          </w:tcPr>
          <w:p>
            <w:pPr>
              <w:ind w:left="60"/>
              <w:spacing w:after="0"/>
              <w:rPr>
                <w:sz w:val="20"/>
                <w:szCs w:val="20"/>
                <w:color w:val="auto"/>
              </w:rPr>
            </w:pPr>
            <w:r>
              <w:rPr>
                <w:rFonts w:ascii="Arial" w:cs="Arial" w:eastAsia="Arial" w:hAnsi="Arial"/>
                <w:sz w:val="16"/>
                <w:szCs w:val="16"/>
                <w:color w:val="auto"/>
              </w:rPr>
              <w:t>and Chief Scientific</w:t>
            </w:r>
          </w:p>
        </w:tc>
      </w:tr>
      <w:tr>
        <w:trPr>
          <w:trHeight w:val="214"/>
        </w:trPr>
        <w:tc>
          <w:tcPr>
            <w:tcW w:w="1600" w:type="dxa"/>
            <w:vAlign w:val="bottom"/>
            <w:tcBorders>
              <w:right w:val="single" w:sz="8" w:color="000039"/>
            </w:tcBorders>
          </w:tcPr>
          <w:p>
            <w:pPr>
              <w:spacing w:after="0"/>
              <w:rPr>
                <w:sz w:val="18"/>
                <w:szCs w:val="18"/>
                <w:color w:val="auto"/>
              </w:rPr>
            </w:pPr>
          </w:p>
        </w:tc>
        <w:tc>
          <w:tcPr>
            <w:tcW w:w="1680" w:type="dxa"/>
            <w:vAlign w:val="bottom"/>
            <w:tcBorders>
              <w:right w:val="single" w:sz="8" w:color="000039"/>
            </w:tcBorders>
          </w:tcPr>
          <w:p>
            <w:pPr>
              <w:spacing w:after="0"/>
              <w:rPr>
                <w:sz w:val="18"/>
                <w:szCs w:val="18"/>
                <w:color w:val="auto"/>
              </w:rPr>
            </w:pPr>
          </w:p>
        </w:tc>
        <w:tc>
          <w:tcPr>
            <w:tcW w:w="1660" w:type="dxa"/>
            <w:vAlign w:val="bottom"/>
            <w:tcBorders>
              <w:right w:val="single" w:sz="8" w:color="000039"/>
            </w:tcBorders>
          </w:tcPr>
          <w:p>
            <w:pPr>
              <w:spacing w:after="0"/>
              <w:rPr>
                <w:sz w:val="18"/>
                <w:szCs w:val="18"/>
                <w:color w:val="auto"/>
              </w:rPr>
            </w:pPr>
          </w:p>
        </w:tc>
        <w:tc>
          <w:tcPr>
            <w:tcW w:w="1960" w:type="dxa"/>
            <w:vAlign w:val="bottom"/>
            <w:tcBorders>
              <w:right w:val="single" w:sz="8" w:color="000039"/>
            </w:tcBorders>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6"/>
                <w:szCs w:val="16"/>
                <w:color w:val="auto"/>
              </w:rPr>
              <w:t>Officer</w:t>
            </w:r>
          </w:p>
        </w:tc>
      </w:tr>
      <w:tr>
        <w:trPr>
          <w:trHeight w:val="104"/>
        </w:trPr>
        <w:tc>
          <w:tcPr>
            <w:tcW w:w="1600" w:type="dxa"/>
            <w:vAlign w:val="bottom"/>
            <w:tcBorders>
              <w:right w:val="single" w:sz="8" w:color="000039"/>
            </w:tcBorders>
          </w:tcPr>
          <w:p>
            <w:pPr>
              <w:spacing w:after="0"/>
              <w:rPr>
                <w:sz w:val="9"/>
                <w:szCs w:val="9"/>
                <w:color w:val="auto"/>
              </w:rPr>
            </w:pPr>
          </w:p>
        </w:tc>
        <w:tc>
          <w:tcPr>
            <w:tcW w:w="1680" w:type="dxa"/>
            <w:vAlign w:val="bottom"/>
            <w:tcBorders>
              <w:right w:val="single" w:sz="8" w:color="000039"/>
            </w:tcBorders>
          </w:tcPr>
          <w:p>
            <w:pPr>
              <w:spacing w:after="0"/>
              <w:rPr>
                <w:sz w:val="9"/>
                <w:szCs w:val="9"/>
                <w:color w:val="auto"/>
              </w:rPr>
            </w:pPr>
          </w:p>
        </w:tc>
        <w:tc>
          <w:tcPr>
            <w:tcW w:w="1660" w:type="dxa"/>
            <w:vAlign w:val="bottom"/>
            <w:tcBorders>
              <w:right w:val="single" w:sz="8" w:color="000039"/>
            </w:tcBorders>
          </w:tcPr>
          <w:p>
            <w:pPr>
              <w:spacing w:after="0"/>
              <w:rPr>
                <w:sz w:val="9"/>
                <w:szCs w:val="9"/>
                <w:color w:val="auto"/>
              </w:rPr>
            </w:pPr>
          </w:p>
        </w:tc>
        <w:tc>
          <w:tcPr>
            <w:tcW w:w="1960" w:type="dxa"/>
            <w:vAlign w:val="bottom"/>
            <w:tcBorders>
              <w:right w:val="single" w:sz="8" w:color="000039"/>
            </w:tcBorders>
          </w:tcPr>
          <w:p>
            <w:pPr>
              <w:spacing w:after="0"/>
              <w:rPr>
                <w:sz w:val="9"/>
                <w:szCs w:val="9"/>
                <w:color w:val="auto"/>
              </w:rPr>
            </w:pPr>
          </w:p>
        </w:tc>
        <w:tc>
          <w:tcPr>
            <w:tcW w:w="1900" w:type="dxa"/>
            <w:vAlign w:val="bottom"/>
          </w:tcPr>
          <w:p>
            <w:pPr>
              <w:spacing w:after="0"/>
              <w:rPr>
                <w:sz w:val="9"/>
                <w:szCs w:val="9"/>
                <w:color w:val="auto"/>
              </w:rPr>
            </w:pPr>
          </w:p>
        </w:tc>
      </w:tr>
    </w:tbl>
    <w:p>
      <w:pPr>
        <w:spacing w:after="0" w:line="101" w:lineRule="exact"/>
        <w:rPr>
          <w:sz w:val="20"/>
          <w:szCs w:val="20"/>
          <w:color w:val="auto"/>
        </w:rPr>
      </w:pPr>
    </w:p>
    <w:p>
      <w:pPr>
        <w:ind w:right="60"/>
        <w:spacing w:after="0" w:line="283" w:lineRule="auto"/>
        <w:rPr>
          <w:sz w:val="20"/>
          <w:szCs w:val="20"/>
          <w:color w:val="auto"/>
        </w:rPr>
      </w:pPr>
      <w:r>
        <w:rPr>
          <w:rFonts w:ascii="Arial" w:cs="Arial" w:eastAsia="Arial" w:hAnsi="Arial"/>
          <w:sz w:val="20"/>
          <w:szCs w:val="20"/>
          <w:color w:val="auto"/>
        </w:rPr>
        <w:t>Although we describe our programs in the context of the NEOs, it is important to note that our programs generally have broad eligibility and therefore in most cases apply to employee populations outside the NEO group as well.</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The content of this section is organized according to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440" w:type="dxa"/>
            <w:vAlign w:val="bottom"/>
          </w:tcPr>
          <w:p>
            <w:pPr>
              <w:spacing w:after="0"/>
              <w:rPr>
                <w:sz w:val="20"/>
                <w:szCs w:val="20"/>
                <w:color w:val="auto"/>
              </w:rPr>
            </w:pPr>
            <w:r>
              <w:rPr>
                <w:rFonts w:ascii="Arial" w:cs="Arial" w:eastAsia="Arial" w:hAnsi="Arial"/>
                <w:sz w:val="22"/>
                <w:szCs w:val="22"/>
                <w:b w:val="1"/>
                <w:bCs w:val="1"/>
                <w:color w:val="auto"/>
              </w:rPr>
              <w:t>EXECUTIVE SUMMARY</w:t>
            </w:r>
          </w:p>
        </w:tc>
        <w:tc>
          <w:tcPr>
            <w:tcW w:w="500" w:type="dxa"/>
            <w:vAlign w:val="bottom"/>
          </w:tcPr>
          <w:p>
            <w:pPr>
              <w:jc w:val="right"/>
              <w:spacing w:after="0"/>
              <w:rPr>
                <w:sz w:val="20"/>
                <w:szCs w:val="20"/>
                <w:color w:val="auto"/>
              </w:rPr>
            </w:pPr>
            <w:r>
              <w:rPr>
                <w:rFonts w:ascii="Arial" w:cs="Arial" w:eastAsia="Arial" w:hAnsi="Arial"/>
                <w:sz w:val="22"/>
                <w:szCs w:val="22"/>
                <w:b w:val="1"/>
                <w:bCs w:val="1"/>
                <w:color w:val="000039"/>
              </w:rPr>
              <w:t>32</w:t>
            </w:r>
          </w:p>
        </w:tc>
        <w:tc>
          <w:tcPr>
            <w:tcW w:w="2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22"/>
                <w:szCs w:val="22"/>
                <w:b w:val="1"/>
                <w:bCs w:val="1"/>
                <w:color w:val="auto"/>
              </w:rPr>
              <w:t>COMPENSATION PLAN ELEMENTS</w:t>
            </w:r>
          </w:p>
        </w:tc>
        <w:tc>
          <w:tcPr>
            <w:tcW w:w="740" w:type="dxa"/>
            <w:vAlign w:val="bottom"/>
            <w:gridSpan w:val="2"/>
          </w:tcPr>
          <w:p>
            <w:pPr>
              <w:jc w:val="right"/>
              <w:ind w:right="20"/>
              <w:spacing w:after="0"/>
              <w:rPr>
                <w:sz w:val="20"/>
                <w:szCs w:val="20"/>
                <w:color w:val="auto"/>
              </w:rPr>
            </w:pPr>
            <w:r>
              <w:rPr>
                <w:rFonts w:ascii="Arial" w:cs="Arial" w:eastAsia="Arial" w:hAnsi="Arial"/>
                <w:sz w:val="22"/>
                <w:szCs w:val="22"/>
                <w:b w:val="1"/>
                <w:bCs w:val="1"/>
                <w:color w:val="000039"/>
              </w:rPr>
              <w:t>39</w:t>
            </w:r>
          </w:p>
        </w:tc>
        <w:tc>
          <w:tcPr>
            <w:tcW w:w="0" w:type="dxa"/>
            <w:vAlign w:val="bottom"/>
          </w:tcPr>
          <w:p>
            <w:pPr>
              <w:spacing w:after="0"/>
              <w:rPr>
                <w:sz w:val="1"/>
                <w:szCs w:val="1"/>
                <w:color w:val="auto"/>
              </w:rPr>
            </w:pPr>
          </w:p>
        </w:tc>
      </w:tr>
      <w:tr>
        <w:trPr>
          <w:trHeight w:val="211"/>
        </w:trPr>
        <w:tc>
          <w:tcPr>
            <w:tcW w:w="4440" w:type="dxa"/>
            <w:vAlign w:val="bottom"/>
            <w:tcBorders>
              <w:top w:val="single" w:sz="8" w:color="000039"/>
            </w:tcBorders>
          </w:tcPr>
          <w:p>
            <w:pPr>
              <w:spacing w:after="0" w:line="210" w:lineRule="exact"/>
              <w:rPr>
                <w:sz w:val="20"/>
                <w:szCs w:val="20"/>
                <w:color w:val="auto"/>
              </w:rPr>
            </w:pPr>
            <w:r>
              <w:rPr>
                <w:rFonts w:ascii="Arial" w:cs="Arial" w:eastAsia="Arial" w:hAnsi="Arial"/>
                <w:sz w:val="20"/>
                <w:szCs w:val="20"/>
                <w:color w:val="auto"/>
              </w:rPr>
              <w:t>Compensation Philosophy</w:t>
            </w:r>
          </w:p>
        </w:tc>
        <w:tc>
          <w:tcPr>
            <w:tcW w:w="500" w:type="dxa"/>
            <w:vAlign w:val="bottom"/>
            <w:tcBorders>
              <w:top w:val="single" w:sz="8" w:color="000039"/>
            </w:tcBorders>
          </w:tcPr>
          <w:p>
            <w:pPr>
              <w:jc w:val="right"/>
              <w:spacing w:after="0" w:line="210" w:lineRule="exact"/>
              <w:rPr>
                <w:sz w:val="20"/>
                <w:szCs w:val="20"/>
                <w:color w:val="auto"/>
              </w:rPr>
            </w:pPr>
            <w:r>
              <w:rPr>
                <w:rFonts w:ascii="Arial" w:cs="Arial" w:eastAsia="Arial" w:hAnsi="Arial"/>
                <w:sz w:val="20"/>
                <w:szCs w:val="20"/>
                <w:color w:val="auto"/>
              </w:rPr>
              <w:t>32</w:t>
            </w:r>
          </w:p>
        </w:tc>
        <w:tc>
          <w:tcPr>
            <w:tcW w:w="240" w:type="dxa"/>
            <w:vAlign w:val="bottom"/>
          </w:tcPr>
          <w:p>
            <w:pPr>
              <w:spacing w:after="0"/>
              <w:rPr>
                <w:sz w:val="18"/>
                <w:szCs w:val="18"/>
                <w:color w:val="auto"/>
              </w:rPr>
            </w:pPr>
          </w:p>
        </w:tc>
        <w:tc>
          <w:tcPr>
            <w:tcW w:w="4180" w:type="dxa"/>
            <w:vAlign w:val="bottom"/>
            <w:tcBorders>
              <w:top w:val="single" w:sz="8" w:color="000039"/>
            </w:tcBorders>
          </w:tcPr>
          <w:p>
            <w:pPr>
              <w:spacing w:after="0" w:line="210" w:lineRule="exact"/>
              <w:rPr>
                <w:sz w:val="20"/>
                <w:szCs w:val="20"/>
                <w:color w:val="auto"/>
              </w:rPr>
            </w:pPr>
            <w:r>
              <w:rPr>
                <w:rFonts w:ascii="Arial" w:cs="Arial" w:eastAsia="Arial" w:hAnsi="Arial"/>
                <w:sz w:val="20"/>
                <w:szCs w:val="20"/>
                <w:color w:val="auto"/>
              </w:rPr>
              <w:t>Base Salary</w:t>
            </w:r>
          </w:p>
        </w:tc>
        <w:tc>
          <w:tcPr>
            <w:tcW w:w="720" w:type="dxa"/>
            <w:vAlign w:val="bottom"/>
            <w:tcBorders>
              <w:top w:val="single" w:sz="8" w:color="000039"/>
            </w:tcBorders>
          </w:tcPr>
          <w:p>
            <w:pPr>
              <w:jc w:val="right"/>
              <w:spacing w:after="0" w:line="210" w:lineRule="exact"/>
              <w:rPr>
                <w:sz w:val="20"/>
                <w:szCs w:val="20"/>
                <w:color w:val="auto"/>
              </w:rPr>
            </w:pPr>
            <w:r>
              <w:rPr>
                <w:rFonts w:ascii="Arial" w:cs="Arial" w:eastAsia="Arial" w:hAnsi="Arial"/>
                <w:sz w:val="20"/>
                <w:szCs w:val="20"/>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20"/>
                <w:szCs w:val="20"/>
                <w:color w:val="auto"/>
              </w:rPr>
              <w:t>Business Performance Highlights</w:t>
            </w:r>
          </w:p>
        </w:tc>
        <w:tc>
          <w:tcPr>
            <w:tcW w:w="740" w:type="dxa"/>
            <w:vAlign w:val="bottom"/>
            <w:gridSpan w:val="2"/>
          </w:tcPr>
          <w:p>
            <w:pPr>
              <w:jc w:val="right"/>
              <w:ind w:right="240"/>
              <w:spacing w:after="0"/>
              <w:rPr>
                <w:sz w:val="20"/>
                <w:szCs w:val="20"/>
                <w:color w:val="auto"/>
              </w:rPr>
            </w:pPr>
            <w:r>
              <w:rPr>
                <w:rFonts w:ascii="Arial" w:cs="Arial" w:eastAsia="Arial" w:hAnsi="Arial"/>
                <w:sz w:val="20"/>
                <w:szCs w:val="20"/>
                <w:color w:val="auto"/>
              </w:rPr>
              <w:t>33</w:t>
            </w:r>
          </w:p>
        </w:tc>
        <w:tc>
          <w:tcPr>
            <w:tcW w:w="4180" w:type="dxa"/>
            <w:vAlign w:val="bottom"/>
          </w:tcPr>
          <w:p>
            <w:pPr>
              <w:spacing w:after="0"/>
              <w:rPr>
                <w:sz w:val="20"/>
                <w:szCs w:val="20"/>
                <w:color w:val="auto"/>
              </w:rPr>
            </w:pPr>
            <w:r>
              <w:rPr>
                <w:rFonts w:ascii="Arial" w:cs="Arial" w:eastAsia="Arial" w:hAnsi="Arial"/>
                <w:sz w:val="20"/>
                <w:szCs w:val="20"/>
                <w:color w:val="auto"/>
              </w:rPr>
              <w:t>Short-Term Incentives and 2025 Results</w:t>
            </w: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20"/>
                <w:szCs w:val="20"/>
                <w:color w:val="auto"/>
              </w:rPr>
              <w:t>Stockholder Engagement</w:t>
            </w:r>
          </w:p>
        </w:tc>
        <w:tc>
          <w:tcPr>
            <w:tcW w:w="740" w:type="dxa"/>
            <w:vAlign w:val="bottom"/>
            <w:gridSpan w:val="2"/>
          </w:tcPr>
          <w:p>
            <w:pPr>
              <w:jc w:val="right"/>
              <w:ind w:right="240"/>
              <w:spacing w:after="0"/>
              <w:rPr>
                <w:sz w:val="20"/>
                <w:szCs w:val="20"/>
                <w:color w:val="auto"/>
              </w:rPr>
            </w:pPr>
            <w:r>
              <w:rPr>
                <w:rFonts w:ascii="Arial" w:cs="Arial" w:eastAsia="Arial" w:hAnsi="Arial"/>
                <w:sz w:val="20"/>
                <w:szCs w:val="20"/>
                <w:color w:val="auto"/>
              </w:rPr>
              <w:t>35</w:t>
            </w:r>
          </w:p>
        </w:tc>
        <w:tc>
          <w:tcPr>
            <w:tcW w:w="4180" w:type="dxa"/>
            <w:vAlign w:val="bottom"/>
          </w:tcPr>
          <w:p>
            <w:pPr>
              <w:spacing w:after="0"/>
              <w:rPr>
                <w:sz w:val="20"/>
                <w:szCs w:val="20"/>
                <w:color w:val="auto"/>
              </w:rPr>
            </w:pPr>
            <w:r>
              <w:rPr>
                <w:rFonts w:ascii="Arial" w:cs="Arial" w:eastAsia="Arial" w:hAnsi="Arial"/>
                <w:sz w:val="20"/>
                <w:szCs w:val="20"/>
                <w:color w:val="auto"/>
              </w:rPr>
              <w:t>Long-Term Incentives and 2025 Results</w:t>
            </w: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31"/>
        </w:trPr>
        <w:tc>
          <w:tcPr>
            <w:tcW w:w="4440" w:type="dxa"/>
            <w:vAlign w:val="bottom"/>
          </w:tcPr>
          <w:p>
            <w:pPr>
              <w:spacing w:after="0"/>
              <w:rPr>
                <w:sz w:val="20"/>
                <w:szCs w:val="20"/>
                <w:color w:val="auto"/>
              </w:rPr>
            </w:pPr>
            <w:r>
              <w:rPr>
                <w:rFonts w:ascii="Arial" w:cs="Arial" w:eastAsia="Arial" w:hAnsi="Arial"/>
                <w:sz w:val="20"/>
                <w:szCs w:val="20"/>
                <w:color w:val="auto"/>
              </w:rPr>
              <w:t>Compensation Program Governance Summary</w:t>
            </w:r>
          </w:p>
        </w:tc>
        <w:tc>
          <w:tcPr>
            <w:tcW w:w="740" w:type="dxa"/>
            <w:vAlign w:val="bottom"/>
            <w:gridSpan w:val="2"/>
          </w:tcPr>
          <w:p>
            <w:pPr>
              <w:jc w:val="right"/>
              <w:ind w:right="240"/>
              <w:spacing w:after="0"/>
              <w:rPr>
                <w:sz w:val="20"/>
                <w:szCs w:val="20"/>
                <w:color w:val="auto"/>
              </w:rPr>
            </w:pPr>
            <w:r>
              <w:rPr>
                <w:rFonts w:ascii="Arial" w:cs="Arial" w:eastAsia="Arial" w:hAnsi="Arial"/>
                <w:sz w:val="20"/>
                <w:szCs w:val="20"/>
                <w:color w:val="auto"/>
              </w:rPr>
              <w:t>36</w:t>
            </w:r>
          </w:p>
        </w:tc>
        <w:tc>
          <w:tcPr>
            <w:tcW w:w="4180" w:type="dxa"/>
            <w:vAlign w:val="bottom"/>
          </w:tcPr>
          <w:p>
            <w:pPr>
              <w:spacing w:after="0"/>
              <w:rPr>
                <w:sz w:val="20"/>
                <w:szCs w:val="20"/>
                <w:color w:val="auto"/>
              </w:rPr>
            </w:pPr>
            <w:r>
              <w:rPr>
                <w:rFonts w:ascii="Arial" w:cs="Arial" w:eastAsia="Arial" w:hAnsi="Arial"/>
                <w:sz w:val="20"/>
                <w:szCs w:val="20"/>
                <w:color w:val="auto"/>
              </w:rPr>
              <w:t>Benefits</w:t>
            </w: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29"/>
        </w:trPr>
        <w:tc>
          <w:tcPr>
            <w:tcW w:w="4440" w:type="dxa"/>
            <w:vAlign w:val="bottom"/>
          </w:tcPr>
          <w:p>
            <w:pPr>
              <w:spacing w:after="0" w:line="229" w:lineRule="exact"/>
              <w:rPr>
                <w:sz w:val="20"/>
                <w:szCs w:val="20"/>
                <w:color w:val="auto"/>
              </w:rPr>
            </w:pPr>
            <w:r>
              <w:rPr>
                <w:rFonts w:ascii="Arial" w:cs="Arial" w:eastAsia="Arial" w:hAnsi="Arial"/>
                <w:sz w:val="20"/>
                <w:szCs w:val="20"/>
                <w:color w:val="auto"/>
              </w:rPr>
              <w:t>Components of our Executive Compensation</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80" w:type="dxa"/>
            <w:vAlign w:val="bottom"/>
          </w:tcPr>
          <w:p>
            <w:pPr>
              <w:spacing w:after="0" w:line="229" w:lineRule="exact"/>
              <w:rPr>
                <w:sz w:val="20"/>
                <w:szCs w:val="20"/>
                <w:color w:val="auto"/>
              </w:rPr>
            </w:pPr>
            <w:r>
              <w:rPr>
                <w:rFonts w:ascii="Arial" w:cs="Arial" w:eastAsia="Arial" w:hAnsi="Arial"/>
                <w:sz w:val="20"/>
                <w:szCs w:val="20"/>
                <w:color w:val="auto"/>
              </w:rPr>
              <w:t>Employment Agreements</w:t>
            </w:r>
          </w:p>
        </w:tc>
        <w:tc>
          <w:tcPr>
            <w:tcW w:w="74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72"/>
        </w:trPr>
        <w:tc>
          <w:tcPr>
            <w:tcW w:w="4440" w:type="dxa"/>
            <w:vAlign w:val="bottom"/>
          </w:tcPr>
          <w:p>
            <w:pPr>
              <w:spacing w:after="0"/>
              <w:rPr>
                <w:sz w:val="20"/>
                <w:szCs w:val="20"/>
                <w:color w:val="auto"/>
              </w:rPr>
            </w:pPr>
            <w:r>
              <w:rPr>
                <w:rFonts w:ascii="Arial" w:cs="Arial" w:eastAsia="Arial" w:hAnsi="Arial"/>
                <w:sz w:val="20"/>
                <w:szCs w:val="20"/>
                <w:color w:val="auto"/>
              </w:rPr>
              <w:t>Program</w:t>
            </w:r>
          </w:p>
        </w:tc>
        <w:tc>
          <w:tcPr>
            <w:tcW w:w="740" w:type="dxa"/>
            <w:vAlign w:val="bottom"/>
            <w:gridSpan w:val="2"/>
          </w:tcPr>
          <w:p>
            <w:pPr>
              <w:jc w:val="right"/>
              <w:ind w:right="240"/>
              <w:spacing w:after="0"/>
              <w:rPr>
                <w:sz w:val="20"/>
                <w:szCs w:val="20"/>
                <w:color w:val="auto"/>
              </w:rPr>
            </w:pPr>
            <w:r>
              <w:rPr>
                <w:rFonts w:ascii="Arial" w:cs="Arial" w:eastAsia="Arial" w:hAnsi="Arial"/>
                <w:sz w:val="20"/>
                <w:szCs w:val="20"/>
                <w:color w:val="auto"/>
              </w:rPr>
              <w:t>37</w:t>
            </w:r>
          </w:p>
        </w:tc>
        <w:tc>
          <w:tcPr>
            <w:tcW w:w="4180" w:type="dxa"/>
            <w:vAlign w:val="bottom"/>
            <w:vMerge w:val="restart"/>
          </w:tcPr>
          <w:p>
            <w:pPr>
              <w:spacing w:after="0"/>
              <w:rPr>
                <w:sz w:val="20"/>
                <w:szCs w:val="20"/>
                <w:color w:val="auto"/>
              </w:rPr>
            </w:pPr>
            <w:r>
              <w:rPr>
                <w:rFonts w:ascii="Arial" w:cs="Arial" w:eastAsia="Arial" w:hAnsi="Arial"/>
                <w:sz w:val="20"/>
                <w:szCs w:val="20"/>
                <w:color w:val="auto"/>
              </w:rPr>
              <w:t>Change in Control Agreements</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tcPr>
          <w:p>
            <w:pPr>
              <w:spacing w:after="0"/>
              <w:rPr>
                <w:sz w:val="20"/>
                <w:szCs w:val="20"/>
                <w:color w:val="auto"/>
              </w:rPr>
            </w:pPr>
            <w:r>
              <w:rPr>
                <w:rFonts w:ascii="Arial" w:cs="Arial" w:eastAsia="Arial" w:hAnsi="Arial"/>
                <w:sz w:val="20"/>
                <w:szCs w:val="20"/>
                <w:color w:val="auto"/>
              </w:rPr>
              <w:t>Excise Tax Gross-Ups</w:t>
            </w: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460" w:type="dxa"/>
            <w:vAlign w:val="bottom"/>
          </w:tcPr>
          <w:p>
            <w:pPr>
              <w:spacing w:after="0"/>
              <w:rPr>
                <w:sz w:val="20"/>
                <w:szCs w:val="20"/>
                <w:color w:val="auto"/>
              </w:rPr>
            </w:pPr>
            <w:r>
              <w:rPr>
                <w:rFonts w:ascii="Arial" w:cs="Arial" w:eastAsia="Arial" w:hAnsi="Arial"/>
                <w:sz w:val="22"/>
                <w:szCs w:val="22"/>
                <w:b w:val="1"/>
                <w:bCs w:val="1"/>
                <w:color w:val="auto"/>
              </w:rPr>
              <w:t>EXECUTIVE COMPENSATION PROCESS</w:t>
            </w:r>
          </w:p>
        </w:tc>
        <w:tc>
          <w:tcPr>
            <w:tcW w:w="480" w:type="dxa"/>
            <w:vAlign w:val="bottom"/>
          </w:tcPr>
          <w:p>
            <w:pPr>
              <w:jc w:val="right"/>
              <w:spacing w:after="0"/>
              <w:rPr>
                <w:sz w:val="20"/>
                <w:szCs w:val="20"/>
                <w:color w:val="auto"/>
              </w:rPr>
            </w:pPr>
            <w:r>
              <w:rPr>
                <w:rFonts w:ascii="Arial" w:cs="Arial" w:eastAsia="Arial" w:hAnsi="Arial"/>
                <w:sz w:val="22"/>
                <w:szCs w:val="22"/>
                <w:b w:val="1"/>
                <w:bCs w:val="1"/>
                <w:color w:val="000039"/>
              </w:rPr>
              <w:t>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22"/>
                <w:szCs w:val="22"/>
                <w:b w:val="1"/>
                <w:bCs w:val="1"/>
                <w:color w:val="auto"/>
              </w:rPr>
              <w:t>OTHER MATTERS</w:t>
            </w:r>
          </w:p>
        </w:tc>
        <w:tc>
          <w:tcPr>
            <w:tcW w:w="820" w:type="dxa"/>
            <w:vAlign w:val="bottom"/>
            <w:gridSpan w:val="2"/>
          </w:tcPr>
          <w:p>
            <w:pPr>
              <w:jc w:val="right"/>
              <w:ind w:right="20"/>
              <w:spacing w:after="0"/>
              <w:rPr>
                <w:sz w:val="20"/>
                <w:szCs w:val="20"/>
                <w:color w:val="auto"/>
              </w:rPr>
            </w:pPr>
            <w:r>
              <w:rPr>
                <w:rFonts w:ascii="Arial" w:cs="Arial" w:eastAsia="Arial" w:hAnsi="Arial"/>
                <w:sz w:val="22"/>
                <w:szCs w:val="22"/>
                <w:b w:val="1"/>
                <w:bCs w:val="1"/>
                <w:color w:val="000039"/>
              </w:rPr>
              <w:t>47</w:t>
            </w:r>
          </w:p>
        </w:tc>
        <w:tc>
          <w:tcPr>
            <w:tcW w:w="0" w:type="dxa"/>
            <w:vAlign w:val="bottom"/>
          </w:tcPr>
          <w:p>
            <w:pPr>
              <w:spacing w:after="0"/>
              <w:rPr>
                <w:sz w:val="1"/>
                <w:szCs w:val="1"/>
                <w:color w:val="auto"/>
              </w:rPr>
            </w:pPr>
          </w:p>
        </w:tc>
      </w:tr>
      <w:tr>
        <w:trPr>
          <w:trHeight w:val="210"/>
        </w:trPr>
        <w:tc>
          <w:tcPr>
            <w:tcW w:w="4460" w:type="dxa"/>
            <w:vAlign w:val="bottom"/>
            <w:tcBorders>
              <w:top w:val="single" w:sz="8" w:color="000039"/>
            </w:tcBorders>
          </w:tcPr>
          <w:p>
            <w:pPr>
              <w:spacing w:after="0" w:line="210" w:lineRule="exact"/>
              <w:rPr>
                <w:sz w:val="20"/>
                <w:szCs w:val="20"/>
                <w:color w:val="auto"/>
              </w:rPr>
            </w:pPr>
            <w:r>
              <w:rPr>
                <w:rFonts w:ascii="Arial" w:cs="Arial" w:eastAsia="Arial" w:hAnsi="Arial"/>
                <w:sz w:val="20"/>
                <w:szCs w:val="20"/>
                <w:color w:val="auto"/>
              </w:rPr>
              <w:t>Commitment to Performance-Based Awards</w:t>
            </w:r>
          </w:p>
        </w:tc>
        <w:tc>
          <w:tcPr>
            <w:tcW w:w="480" w:type="dxa"/>
            <w:vAlign w:val="bottom"/>
            <w:tcBorders>
              <w:top w:val="single" w:sz="8" w:color="000039"/>
            </w:tcBorders>
          </w:tcPr>
          <w:p>
            <w:pPr>
              <w:jc w:val="right"/>
              <w:spacing w:after="0" w:line="210" w:lineRule="exact"/>
              <w:rPr>
                <w:sz w:val="20"/>
                <w:szCs w:val="20"/>
                <w:color w:val="auto"/>
              </w:rPr>
            </w:pPr>
            <w:r>
              <w:rPr>
                <w:rFonts w:ascii="Arial" w:cs="Arial" w:eastAsia="Arial" w:hAnsi="Arial"/>
                <w:sz w:val="20"/>
                <w:szCs w:val="20"/>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Borders>
              <w:top w:val="single" w:sz="8" w:color="000039"/>
            </w:tcBorders>
          </w:tcPr>
          <w:p>
            <w:pPr>
              <w:spacing w:after="0" w:line="210" w:lineRule="exact"/>
              <w:rPr>
                <w:sz w:val="20"/>
                <w:szCs w:val="20"/>
                <w:color w:val="auto"/>
              </w:rPr>
            </w:pPr>
            <w:r>
              <w:rPr>
                <w:rFonts w:ascii="Arial" w:cs="Arial" w:eastAsia="Arial" w:hAnsi="Arial"/>
                <w:sz w:val="20"/>
                <w:szCs w:val="20"/>
                <w:color w:val="auto"/>
              </w:rPr>
              <w:t>Stock Ownership Guidelines</w:t>
            </w:r>
          </w:p>
        </w:tc>
        <w:tc>
          <w:tcPr>
            <w:tcW w:w="800" w:type="dxa"/>
            <w:vAlign w:val="bottom"/>
            <w:tcBorders>
              <w:top w:val="single" w:sz="8" w:color="000039"/>
            </w:tcBorders>
          </w:tcPr>
          <w:p>
            <w:pPr>
              <w:jc w:val="right"/>
              <w:spacing w:after="0" w:line="210" w:lineRule="exact"/>
              <w:rPr>
                <w:sz w:val="20"/>
                <w:szCs w:val="20"/>
                <w:color w:val="auto"/>
              </w:rPr>
            </w:pPr>
            <w:r>
              <w:rPr>
                <w:rFonts w:ascii="Arial" w:cs="Arial" w:eastAsia="Arial" w:hAnsi="Arial"/>
                <w:sz w:val="20"/>
                <w:szCs w:val="20"/>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r>
              <w:rPr>
                <w:rFonts w:ascii="Arial" w:cs="Arial" w:eastAsia="Arial" w:hAnsi="Arial"/>
                <w:sz w:val="20"/>
                <w:szCs w:val="20"/>
                <w:color w:val="auto"/>
              </w:rPr>
              <w:t>Committee Process for Setting Total</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38</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Clawback Policy</w:t>
            </w: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20"/>
                <w:szCs w:val="20"/>
                <w:color w:val="auto"/>
              </w:rPr>
              <w:t>Compensation</w:t>
            </w:r>
          </w:p>
        </w:tc>
        <w:tc>
          <w:tcPr>
            <w:tcW w:w="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20"/>
                <w:szCs w:val="20"/>
                <w:color w:val="auto"/>
              </w:rPr>
              <w:t>Compensation Benchmarking</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38</w:t>
            </w:r>
          </w:p>
        </w:tc>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Anti-Hedging and Anti-Pledging Policies</w:t>
            </w: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20"/>
                <w:szCs w:val="20"/>
                <w:color w:val="auto"/>
              </w:rPr>
              <w:t>Role of the Compensation Consultant</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38</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Insider Trading Policy</w:t>
            </w: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Arial" w:cs="Arial" w:eastAsia="Arial" w:hAnsi="Arial"/>
                <w:sz w:val="20"/>
                <w:szCs w:val="20"/>
                <w:color w:val="auto"/>
              </w:rPr>
              <w:t>Compensation Risk Oversight</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39</w:t>
            </w:r>
          </w:p>
        </w:tc>
        <w:tc>
          <w:tcPr>
            <w:tcW w:w="1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200">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861" w:right="900" w:bottom="0" w:gutter="0" w:footer="0" w:header="0"/>
          <w:type w:val="continuous"/>
        </w:sectPr>
      </w:pPr>
    </w:p>
    <w:bookmarkStart w:id="160" w:name="page161"/>
    <w:bookmarkEnd w:id="160"/>
    <w:p>
      <w:pPr>
        <w:ind w:left="40"/>
        <w:spacing w:after="0"/>
        <w:rPr>
          <w:sz w:val="20"/>
          <w:szCs w:val="20"/>
          <w:color w:val="auto"/>
        </w:rPr>
      </w:pPr>
      <w:r>
        <w:rPr>
          <w:rFonts w:ascii="Arial" w:cs="Arial" w:eastAsia="Arial" w:hAnsi="Arial"/>
          <w:sz w:val="20"/>
          <w:szCs w:val="20"/>
          <w:color w:val="808080"/>
        </w:rPr>
        <w:t>EXECUTIVE COMPENSATION</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000039"/>
        </w:rPr>
        <w:t>Executive Summary</w:t>
      </w:r>
    </w:p>
    <w:p>
      <w:pPr>
        <w:spacing w:after="0" w:line="24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COMPENSATION PHILOSOPHY</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20"/>
          <w:szCs w:val="20"/>
          <w:color w:val="auto"/>
        </w:rPr>
        <w:t>We believe that a well-designed compensation program should:</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372"/>
        </w:trPr>
        <w:tc>
          <w:tcPr>
            <w:tcW w:w="680" w:type="dxa"/>
            <w:vAlign w:val="bottom"/>
            <w:tcBorders>
              <w:top w:val="single" w:sz="8" w:color="000039"/>
              <w:left w:val="single" w:sz="8" w:color="000039"/>
            </w:tcBorders>
            <w:vMerge w:val="restart"/>
          </w:tcPr>
          <w:p>
            <w:pPr>
              <w:jc w:val="right"/>
              <w:spacing w:after="0"/>
              <w:rPr>
                <w:sz w:val="20"/>
                <w:szCs w:val="20"/>
                <w:color w:val="auto"/>
              </w:rPr>
            </w:pPr>
            <w:r>
              <w:rPr>
                <w:rFonts w:ascii="Arial" w:cs="Arial" w:eastAsia="Arial" w:hAnsi="Arial"/>
                <w:sz w:val="72"/>
                <w:szCs w:val="72"/>
                <w:b w:val="1"/>
                <w:bCs w:val="1"/>
                <w:color w:val="000039"/>
              </w:rPr>
              <w:t>1</w:t>
            </w:r>
          </w:p>
        </w:tc>
        <w:tc>
          <w:tcPr>
            <w:tcW w:w="2460" w:type="dxa"/>
            <w:vAlign w:val="bottom"/>
            <w:tcBorders>
              <w:top w:val="single" w:sz="8" w:color="000039"/>
            </w:tcBorders>
          </w:tcPr>
          <w:p>
            <w:pPr>
              <w:ind w:left="160"/>
              <w:spacing w:after="0"/>
              <w:rPr>
                <w:sz w:val="20"/>
                <w:szCs w:val="20"/>
                <w:color w:val="auto"/>
              </w:rPr>
            </w:pPr>
            <w:r>
              <w:rPr>
                <w:rFonts w:ascii="Arial" w:cs="Arial" w:eastAsia="Arial" w:hAnsi="Arial"/>
                <w:sz w:val="20"/>
                <w:szCs w:val="20"/>
                <w:b w:val="1"/>
                <w:bCs w:val="1"/>
                <w:color w:val="auto"/>
              </w:rPr>
              <w:t>Align executive</w:t>
            </w:r>
          </w:p>
        </w:tc>
        <w:tc>
          <w:tcPr>
            <w:tcW w:w="280" w:type="dxa"/>
            <w:vAlign w:val="bottom"/>
            <w:tcBorders>
              <w:right w:val="single" w:sz="8" w:color="000039"/>
            </w:tcBorders>
          </w:tcPr>
          <w:p>
            <w:pPr>
              <w:spacing w:after="0"/>
              <w:rPr>
                <w:sz w:val="24"/>
                <w:szCs w:val="24"/>
                <w:color w:val="auto"/>
              </w:rPr>
            </w:pPr>
          </w:p>
        </w:tc>
        <w:tc>
          <w:tcPr>
            <w:tcW w:w="780" w:type="dxa"/>
            <w:vAlign w:val="bottom"/>
            <w:tcBorders>
              <w:top w:val="single" w:sz="8" w:color="000039"/>
            </w:tcBorders>
            <w:vMerge w:val="restart"/>
          </w:tcPr>
          <w:p>
            <w:pPr>
              <w:jc w:val="right"/>
              <w:spacing w:after="0"/>
              <w:rPr>
                <w:sz w:val="20"/>
                <w:szCs w:val="20"/>
                <w:color w:val="auto"/>
              </w:rPr>
            </w:pPr>
            <w:r>
              <w:rPr>
                <w:rFonts w:ascii="Arial" w:cs="Arial" w:eastAsia="Arial" w:hAnsi="Arial"/>
                <w:sz w:val="72"/>
                <w:szCs w:val="72"/>
                <w:b w:val="1"/>
                <w:bCs w:val="1"/>
                <w:color w:val="000039"/>
              </w:rPr>
              <w:t>2</w:t>
            </w:r>
          </w:p>
        </w:tc>
        <w:tc>
          <w:tcPr>
            <w:tcW w:w="2420" w:type="dxa"/>
            <w:vAlign w:val="bottom"/>
            <w:tcBorders>
              <w:top w:val="single" w:sz="8" w:color="000039"/>
            </w:tcBorders>
            <w:gridSpan w:val="3"/>
          </w:tcPr>
          <w:p>
            <w:pPr>
              <w:ind w:left="140"/>
              <w:spacing w:after="0"/>
              <w:rPr>
                <w:sz w:val="20"/>
                <w:szCs w:val="20"/>
                <w:color w:val="auto"/>
              </w:rPr>
            </w:pPr>
            <w:r>
              <w:rPr>
                <w:rFonts w:ascii="Arial" w:cs="Arial" w:eastAsia="Arial" w:hAnsi="Arial"/>
                <w:sz w:val="20"/>
                <w:szCs w:val="20"/>
                <w:color w:val="auto"/>
              </w:rPr>
              <w:t>Support achievement of</w:t>
            </w:r>
          </w:p>
        </w:tc>
        <w:tc>
          <w:tcPr>
            <w:tcW w:w="280" w:type="dxa"/>
            <w:vAlign w:val="bottom"/>
            <w:tcBorders>
              <w:right w:val="single" w:sz="8" w:color="000039"/>
            </w:tcBorders>
          </w:tcPr>
          <w:p>
            <w:pPr>
              <w:spacing w:after="0"/>
              <w:rPr>
                <w:sz w:val="24"/>
                <w:szCs w:val="24"/>
                <w:color w:val="auto"/>
              </w:rPr>
            </w:pPr>
          </w:p>
        </w:tc>
        <w:tc>
          <w:tcPr>
            <w:tcW w:w="800" w:type="dxa"/>
            <w:vAlign w:val="bottom"/>
            <w:tcBorders>
              <w:top w:val="single" w:sz="8" w:color="000039"/>
            </w:tcBorders>
            <w:vMerge w:val="restart"/>
          </w:tcPr>
          <w:p>
            <w:pPr>
              <w:jc w:val="right"/>
              <w:spacing w:after="0"/>
              <w:rPr>
                <w:sz w:val="20"/>
                <w:szCs w:val="20"/>
                <w:color w:val="auto"/>
              </w:rPr>
            </w:pPr>
            <w:r>
              <w:rPr>
                <w:rFonts w:ascii="Arial" w:cs="Arial" w:eastAsia="Arial" w:hAnsi="Arial"/>
                <w:sz w:val="72"/>
                <w:szCs w:val="72"/>
                <w:b w:val="1"/>
                <w:bCs w:val="1"/>
                <w:color w:val="000039"/>
              </w:rPr>
              <w:t>3</w:t>
            </w:r>
          </w:p>
        </w:tc>
        <w:tc>
          <w:tcPr>
            <w:tcW w:w="2400" w:type="dxa"/>
            <w:vAlign w:val="bottom"/>
            <w:tcBorders>
              <w:top w:val="single" w:sz="8" w:color="000039"/>
            </w:tcBorders>
          </w:tcPr>
          <w:p>
            <w:pPr>
              <w:ind w:left="180"/>
              <w:spacing w:after="0"/>
              <w:rPr>
                <w:sz w:val="20"/>
                <w:szCs w:val="20"/>
                <w:color w:val="auto"/>
              </w:rPr>
            </w:pPr>
            <w:r>
              <w:rPr>
                <w:rFonts w:ascii="Arial" w:cs="Arial" w:eastAsia="Arial" w:hAnsi="Arial"/>
                <w:sz w:val="20"/>
                <w:szCs w:val="20"/>
                <w:b w:val="1"/>
                <w:bCs w:val="1"/>
                <w:color w:val="auto"/>
              </w:rPr>
              <w:t>Attract and retain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0" w:type="dxa"/>
            <w:vAlign w:val="bottom"/>
            <w:tcBorders>
              <w:left w:val="single" w:sz="8" w:color="000039"/>
            </w:tcBorders>
            <w:vMerge w:val="continue"/>
          </w:tcPr>
          <w:p>
            <w:pPr>
              <w:spacing w:after="0"/>
              <w:rPr>
                <w:sz w:val="19"/>
                <w:szCs w:val="19"/>
                <w:color w:val="auto"/>
              </w:rPr>
            </w:pPr>
          </w:p>
        </w:tc>
        <w:tc>
          <w:tcPr>
            <w:tcW w:w="2740" w:type="dxa"/>
            <w:vAlign w:val="bottom"/>
            <w:tcBorders>
              <w:right w:val="single" w:sz="8" w:color="000039"/>
            </w:tcBorders>
            <w:gridSpan w:val="2"/>
          </w:tcPr>
          <w:p>
            <w:pPr>
              <w:ind w:left="160"/>
              <w:spacing w:after="0"/>
              <w:rPr>
                <w:sz w:val="20"/>
                <w:szCs w:val="20"/>
                <w:color w:val="auto"/>
              </w:rPr>
            </w:pPr>
            <w:r>
              <w:rPr>
                <w:rFonts w:ascii="Arial" w:cs="Arial" w:eastAsia="Arial" w:hAnsi="Arial"/>
                <w:sz w:val="20"/>
                <w:szCs w:val="20"/>
                <w:b w:val="1"/>
                <w:bCs w:val="1"/>
                <w:color w:val="auto"/>
              </w:rPr>
              <w:t xml:space="preserve">interests </w:t>
            </w:r>
            <w:r>
              <w:rPr>
                <w:rFonts w:ascii="Arial" w:cs="Arial" w:eastAsia="Arial" w:hAnsi="Arial"/>
                <w:sz w:val="20"/>
                <w:szCs w:val="20"/>
                <w:color w:val="auto"/>
              </w:rPr>
              <w:t>with the</w:t>
            </w:r>
          </w:p>
        </w:tc>
        <w:tc>
          <w:tcPr>
            <w:tcW w:w="780" w:type="dxa"/>
            <w:vAlign w:val="bottom"/>
            <w:vMerge w:val="continue"/>
          </w:tcPr>
          <w:p>
            <w:pPr>
              <w:spacing w:after="0"/>
              <w:rPr>
                <w:sz w:val="19"/>
                <w:szCs w:val="19"/>
                <w:color w:val="auto"/>
              </w:rPr>
            </w:pPr>
          </w:p>
        </w:tc>
        <w:tc>
          <w:tcPr>
            <w:tcW w:w="2420" w:type="dxa"/>
            <w:vAlign w:val="bottom"/>
            <w:gridSpan w:val="3"/>
          </w:tcPr>
          <w:p>
            <w:pPr>
              <w:ind w:left="140"/>
              <w:spacing w:after="0"/>
              <w:rPr>
                <w:sz w:val="20"/>
                <w:szCs w:val="20"/>
                <w:color w:val="auto"/>
              </w:rPr>
            </w:pPr>
            <w:r>
              <w:rPr>
                <w:rFonts w:ascii="Arial" w:cs="Arial" w:eastAsia="Arial" w:hAnsi="Arial"/>
                <w:sz w:val="20"/>
                <w:szCs w:val="20"/>
                <w:color w:val="auto"/>
              </w:rPr>
              <w:t xml:space="preserve">the company’s </w:t>
            </w:r>
            <w:r>
              <w:rPr>
                <w:rFonts w:ascii="Arial" w:cs="Arial" w:eastAsia="Arial" w:hAnsi="Arial"/>
                <w:sz w:val="20"/>
                <w:szCs w:val="20"/>
                <w:b w:val="1"/>
                <w:bCs w:val="1"/>
                <w:color w:val="auto"/>
              </w:rPr>
              <w:t>primary</w:t>
            </w:r>
          </w:p>
        </w:tc>
        <w:tc>
          <w:tcPr>
            <w:tcW w:w="280" w:type="dxa"/>
            <w:vAlign w:val="bottom"/>
            <w:tcBorders>
              <w:right w:val="single" w:sz="8" w:color="000039"/>
            </w:tcBorders>
          </w:tcPr>
          <w:p>
            <w:pPr>
              <w:spacing w:after="0"/>
              <w:rPr>
                <w:sz w:val="19"/>
                <w:szCs w:val="19"/>
                <w:color w:val="auto"/>
              </w:rPr>
            </w:pPr>
          </w:p>
        </w:tc>
        <w:tc>
          <w:tcPr>
            <w:tcW w:w="800" w:type="dxa"/>
            <w:vAlign w:val="bottom"/>
            <w:vMerge w:val="continue"/>
          </w:tcPr>
          <w:p>
            <w:pPr>
              <w:spacing w:after="0"/>
              <w:rPr>
                <w:sz w:val="19"/>
                <w:szCs w:val="19"/>
                <w:color w:val="auto"/>
              </w:rPr>
            </w:pPr>
          </w:p>
        </w:tc>
        <w:tc>
          <w:tcPr>
            <w:tcW w:w="2400" w:type="dxa"/>
            <w:vAlign w:val="bottom"/>
          </w:tcPr>
          <w:p>
            <w:pPr>
              <w:ind w:left="180"/>
              <w:spacing w:after="0"/>
              <w:rPr>
                <w:sz w:val="20"/>
                <w:szCs w:val="20"/>
                <w:color w:val="auto"/>
              </w:rPr>
            </w:pPr>
            <w:r>
              <w:rPr>
                <w:rFonts w:ascii="Arial" w:cs="Arial" w:eastAsia="Arial" w:hAnsi="Arial"/>
                <w:sz w:val="20"/>
                <w:szCs w:val="20"/>
                <w:b w:val="1"/>
                <w:bCs w:val="1"/>
                <w:color w:val="auto"/>
              </w:rPr>
              <w:t>world-class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000039"/>
            </w:tcBorders>
            <w:vMerge w:val="continue"/>
          </w:tcPr>
          <w:p>
            <w:pPr>
              <w:spacing w:after="0"/>
              <w:rPr>
                <w:sz w:val="20"/>
                <w:szCs w:val="20"/>
                <w:color w:val="auto"/>
              </w:rPr>
            </w:pPr>
          </w:p>
        </w:tc>
        <w:tc>
          <w:tcPr>
            <w:tcW w:w="2740" w:type="dxa"/>
            <w:vAlign w:val="bottom"/>
            <w:tcBorders>
              <w:right w:val="single" w:sz="8" w:color="000039"/>
            </w:tcBorders>
            <w:gridSpan w:val="2"/>
          </w:tcPr>
          <w:p>
            <w:pPr>
              <w:ind w:left="160"/>
              <w:spacing w:after="0"/>
              <w:rPr>
                <w:sz w:val="20"/>
                <w:szCs w:val="20"/>
                <w:color w:val="auto"/>
              </w:rPr>
            </w:pPr>
            <w:r>
              <w:rPr>
                <w:rFonts w:ascii="Arial" w:cs="Arial" w:eastAsia="Arial" w:hAnsi="Arial"/>
                <w:sz w:val="20"/>
                <w:szCs w:val="20"/>
                <w:color w:val="auto"/>
              </w:rPr>
              <w:t>drivers of stockholder</w:t>
            </w:r>
          </w:p>
        </w:tc>
        <w:tc>
          <w:tcPr>
            <w:tcW w:w="780" w:type="dxa"/>
            <w:vAlign w:val="bottom"/>
            <w:vMerge w:val="continue"/>
          </w:tcPr>
          <w:p>
            <w:pPr>
              <w:spacing w:after="0"/>
              <w:rPr>
                <w:sz w:val="20"/>
                <w:szCs w:val="20"/>
                <w:color w:val="auto"/>
              </w:rPr>
            </w:pPr>
          </w:p>
        </w:tc>
        <w:tc>
          <w:tcPr>
            <w:tcW w:w="2420" w:type="dxa"/>
            <w:vAlign w:val="bottom"/>
            <w:gridSpan w:val="3"/>
          </w:tcPr>
          <w:p>
            <w:pPr>
              <w:ind w:left="140"/>
              <w:spacing w:after="0"/>
              <w:rPr>
                <w:sz w:val="20"/>
                <w:szCs w:val="20"/>
                <w:color w:val="auto"/>
              </w:rPr>
            </w:pPr>
            <w:r>
              <w:rPr>
                <w:rFonts w:ascii="Arial" w:cs="Arial" w:eastAsia="Arial" w:hAnsi="Arial"/>
                <w:sz w:val="20"/>
                <w:szCs w:val="20"/>
                <w:b w:val="1"/>
                <w:bCs w:val="1"/>
                <w:color w:val="auto"/>
              </w:rPr>
              <w:t xml:space="preserve">business goals </w:t>
            </w:r>
            <w:r>
              <w:rPr>
                <w:rFonts w:ascii="Arial" w:cs="Arial" w:eastAsia="Arial" w:hAnsi="Arial"/>
                <w:sz w:val="20"/>
                <w:szCs w:val="20"/>
                <w:color w:val="auto"/>
              </w:rPr>
              <w:t>to have</w:t>
            </w:r>
          </w:p>
        </w:tc>
        <w:tc>
          <w:tcPr>
            <w:tcW w:w="280" w:type="dxa"/>
            <w:vAlign w:val="bottom"/>
            <w:tcBorders>
              <w:right w:val="single" w:sz="8" w:color="000039"/>
            </w:tcBorders>
          </w:tcPr>
          <w:p>
            <w:pPr>
              <w:spacing w:after="0"/>
              <w:rPr>
                <w:sz w:val="20"/>
                <w:szCs w:val="20"/>
                <w:color w:val="auto"/>
              </w:rPr>
            </w:pPr>
          </w:p>
        </w:tc>
        <w:tc>
          <w:tcPr>
            <w:tcW w:w="800" w:type="dxa"/>
            <w:vAlign w:val="bottom"/>
            <w:vMerge w:val="continue"/>
          </w:tcPr>
          <w:p>
            <w:pPr>
              <w:spacing w:after="0"/>
              <w:rPr>
                <w:sz w:val="20"/>
                <w:szCs w:val="20"/>
                <w:color w:val="auto"/>
              </w:rPr>
            </w:pPr>
          </w:p>
        </w:tc>
        <w:tc>
          <w:tcPr>
            <w:tcW w:w="2400" w:type="dxa"/>
            <w:vAlign w:val="bottom"/>
          </w:tcPr>
          <w:p>
            <w:pPr>
              <w:ind w:left="180"/>
              <w:spacing w:after="0"/>
              <w:rPr>
                <w:sz w:val="20"/>
                <w:szCs w:val="20"/>
                <w:color w:val="auto"/>
              </w:rPr>
            </w:pPr>
            <w:r>
              <w:rPr>
                <w:rFonts w:ascii="Arial" w:cs="Arial" w:eastAsia="Arial" w:hAnsi="Arial"/>
                <w:sz w:val="20"/>
                <w:szCs w:val="20"/>
                <w:b w:val="1"/>
                <w:bCs w:val="1"/>
                <w:color w:val="auto"/>
              </w:rPr>
              <w:t xml:space="preserve">executives </w:t>
            </w:r>
            <w:r>
              <w:rPr>
                <w:rFonts w:ascii="Arial" w:cs="Arial" w:eastAsia="Arial" w:hAnsi="Arial"/>
                <w:sz w:val="20"/>
                <w:szCs w:val="20"/>
                <w:color w:val="auto"/>
              </w:rPr>
              <w:t>whose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000039"/>
            </w:tcBorders>
            <w:vMerge w:val="continue"/>
          </w:tcPr>
          <w:p>
            <w:pPr>
              <w:spacing w:after="0"/>
              <w:rPr>
                <w:sz w:val="20"/>
                <w:szCs w:val="20"/>
                <w:color w:val="auto"/>
              </w:rPr>
            </w:pPr>
          </w:p>
        </w:tc>
        <w:tc>
          <w:tcPr>
            <w:tcW w:w="2740" w:type="dxa"/>
            <w:vAlign w:val="bottom"/>
            <w:tcBorders>
              <w:right w:val="single" w:sz="8" w:color="000039"/>
            </w:tcBorders>
            <w:gridSpan w:val="2"/>
          </w:tcPr>
          <w:p>
            <w:pPr>
              <w:ind w:left="160"/>
              <w:spacing w:after="0"/>
              <w:rPr>
                <w:sz w:val="20"/>
                <w:szCs w:val="20"/>
                <w:color w:val="auto"/>
              </w:rPr>
            </w:pPr>
            <w:r>
              <w:rPr>
                <w:rFonts w:ascii="Arial" w:cs="Arial" w:eastAsia="Arial" w:hAnsi="Arial"/>
                <w:sz w:val="20"/>
                <w:szCs w:val="20"/>
                <w:color w:val="auto"/>
              </w:rPr>
              <w:t>returns and profitable</w:t>
            </w:r>
          </w:p>
        </w:tc>
        <w:tc>
          <w:tcPr>
            <w:tcW w:w="780" w:type="dxa"/>
            <w:vAlign w:val="bottom"/>
            <w:vMerge w:val="continue"/>
          </w:tcPr>
          <w:p>
            <w:pPr>
              <w:spacing w:after="0"/>
              <w:rPr>
                <w:sz w:val="20"/>
                <w:szCs w:val="20"/>
                <w:color w:val="auto"/>
              </w:rPr>
            </w:pPr>
          </w:p>
        </w:tc>
        <w:tc>
          <w:tcPr>
            <w:tcW w:w="2420" w:type="dxa"/>
            <w:vAlign w:val="bottom"/>
            <w:gridSpan w:val="3"/>
          </w:tcPr>
          <w:p>
            <w:pPr>
              <w:ind w:left="140"/>
              <w:spacing w:after="0"/>
              <w:rPr>
                <w:sz w:val="20"/>
                <w:szCs w:val="20"/>
                <w:color w:val="auto"/>
              </w:rPr>
            </w:pPr>
            <w:r>
              <w:rPr>
                <w:rFonts w:ascii="Arial" w:cs="Arial" w:eastAsia="Arial" w:hAnsi="Arial"/>
                <w:sz w:val="20"/>
                <w:szCs w:val="20"/>
                <w:color w:val="auto"/>
              </w:rPr>
              <w:t>a remarkable impact on</w:t>
            </w:r>
          </w:p>
        </w:tc>
        <w:tc>
          <w:tcPr>
            <w:tcW w:w="280" w:type="dxa"/>
            <w:vAlign w:val="bottom"/>
            <w:tcBorders>
              <w:right w:val="single" w:sz="8" w:color="000039"/>
            </w:tcBorders>
          </w:tcPr>
          <w:p>
            <w:pPr>
              <w:spacing w:after="0"/>
              <w:rPr>
                <w:sz w:val="20"/>
                <w:szCs w:val="20"/>
                <w:color w:val="auto"/>
              </w:rPr>
            </w:pPr>
          </w:p>
        </w:tc>
        <w:tc>
          <w:tcPr>
            <w:tcW w:w="800" w:type="dxa"/>
            <w:vAlign w:val="bottom"/>
            <w:vMerge w:val="continue"/>
          </w:tcPr>
          <w:p>
            <w:pPr>
              <w:spacing w:after="0"/>
              <w:rPr>
                <w:sz w:val="20"/>
                <w:szCs w:val="20"/>
                <w:color w:val="auto"/>
              </w:rPr>
            </w:pPr>
          </w:p>
        </w:tc>
        <w:tc>
          <w:tcPr>
            <w:tcW w:w="2400" w:type="dxa"/>
            <w:vAlign w:val="bottom"/>
          </w:tcPr>
          <w:p>
            <w:pPr>
              <w:ind w:left="180"/>
              <w:spacing w:after="0"/>
              <w:rPr>
                <w:sz w:val="20"/>
                <w:szCs w:val="20"/>
                <w:color w:val="auto"/>
              </w:rPr>
            </w:pPr>
            <w:r>
              <w:rPr>
                <w:rFonts w:ascii="Arial" w:cs="Arial" w:eastAsia="Arial" w:hAnsi="Arial"/>
                <w:sz w:val="20"/>
                <w:szCs w:val="20"/>
                <w:color w:val="auto"/>
              </w:rPr>
              <w:t>talents and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 w:type="dxa"/>
            <w:vAlign w:val="bottom"/>
            <w:tcBorders>
              <w:left w:val="single" w:sz="8" w:color="000039"/>
            </w:tcBorders>
          </w:tcPr>
          <w:p>
            <w:pPr>
              <w:spacing w:after="0"/>
              <w:rPr>
                <w:sz w:val="19"/>
                <w:szCs w:val="19"/>
                <w:color w:val="auto"/>
              </w:rPr>
            </w:pPr>
          </w:p>
        </w:tc>
        <w:tc>
          <w:tcPr>
            <w:tcW w:w="2740" w:type="dxa"/>
            <w:vAlign w:val="bottom"/>
            <w:tcBorders>
              <w:right w:val="single" w:sz="8" w:color="000039"/>
            </w:tcBorders>
            <w:gridSpan w:val="2"/>
          </w:tcPr>
          <w:p>
            <w:pPr>
              <w:ind w:left="160"/>
              <w:spacing w:after="0"/>
              <w:rPr>
                <w:sz w:val="20"/>
                <w:szCs w:val="20"/>
                <w:color w:val="auto"/>
              </w:rPr>
            </w:pPr>
            <w:r>
              <w:rPr>
                <w:rFonts w:ascii="Arial" w:cs="Arial" w:eastAsia="Arial" w:hAnsi="Arial"/>
                <w:sz w:val="20"/>
                <w:szCs w:val="20"/>
                <w:color w:val="auto"/>
              </w:rPr>
              <w:t>growth</w:t>
            </w:r>
          </w:p>
        </w:tc>
        <w:tc>
          <w:tcPr>
            <w:tcW w:w="780" w:type="dxa"/>
            <w:vAlign w:val="bottom"/>
          </w:tcPr>
          <w:p>
            <w:pPr>
              <w:spacing w:after="0"/>
              <w:rPr>
                <w:sz w:val="19"/>
                <w:szCs w:val="19"/>
                <w:color w:val="auto"/>
              </w:rPr>
            </w:pPr>
          </w:p>
        </w:tc>
        <w:tc>
          <w:tcPr>
            <w:tcW w:w="2420" w:type="dxa"/>
            <w:vAlign w:val="bottom"/>
            <w:gridSpan w:val="3"/>
          </w:tcPr>
          <w:p>
            <w:pPr>
              <w:ind w:left="140"/>
              <w:spacing w:after="0"/>
              <w:rPr>
                <w:sz w:val="20"/>
                <w:szCs w:val="20"/>
                <w:color w:val="auto"/>
              </w:rPr>
            </w:pPr>
            <w:r>
              <w:rPr>
                <w:rFonts w:ascii="Arial" w:cs="Arial" w:eastAsia="Arial" w:hAnsi="Arial"/>
                <w:sz w:val="20"/>
                <w:szCs w:val="20"/>
                <w:color w:val="auto"/>
              </w:rPr>
              <w:t>patients’ lives</w:t>
            </w:r>
          </w:p>
        </w:tc>
        <w:tc>
          <w:tcPr>
            <w:tcW w:w="280" w:type="dxa"/>
            <w:vAlign w:val="bottom"/>
            <w:tcBorders>
              <w:right w:val="single" w:sz="8" w:color="000039"/>
            </w:tcBorders>
          </w:tcPr>
          <w:p>
            <w:pPr>
              <w:spacing w:after="0"/>
              <w:rPr>
                <w:sz w:val="19"/>
                <w:szCs w:val="19"/>
                <w:color w:val="auto"/>
              </w:rPr>
            </w:pPr>
          </w:p>
        </w:tc>
        <w:tc>
          <w:tcPr>
            <w:tcW w:w="800" w:type="dxa"/>
            <w:vAlign w:val="bottom"/>
          </w:tcPr>
          <w:p>
            <w:pPr>
              <w:spacing w:after="0"/>
              <w:rPr>
                <w:sz w:val="19"/>
                <w:szCs w:val="19"/>
                <w:color w:val="auto"/>
              </w:rPr>
            </w:pPr>
          </w:p>
        </w:tc>
        <w:tc>
          <w:tcPr>
            <w:tcW w:w="2400" w:type="dxa"/>
            <w:vAlign w:val="bottom"/>
          </w:tcPr>
          <w:p>
            <w:pPr>
              <w:ind w:left="180"/>
              <w:spacing w:after="0"/>
              <w:rPr>
                <w:sz w:val="20"/>
                <w:szCs w:val="20"/>
                <w:color w:val="auto"/>
              </w:rPr>
            </w:pPr>
            <w:r>
              <w:rPr>
                <w:rFonts w:ascii="Arial" w:cs="Arial" w:eastAsia="Arial" w:hAnsi="Arial"/>
                <w:sz w:val="20"/>
                <w:szCs w:val="20"/>
                <w:color w:val="auto"/>
              </w:rPr>
              <w:t>contributions sustain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000039"/>
            </w:tcBorders>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Borders>
              <w:right w:val="single" w:sz="8" w:color="000039"/>
            </w:tcBorders>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000039"/>
            </w:tcBorders>
          </w:tcPr>
          <w:p>
            <w:pPr>
              <w:spacing w:after="0"/>
              <w:rPr>
                <w:sz w:val="20"/>
                <w:szCs w:val="20"/>
                <w:color w:val="auto"/>
              </w:rPr>
            </w:pPr>
          </w:p>
        </w:tc>
        <w:tc>
          <w:tcPr>
            <w:tcW w:w="800" w:type="dxa"/>
            <w:vAlign w:val="bottom"/>
          </w:tcPr>
          <w:p>
            <w:pPr>
              <w:spacing w:after="0"/>
              <w:rPr>
                <w:sz w:val="20"/>
                <w:szCs w:val="20"/>
                <w:color w:val="auto"/>
              </w:rPr>
            </w:pPr>
          </w:p>
        </w:tc>
        <w:tc>
          <w:tcPr>
            <w:tcW w:w="2400" w:type="dxa"/>
            <w:vAlign w:val="bottom"/>
          </w:tcPr>
          <w:p>
            <w:pPr>
              <w:ind w:left="180"/>
              <w:spacing w:after="0"/>
              <w:rPr>
                <w:sz w:val="20"/>
                <w:szCs w:val="20"/>
                <w:color w:val="auto"/>
              </w:rPr>
            </w:pPr>
            <w:r>
              <w:rPr>
                <w:rFonts w:ascii="Arial" w:cs="Arial" w:eastAsia="Arial" w:hAnsi="Arial"/>
                <w:sz w:val="20"/>
                <w:szCs w:val="20"/>
                <w:color w:val="auto"/>
              </w:rPr>
              <w:t>the growth in long-term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680" w:type="dxa"/>
            <w:vAlign w:val="bottom"/>
            <w:tcBorders>
              <w:left w:val="single" w:sz="8" w:color="000039"/>
            </w:tcBorders>
          </w:tcPr>
          <w:p>
            <w:pPr>
              <w:spacing w:after="0"/>
              <w:rPr>
                <w:sz w:val="23"/>
                <w:szCs w:val="23"/>
                <w:color w:val="auto"/>
              </w:rPr>
            </w:pPr>
          </w:p>
        </w:tc>
        <w:tc>
          <w:tcPr>
            <w:tcW w:w="2460" w:type="dxa"/>
            <w:vAlign w:val="bottom"/>
          </w:tcPr>
          <w:p>
            <w:pPr>
              <w:spacing w:after="0"/>
              <w:rPr>
                <w:sz w:val="23"/>
                <w:szCs w:val="23"/>
                <w:color w:val="auto"/>
              </w:rPr>
            </w:pPr>
          </w:p>
        </w:tc>
        <w:tc>
          <w:tcPr>
            <w:tcW w:w="280" w:type="dxa"/>
            <w:vAlign w:val="bottom"/>
            <w:tcBorders>
              <w:right w:val="single" w:sz="8" w:color="000039"/>
            </w:tcBorders>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Borders>
              <w:right w:val="single" w:sz="8" w:color="000039"/>
            </w:tcBorders>
          </w:tcPr>
          <w:p>
            <w:pPr>
              <w:spacing w:after="0"/>
              <w:rPr>
                <w:sz w:val="23"/>
                <w:szCs w:val="23"/>
                <w:color w:val="auto"/>
              </w:rPr>
            </w:pPr>
          </w:p>
        </w:tc>
        <w:tc>
          <w:tcPr>
            <w:tcW w:w="800" w:type="dxa"/>
            <w:vAlign w:val="bottom"/>
          </w:tcPr>
          <w:p>
            <w:pPr>
              <w:spacing w:after="0"/>
              <w:rPr>
                <w:sz w:val="23"/>
                <w:szCs w:val="23"/>
                <w:color w:val="auto"/>
              </w:rPr>
            </w:pPr>
          </w:p>
        </w:tc>
        <w:tc>
          <w:tcPr>
            <w:tcW w:w="2400" w:type="dxa"/>
            <w:vAlign w:val="bottom"/>
          </w:tcPr>
          <w:p>
            <w:pPr>
              <w:ind w:left="180"/>
              <w:spacing w:after="0"/>
              <w:rPr>
                <w:sz w:val="20"/>
                <w:szCs w:val="20"/>
                <w:color w:val="auto"/>
              </w:rPr>
            </w:pPr>
            <w:r>
              <w:rPr>
                <w:rFonts w:ascii="Arial" w:cs="Arial" w:eastAsia="Arial" w:hAnsi="Arial"/>
                <w:sz w:val="20"/>
                <w:szCs w:val="20"/>
                <w:color w:val="auto"/>
              </w:rPr>
              <w:t>stockholder value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80" w:type="dxa"/>
            <w:vAlign w:val="bottom"/>
            <w:tcBorders>
              <w:left w:val="single" w:sz="8" w:color="000039"/>
            </w:tcBorders>
          </w:tcPr>
          <w:p>
            <w:pPr>
              <w:spacing w:after="0"/>
              <w:rPr>
                <w:sz w:val="8"/>
                <w:szCs w:val="8"/>
                <w:color w:val="auto"/>
              </w:rPr>
            </w:pPr>
          </w:p>
        </w:tc>
        <w:tc>
          <w:tcPr>
            <w:tcW w:w="2460" w:type="dxa"/>
            <w:vAlign w:val="bottom"/>
          </w:tcPr>
          <w:p>
            <w:pPr>
              <w:spacing w:after="0"/>
              <w:rPr>
                <w:sz w:val="8"/>
                <w:szCs w:val="8"/>
                <w:color w:val="auto"/>
              </w:rPr>
            </w:pPr>
          </w:p>
        </w:tc>
        <w:tc>
          <w:tcPr>
            <w:tcW w:w="280" w:type="dxa"/>
            <w:vAlign w:val="bottom"/>
            <w:tcBorders>
              <w:right w:val="single" w:sz="8" w:color="000039"/>
            </w:tcBorders>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Borders>
              <w:right w:val="single" w:sz="8" w:color="000039"/>
            </w:tcBorders>
          </w:tcPr>
          <w:p>
            <w:pPr>
              <w:spacing w:after="0"/>
              <w:rPr>
                <w:sz w:val="8"/>
                <w:szCs w:val="8"/>
                <w:color w:val="auto"/>
              </w:rPr>
            </w:pPr>
          </w:p>
        </w:tc>
        <w:tc>
          <w:tcPr>
            <w:tcW w:w="32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2"/>
        </w:trPr>
        <w:tc>
          <w:tcPr>
            <w:tcW w:w="680" w:type="dxa"/>
            <w:vAlign w:val="bottom"/>
          </w:tcPr>
          <w:p>
            <w:pPr>
              <w:spacing w:after="0"/>
              <w:rPr>
                <w:sz w:val="24"/>
                <w:szCs w:val="24"/>
                <w:color w:val="auto"/>
              </w:rPr>
            </w:pPr>
          </w:p>
        </w:tc>
        <w:tc>
          <w:tcPr>
            <w:tcW w:w="2740" w:type="dxa"/>
            <w:vAlign w:val="bottom"/>
            <w:gridSpan w:val="2"/>
          </w:tcPr>
          <w:p>
            <w:pPr>
              <w:ind w:left="1100"/>
              <w:spacing w:after="0"/>
              <w:rPr>
                <w:sz w:val="20"/>
                <w:szCs w:val="20"/>
                <w:color w:val="auto"/>
              </w:rPr>
            </w:pPr>
            <w:r>
              <w:rPr>
                <w:rFonts w:ascii="Arial" w:cs="Arial" w:eastAsia="Arial" w:hAnsi="Arial"/>
                <w:sz w:val="20"/>
                <w:szCs w:val="20"/>
                <w:b w:val="1"/>
                <w:bCs w:val="1"/>
                <w:color w:val="000039"/>
              </w:rPr>
              <w:t>WHAT WE DO</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Arial" w:cs="Arial" w:eastAsia="Arial" w:hAnsi="Arial"/>
                <w:sz w:val="20"/>
                <w:szCs w:val="20"/>
                <w:b w:val="1"/>
                <w:bCs w:val="1"/>
                <w:color w:val="auto"/>
              </w:rPr>
              <w:t>WHAT WE DO NOT DO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680" w:type="dxa"/>
            <w:vAlign w:val="bottom"/>
            <w:tcBorders>
              <w:bottom w:val="single" w:sz="8" w:color="000039"/>
            </w:tcBorders>
          </w:tcPr>
          <w:p>
            <w:pPr>
              <w:spacing w:after="0"/>
              <w:rPr>
                <w:sz w:val="11"/>
                <w:szCs w:val="11"/>
                <w:color w:val="auto"/>
              </w:rPr>
            </w:pPr>
          </w:p>
        </w:tc>
        <w:tc>
          <w:tcPr>
            <w:tcW w:w="2460" w:type="dxa"/>
            <w:vAlign w:val="bottom"/>
            <w:tcBorders>
              <w:bottom w:val="single" w:sz="8" w:color="000039"/>
            </w:tcBorders>
          </w:tcPr>
          <w:p>
            <w:pPr>
              <w:spacing w:after="0"/>
              <w:rPr>
                <w:sz w:val="11"/>
                <w:szCs w:val="11"/>
                <w:color w:val="auto"/>
              </w:rPr>
            </w:pPr>
          </w:p>
        </w:tc>
        <w:tc>
          <w:tcPr>
            <w:tcW w:w="280" w:type="dxa"/>
            <w:vAlign w:val="bottom"/>
            <w:tcBorders>
              <w:bottom w:val="single" w:sz="8" w:color="000039"/>
            </w:tcBorders>
          </w:tcPr>
          <w:p>
            <w:pPr>
              <w:spacing w:after="0"/>
              <w:rPr>
                <w:sz w:val="11"/>
                <w:szCs w:val="11"/>
                <w:color w:val="auto"/>
              </w:rPr>
            </w:pPr>
          </w:p>
        </w:tc>
        <w:tc>
          <w:tcPr>
            <w:tcW w:w="780" w:type="dxa"/>
            <w:vAlign w:val="bottom"/>
            <w:tcBorders>
              <w:bottom w:val="single" w:sz="8" w:color="000039"/>
            </w:tcBorders>
          </w:tcPr>
          <w:p>
            <w:pPr>
              <w:spacing w:after="0"/>
              <w:rPr>
                <w:sz w:val="11"/>
                <w:szCs w:val="11"/>
                <w:color w:val="auto"/>
              </w:rPr>
            </w:pPr>
          </w:p>
        </w:tc>
        <w:tc>
          <w:tcPr>
            <w:tcW w:w="660" w:type="dxa"/>
            <w:vAlign w:val="bottom"/>
            <w:tcBorders>
              <w:bottom w:val="single" w:sz="8" w:color="000039"/>
            </w:tcBorders>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tcBorders>
              <w:bottom w:val="single" w:sz="8" w:color="000039"/>
            </w:tcBorders>
          </w:tcPr>
          <w:p>
            <w:pPr>
              <w:spacing w:after="0"/>
              <w:rPr>
                <w:sz w:val="11"/>
                <w:szCs w:val="11"/>
                <w:color w:val="auto"/>
              </w:rPr>
            </w:pPr>
          </w:p>
        </w:tc>
        <w:tc>
          <w:tcPr>
            <w:tcW w:w="280" w:type="dxa"/>
            <w:vAlign w:val="bottom"/>
            <w:tcBorders>
              <w:bottom w:val="single" w:sz="8" w:color="000039"/>
            </w:tcBorders>
          </w:tcPr>
          <w:p>
            <w:pPr>
              <w:spacing w:after="0"/>
              <w:rPr>
                <w:sz w:val="11"/>
                <w:szCs w:val="11"/>
                <w:color w:val="auto"/>
              </w:rPr>
            </w:pPr>
          </w:p>
        </w:tc>
        <w:tc>
          <w:tcPr>
            <w:tcW w:w="800" w:type="dxa"/>
            <w:vAlign w:val="bottom"/>
            <w:tcBorders>
              <w:bottom w:val="single" w:sz="8" w:color="000039"/>
            </w:tcBorders>
          </w:tcPr>
          <w:p>
            <w:pPr>
              <w:spacing w:after="0"/>
              <w:rPr>
                <w:sz w:val="11"/>
                <w:szCs w:val="11"/>
                <w:color w:val="auto"/>
              </w:rPr>
            </w:pPr>
          </w:p>
        </w:tc>
        <w:tc>
          <w:tcPr>
            <w:tcW w:w="2400" w:type="dxa"/>
            <w:vAlign w:val="bottom"/>
            <w:tcBorders>
              <w:bottom w:val="single" w:sz="8" w:color="000039"/>
            </w:tcBorders>
          </w:tcPr>
          <w:p>
            <w:pPr>
              <w:spacing w:after="0"/>
              <w:rPr>
                <w:sz w:val="11"/>
                <w:szCs w:val="11"/>
                <w:color w:val="auto"/>
              </w:rPr>
            </w:pPr>
          </w:p>
        </w:tc>
        <w:tc>
          <w:tcPr>
            <w:tcW w:w="20" w:type="dxa"/>
            <w:vAlign w:val="bottom"/>
            <w:tcBorders>
              <w:bottom w:val="single" w:sz="8" w:color="000039"/>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3225165</wp:posOffset>
                </wp:positionH>
                <wp:positionV relativeFrom="paragraph">
                  <wp:posOffset>62865</wp:posOffset>
                </wp:positionV>
                <wp:extent cx="0" cy="345440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54400"/>
                        </a:xfrm>
                        <a:prstGeom prst="line">
                          <a:avLst/>
                        </a:prstGeom>
                        <a:solidFill>
                          <a:srgbClr val="FFFFFF"/>
                        </a:solidFill>
                        <a:ln w="28194">
                          <a:solidFill>
                            <a:srgbClr val="000039"/>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95pt,4.95pt" to="253.95pt,276.95pt" o:allowincell="f" strokecolor="#000039" strokeweight="2.22pt"/>
            </w:pict>
          </mc:Fallback>
        </mc:AlternateContent>
      </w:r>
    </w:p>
    <w:p>
      <w:pPr>
        <w:sectPr>
          <w:pgSz w:w="11880" w:h="15480" w:orient="portrait"/>
          <w:cols w:equalWidth="0" w:num="1">
            <w:col w:w="10120"/>
          </w:cols>
          <w:pgMar w:left="860" w:top="702" w:right="900" w:bottom="0" w:gutter="0" w:footer="0" w:header="0"/>
        </w:sectPr>
      </w:pPr>
    </w:p>
    <w:p>
      <w:pPr>
        <w:spacing w:after="0" w:line="201" w:lineRule="exact"/>
        <w:rPr>
          <w:sz w:val="20"/>
          <w:szCs w:val="20"/>
          <w:color w:val="auto"/>
        </w:rPr>
      </w:pPr>
    </w:p>
    <w:p>
      <w:pPr>
        <w:ind w:left="440" w:right="460"/>
        <w:spacing w:after="0" w:line="261" w:lineRule="auto"/>
        <w:rPr>
          <w:sz w:val="20"/>
          <w:szCs w:val="20"/>
          <w:color w:val="auto"/>
        </w:rPr>
      </w:pPr>
      <w:r>
        <w:rPr>
          <w:rFonts w:ascii="Arial" w:cs="Arial" w:eastAsia="Arial" w:hAnsi="Arial"/>
          <w:sz w:val="20"/>
          <w:szCs w:val="20"/>
          <w:color w:val="auto"/>
        </w:rPr>
        <w:t>We balance short- and long-term strategic objectives and directly link compensation to stockholder value.</w:t>
      </w:r>
    </w:p>
    <w:p>
      <w:pPr>
        <w:spacing w:after="0" w:line="59" w:lineRule="exact"/>
        <w:rPr>
          <w:sz w:val="20"/>
          <w:szCs w:val="20"/>
          <w:color w:val="auto"/>
        </w:rPr>
      </w:pPr>
    </w:p>
    <w:p>
      <w:pPr>
        <w:ind w:left="440" w:right="540"/>
        <w:spacing w:after="0" w:line="283" w:lineRule="auto"/>
        <w:rPr>
          <w:sz w:val="20"/>
          <w:szCs w:val="20"/>
          <w:color w:val="auto"/>
        </w:rPr>
      </w:pPr>
      <w:r>
        <w:rPr>
          <w:rFonts w:ascii="Arial" w:cs="Arial" w:eastAsia="Arial" w:hAnsi="Arial"/>
          <w:sz w:val="20"/>
          <w:szCs w:val="20"/>
          <w:color w:val="auto"/>
        </w:rPr>
        <w:t>We tie more than three-fourths of our NEO compensation to performance.</w:t>
      </w:r>
    </w:p>
    <w:p>
      <w:pPr>
        <w:spacing w:after="0" w:line="37" w:lineRule="exact"/>
        <w:rPr>
          <w:sz w:val="20"/>
          <w:szCs w:val="20"/>
          <w:color w:val="auto"/>
        </w:rPr>
      </w:pPr>
    </w:p>
    <w:p>
      <w:pPr>
        <w:ind w:left="440"/>
        <w:spacing w:after="0" w:line="261" w:lineRule="auto"/>
        <w:rPr>
          <w:sz w:val="20"/>
          <w:szCs w:val="20"/>
          <w:color w:val="auto"/>
        </w:rPr>
      </w:pPr>
      <w:r>
        <w:rPr>
          <w:rFonts w:ascii="Arial" w:cs="Arial" w:eastAsia="Arial" w:hAnsi="Arial"/>
          <w:sz w:val="20"/>
          <w:szCs w:val="20"/>
          <w:color w:val="auto"/>
        </w:rPr>
        <w:t>We are committed to pay equity and we regularly review pay to ensure our pay is fair and equitable.</w:t>
      </w:r>
    </w:p>
    <w:p>
      <w:pPr>
        <w:spacing w:after="0" w:line="59" w:lineRule="exact"/>
        <w:rPr>
          <w:sz w:val="20"/>
          <w:szCs w:val="20"/>
          <w:color w:val="auto"/>
        </w:rPr>
      </w:pPr>
    </w:p>
    <w:p>
      <w:pPr>
        <w:ind w:left="440" w:right="80"/>
        <w:spacing w:after="0" w:line="248" w:lineRule="auto"/>
        <w:rPr>
          <w:sz w:val="20"/>
          <w:szCs w:val="20"/>
          <w:color w:val="auto"/>
        </w:rPr>
      </w:pPr>
      <w:r>
        <w:rPr>
          <w:rFonts w:ascii="Arial" w:cs="Arial" w:eastAsia="Arial" w:hAnsi="Arial"/>
          <w:sz w:val="20"/>
          <w:szCs w:val="20"/>
          <w:color w:val="auto"/>
        </w:rPr>
        <w:t>We have broad discretion to clawback incentive awards in the event of a material breach of the AbbVie Code of Business Conduct, as well as a robust mandatory clawback policy covering excess compensation in the event of a restatement.</w:t>
      </w:r>
    </w:p>
    <w:p>
      <w:pPr>
        <w:spacing w:after="0" w:line="74" w:lineRule="exact"/>
        <w:rPr>
          <w:sz w:val="20"/>
          <w:szCs w:val="20"/>
          <w:color w:val="auto"/>
        </w:rPr>
      </w:pPr>
    </w:p>
    <w:p>
      <w:pPr>
        <w:ind w:left="440" w:right="120"/>
        <w:spacing w:after="0" w:line="261" w:lineRule="auto"/>
        <w:rPr>
          <w:sz w:val="20"/>
          <w:szCs w:val="20"/>
          <w:color w:val="auto"/>
        </w:rPr>
      </w:pPr>
      <w:r>
        <w:rPr>
          <w:rFonts w:ascii="Arial" w:cs="Arial" w:eastAsia="Arial" w:hAnsi="Arial"/>
          <w:sz w:val="20"/>
          <w:szCs w:val="20"/>
          <w:color w:val="auto"/>
        </w:rPr>
        <w:t>We engage annually with a large portion of our stockholders to gather feedback on our policies and practices.</w:t>
      </w:r>
    </w:p>
    <w:p>
      <w:pPr>
        <w:spacing w:after="0" w:line="59" w:lineRule="exact"/>
        <w:rPr>
          <w:sz w:val="20"/>
          <w:szCs w:val="20"/>
          <w:color w:val="auto"/>
        </w:rPr>
      </w:pPr>
    </w:p>
    <w:p>
      <w:pPr>
        <w:ind w:left="440" w:right="60"/>
        <w:spacing w:after="0" w:line="261" w:lineRule="auto"/>
        <w:rPr>
          <w:sz w:val="20"/>
          <w:szCs w:val="20"/>
          <w:color w:val="auto"/>
        </w:rPr>
      </w:pPr>
      <w:r>
        <w:rPr>
          <w:rFonts w:ascii="Arial" w:cs="Arial" w:eastAsia="Arial" w:hAnsi="Arial"/>
          <w:sz w:val="20"/>
          <w:szCs w:val="20"/>
          <w:color w:val="auto"/>
        </w:rPr>
        <w:t>We have robust stock ownership guidelines and prohibit the selling of shares unless ownership guidelines have been met.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90" w:right="360" w:hanging="290"/>
        <w:spacing w:after="0" w:line="283" w:lineRule="auto"/>
        <w:tabs>
          <w:tab w:leader="none" w:pos="290" w:val="left"/>
        </w:tabs>
        <w:numPr>
          <w:ilvl w:val="0"/>
          <w:numId w:val="92"/>
        </w:numPr>
        <w:rPr>
          <w:rFonts w:ascii="Arial" w:cs="Arial" w:eastAsia="Arial" w:hAnsi="Arial"/>
          <w:sz w:val="20"/>
          <w:szCs w:val="20"/>
          <w:b w:val="1"/>
          <w:bCs w:val="1"/>
          <w:color w:val="000039"/>
        </w:rPr>
      </w:pPr>
      <w:r>
        <w:rPr>
          <w:rFonts w:ascii="Arial" w:cs="Arial" w:eastAsia="Arial" w:hAnsi="Arial"/>
          <w:sz w:val="20"/>
          <w:szCs w:val="20"/>
          <w:color w:val="auto"/>
        </w:rPr>
        <w:t>We do not have employment agreements with any of our NEOs.</w:t>
      </w:r>
    </w:p>
    <w:p>
      <w:pPr>
        <w:spacing w:after="0" w:line="37" w:lineRule="exact"/>
        <w:rPr>
          <w:sz w:val="20"/>
          <w:szCs w:val="20"/>
          <w:color w:val="auto"/>
        </w:rPr>
      </w:pPr>
    </w:p>
    <w:p>
      <w:pPr>
        <w:ind w:left="290" w:right="180" w:hanging="290"/>
        <w:spacing w:after="0" w:line="254" w:lineRule="auto"/>
        <w:tabs>
          <w:tab w:leader="none" w:pos="290" w:val="left"/>
        </w:tabs>
        <w:numPr>
          <w:ilvl w:val="0"/>
          <w:numId w:val="93"/>
        </w:numPr>
        <w:rPr>
          <w:rFonts w:ascii="Arial" w:cs="Arial" w:eastAsia="Arial" w:hAnsi="Arial"/>
          <w:sz w:val="20"/>
          <w:szCs w:val="20"/>
          <w:b w:val="1"/>
          <w:bCs w:val="1"/>
          <w:color w:val="000039"/>
        </w:rPr>
      </w:pPr>
      <w:r>
        <w:rPr>
          <w:rFonts w:ascii="Arial" w:cs="Arial" w:eastAsia="Arial" w:hAnsi="Arial"/>
          <w:sz w:val="20"/>
          <w:szCs w:val="20"/>
          <w:color w:val="auto"/>
        </w:rPr>
        <w:t>We do not provide tax gross-ups on NEO compensation or excise tax gross-ups on severance or other payments in connection with a change in control.</w:t>
      </w:r>
    </w:p>
    <w:p>
      <w:pPr>
        <w:spacing w:after="0" w:line="66" w:lineRule="exact"/>
        <w:rPr>
          <w:sz w:val="20"/>
          <w:szCs w:val="20"/>
          <w:color w:val="auto"/>
        </w:rPr>
      </w:pPr>
    </w:p>
    <w:p>
      <w:pPr>
        <w:ind w:left="290" w:right="260" w:hanging="290"/>
        <w:spacing w:after="0" w:line="250" w:lineRule="auto"/>
        <w:tabs>
          <w:tab w:leader="none" w:pos="290" w:val="left"/>
        </w:tabs>
        <w:numPr>
          <w:ilvl w:val="0"/>
          <w:numId w:val="94"/>
        </w:numPr>
        <w:rPr>
          <w:rFonts w:ascii="Arial" w:cs="Arial" w:eastAsia="Arial" w:hAnsi="Arial"/>
          <w:sz w:val="20"/>
          <w:szCs w:val="20"/>
          <w:b w:val="1"/>
          <w:bCs w:val="1"/>
          <w:color w:val="000039"/>
        </w:rPr>
      </w:pPr>
      <w:r>
        <w:rPr>
          <w:rFonts w:ascii="Arial" w:cs="Arial" w:eastAsia="Arial" w:hAnsi="Arial"/>
          <w:sz w:val="20"/>
          <w:szCs w:val="20"/>
          <w:color w:val="auto"/>
        </w:rPr>
        <w:t>NEOs are prohibited from entering or engaging in the purchase or sale of financial instruments that are designed to hedge or offset any decrease in the market value of AbbVie equity securities they hold.</w:t>
      </w:r>
    </w:p>
    <w:p>
      <w:pPr>
        <w:spacing w:after="0" w:line="73" w:lineRule="exact"/>
        <w:rPr>
          <w:sz w:val="20"/>
          <w:szCs w:val="20"/>
          <w:color w:val="auto"/>
        </w:rPr>
      </w:pPr>
    </w:p>
    <w:p>
      <w:pPr>
        <w:jc w:val="both"/>
        <w:ind w:left="290" w:right="200" w:hanging="290"/>
        <w:spacing w:after="0" w:line="261" w:lineRule="auto"/>
        <w:tabs>
          <w:tab w:leader="none" w:pos="290" w:val="left"/>
        </w:tabs>
        <w:numPr>
          <w:ilvl w:val="0"/>
          <w:numId w:val="95"/>
        </w:numPr>
        <w:rPr>
          <w:rFonts w:ascii="Arial" w:cs="Arial" w:eastAsia="Arial" w:hAnsi="Arial"/>
          <w:sz w:val="20"/>
          <w:szCs w:val="20"/>
          <w:b w:val="1"/>
          <w:bCs w:val="1"/>
          <w:color w:val="000039"/>
        </w:rPr>
      </w:pPr>
      <w:r>
        <w:rPr>
          <w:rFonts w:ascii="Arial" w:cs="Arial" w:eastAsia="Arial" w:hAnsi="Arial"/>
          <w:sz w:val="20"/>
          <w:szCs w:val="20"/>
          <w:color w:val="auto"/>
        </w:rPr>
        <w:t>We do not include pay design features that may have the potential to encourage excessive risk-taking.</w:t>
      </w:r>
    </w:p>
    <w:p>
      <w:pPr>
        <w:spacing w:after="0" w:line="60" w:lineRule="exact"/>
        <w:rPr>
          <w:sz w:val="20"/>
          <w:szCs w:val="20"/>
          <w:color w:val="auto"/>
        </w:rPr>
      </w:pPr>
    </w:p>
    <w:p>
      <w:pPr>
        <w:ind w:left="290" w:right="1060" w:hanging="290"/>
        <w:spacing w:after="0" w:line="283" w:lineRule="auto"/>
        <w:tabs>
          <w:tab w:leader="none" w:pos="290" w:val="left"/>
        </w:tabs>
        <w:numPr>
          <w:ilvl w:val="0"/>
          <w:numId w:val="96"/>
        </w:numPr>
        <w:rPr>
          <w:rFonts w:ascii="Arial" w:cs="Arial" w:eastAsia="Arial" w:hAnsi="Arial"/>
          <w:sz w:val="20"/>
          <w:szCs w:val="20"/>
          <w:b w:val="1"/>
          <w:bCs w:val="1"/>
          <w:color w:val="000039"/>
        </w:rPr>
      </w:pPr>
      <w:r>
        <w:rPr>
          <w:rFonts w:ascii="Arial" w:cs="Arial" w:eastAsia="Arial" w:hAnsi="Arial"/>
          <w:sz w:val="20"/>
          <w:szCs w:val="20"/>
          <w:color w:val="auto"/>
        </w:rPr>
        <w:t>We do not pay dividends on unearned performance awards.</w:t>
      </w:r>
    </w:p>
    <w:p>
      <w:pPr>
        <w:spacing w:after="0" w:line="37" w:lineRule="exact"/>
        <w:rPr>
          <w:sz w:val="20"/>
          <w:szCs w:val="20"/>
          <w:color w:val="auto"/>
        </w:rPr>
      </w:pPr>
    </w:p>
    <w:p>
      <w:pPr>
        <w:ind w:left="290" w:right="240" w:hanging="290"/>
        <w:spacing w:after="0" w:line="283" w:lineRule="auto"/>
        <w:tabs>
          <w:tab w:leader="none" w:pos="290" w:val="left"/>
        </w:tabs>
        <w:numPr>
          <w:ilvl w:val="0"/>
          <w:numId w:val="97"/>
        </w:numPr>
        <w:rPr>
          <w:rFonts w:ascii="Arial" w:cs="Arial" w:eastAsia="Arial" w:hAnsi="Arial"/>
          <w:sz w:val="20"/>
          <w:szCs w:val="20"/>
          <w:b w:val="1"/>
          <w:bCs w:val="1"/>
          <w:color w:val="000039"/>
        </w:rPr>
      </w:pPr>
      <w:r>
        <w:rPr>
          <w:rFonts w:ascii="Arial" w:cs="Arial" w:eastAsia="Arial" w:hAnsi="Arial"/>
          <w:sz w:val="20"/>
          <w:szCs w:val="20"/>
          <w:color w:val="auto"/>
        </w:rPr>
        <w:t>We do not have single trigger change in control equity vesting or other benefits.</w:t>
      </w:r>
    </w:p>
    <w:p>
      <w:pPr>
        <w:spacing w:after="0" w:line="637" w:lineRule="exact"/>
        <w:rPr>
          <w:sz w:val="20"/>
          <w:szCs w:val="20"/>
          <w:color w:val="auto"/>
        </w:rPr>
      </w:pPr>
    </w:p>
    <w:p>
      <w:pPr>
        <w:sectPr>
          <w:pgSz w:w="11880" w:h="15480" w:orient="portrait"/>
          <w:cols w:equalWidth="0" w:num="2">
            <w:col w:w="4740" w:space="670"/>
            <w:col w:w="4710"/>
          </w:cols>
          <w:pgMar w:left="860" w:top="702"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tabs>
          <w:tab w:leader="none" w:pos="2620" w:val="left"/>
        </w:tabs>
        <w:rPr>
          <w:sz w:val="20"/>
          <w:szCs w:val="20"/>
          <w:color w:val="auto"/>
        </w:rPr>
      </w:pPr>
      <w:r>
        <w:rPr>
          <w:rFonts w:ascii="Arial" w:cs="Arial" w:eastAsia="Arial" w:hAnsi="Arial"/>
          <w:sz w:val="20"/>
          <w:szCs w:val="20"/>
          <w:color w:val="auto"/>
        </w:rPr>
        <w:t xml:space="preserve">32  </w:t>
      </w:r>
      <w:r>
        <w:rPr>
          <w:sz w:val="1"/>
          <w:szCs w:val="1"/>
          <w:color w:val="auto"/>
        </w:rPr>
        <w:drawing>
          <wp:inline distT="0" distB="0" distL="0" distR="0">
            <wp:extent cx="991870" cy="20066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01">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120"/>
          </w:cols>
          <w:pgMar w:left="860" w:top="702" w:right="900" w:bottom="0" w:gutter="0" w:footer="0" w:header="0"/>
          <w:type w:val="continuous"/>
        </w:sectPr>
      </w:pPr>
    </w:p>
    <w:bookmarkStart w:id="161" w:name="page162"/>
    <w:bookmarkEnd w:id="161"/>
    <w:p>
      <w:pPr>
        <w:jc w:val="right"/>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PERFORMANCE HIGHLIGHTS</w:t>
      </w:r>
    </w:p>
    <w:p>
      <w:pPr>
        <w:spacing w:after="0" w:line="116" w:lineRule="exact"/>
        <w:rPr>
          <w:sz w:val="20"/>
          <w:szCs w:val="20"/>
          <w:color w:val="auto"/>
        </w:rPr>
      </w:pPr>
    </w:p>
    <w:p>
      <w:pPr>
        <w:ind w:right="280"/>
        <w:spacing w:after="0" w:line="298" w:lineRule="auto"/>
        <w:rPr>
          <w:sz w:val="20"/>
          <w:szCs w:val="20"/>
          <w:color w:val="auto"/>
        </w:rPr>
      </w:pPr>
      <w:r>
        <w:rPr>
          <w:rFonts w:ascii="Arial" w:cs="Arial" w:eastAsia="Arial" w:hAnsi="Arial"/>
          <w:sz w:val="24"/>
          <w:szCs w:val="24"/>
          <w:b w:val="1"/>
          <w:bCs w:val="1"/>
          <w:color w:val="000039"/>
        </w:rPr>
        <w:t>Advanced our strategy through outstanding operational execution and investments in innovation during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Total Net Revenues</w:t>
            </w:r>
          </w:p>
        </w:tc>
        <w:tc>
          <w:tcPr>
            <w:tcW w:w="140" w:type="dxa"/>
            <w:vAlign w:val="bottom"/>
          </w:tcPr>
          <w:p>
            <w:pPr>
              <w:spacing w:after="0"/>
              <w:rPr>
                <w:sz w:val="22"/>
                <w:szCs w:val="22"/>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9"/>
              </w:rPr>
              <w:t>Growth Platform Net Revenues</w:t>
            </w:r>
          </w:p>
        </w:tc>
        <w:tc>
          <w:tcPr>
            <w:tcW w:w="12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Arial" w:cs="Arial" w:eastAsia="Arial" w:hAnsi="Arial"/>
                <w:sz w:val="20"/>
                <w:szCs w:val="20"/>
                <w:b w:val="1"/>
                <w:bCs w:val="1"/>
                <w:color w:val="auto"/>
                <w:w w:val="99"/>
              </w:rPr>
              <w:t>Operating Cash Flow</w:t>
            </w:r>
          </w:p>
        </w:tc>
        <w:tc>
          <w:tcPr>
            <w:tcW w:w="0" w:type="dxa"/>
            <w:vAlign w:val="bottom"/>
          </w:tcPr>
          <w:p>
            <w:pPr>
              <w:spacing w:after="0"/>
              <w:rPr>
                <w:sz w:val="1"/>
                <w:szCs w:val="1"/>
                <w:color w:val="auto"/>
              </w:rPr>
            </w:pPr>
          </w:p>
        </w:tc>
      </w:tr>
      <w:tr>
        <w:trPr>
          <w:trHeight w:val="814"/>
        </w:trPr>
        <w:tc>
          <w:tcPr>
            <w:tcW w:w="3340" w:type="dxa"/>
            <w:vAlign w:val="bottom"/>
            <w:gridSpan w:val="2"/>
          </w:tcPr>
          <w:p>
            <w:pPr>
              <w:jc w:val="center"/>
              <w:ind w:right="100"/>
              <w:spacing w:after="0" w:line="811" w:lineRule="exact"/>
              <w:rPr>
                <w:sz w:val="20"/>
                <w:szCs w:val="20"/>
                <w:color w:val="auto"/>
              </w:rPr>
            </w:pPr>
            <w:r>
              <w:rPr>
                <w:rFonts w:ascii="Arial" w:cs="Arial" w:eastAsia="Arial" w:hAnsi="Arial"/>
                <w:sz w:val="72"/>
                <w:szCs w:val="72"/>
                <w:color w:val="000039"/>
                <w:w w:val="99"/>
              </w:rPr>
              <w:t>$61.2BN</w:t>
            </w:r>
          </w:p>
        </w:tc>
        <w:tc>
          <w:tcPr>
            <w:tcW w:w="140" w:type="dxa"/>
            <w:vAlign w:val="bottom"/>
            <w:tcBorders>
              <w:left w:val="single" w:sz="8" w:color="000039"/>
            </w:tcBorders>
          </w:tcPr>
          <w:p>
            <w:pPr>
              <w:spacing w:after="0"/>
              <w:rPr>
                <w:sz w:val="24"/>
                <w:szCs w:val="24"/>
                <w:color w:val="auto"/>
              </w:rPr>
            </w:pPr>
          </w:p>
        </w:tc>
        <w:tc>
          <w:tcPr>
            <w:tcW w:w="3360" w:type="dxa"/>
            <w:vAlign w:val="bottom"/>
            <w:gridSpan w:val="2"/>
          </w:tcPr>
          <w:p>
            <w:pPr>
              <w:jc w:val="center"/>
              <w:ind w:right="120"/>
              <w:spacing w:after="0" w:line="811" w:lineRule="exact"/>
              <w:rPr>
                <w:sz w:val="20"/>
                <w:szCs w:val="20"/>
                <w:color w:val="auto"/>
              </w:rPr>
            </w:pPr>
            <w:r>
              <w:rPr>
                <w:rFonts w:ascii="Arial" w:cs="Arial" w:eastAsia="Arial" w:hAnsi="Arial"/>
                <w:sz w:val="72"/>
                <w:szCs w:val="72"/>
                <w:color w:val="000039"/>
                <w:w w:val="99"/>
              </w:rPr>
              <w:t>$56.6BN</w:t>
            </w:r>
          </w:p>
        </w:tc>
        <w:tc>
          <w:tcPr>
            <w:tcW w:w="120" w:type="dxa"/>
            <w:vAlign w:val="bottom"/>
            <w:tcBorders>
              <w:left w:val="single" w:sz="8" w:color="000039"/>
            </w:tcBorders>
          </w:tcPr>
          <w:p>
            <w:pPr>
              <w:spacing w:after="0"/>
              <w:rPr>
                <w:sz w:val="24"/>
                <w:szCs w:val="24"/>
                <w:color w:val="auto"/>
              </w:rPr>
            </w:pPr>
          </w:p>
        </w:tc>
        <w:tc>
          <w:tcPr>
            <w:tcW w:w="3120" w:type="dxa"/>
            <w:vAlign w:val="bottom"/>
          </w:tcPr>
          <w:p>
            <w:pPr>
              <w:jc w:val="center"/>
              <w:spacing w:after="0" w:line="811" w:lineRule="exact"/>
              <w:rPr>
                <w:sz w:val="20"/>
                <w:szCs w:val="20"/>
                <w:color w:val="auto"/>
              </w:rPr>
            </w:pPr>
            <w:r>
              <w:rPr>
                <w:rFonts w:ascii="Arial" w:cs="Arial" w:eastAsia="Arial" w:hAnsi="Arial"/>
                <w:sz w:val="72"/>
                <w:szCs w:val="72"/>
                <w:color w:val="000039"/>
                <w:w w:val="99"/>
              </w:rPr>
              <w:t>$19.0BN</w:t>
            </w:r>
          </w:p>
        </w:tc>
        <w:tc>
          <w:tcPr>
            <w:tcW w:w="0" w:type="dxa"/>
            <w:vAlign w:val="bottom"/>
          </w:tcPr>
          <w:p>
            <w:pPr>
              <w:spacing w:after="0"/>
              <w:rPr>
                <w:sz w:val="1"/>
                <w:szCs w:val="1"/>
                <w:color w:val="auto"/>
              </w:rPr>
            </w:pPr>
          </w:p>
        </w:tc>
      </w:tr>
      <w:tr>
        <w:trPr>
          <w:trHeight w:val="198"/>
        </w:trPr>
        <w:tc>
          <w:tcPr>
            <w:tcW w:w="3340" w:type="dxa"/>
            <w:vAlign w:val="bottom"/>
            <w:gridSpan w:val="2"/>
          </w:tcPr>
          <w:p>
            <w:pPr>
              <w:jc w:val="center"/>
              <w:ind w:right="120"/>
              <w:spacing w:after="0"/>
              <w:rPr>
                <w:sz w:val="20"/>
                <w:szCs w:val="20"/>
                <w:color w:val="auto"/>
              </w:rPr>
            </w:pPr>
            <w:r>
              <w:rPr>
                <w:rFonts w:ascii="Arial" w:cs="Arial" w:eastAsia="Arial" w:hAnsi="Arial"/>
                <w:sz w:val="16"/>
                <w:szCs w:val="16"/>
                <w:color w:val="auto"/>
              </w:rPr>
              <w:t>+8.5% operational growth compared to 2024*</w:t>
            </w:r>
          </w:p>
        </w:tc>
        <w:tc>
          <w:tcPr>
            <w:tcW w:w="140" w:type="dxa"/>
            <w:vAlign w:val="bottom"/>
            <w:tcBorders>
              <w:left w:val="single" w:sz="8" w:color="000039"/>
            </w:tcBorders>
          </w:tcPr>
          <w:p>
            <w:pPr>
              <w:spacing w:after="0"/>
              <w:rPr>
                <w:sz w:val="17"/>
                <w:szCs w:val="17"/>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+19.6% compared to 2024**</w:t>
            </w:r>
          </w:p>
        </w:tc>
        <w:tc>
          <w:tcPr>
            <w:tcW w:w="120" w:type="dxa"/>
            <w:vAlign w:val="bottom"/>
            <w:tcBorders>
              <w:left w:val="single" w:sz="8" w:color="000039"/>
            </w:tcBorders>
          </w:tcPr>
          <w:p>
            <w:pPr>
              <w:spacing w:after="0"/>
              <w:rPr>
                <w:sz w:val="17"/>
                <w:szCs w:val="17"/>
                <w:color w:val="auto"/>
              </w:rPr>
            </w:pPr>
          </w:p>
        </w:tc>
        <w:tc>
          <w:tcPr>
            <w:tcW w:w="3120" w:type="dxa"/>
            <w:vAlign w:val="bottom"/>
          </w:tcPr>
          <w:p>
            <w:pPr>
              <w:jc w:val="center"/>
              <w:spacing w:after="0"/>
              <w:rPr>
                <w:sz w:val="20"/>
                <w:szCs w:val="20"/>
                <w:color w:val="auto"/>
              </w:rPr>
            </w:pPr>
            <w:r>
              <w:rPr>
                <w:rFonts w:ascii="Arial" w:cs="Arial" w:eastAsia="Arial" w:hAnsi="Arial"/>
                <w:sz w:val="16"/>
                <w:szCs w:val="16"/>
                <w:color w:val="auto"/>
                <w:w w:val="98"/>
              </w:rPr>
              <w:t>in 2025</w:t>
            </w:r>
          </w:p>
        </w:tc>
        <w:tc>
          <w:tcPr>
            <w:tcW w:w="0" w:type="dxa"/>
            <w:vAlign w:val="bottom"/>
          </w:tcPr>
          <w:p>
            <w:pPr>
              <w:spacing w:after="0"/>
              <w:rPr>
                <w:sz w:val="1"/>
                <w:szCs w:val="1"/>
                <w:color w:val="auto"/>
              </w:rPr>
            </w:pPr>
          </w:p>
        </w:tc>
      </w:tr>
      <w:tr>
        <w:trPr>
          <w:trHeight w:val="218"/>
        </w:trPr>
        <w:tc>
          <w:tcPr>
            <w:tcW w:w="3240" w:type="dxa"/>
            <w:vAlign w:val="bottom"/>
            <w:tcBorders>
              <w:bottom w:val="single" w:sz="8" w:color="000039"/>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tcBorders>
              <w:bottom w:val="single" w:sz="8" w:color="000039"/>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Borders>
              <w:bottom w:val="single" w:sz="8" w:color="000039"/>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4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rPr>
              <w:t>Blockbuster Products</w:t>
            </w:r>
          </w:p>
        </w:tc>
        <w:tc>
          <w:tcPr>
            <w:tcW w:w="140" w:type="dxa"/>
            <w:vAlign w:val="bottom"/>
          </w:tcPr>
          <w:p>
            <w:pPr>
              <w:spacing w:after="0"/>
              <w:rPr>
                <w:sz w:val="17"/>
                <w:szCs w:val="17"/>
                <w:color w:val="auto"/>
              </w:rPr>
            </w:pPr>
          </w:p>
        </w:tc>
        <w:tc>
          <w:tcPr>
            <w:tcW w:w="336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rPr>
              <w:t>Adjusted R&amp;D Investment</w:t>
            </w:r>
          </w:p>
        </w:tc>
        <w:tc>
          <w:tcPr>
            <w:tcW w:w="120" w:type="dxa"/>
            <w:vAlign w:val="bottom"/>
          </w:tcPr>
          <w:p>
            <w:pPr>
              <w:spacing w:after="0"/>
              <w:rPr>
                <w:sz w:val="17"/>
                <w:szCs w:val="17"/>
                <w:color w:val="auto"/>
              </w:rPr>
            </w:pPr>
          </w:p>
        </w:tc>
        <w:tc>
          <w:tcPr>
            <w:tcW w:w="312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Development Pipeline</w:t>
            </w:r>
          </w:p>
        </w:tc>
        <w:tc>
          <w:tcPr>
            <w:tcW w:w="0" w:type="dxa"/>
            <w:vAlign w:val="bottom"/>
          </w:tcPr>
          <w:p>
            <w:pPr>
              <w:spacing w:after="0"/>
              <w:rPr>
                <w:sz w:val="1"/>
                <w:szCs w:val="1"/>
                <w:color w:val="auto"/>
              </w:rPr>
            </w:pPr>
          </w:p>
        </w:tc>
      </w:tr>
      <w:tr>
        <w:trPr>
          <w:trHeight w:val="230"/>
        </w:trPr>
        <w:tc>
          <w:tcPr>
            <w:tcW w:w="3340" w:type="dxa"/>
            <w:vAlign w:val="bottom"/>
            <w:gridSpan w:val="2"/>
            <w:vMerge w:val="continue"/>
          </w:tcPr>
          <w:p>
            <w:pPr>
              <w:spacing w:after="0"/>
              <w:rPr>
                <w:sz w:val="20"/>
                <w:szCs w:val="20"/>
                <w:color w:val="auto"/>
              </w:rPr>
            </w:pPr>
          </w:p>
        </w:tc>
        <w:tc>
          <w:tcPr>
            <w:tcW w:w="140" w:type="dxa"/>
            <w:vAlign w:val="bottom"/>
            <w:tcBorders>
              <w:left w:val="single" w:sz="8" w:color="auto"/>
            </w:tcBorders>
          </w:tcPr>
          <w:p>
            <w:pPr>
              <w:spacing w:after="0"/>
              <w:rPr>
                <w:sz w:val="20"/>
                <w:szCs w:val="20"/>
                <w:color w:val="auto"/>
              </w:rPr>
            </w:pPr>
          </w:p>
        </w:tc>
        <w:tc>
          <w:tcPr>
            <w:tcW w:w="3360" w:type="dxa"/>
            <w:vAlign w:val="bottom"/>
            <w:gridSpan w:val="2"/>
            <w:vMerge w:val="continue"/>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3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28"/>
        </w:trPr>
        <w:tc>
          <w:tcPr>
            <w:tcW w:w="3240" w:type="dxa"/>
            <w:vAlign w:val="bottom"/>
          </w:tcPr>
          <w:p>
            <w:pPr>
              <w:jc w:val="right"/>
              <w:ind w:right="1040"/>
              <w:spacing w:after="0"/>
              <w:rPr>
                <w:sz w:val="20"/>
                <w:szCs w:val="20"/>
                <w:color w:val="auto"/>
              </w:rPr>
            </w:pPr>
            <w:r>
              <w:rPr>
                <w:rFonts w:ascii="Arial" w:cs="Arial" w:eastAsia="Arial" w:hAnsi="Arial"/>
                <w:sz w:val="72"/>
                <w:szCs w:val="72"/>
                <w:color w:val="000039"/>
              </w:rPr>
              <w:t>12</w:t>
            </w:r>
          </w:p>
        </w:tc>
        <w:tc>
          <w:tcPr>
            <w:tcW w:w="100" w:type="dxa"/>
            <w:vAlign w:val="bottom"/>
          </w:tcPr>
          <w:p>
            <w:pPr>
              <w:spacing w:after="0"/>
              <w:rPr>
                <w:sz w:val="24"/>
                <w:szCs w:val="24"/>
                <w:color w:val="auto"/>
              </w:rPr>
            </w:pPr>
          </w:p>
        </w:tc>
        <w:tc>
          <w:tcPr>
            <w:tcW w:w="140" w:type="dxa"/>
            <w:vAlign w:val="bottom"/>
            <w:tcBorders>
              <w:left w:val="single" w:sz="8" w:color="000039"/>
            </w:tcBorders>
          </w:tcPr>
          <w:p>
            <w:pPr>
              <w:spacing w:after="0"/>
              <w:rPr>
                <w:sz w:val="24"/>
                <w:szCs w:val="24"/>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72"/>
                <w:szCs w:val="72"/>
                <w:color w:val="000039"/>
                <w:w w:val="99"/>
              </w:rPr>
              <w:t>$13.8BN</w:t>
            </w:r>
          </w:p>
        </w:tc>
        <w:tc>
          <w:tcPr>
            <w:tcW w:w="3240" w:type="dxa"/>
            <w:vAlign w:val="bottom"/>
            <w:tcBorders>
              <w:left w:val="single" w:sz="8" w:color="000039"/>
            </w:tcBorders>
            <w:gridSpan w:val="2"/>
          </w:tcPr>
          <w:p>
            <w:pPr>
              <w:jc w:val="right"/>
              <w:ind w:right="796"/>
              <w:spacing w:after="0"/>
              <w:rPr>
                <w:sz w:val="20"/>
                <w:szCs w:val="20"/>
                <w:color w:val="auto"/>
              </w:rPr>
            </w:pPr>
            <w:r>
              <w:rPr>
                <w:rFonts w:ascii="Arial" w:cs="Arial" w:eastAsia="Arial" w:hAnsi="Arial"/>
                <w:sz w:val="72"/>
                <w:szCs w:val="72"/>
                <w:color w:val="000039"/>
              </w:rPr>
              <w:t>~90</w:t>
            </w:r>
          </w:p>
        </w:tc>
        <w:tc>
          <w:tcPr>
            <w:tcW w:w="0" w:type="dxa"/>
            <w:vAlign w:val="bottom"/>
          </w:tcPr>
          <w:p>
            <w:pPr>
              <w:spacing w:after="0"/>
              <w:rPr>
                <w:sz w:val="1"/>
                <w:szCs w:val="1"/>
                <w:color w:val="auto"/>
              </w:rPr>
            </w:pPr>
          </w:p>
        </w:tc>
      </w:tr>
      <w:tr>
        <w:trPr>
          <w:trHeight w:val="214"/>
        </w:trPr>
        <w:tc>
          <w:tcPr>
            <w:tcW w:w="3340" w:type="dxa"/>
            <w:vAlign w:val="bottom"/>
            <w:gridSpan w:val="2"/>
          </w:tcPr>
          <w:p>
            <w:pPr>
              <w:jc w:val="center"/>
              <w:ind w:right="100"/>
              <w:spacing w:after="0"/>
              <w:rPr>
                <w:sz w:val="20"/>
                <w:szCs w:val="20"/>
                <w:color w:val="auto"/>
              </w:rPr>
            </w:pPr>
            <w:r>
              <w:rPr>
                <w:rFonts w:ascii="Arial" w:cs="Arial" w:eastAsia="Arial" w:hAnsi="Arial"/>
                <w:sz w:val="16"/>
                <w:szCs w:val="16"/>
                <w:color w:val="auto"/>
              </w:rPr>
              <w:t>assets with 2025 net revenues &gt; $1.0BN</w:t>
            </w:r>
          </w:p>
        </w:tc>
        <w:tc>
          <w:tcPr>
            <w:tcW w:w="140" w:type="dxa"/>
            <w:vAlign w:val="bottom"/>
          </w:tcPr>
          <w:p>
            <w:pPr>
              <w:spacing w:after="0"/>
              <w:rPr>
                <w:sz w:val="18"/>
                <w:szCs w:val="18"/>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 substantial increase compared to 2024*</w:t>
            </w:r>
          </w:p>
        </w:tc>
        <w:tc>
          <w:tcPr>
            <w:tcW w:w="12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6"/>
                <w:szCs w:val="16"/>
                <w:color w:val="auto"/>
                <w:w w:val="99"/>
              </w:rPr>
              <w:t>active clinical and device programs***</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measures set forth in this table were calculated as of 12/31/2025.</w:t>
      </w:r>
    </w:p>
    <w:p>
      <w:pPr>
        <w:spacing w:after="0" w:line="187" w:lineRule="exact"/>
        <w:rPr>
          <w:sz w:val="20"/>
          <w:szCs w:val="20"/>
          <w:color w:val="auto"/>
        </w:rPr>
      </w:pPr>
    </w:p>
    <w:p>
      <w:pPr>
        <w:ind w:left="260" w:right="220" w:hanging="260"/>
        <w:spacing w:after="0" w:line="224" w:lineRule="auto"/>
        <w:tabs>
          <w:tab w:leader="none" w:pos="260" w:val="left"/>
        </w:tabs>
        <w:numPr>
          <w:ilvl w:val="0"/>
          <w:numId w:val="98"/>
        </w:numPr>
        <w:rPr>
          <w:rFonts w:ascii="Arial" w:cs="Arial" w:eastAsia="Arial" w:hAnsi="Arial"/>
          <w:sz w:val="20"/>
          <w:szCs w:val="20"/>
          <w:color w:val="auto"/>
          <w:vertAlign w:val="superscript"/>
        </w:rPr>
      </w:pPr>
      <w:r>
        <w:rPr>
          <w:rFonts w:ascii="Arial" w:cs="Arial" w:eastAsia="Arial" w:hAnsi="Arial"/>
          <w:sz w:val="16"/>
          <w:szCs w:val="16"/>
          <w:color w:val="auto"/>
        </w:rPr>
        <w:t>Reflects a non-GAAP measure and is adjusted for certain items, which are reconciled in Appendix B. Operational growth is presented at constant currency rates that reflect comparative local currency net revenues at the prior year’s foreign exchange rates.</w:t>
      </w:r>
    </w:p>
    <w:p>
      <w:pPr>
        <w:ind w:left="260" w:hanging="260"/>
        <w:spacing w:after="0" w:line="192" w:lineRule="auto"/>
        <w:tabs>
          <w:tab w:leader="none" w:pos="260" w:val="left"/>
        </w:tabs>
        <w:numPr>
          <w:ilvl w:val="0"/>
          <w:numId w:val="99"/>
        </w:numPr>
        <w:rPr>
          <w:rFonts w:ascii="Arial" w:cs="Arial" w:eastAsia="Arial" w:hAnsi="Arial"/>
          <w:sz w:val="20"/>
          <w:szCs w:val="20"/>
          <w:color w:val="auto"/>
          <w:vertAlign w:val="superscript"/>
        </w:rPr>
      </w:pPr>
      <w:r>
        <w:rPr>
          <w:rFonts w:ascii="Arial" w:cs="Arial" w:eastAsia="Arial" w:hAnsi="Arial"/>
          <w:sz w:val="16"/>
          <w:szCs w:val="16"/>
          <w:color w:val="auto"/>
        </w:rPr>
        <w:t>Growth Platform reflects total net revenues less Humira net revenues.</w:t>
      </w:r>
    </w:p>
    <w:p>
      <w:pPr>
        <w:ind w:left="260" w:hanging="260"/>
        <w:spacing w:after="0" w:line="202" w:lineRule="auto"/>
        <w:tabs>
          <w:tab w:leader="none" w:pos="260" w:val="left"/>
        </w:tabs>
        <w:numPr>
          <w:ilvl w:val="0"/>
          <w:numId w:val="100"/>
        </w:numPr>
        <w:rPr>
          <w:rFonts w:ascii="Arial" w:cs="Arial" w:eastAsia="Arial" w:hAnsi="Arial"/>
          <w:sz w:val="20"/>
          <w:szCs w:val="20"/>
          <w:color w:val="auto"/>
          <w:vertAlign w:val="superscript"/>
        </w:rPr>
      </w:pPr>
      <w:r>
        <w:rPr>
          <w:rFonts w:ascii="Arial" w:cs="Arial" w:eastAsia="Arial" w:hAnsi="Arial"/>
          <w:sz w:val="16"/>
          <w:szCs w:val="16"/>
          <w:color w:val="auto"/>
        </w:rPr>
        <w:t>Compounds, devices or indications in development individually or under collaboration or license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Strong operational execution</w:t>
      </w:r>
    </w:p>
    <w:p>
      <w:pPr>
        <w:spacing w:after="0" w:line="46" w:lineRule="exact"/>
        <w:rPr>
          <w:sz w:val="20"/>
          <w:szCs w:val="20"/>
          <w:color w:val="auto"/>
        </w:rPr>
      </w:pPr>
    </w:p>
    <w:p>
      <w:pPr>
        <w:ind w:left="640" w:right="20" w:hanging="370"/>
        <w:spacing w:after="0" w:line="259" w:lineRule="auto"/>
        <w:tabs>
          <w:tab w:leader="none" w:pos="6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Total net revenues of $61.2 billion, driven by strong performance from our Growth Platform, exceeded their previous peak in just the second full year following the U.S. Humira loss of exclusivity (LOE).</w:t>
      </w:r>
    </w:p>
    <w:p>
      <w:pPr>
        <w:ind w:left="1080" w:right="340" w:hanging="360"/>
        <w:spacing w:after="0" w:line="23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Key asset performance drove Growth Platform net revenues of $56.6 billion, an increase of 19.6%</w:t>
      </w:r>
      <w:r>
        <w:rPr>
          <w:rFonts w:ascii="Courier New" w:cs="Courier New" w:eastAsia="Courier New" w:hAnsi="Courier New"/>
          <w:sz w:val="20"/>
          <w:szCs w:val="20"/>
          <w:color w:val="auto"/>
        </w:rPr>
        <w:t xml:space="preserve"> </w:t>
      </w:r>
      <w:r>
        <w:rPr>
          <w:rFonts w:ascii="Arial" w:cs="Arial" w:eastAsia="Arial" w:hAnsi="Arial"/>
          <w:sz w:val="20"/>
          <w:szCs w:val="20"/>
          <w:color w:val="auto"/>
        </w:rPr>
        <w:t>compared to 2024.</w:t>
      </w:r>
    </w:p>
    <w:p>
      <w:pPr>
        <w:spacing w:after="0" w:line="1" w:lineRule="exact"/>
        <w:rPr>
          <w:rFonts w:ascii="Arial" w:cs="Arial" w:eastAsia="Arial" w:hAnsi="Arial"/>
          <w:sz w:val="20"/>
          <w:szCs w:val="20"/>
          <w:color w:val="auto"/>
        </w:rPr>
      </w:pPr>
    </w:p>
    <w:p>
      <w:pPr>
        <w:jc w:val="right"/>
        <w:ind w:left="1080" w:right="440" w:hanging="360"/>
        <w:spacing w:after="0" w:line="23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AbbVie’s Growth Platform comprised 93% of total net revenues in 2025, with at least double-digit</w:t>
      </w:r>
      <w:r>
        <w:rPr>
          <w:rFonts w:ascii="Courier New" w:cs="Courier New" w:eastAsia="Courier New" w:hAnsi="Courier New"/>
          <w:sz w:val="20"/>
          <w:szCs w:val="20"/>
          <w:color w:val="auto"/>
        </w:rPr>
        <w:t xml:space="preserve"> </w:t>
      </w:r>
      <w:r>
        <w:rPr>
          <w:rFonts w:ascii="Arial" w:cs="Arial" w:eastAsia="Arial" w:hAnsi="Arial"/>
          <w:sz w:val="20"/>
          <w:szCs w:val="20"/>
          <w:color w:val="auto"/>
        </w:rPr>
        <w:t>sales growth for nine key assets, including growth of nearly 50% for Skyrizi and 40% for Rinvoq.</w:t>
      </w:r>
    </w:p>
    <w:p>
      <w:pPr>
        <w:spacing w:after="0" w:line="1" w:lineRule="exact"/>
        <w:rPr>
          <w:rFonts w:ascii="Arial" w:cs="Arial" w:eastAsia="Arial" w:hAnsi="Arial"/>
          <w:sz w:val="20"/>
          <w:szCs w:val="20"/>
          <w:color w:val="auto"/>
        </w:rPr>
      </w:pPr>
    </w:p>
    <w:p>
      <w:pPr>
        <w:ind w:left="640" w:right="120" w:hanging="352"/>
        <w:spacing w:after="0" w:line="257" w:lineRule="auto"/>
        <w:tabs>
          <w:tab w:leader="none" w:pos="64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Reported diluted EPS of $2.36 on a GAAP basis and adjusted diluted EPS of $10.00. See Appendix B for the reconciliation.</w:t>
      </w:r>
    </w:p>
    <w:p>
      <w:pPr>
        <w:ind w:left="640" w:hanging="352"/>
        <w:spacing w:after="0"/>
        <w:tabs>
          <w:tab w:leader="none" w:pos="64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Generated operating cash flow of $19.0 billion.</w:t>
      </w:r>
    </w:p>
    <w:p>
      <w:pPr>
        <w:spacing w:after="0" w:line="214"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Advancing new medicines and strengthening our innovative R&amp;D pipeline</w:t>
      </w:r>
    </w:p>
    <w:p>
      <w:pPr>
        <w:spacing w:after="0" w:line="47" w:lineRule="exact"/>
        <w:rPr>
          <w:sz w:val="20"/>
          <w:szCs w:val="20"/>
          <w:color w:val="auto"/>
        </w:rPr>
      </w:pPr>
    </w:p>
    <w:p>
      <w:pPr>
        <w:ind w:left="640" w:hanging="352"/>
        <w:spacing w:after="0" w:line="249" w:lineRule="auto"/>
        <w:tabs>
          <w:tab w:leader="none" w:pos="6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Achieved several significant regulatory approvals, including Rinvoq for the treatment of adults with giant cell arteritis (GCA); Epkinly in combination with rituximab and lenalidomide for the second line treatment of adults with follicular lymphoma (FL); and Emrelis for adults with previously treated advanced non-small cell lung cancer (NSCLC).</w:t>
      </w:r>
    </w:p>
    <w:p>
      <w:pPr>
        <w:spacing w:after="0" w:line="2" w:lineRule="exact"/>
        <w:rPr>
          <w:rFonts w:ascii="Arial" w:cs="Arial" w:eastAsia="Arial" w:hAnsi="Arial"/>
          <w:sz w:val="20"/>
          <w:szCs w:val="20"/>
          <w:color w:val="auto"/>
        </w:rPr>
      </w:pPr>
    </w:p>
    <w:p>
      <w:pPr>
        <w:ind w:left="640" w:right="20" w:hanging="352"/>
        <w:spacing w:after="0" w:line="248" w:lineRule="auto"/>
        <w:tabs>
          <w:tab w:leader="none" w:pos="6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Submitted regulatory applications in key development programs, including tavapadon for the treatment of Parkinson’s disease (PD); trenibotulinumtoxinE for the treatment of moderate to severe glabellar lines; pivekimab sunirine for the treatment of blastic plasmacytoid dendritic cell neoplasm (BPDCN); and Aquipta for the acute treatment of adults with migraine across Europe.</w:t>
      </w:r>
    </w:p>
    <w:p>
      <w:pPr>
        <w:spacing w:after="0" w:line="2" w:lineRule="exact"/>
        <w:rPr>
          <w:rFonts w:ascii="Arial" w:cs="Arial" w:eastAsia="Arial" w:hAnsi="Arial"/>
          <w:sz w:val="20"/>
          <w:szCs w:val="20"/>
          <w:color w:val="auto"/>
        </w:rPr>
      </w:pPr>
    </w:p>
    <w:p>
      <w:pPr>
        <w:ind w:left="640" w:right="280" w:hanging="352"/>
        <w:spacing w:after="0" w:line="251" w:lineRule="auto"/>
        <w:tabs>
          <w:tab w:leader="none" w:pos="6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Generated positive late-stage data across key assets, including Rinvoq in adult and adolescent patients with severe alopecia areata (AA); Rinvoq in adult and adolescent patients with non-segmental vitiligo (NSV); and Qulipta compared to topiramate for the preventive treatment of migraine in adult patients.</w:t>
      </w:r>
    </w:p>
    <w:p>
      <w:pPr>
        <w:spacing w:after="0" w:line="2" w:lineRule="exact"/>
        <w:rPr>
          <w:rFonts w:ascii="Arial" w:cs="Arial" w:eastAsia="Arial" w:hAnsi="Arial"/>
          <w:sz w:val="20"/>
          <w:szCs w:val="20"/>
          <w:color w:val="auto"/>
        </w:rPr>
      </w:pPr>
    </w:p>
    <w:p>
      <w:pPr>
        <w:ind w:left="640" w:right="240" w:hanging="352"/>
        <w:spacing w:after="0" w:line="251" w:lineRule="auto"/>
        <w:tabs>
          <w:tab w:leader="none" w:pos="6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Strengthened our pipeline with business development, including execution of approximately fifteen collaborations, licensing agreements, or other asset acquisitions. These transactions, combined with the company’s commitment to invest in research and development, position AbbVie for continued long-term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202">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62" w:name="page163"/>
    <w:bookmarkEnd w:id="162"/>
    <w:p>
      <w:pPr>
        <w:spacing w:after="0"/>
        <w:rPr>
          <w:sz w:val="20"/>
          <w:szCs w:val="20"/>
          <w:color w:val="auto"/>
        </w:rPr>
      </w:pPr>
      <w:r>
        <w:rPr>
          <w:rFonts w:ascii="Arial" w:cs="Arial" w:eastAsia="Arial" w:hAnsi="Arial"/>
          <w:sz w:val="20"/>
          <w:szCs w:val="20"/>
          <w:color w:val="808080"/>
        </w:rPr>
        <w:t>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Significant long-term value creation</w:t>
      </w:r>
    </w:p>
    <w:p>
      <w:pPr>
        <w:spacing w:after="0" w:line="236" w:lineRule="exact"/>
        <w:rPr>
          <w:sz w:val="20"/>
          <w:szCs w:val="20"/>
          <w:color w:val="auto"/>
        </w:rPr>
      </w:pPr>
    </w:p>
    <w:p>
      <w:pPr>
        <w:ind w:left="620"/>
        <w:spacing w:after="0"/>
        <w:tabs>
          <w:tab w:leader="none" w:pos="4200" w:val="left"/>
          <w:tab w:leader="none" w:pos="7300" w:val="left"/>
        </w:tabs>
        <w:rPr>
          <w:sz w:val="20"/>
          <w:szCs w:val="20"/>
          <w:color w:val="auto"/>
        </w:rPr>
      </w:pPr>
      <w:r>
        <w:rPr>
          <w:rFonts w:ascii="Arial" w:cs="Arial" w:eastAsia="Arial" w:hAnsi="Arial"/>
          <w:sz w:val="20"/>
          <w:szCs w:val="20"/>
          <w:b w:val="1"/>
          <w:bCs w:val="1"/>
          <w:color w:val="auto"/>
        </w:rPr>
        <w:t>Market Capitalization</w:t>
      </w:r>
      <w:r>
        <w:rPr>
          <w:sz w:val="20"/>
          <w:szCs w:val="20"/>
          <w:color w:val="auto"/>
        </w:rPr>
        <w:tab/>
      </w:r>
      <w:r>
        <w:rPr>
          <w:rFonts w:ascii="Arial" w:cs="Arial" w:eastAsia="Arial" w:hAnsi="Arial"/>
          <w:sz w:val="20"/>
          <w:szCs w:val="20"/>
          <w:b w:val="1"/>
          <w:bCs w:val="1"/>
          <w:color w:val="auto"/>
        </w:rPr>
        <w:t>Quarterly Dividend</w:t>
      </w:r>
      <w:r>
        <w:rPr>
          <w:sz w:val="20"/>
          <w:szCs w:val="20"/>
          <w:color w:val="auto"/>
        </w:rPr>
        <w:tab/>
      </w:r>
      <w:r>
        <w:rPr>
          <w:rFonts w:ascii="Arial" w:cs="Arial" w:eastAsia="Arial" w:hAnsi="Arial"/>
          <w:sz w:val="20"/>
          <w:szCs w:val="20"/>
          <w:b w:val="1"/>
          <w:bCs w:val="1"/>
          <w:color w:val="auto"/>
        </w:rPr>
        <w:t>Total Stockholder Return</w:t>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828"/>
        </w:trPr>
        <w:tc>
          <w:tcPr>
            <w:tcW w:w="3280" w:type="dxa"/>
            <w:vAlign w:val="bottom"/>
            <w:tcBorders>
              <w:right w:val="single" w:sz="8" w:color="000039"/>
            </w:tcBorders>
          </w:tcPr>
          <w:p>
            <w:pPr>
              <w:jc w:val="center"/>
              <w:ind w:right="80"/>
              <w:spacing w:after="0"/>
              <w:rPr>
                <w:sz w:val="20"/>
                <w:szCs w:val="20"/>
                <w:color w:val="auto"/>
              </w:rPr>
            </w:pPr>
            <w:r>
              <w:rPr>
                <w:rFonts w:ascii="Arial" w:cs="Arial" w:eastAsia="Arial" w:hAnsi="Arial"/>
                <w:sz w:val="72"/>
                <w:szCs w:val="72"/>
                <w:color w:val="000039"/>
                <w:w w:val="99"/>
              </w:rPr>
              <w:t>+$309BN</w:t>
            </w:r>
          </w:p>
        </w:tc>
        <w:tc>
          <w:tcPr>
            <w:tcW w:w="3480" w:type="dxa"/>
            <w:vAlign w:val="bottom"/>
            <w:tcBorders>
              <w:right w:val="single" w:sz="8" w:color="000039"/>
            </w:tcBorders>
          </w:tcPr>
          <w:p>
            <w:pPr>
              <w:jc w:val="center"/>
              <w:spacing w:after="0"/>
              <w:rPr>
                <w:sz w:val="20"/>
                <w:szCs w:val="20"/>
                <w:color w:val="auto"/>
              </w:rPr>
            </w:pPr>
            <w:r>
              <w:rPr>
                <w:rFonts w:ascii="Arial" w:cs="Arial" w:eastAsia="Arial" w:hAnsi="Arial"/>
                <w:sz w:val="72"/>
                <w:szCs w:val="72"/>
                <w:color w:val="000039"/>
                <w:w w:val="99"/>
              </w:rPr>
              <w:t>+204%</w:t>
            </w:r>
          </w:p>
        </w:tc>
        <w:tc>
          <w:tcPr>
            <w:tcW w:w="2800" w:type="dxa"/>
            <w:vAlign w:val="bottom"/>
          </w:tcPr>
          <w:p>
            <w:pPr>
              <w:jc w:val="right"/>
              <w:spacing w:after="0"/>
              <w:rPr>
                <w:sz w:val="20"/>
                <w:szCs w:val="20"/>
                <w:color w:val="auto"/>
              </w:rPr>
            </w:pPr>
            <w:r>
              <w:rPr>
                <w:rFonts w:ascii="Arial" w:cs="Arial" w:eastAsia="Arial" w:hAnsi="Arial"/>
                <w:sz w:val="72"/>
                <w:szCs w:val="72"/>
                <w:color w:val="000039"/>
              </w:rPr>
              <w:t>+485%</w:t>
            </w:r>
          </w:p>
        </w:tc>
      </w:tr>
      <w:tr>
        <w:trPr>
          <w:trHeight w:val="188"/>
        </w:trPr>
        <w:tc>
          <w:tcPr>
            <w:tcW w:w="3280" w:type="dxa"/>
            <w:vAlign w:val="bottom"/>
            <w:tcBorders>
              <w:right w:val="single" w:sz="8" w:color="auto"/>
            </w:tcBorders>
          </w:tcPr>
          <w:p>
            <w:pPr>
              <w:jc w:val="center"/>
              <w:ind w:right="60"/>
              <w:spacing w:after="0" w:line="188" w:lineRule="exact"/>
              <w:rPr>
                <w:sz w:val="20"/>
                <w:szCs w:val="20"/>
                <w:color w:val="auto"/>
              </w:rPr>
            </w:pPr>
            <w:r>
              <w:rPr>
                <w:rFonts w:ascii="Arial" w:cs="Arial" w:eastAsia="Arial" w:hAnsi="Arial"/>
                <w:sz w:val="18"/>
                <w:szCs w:val="18"/>
                <w:color w:val="auto"/>
              </w:rPr>
              <w:t>10-year increase, adding significant</w:t>
            </w:r>
          </w:p>
        </w:tc>
        <w:tc>
          <w:tcPr>
            <w:tcW w:w="34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9"/>
              </w:rPr>
              <w:t>raised to $1.73 per share from $0.57 per</w:t>
            </w:r>
          </w:p>
        </w:tc>
        <w:tc>
          <w:tcPr>
            <w:tcW w:w="2800" w:type="dxa"/>
            <w:vAlign w:val="bottom"/>
          </w:tcPr>
          <w:p>
            <w:pPr>
              <w:jc w:val="center"/>
              <w:ind w:left="315"/>
              <w:spacing w:after="0" w:line="188" w:lineRule="exact"/>
              <w:rPr>
                <w:sz w:val="20"/>
                <w:szCs w:val="20"/>
                <w:color w:val="auto"/>
              </w:rPr>
            </w:pPr>
            <w:r>
              <w:rPr>
                <w:rFonts w:ascii="Arial" w:cs="Arial" w:eastAsia="Arial" w:hAnsi="Arial"/>
                <w:sz w:val="18"/>
                <w:szCs w:val="18"/>
                <w:color w:val="auto"/>
                <w:w w:val="99"/>
              </w:rPr>
              <w:t>over the last decade</w:t>
            </w:r>
          </w:p>
        </w:tc>
      </w:tr>
      <w:tr>
        <w:trPr>
          <w:trHeight w:val="226"/>
        </w:trPr>
        <w:tc>
          <w:tcPr>
            <w:tcW w:w="3280" w:type="dxa"/>
            <w:vAlign w:val="bottom"/>
            <w:tcBorders>
              <w:right w:val="single" w:sz="8" w:color="auto"/>
            </w:tcBorders>
          </w:tcPr>
          <w:p>
            <w:pPr>
              <w:jc w:val="center"/>
              <w:ind w:right="60"/>
              <w:spacing w:after="0"/>
              <w:rPr>
                <w:sz w:val="20"/>
                <w:szCs w:val="20"/>
                <w:color w:val="auto"/>
              </w:rPr>
            </w:pPr>
            <w:r>
              <w:rPr>
                <w:rFonts w:ascii="Arial" w:cs="Arial" w:eastAsia="Arial" w:hAnsi="Arial"/>
                <w:sz w:val="18"/>
                <w:szCs w:val="18"/>
                <w:color w:val="auto"/>
                <w:w w:val="99"/>
              </w:rPr>
              <w:t>stockholder value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share over the last decade</w:t>
            </w:r>
          </w:p>
        </w:tc>
        <w:tc>
          <w:tcPr>
            <w:tcW w:w="2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140335</wp:posOffset>
                </wp:positionV>
                <wp:extent cx="2054225"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422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5pt" to="161.75pt,11.0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2215515</wp:posOffset>
                </wp:positionH>
                <wp:positionV relativeFrom="paragraph">
                  <wp:posOffset>140335</wp:posOffset>
                </wp:positionV>
                <wp:extent cx="2054225"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422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45pt,11.05pt" to="336.2pt,11.0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4424045</wp:posOffset>
                </wp:positionH>
                <wp:positionV relativeFrom="paragraph">
                  <wp:posOffset>140335</wp:posOffset>
                </wp:positionV>
                <wp:extent cx="1976755"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675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35pt,11.05pt" to="504pt,11.05pt" o:allowincell="f" strokecolor="#000039" strokeweight="1.5pt"/>
            </w:pict>
          </mc:Fallback>
        </mc:AlternateContent>
      </w:r>
    </w:p>
    <w:p>
      <w:pPr>
        <w:spacing w:after="0" w:line="239" w:lineRule="exact"/>
        <w:rPr>
          <w:sz w:val="20"/>
          <w:szCs w:val="20"/>
          <w:color w:val="auto"/>
        </w:rPr>
      </w:pPr>
    </w:p>
    <w:p>
      <w:pPr>
        <w:ind w:right="800"/>
        <w:spacing w:after="0" w:line="297" w:lineRule="auto"/>
        <w:rPr>
          <w:sz w:val="20"/>
          <w:szCs w:val="20"/>
          <w:color w:val="auto"/>
        </w:rPr>
      </w:pPr>
      <w:r>
        <w:rPr>
          <w:rFonts w:ascii="Arial" w:cs="Arial" w:eastAsia="Arial" w:hAnsi="Arial"/>
          <w:sz w:val="16"/>
          <w:szCs w:val="16"/>
          <w:b w:val="1"/>
          <w:bCs w:val="1"/>
          <w:color w:val="auto"/>
        </w:rPr>
        <w:t>The measures set forth in this table were calculated as of 12/31/2025 versus 12/31/2015. The quarterly dividend increase is calculated on a declared basis.</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Total stockholder return (TSR)</w:t>
      </w:r>
    </w:p>
    <w:p>
      <w:pPr>
        <w:spacing w:after="0" w:line="54"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AbbVie has a track record of robust total stockholder returns, with strong performance relative to peers. Over the last decade, AbbVie’s TSR surpasses the cumulative total returns of the Standard &amp; Poor’s 500 Index and the NYSE Arca Pharmaceutical Index, as shown in the chart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Borders>
              <w:right w:val="single" w:sz="8" w:color="000039"/>
            </w:tcBorders>
          </w:tcPr>
          <w:p>
            <w:pPr>
              <w:ind w:left="940"/>
              <w:spacing w:after="0"/>
              <w:rPr>
                <w:sz w:val="20"/>
                <w:szCs w:val="20"/>
                <w:color w:val="auto"/>
              </w:rPr>
            </w:pPr>
            <w:r>
              <w:rPr>
                <w:rFonts w:ascii="Arial" w:cs="Arial" w:eastAsia="Arial" w:hAnsi="Arial"/>
                <w:sz w:val="20"/>
                <w:szCs w:val="20"/>
                <w:b w:val="1"/>
                <w:bCs w:val="1"/>
                <w:color w:val="auto"/>
              </w:rPr>
              <w:t>1-Year</w:t>
            </w:r>
          </w:p>
        </w:tc>
        <w:tc>
          <w:tcPr>
            <w:tcW w:w="2520" w:type="dxa"/>
            <w:vAlign w:val="bottom"/>
            <w:tcBorders>
              <w:right w:val="single" w:sz="8" w:color="000039"/>
            </w:tcBorders>
          </w:tcPr>
          <w:p>
            <w:pPr>
              <w:jc w:val="center"/>
              <w:spacing w:after="0"/>
              <w:rPr>
                <w:sz w:val="20"/>
                <w:szCs w:val="20"/>
                <w:color w:val="auto"/>
              </w:rPr>
            </w:pPr>
            <w:r>
              <w:rPr>
                <w:rFonts w:ascii="Arial" w:cs="Arial" w:eastAsia="Arial" w:hAnsi="Arial"/>
                <w:sz w:val="20"/>
                <w:szCs w:val="20"/>
                <w:b w:val="1"/>
                <w:bCs w:val="1"/>
                <w:color w:val="auto"/>
              </w:rPr>
              <w:t>3-Year</w:t>
            </w:r>
          </w:p>
        </w:tc>
        <w:tc>
          <w:tcPr>
            <w:tcW w:w="2500" w:type="dxa"/>
            <w:vAlign w:val="bottom"/>
            <w:tcBorders>
              <w:right w:val="single" w:sz="8" w:color="000039"/>
            </w:tcBorders>
          </w:tcPr>
          <w:p>
            <w:pPr>
              <w:jc w:val="center"/>
              <w:spacing w:after="0"/>
              <w:rPr>
                <w:sz w:val="20"/>
                <w:szCs w:val="20"/>
                <w:color w:val="auto"/>
              </w:rPr>
            </w:pPr>
            <w:r>
              <w:rPr>
                <w:rFonts w:ascii="Arial" w:cs="Arial" w:eastAsia="Arial" w:hAnsi="Arial"/>
                <w:sz w:val="20"/>
                <w:szCs w:val="20"/>
                <w:b w:val="1"/>
                <w:bCs w:val="1"/>
                <w:color w:val="auto"/>
              </w:rPr>
              <w:t>5-Year</w:t>
            </w:r>
          </w:p>
        </w:tc>
        <w:tc>
          <w:tcPr>
            <w:tcW w:w="2540" w:type="dxa"/>
            <w:vAlign w:val="bottom"/>
          </w:tcPr>
          <w:p>
            <w:pPr>
              <w:jc w:val="center"/>
              <w:spacing w:after="0"/>
              <w:rPr>
                <w:sz w:val="20"/>
                <w:szCs w:val="20"/>
                <w:color w:val="auto"/>
              </w:rPr>
            </w:pPr>
            <w:r>
              <w:rPr>
                <w:rFonts w:ascii="Arial" w:cs="Arial" w:eastAsia="Arial" w:hAnsi="Arial"/>
                <w:sz w:val="20"/>
                <w:szCs w:val="20"/>
                <w:b w:val="1"/>
                <w:bCs w:val="1"/>
                <w:color w:val="auto"/>
                <w:w w:val="99"/>
              </w:rPr>
              <w:t>10-Year</w:t>
            </w:r>
          </w:p>
        </w:tc>
      </w:tr>
      <w:tr>
        <w:trPr>
          <w:trHeight w:val="686"/>
        </w:trPr>
        <w:tc>
          <w:tcPr>
            <w:tcW w:w="2520" w:type="dxa"/>
            <w:vAlign w:val="bottom"/>
            <w:tcBorders>
              <w:right w:val="single" w:sz="8" w:color="000039"/>
            </w:tcBorders>
          </w:tcPr>
          <w:p>
            <w:pPr>
              <w:jc w:val="right"/>
              <w:ind w:right="447"/>
              <w:spacing w:after="0"/>
              <w:rPr>
                <w:sz w:val="20"/>
                <w:szCs w:val="20"/>
                <w:color w:val="auto"/>
              </w:rPr>
            </w:pPr>
            <w:r>
              <w:rPr>
                <w:rFonts w:ascii="Arial" w:cs="Arial" w:eastAsia="Arial" w:hAnsi="Arial"/>
                <w:sz w:val="52"/>
                <w:szCs w:val="52"/>
                <w:color w:val="000039"/>
              </w:rPr>
              <w:t>+33%</w:t>
            </w:r>
          </w:p>
        </w:tc>
        <w:tc>
          <w:tcPr>
            <w:tcW w:w="2520" w:type="dxa"/>
            <w:vAlign w:val="bottom"/>
            <w:tcBorders>
              <w:right w:val="single" w:sz="8" w:color="000039"/>
            </w:tcBorders>
          </w:tcPr>
          <w:p>
            <w:pPr>
              <w:jc w:val="right"/>
              <w:ind w:right="433"/>
              <w:spacing w:after="0"/>
              <w:rPr>
                <w:sz w:val="20"/>
                <w:szCs w:val="20"/>
                <w:color w:val="auto"/>
              </w:rPr>
            </w:pPr>
            <w:r>
              <w:rPr>
                <w:rFonts w:ascii="Arial" w:cs="Arial" w:eastAsia="Arial" w:hAnsi="Arial"/>
                <w:sz w:val="52"/>
                <w:szCs w:val="52"/>
                <w:color w:val="000039"/>
              </w:rPr>
              <w:t>+58%</w:t>
            </w:r>
          </w:p>
        </w:tc>
        <w:tc>
          <w:tcPr>
            <w:tcW w:w="2500" w:type="dxa"/>
            <w:vAlign w:val="bottom"/>
            <w:tcBorders>
              <w:right w:val="single" w:sz="8" w:color="000039"/>
            </w:tcBorders>
          </w:tcPr>
          <w:p>
            <w:pPr>
              <w:jc w:val="right"/>
              <w:ind w:right="287"/>
              <w:spacing w:after="0"/>
              <w:rPr>
                <w:sz w:val="20"/>
                <w:szCs w:val="20"/>
                <w:color w:val="auto"/>
              </w:rPr>
            </w:pPr>
            <w:r>
              <w:rPr>
                <w:rFonts w:ascii="Arial" w:cs="Arial" w:eastAsia="Arial" w:hAnsi="Arial"/>
                <w:sz w:val="52"/>
                <w:szCs w:val="52"/>
                <w:color w:val="000039"/>
              </w:rPr>
              <w:t>+159%</w:t>
            </w:r>
          </w:p>
        </w:tc>
        <w:tc>
          <w:tcPr>
            <w:tcW w:w="2540" w:type="dxa"/>
            <w:vAlign w:val="bottom"/>
          </w:tcPr>
          <w:p>
            <w:pPr>
              <w:jc w:val="right"/>
              <w:ind w:right="300"/>
              <w:spacing w:after="0"/>
              <w:rPr>
                <w:sz w:val="20"/>
                <w:szCs w:val="20"/>
                <w:color w:val="auto"/>
              </w:rPr>
            </w:pPr>
            <w:r>
              <w:rPr>
                <w:rFonts w:ascii="Arial" w:cs="Arial" w:eastAsia="Arial" w:hAnsi="Arial"/>
                <w:sz w:val="52"/>
                <w:szCs w:val="52"/>
                <w:color w:val="000039"/>
              </w:rPr>
              <w:t>+485%</w:t>
            </w:r>
          </w:p>
        </w:tc>
      </w:tr>
      <w:tr>
        <w:trPr>
          <w:trHeight w:val="325"/>
        </w:trPr>
        <w:tc>
          <w:tcPr>
            <w:tcW w:w="2520" w:type="dxa"/>
            <w:vAlign w:val="bottom"/>
          </w:tcPr>
          <w:p>
            <w:pPr>
              <w:spacing w:after="0"/>
              <w:rPr>
                <w:sz w:val="24"/>
                <w:szCs w:val="24"/>
                <w:color w:val="auto"/>
              </w:rPr>
            </w:pPr>
          </w:p>
        </w:tc>
        <w:tc>
          <w:tcPr>
            <w:tcW w:w="5020" w:type="dxa"/>
            <w:vAlign w:val="bottom"/>
            <w:gridSpan w:val="2"/>
          </w:tcPr>
          <w:p>
            <w:pPr>
              <w:spacing w:after="0"/>
              <w:rPr>
                <w:sz w:val="24"/>
                <w:szCs w:val="24"/>
                <w:color w:val="auto"/>
              </w:rPr>
            </w:pPr>
          </w:p>
        </w:tc>
        <w:tc>
          <w:tcPr>
            <w:tcW w:w="2540" w:type="dxa"/>
            <w:vAlign w:val="bottom"/>
          </w:tcPr>
          <w:p>
            <w:pPr>
              <w:spacing w:after="0"/>
              <w:rPr>
                <w:sz w:val="24"/>
                <w:szCs w:val="24"/>
                <w:color w:val="auto"/>
              </w:rPr>
            </w:pPr>
          </w:p>
        </w:tc>
      </w:tr>
      <w:tr>
        <w:trPr>
          <w:trHeight w:val="323"/>
        </w:trPr>
        <w:tc>
          <w:tcPr>
            <w:tcW w:w="2520" w:type="dxa"/>
            <w:vAlign w:val="bottom"/>
            <w:tcBorders>
              <w:right w:val="single" w:sz="8" w:color="000039"/>
            </w:tcBorders>
            <w:shd w:val="clear" w:color="auto" w:fill="000039"/>
          </w:tcPr>
          <w:p>
            <w:pPr>
              <w:spacing w:after="0"/>
              <w:rPr>
                <w:sz w:val="24"/>
                <w:szCs w:val="24"/>
                <w:color w:val="auto"/>
              </w:rPr>
            </w:pPr>
          </w:p>
        </w:tc>
        <w:tc>
          <w:tcPr>
            <w:tcW w:w="5020" w:type="dxa"/>
            <w:vAlign w:val="bottom"/>
            <w:tcBorders>
              <w:right w:val="single" w:sz="8" w:color="000039"/>
            </w:tcBorders>
            <w:gridSpan w:val="2"/>
            <w:shd w:val="clear" w:color="auto" w:fill="000039"/>
          </w:tcPr>
          <w:p>
            <w:pPr>
              <w:ind w:left="140"/>
              <w:spacing w:after="0"/>
              <w:rPr>
                <w:sz w:val="20"/>
                <w:szCs w:val="20"/>
                <w:color w:val="auto"/>
              </w:rPr>
            </w:pPr>
            <w:r>
              <w:rPr>
                <w:rFonts w:ascii="Arial" w:cs="Arial" w:eastAsia="Arial" w:hAnsi="Arial"/>
                <w:sz w:val="28"/>
                <w:szCs w:val="28"/>
                <w:b w:val="1"/>
                <w:bCs w:val="1"/>
                <w:color w:val="FFFFFF"/>
              </w:rPr>
              <w:t>AbbVie’s Relative TSR Performance</w:t>
            </w:r>
          </w:p>
        </w:tc>
        <w:tc>
          <w:tcPr>
            <w:tcW w:w="2540" w:type="dxa"/>
            <w:vAlign w:val="bottom"/>
            <w:shd w:val="clear" w:color="auto" w:fill="000039"/>
          </w:tcPr>
          <w:p>
            <w:pPr>
              <w:spacing w:after="0"/>
              <w:rPr>
                <w:sz w:val="24"/>
                <w:szCs w:val="24"/>
                <w:color w:val="auto"/>
              </w:rPr>
            </w:pPr>
          </w:p>
        </w:tc>
      </w:tr>
      <w:tr>
        <w:trPr>
          <w:trHeight w:val="382"/>
        </w:trPr>
        <w:tc>
          <w:tcPr>
            <w:tcW w:w="5040" w:type="dxa"/>
            <w:vAlign w:val="bottom"/>
            <w:gridSpan w:val="2"/>
          </w:tcPr>
          <w:p>
            <w:pPr>
              <w:ind w:left="860"/>
              <w:spacing w:after="0"/>
              <w:rPr>
                <w:sz w:val="20"/>
                <w:szCs w:val="20"/>
                <w:color w:val="auto"/>
              </w:rPr>
            </w:pPr>
            <w:r>
              <w:rPr>
                <w:rFonts w:ascii="Arial" w:cs="Arial" w:eastAsia="Arial" w:hAnsi="Arial"/>
                <w:sz w:val="20"/>
                <w:szCs w:val="20"/>
                <w:b w:val="1"/>
                <w:bCs w:val="1"/>
                <w:color w:val="auto"/>
              </w:rPr>
              <w:t>Versus Peer Group (Multi-Year)</w:t>
            </w:r>
          </w:p>
        </w:tc>
        <w:tc>
          <w:tcPr>
            <w:tcW w:w="5040" w:type="dxa"/>
            <w:vAlign w:val="bottom"/>
            <w:gridSpan w:val="2"/>
          </w:tcPr>
          <w:p>
            <w:pPr>
              <w:ind w:left="1240"/>
              <w:spacing w:after="0"/>
              <w:rPr>
                <w:sz w:val="20"/>
                <w:szCs w:val="20"/>
                <w:color w:val="auto"/>
              </w:rPr>
            </w:pPr>
            <w:r>
              <w:rPr>
                <w:rFonts w:ascii="Arial" w:cs="Arial" w:eastAsia="Arial" w:hAnsi="Arial"/>
                <w:sz w:val="20"/>
                <w:szCs w:val="20"/>
                <w:b w:val="1"/>
                <w:bCs w:val="1"/>
                <w:color w:val="auto"/>
              </w:rPr>
              <w:t>Versus Select Indices (10-Year)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3218815</wp:posOffset>
                </wp:positionH>
                <wp:positionV relativeFrom="paragraph">
                  <wp:posOffset>54610</wp:posOffset>
                </wp:positionV>
                <wp:extent cx="0" cy="206502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6502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45pt,4.3pt" to="253.45pt,166.9pt" o:allowincell="f" strokecolor="#000039" strokeweight="1.5pt"/>
            </w:pict>
          </mc:Fallback>
        </mc:AlternateConten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602615</wp:posOffset>
                </wp:positionH>
                <wp:positionV relativeFrom="paragraph">
                  <wp:posOffset>40640</wp:posOffset>
                </wp:positionV>
                <wp:extent cx="275590" cy="145415"/>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145415"/>
                        </a:xfrm>
                        <a:prstGeom prst="rect">
                          <a:avLst/>
                        </a:prstGeom>
                        <a:solidFill>
                          <a:srgbClr val="000039"/>
                        </a:solidFill>
                      </wps:spPr>
                      <wps:bodyPr/>
                    </wps:wsp>
                  </a:graphicData>
                </a:graphic>
              </wp:anchor>
            </w:drawing>
          </mc:Choice>
          <mc:Fallback>
            <w:pict>
              <v:rect id="Shape 397" o:spid="_x0000_s1422" style="position:absolute;margin-left:47.45pt;margin-top:3.2pt;width:21.7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1791970</wp:posOffset>
                </wp:positionH>
                <wp:positionV relativeFrom="paragraph">
                  <wp:posOffset>40640</wp:posOffset>
                </wp:positionV>
                <wp:extent cx="282575" cy="145415"/>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 cy="145415"/>
                        </a:xfrm>
                        <a:prstGeom prst="rect">
                          <a:avLst/>
                        </a:prstGeom>
                        <a:solidFill>
                          <a:srgbClr val="BFBFBF"/>
                        </a:solidFill>
                      </wps:spPr>
                      <wps:bodyPr/>
                    </wps:wsp>
                  </a:graphicData>
                </a:graphic>
              </wp:anchor>
            </w:drawing>
          </mc:Choice>
          <mc:Fallback>
            <w:pict>
              <v:rect id="Shape 398" o:spid="_x0000_s1423" style="position:absolute;margin-left:141.1pt;margin-top:3.2pt;width:22.2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2093595</wp:posOffset>
                </wp:positionH>
                <wp:positionV relativeFrom="paragraph">
                  <wp:posOffset>40640</wp:posOffset>
                </wp:positionV>
                <wp:extent cx="280035" cy="145415"/>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035" cy="145415"/>
                        </a:xfrm>
                        <a:prstGeom prst="rect">
                          <a:avLst/>
                        </a:prstGeom>
                        <a:solidFill>
                          <a:srgbClr val="BFBFBF"/>
                        </a:solidFill>
                      </wps:spPr>
                      <wps:bodyPr/>
                    </wps:wsp>
                  </a:graphicData>
                </a:graphic>
              </wp:anchor>
            </w:drawing>
          </mc:Choice>
          <mc:Fallback>
            <w:pict>
              <v:rect id="Shape 399" o:spid="_x0000_s1424" style="position:absolute;margin-left:164.85pt;margin-top:3.2pt;width:22.0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2392680</wp:posOffset>
                </wp:positionH>
                <wp:positionV relativeFrom="paragraph">
                  <wp:posOffset>40640</wp:posOffset>
                </wp:positionV>
                <wp:extent cx="278130" cy="145415"/>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5415"/>
                        </a:xfrm>
                        <a:prstGeom prst="rect">
                          <a:avLst/>
                        </a:prstGeom>
                        <a:solidFill>
                          <a:srgbClr val="BFBFBF"/>
                        </a:solidFill>
                      </wps:spPr>
                      <wps:bodyPr/>
                    </wps:wsp>
                  </a:graphicData>
                </a:graphic>
              </wp:anchor>
            </w:drawing>
          </mc:Choice>
          <mc:Fallback>
            <w:pict>
              <v:rect id="Shape 400" o:spid="_x0000_s1425" style="position:absolute;margin-left:188.4pt;margin-top:3.2pt;width:21.9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2689860</wp:posOffset>
                </wp:positionH>
                <wp:positionV relativeFrom="paragraph">
                  <wp:posOffset>40640</wp:posOffset>
                </wp:positionV>
                <wp:extent cx="288290" cy="145415"/>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 cy="145415"/>
                        </a:xfrm>
                        <a:prstGeom prst="rect">
                          <a:avLst/>
                        </a:prstGeom>
                        <a:solidFill>
                          <a:srgbClr val="BFBFBF"/>
                        </a:solidFill>
                      </wps:spPr>
                      <wps:bodyPr/>
                    </wps:wsp>
                  </a:graphicData>
                </a:graphic>
              </wp:anchor>
            </w:drawing>
          </mc:Choice>
          <mc:Fallback>
            <w:pict>
              <v:rect id="Shape 401" o:spid="_x0000_s1426" style="position:absolute;margin-left:211.8pt;margin-top:3.2pt;width:22.7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40640</wp:posOffset>
                </wp:positionV>
                <wp:extent cx="277495" cy="145415"/>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5415"/>
                        </a:xfrm>
                        <a:prstGeom prst="rect">
                          <a:avLst/>
                        </a:prstGeom>
                        <a:solidFill>
                          <a:srgbClr val="000039"/>
                        </a:solidFill>
                      </wps:spPr>
                      <wps:bodyPr/>
                    </wps:wsp>
                  </a:graphicData>
                </a:graphic>
              </wp:anchor>
            </w:drawing>
          </mc:Choice>
          <mc:Fallback>
            <w:pict>
              <v:rect id="Shape 402" o:spid="_x0000_s1427" style="position:absolute;margin-left:0.75pt;margin-top:3.2pt;width:21.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295910</wp:posOffset>
                </wp:positionH>
                <wp:positionV relativeFrom="paragraph">
                  <wp:posOffset>40640</wp:posOffset>
                </wp:positionV>
                <wp:extent cx="0" cy="145415"/>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pt,3.2pt" to="23.3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306070</wp:posOffset>
                </wp:positionH>
                <wp:positionV relativeFrom="paragraph">
                  <wp:posOffset>40640</wp:posOffset>
                </wp:positionV>
                <wp:extent cx="277495" cy="145415"/>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5415"/>
                        </a:xfrm>
                        <a:prstGeom prst="rect">
                          <a:avLst/>
                        </a:prstGeom>
                        <a:solidFill>
                          <a:srgbClr val="000039"/>
                        </a:solidFill>
                      </wps:spPr>
                      <wps:bodyPr/>
                    </wps:wsp>
                  </a:graphicData>
                </a:graphic>
              </wp:anchor>
            </w:drawing>
          </mc:Choice>
          <mc:Fallback>
            <w:pict>
              <v:rect id="Shape 404" o:spid="_x0000_s1429" style="position:absolute;margin-left:24.1pt;margin-top:3.2pt;width:21.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592455</wp:posOffset>
                </wp:positionH>
                <wp:positionV relativeFrom="paragraph">
                  <wp:posOffset>40640</wp:posOffset>
                </wp:positionV>
                <wp:extent cx="0" cy="145415"/>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pt,3.2pt" to="46.65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897255</wp:posOffset>
                </wp:positionH>
                <wp:positionV relativeFrom="paragraph">
                  <wp:posOffset>40640</wp:posOffset>
                </wp:positionV>
                <wp:extent cx="277495" cy="145415"/>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5415"/>
                        </a:xfrm>
                        <a:prstGeom prst="rect">
                          <a:avLst/>
                        </a:prstGeom>
                        <a:solidFill>
                          <a:srgbClr val="000039"/>
                        </a:solidFill>
                      </wps:spPr>
                      <wps:bodyPr/>
                    </wps:wsp>
                  </a:graphicData>
                </a:graphic>
              </wp:anchor>
            </w:drawing>
          </mc:Choice>
          <mc:Fallback>
            <w:pict>
              <v:rect id="Shape 406" o:spid="_x0000_s1431" style="position:absolute;margin-left:70.65pt;margin-top:3.2pt;width:21.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1183640</wp:posOffset>
                </wp:positionH>
                <wp:positionV relativeFrom="paragraph">
                  <wp:posOffset>40640</wp:posOffset>
                </wp:positionV>
                <wp:extent cx="0" cy="145415"/>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pt,3.2pt" to="93.2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1193800</wp:posOffset>
                </wp:positionH>
                <wp:positionV relativeFrom="paragraph">
                  <wp:posOffset>40640</wp:posOffset>
                </wp:positionV>
                <wp:extent cx="281940" cy="145415"/>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 cy="145415"/>
                        </a:xfrm>
                        <a:prstGeom prst="rect">
                          <a:avLst/>
                        </a:prstGeom>
                        <a:solidFill>
                          <a:srgbClr val="000039"/>
                        </a:solidFill>
                      </wps:spPr>
                      <wps:bodyPr/>
                    </wps:wsp>
                  </a:graphicData>
                </a:graphic>
              </wp:anchor>
            </w:drawing>
          </mc:Choice>
          <mc:Fallback>
            <w:pict>
              <v:rect id="Shape 408" o:spid="_x0000_s1433" style="position:absolute;margin-left:94pt;margin-top:3.2pt;width:22.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1484630</wp:posOffset>
                </wp:positionH>
                <wp:positionV relativeFrom="paragraph">
                  <wp:posOffset>40640</wp:posOffset>
                </wp:positionV>
                <wp:extent cx="0" cy="145415"/>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9pt,3.2pt" to="116.9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1494790</wp:posOffset>
                </wp:positionH>
                <wp:positionV relativeFrom="paragraph">
                  <wp:posOffset>40640</wp:posOffset>
                </wp:positionV>
                <wp:extent cx="278130" cy="145415"/>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5415"/>
                        </a:xfrm>
                        <a:prstGeom prst="rect">
                          <a:avLst/>
                        </a:prstGeom>
                        <a:solidFill>
                          <a:srgbClr val="BFBFBF"/>
                        </a:solidFill>
                      </wps:spPr>
                      <wps:bodyPr/>
                    </wps:wsp>
                  </a:graphicData>
                </a:graphic>
              </wp:anchor>
            </w:drawing>
          </mc:Choice>
          <mc:Fallback>
            <w:pict>
              <v:rect id="Shape 410" o:spid="_x0000_s1435" style="position:absolute;margin-left:117.7pt;margin-top:3.2pt;width:21.9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1781810</wp:posOffset>
                </wp:positionH>
                <wp:positionV relativeFrom="paragraph">
                  <wp:posOffset>40640</wp:posOffset>
                </wp:positionV>
                <wp:extent cx="0" cy="145415"/>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3pt,3.2pt" to="140.3pt,14.65pt" o:allowincell="f" strokecolor="#FFFFFF" strokeweight="1.5pt"/>
            </w:pict>
          </mc:Fallback>
        </mc:AlternateContent>
      </w:r>
    </w:p>
    <w:p>
      <w:pPr>
        <w:spacing w:after="0" w:line="198"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485%</w:t>
      </w:r>
    </w:p>
    <w:p>
      <w:pPr>
        <w:spacing w:after="0" w:line="201" w:lineRule="auto"/>
        <w:rPr>
          <w:sz w:val="20"/>
          <w:szCs w:val="20"/>
          <w:color w:val="auto"/>
        </w:rPr>
      </w:pPr>
      <w:r>
        <w:rPr>
          <w:rFonts w:ascii="Arial" w:cs="Arial" w:eastAsia="Arial" w:hAnsi="Arial"/>
          <w:sz w:val="32"/>
          <w:szCs w:val="32"/>
          <w:b w:val="1"/>
          <w:bCs w:val="1"/>
          <w:color w:val="000039"/>
        </w:rPr>
        <w:t>6</w:t>
      </w:r>
      <w:r>
        <w:rPr>
          <w:rFonts w:ascii="Arial" w:cs="Arial" w:eastAsia="Arial" w:hAnsi="Arial"/>
          <w:sz w:val="42"/>
          <w:szCs w:val="42"/>
          <w:b w:val="1"/>
          <w:bCs w:val="1"/>
          <w:color w:val="000039"/>
          <w:vertAlign w:val="superscript"/>
        </w:rPr>
        <w:t>th</w:t>
      </w:r>
      <w:r>
        <w:rPr>
          <w:rFonts w:ascii="Arial" w:cs="Arial" w:eastAsia="Arial" w:hAnsi="Arial"/>
          <w:sz w:val="32"/>
          <w:szCs w:val="32"/>
          <w:b w:val="1"/>
          <w:bCs w:val="1"/>
          <w:color w:val="000039"/>
        </w:rPr>
        <w:t xml:space="preserve"> </w:t>
      </w:r>
      <w:r>
        <w:rPr>
          <w:rFonts w:ascii="Arial" w:cs="Arial" w:eastAsia="Arial" w:hAnsi="Arial"/>
          <w:sz w:val="20"/>
          <w:szCs w:val="20"/>
          <w:color w:val="000000"/>
        </w:rPr>
        <w:t>place out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-213995</wp:posOffset>
            </wp:positionV>
            <wp:extent cx="2661920" cy="18738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203">
                      <a:extLst>
                        <a:ext uri="{28A0092B-C50C-407E-A947-70E740481C1C}"/>
                      </a:extLst>
                    </a:blip>
                    <a:srcRect/>
                    <a:stretch>
                      <a:fillRect/>
                    </a:stretch>
                  </pic:blipFill>
                  <pic:spPr bwMode="auto">
                    <a:xfrm>
                      <a:off x="0" y="0"/>
                      <a:ext cx="2661920" cy="187388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602615</wp:posOffset>
                </wp:positionH>
                <wp:positionV relativeFrom="paragraph">
                  <wp:posOffset>39370</wp:posOffset>
                </wp:positionV>
                <wp:extent cx="275590" cy="146685"/>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146685"/>
                        </a:xfrm>
                        <a:prstGeom prst="rect">
                          <a:avLst/>
                        </a:prstGeom>
                        <a:solidFill>
                          <a:srgbClr val="000039"/>
                        </a:solidFill>
                      </wps:spPr>
                      <wps:bodyPr/>
                    </wps:wsp>
                  </a:graphicData>
                </a:graphic>
              </wp:anchor>
            </w:drawing>
          </mc:Choice>
          <mc:Fallback>
            <w:pict>
              <v:rect id="Shape 413" o:spid="_x0000_s1438" style="position:absolute;margin-left:47.45pt;margin-top:3.1pt;width:21.7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1791970</wp:posOffset>
                </wp:positionH>
                <wp:positionV relativeFrom="paragraph">
                  <wp:posOffset>39370</wp:posOffset>
                </wp:positionV>
                <wp:extent cx="282575" cy="146685"/>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 cy="146685"/>
                        </a:xfrm>
                        <a:prstGeom prst="rect">
                          <a:avLst/>
                        </a:prstGeom>
                        <a:solidFill>
                          <a:srgbClr val="000039"/>
                        </a:solidFill>
                      </wps:spPr>
                      <wps:bodyPr/>
                    </wps:wsp>
                  </a:graphicData>
                </a:graphic>
              </wp:anchor>
            </w:drawing>
          </mc:Choice>
          <mc:Fallback>
            <w:pict>
              <v:rect id="Shape 414" o:spid="_x0000_s1439" style="position:absolute;margin-left:141.1pt;margin-top:3.1pt;width:22.2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2093595</wp:posOffset>
                </wp:positionH>
                <wp:positionV relativeFrom="paragraph">
                  <wp:posOffset>39370</wp:posOffset>
                </wp:positionV>
                <wp:extent cx="280035" cy="146685"/>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035" cy="146685"/>
                        </a:xfrm>
                        <a:prstGeom prst="rect">
                          <a:avLst/>
                        </a:prstGeom>
                        <a:solidFill>
                          <a:srgbClr val="BFBFBF"/>
                        </a:solidFill>
                      </wps:spPr>
                      <wps:bodyPr/>
                    </wps:wsp>
                  </a:graphicData>
                </a:graphic>
              </wp:anchor>
            </w:drawing>
          </mc:Choice>
          <mc:Fallback>
            <w:pict>
              <v:rect id="Shape 415" o:spid="_x0000_s1440" style="position:absolute;margin-left:164.85pt;margin-top:3.1pt;width:22.0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2392680</wp:posOffset>
                </wp:positionH>
                <wp:positionV relativeFrom="paragraph">
                  <wp:posOffset>39370</wp:posOffset>
                </wp:positionV>
                <wp:extent cx="278130" cy="146685"/>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6685"/>
                        </a:xfrm>
                        <a:prstGeom prst="rect">
                          <a:avLst/>
                        </a:prstGeom>
                        <a:solidFill>
                          <a:srgbClr val="BFBFBF"/>
                        </a:solidFill>
                      </wps:spPr>
                      <wps:bodyPr/>
                    </wps:wsp>
                  </a:graphicData>
                </a:graphic>
              </wp:anchor>
            </w:drawing>
          </mc:Choice>
          <mc:Fallback>
            <w:pict>
              <v:rect id="Shape 416" o:spid="_x0000_s1441" style="position:absolute;margin-left:188.4pt;margin-top:3.1pt;width:21.9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2689860</wp:posOffset>
                </wp:positionH>
                <wp:positionV relativeFrom="paragraph">
                  <wp:posOffset>39370</wp:posOffset>
                </wp:positionV>
                <wp:extent cx="288290" cy="146685"/>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 cy="146685"/>
                        </a:xfrm>
                        <a:prstGeom prst="rect">
                          <a:avLst/>
                        </a:prstGeom>
                        <a:solidFill>
                          <a:srgbClr val="BFBFBF"/>
                        </a:solidFill>
                      </wps:spPr>
                      <wps:bodyPr/>
                    </wps:wsp>
                  </a:graphicData>
                </a:graphic>
              </wp:anchor>
            </w:drawing>
          </mc:Choice>
          <mc:Fallback>
            <w:pict>
              <v:rect id="Shape 417" o:spid="_x0000_s1442" style="position:absolute;margin-left:211.8pt;margin-top:3.1pt;width:22.7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39370</wp:posOffset>
                </wp:positionV>
                <wp:extent cx="287020" cy="146685"/>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020" cy="146685"/>
                        </a:xfrm>
                        <a:prstGeom prst="rect">
                          <a:avLst/>
                        </a:prstGeom>
                        <a:solidFill>
                          <a:srgbClr val="000039"/>
                        </a:solidFill>
                      </wps:spPr>
                      <wps:bodyPr/>
                    </wps:wsp>
                  </a:graphicData>
                </a:graphic>
              </wp:anchor>
            </w:drawing>
          </mc:Choice>
          <mc:Fallback>
            <w:pict>
              <v:rect id="Shape 418" o:spid="_x0000_s1443" style="position:absolute;margin-left:0pt;margin-top:3.1pt;width:22.6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295910</wp:posOffset>
                </wp:positionH>
                <wp:positionV relativeFrom="paragraph">
                  <wp:posOffset>39370</wp:posOffset>
                </wp:positionV>
                <wp:extent cx="0" cy="146685"/>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pt,3.1pt" to="23.3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306070</wp:posOffset>
                </wp:positionH>
                <wp:positionV relativeFrom="paragraph">
                  <wp:posOffset>39370</wp:posOffset>
                </wp:positionV>
                <wp:extent cx="277495" cy="146685"/>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6685"/>
                        </a:xfrm>
                        <a:prstGeom prst="rect">
                          <a:avLst/>
                        </a:prstGeom>
                        <a:solidFill>
                          <a:srgbClr val="000039"/>
                        </a:solidFill>
                      </wps:spPr>
                      <wps:bodyPr/>
                    </wps:wsp>
                  </a:graphicData>
                </a:graphic>
              </wp:anchor>
            </w:drawing>
          </mc:Choice>
          <mc:Fallback>
            <w:pict>
              <v:rect id="Shape 420" o:spid="_x0000_s1445" style="position:absolute;margin-left:24.1pt;margin-top:3.1pt;width:21.8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592455</wp:posOffset>
                </wp:positionH>
                <wp:positionV relativeFrom="paragraph">
                  <wp:posOffset>39370</wp:posOffset>
                </wp:positionV>
                <wp:extent cx="0" cy="146685"/>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pt,3.1pt" to="46.65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897255</wp:posOffset>
                </wp:positionH>
                <wp:positionV relativeFrom="paragraph">
                  <wp:posOffset>39370</wp:posOffset>
                </wp:positionV>
                <wp:extent cx="277495" cy="146685"/>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6685"/>
                        </a:xfrm>
                        <a:prstGeom prst="rect">
                          <a:avLst/>
                        </a:prstGeom>
                        <a:solidFill>
                          <a:srgbClr val="000039"/>
                        </a:solidFill>
                      </wps:spPr>
                      <wps:bodyPr/>
                    </wps:wsp>
                  </a:graphicData>
                </a:graphic>
              </wp:anchor>
            </w:drawing>
          </mc:Choice>
          <mc:Fallback>
            <w:pict>
              <v:rect id="Shape 422" o:spid="_x0000_s1447" style="position:absolute;margin-left:70.65pt;margin-top:3.1pt;width:21.8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1183640</wp:posOffset>
                </wp:positionH>
                <wp:positionV relativeFrom="paragraph">
                  <wp:posOffset>39370</wp:posOffset>
                </wp:positionV>
                <wp:extent cx="0" cy="146685"/>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pt,3.1pt" to="93.2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1193800</wp:posOffset>
                </wp:positionH>
                <wp:positionV relativeFrom="paragraph">
                  <wp:posOffset>39370</wp:posOffset>
                </wp:positionV>
                <wp:extent cx="281940" cy="146685"/>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 cy="146685"/>
                        </a:xfrm>
                        <a:prstGeom prst="rect">
                          <a:avLst/>
                        </a:prstGeom>
                        <a:solidFill>
                          <a:srgbClr val="000039"/>
                        </a:solidFill>
                      </wps:spPr>
                      <wps:bodyPr/>
                    </wps:wsp>
                  </a:graphicData>
                </a:graphic>
              </wp:anchor>
            </w:drawing>
          </mc:Choice>
          <mc:Fallback>
            <w:pict>
              <v:rect id="Shape 424" o:spid="_x0000_s1449" style="position:absolute;margin-left:94pt;margin-top:3.1pt;width:22.2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1484630</wp:posOffset>
                </wp:positionH>
                <wp:positionV relativeFrom="paragraph">
                  <wp:posOffset>39370</wp:posOffset>
                </wp:positionV>
                <wp:extent cx="0" cy="146685"/>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9pt,3.1pt" to="116.9pt,14.6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1494790</wp:posOffset>
                </wp:positionH>
                <wp:positionV relativeFrom="paragraph">
                  <wp:posOffset>39370</wp:posOffset>
                </wp:positionV>
                <wp:extent cx="278130" cy="146685"/>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6685"/>
                        </a:xfrm>
                        <a:prstGeom prst="rect">
                          <a:avLst/>
                        </a:prstGeom>
                        <a:solidFill>
                          <a:srgbClr val="000039"/>
                        </a:solidFill>
                      </wps:spPr>
                      <wps:bodyPr/>
                    </wps:wsp>
                  </a:graphicData>
                </a:graphic>
              </wp:anchor>
            </w:drawing>
          </mc:Choice>
          <mc:Fallback>
            <w:pict>
              <v:rect id="Shape 426" o:spid="_x0000_s1451" style="position:absolute;margin-left:117.7pt;margin-top:3.1pt;width:21.9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1781810</wp:posOffset>
                </wp:positionH>
                <wp:positionV relativeFrom="paragraph">
                  <wp:posOffset>39370</wp:posOffset>
                </wp:positionV>
                <wp:extent cx="0" cy="146685"/>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685"/>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3pt,3.1pt" to="140.3pt,14.65pt" o:allowincell="f" strokecolor="#FFFFFF" strokeweight="1.5pt"/>
            </w:pict>
          </mc:Fallback>
        </mc:AlternateContent>
      </w:r>
    </w:p>
    <w:p>
      <w:pPr>
        <w:spacing w:after="0" w:line="196"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298%</w:t>
      </w:r>
    </w:p>
    <w:p>
      <w:pPr>
        <w:spacing w:after="0" w:line="204" w:lineRule="auto"/>
        <w:rPr>
          <w:sz w:val="20"/>
          <w:szCs w:val="20"/>
          <w:color w:val="auto"/>
        </w:rPr>
      </w:pPr>
      <w:r>
        <w:rPr>
          <w:rFonts w:ascii="Arial" w:cs="Arial" w:eastAsia="Arial" w:hAnsi="Arial"/>
          <w:sz w:val="32"/>
          <w:szCs w:val="32"/>
          <w:b w:val="1"/>
          <w:bCs w:val="1"/>
          <w:color w:val="000039"/>
        </w:rPr>
        <w:t>4</w:t>
      </w:r>
      <w:r>
        <w:rPr>
          <w:rFonts w:ascii="Arial" w:cs="Arial" w:eastAsia="Arial" w:hAnsi="Arial"/>
          <w:sz w:val="42"/>
          <w:szCs w:val="42"/>
          <w:b w:val="1"/>
          <w:bCs w:val="1"/>
          <w:color w:val="000039"/>
          <w:vertAlign w:val="superscript"/>
        </w:rPr>
        <w:t>th</w:t>
      </w:r>
      <w:r>
        <w:rPr>
          <w:rFonts w:ascii="Arial" w:cs="Arial" w:eastAsia="Arial" w:hAnsi="Arial"/>
          <w:sz w:val="32"/>
          <w:szCs w:val="32"/>
          <w:b w:val="1"/>
          <w:bCs w:val="1"/>
          <w:color w:val="000039"/>
        </w:rPr>
        <w:t xml:space="preserve"> </w:t>
      </w:r>
      <w:r>
        <w:rPr>
          <w:rFonts w:ascii="Arial" w:cs="Arial" w:eastAsia="Arial" w:hAnsi="Arial"/>
          <w:sz w:val="20"/>
          <w:szCs w:val="20"/>
          <w:color w:val="000000"/>
        </w:rPr>
        <w:t>place out of 10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920" w:type="dxa"/>
            <w:vAlign w:val="bottom"/>
            <w:gridSpan w:val="3"/>
          </w:tcPr>
          <w:p>
            <w:pPr>
              <w:spacing w:after="0"/>
              <w:rPr>
                <w:sz w:val="20"/>
                <w:szCs w:val="20"/>
                <w:color w:val="auto"/>
              </w:rPr>
            </w:pPr>
            <w:r>
              <w:rPr>
                <w:rFonts w:ascii="Arial" w:cs="Arial" w:eastAsia="Arial" w:hAnsi="Arial"/>
                <w:sz w:val="20"/>
                <w:szCs w:val="20"/>
                <w:b w:val="1"/>
                <w:bCs w:val="1"/>
                <w:color w:val="auto"/>
              </w:rPr>
              <w:t>5 Years</w:t>
            </w:r>
          </w:p>
        </w:tc>
        <w:tc>
          <w:tcPr>
            <w:tcW w:w="8400" w:type="dxa"/>
            <w:vAlign w:val="bottom"/>
            <w:gridSpan w:val="17"/>
          </w:tcPr>
          <w:p>
            <w:pPr>
              <w:jc w:val="right"/>
              <w:spacing w:after="0"/>
              <w:rPr>
                <w:sz w:val="20"/>
                <w:szCs w:val="20"/>
                <w:color w:val="auto"/>
              </w:rPr>
            </w:pPr>
            <w:r>
              <w:rPr>
                <w:rFonts w:ascii="Arial" w:cs="Arial" w:eastAsia="Arial" w:hAnsi="Arial"/>
                <w:sz w:val="16"/>
                <w:szCs w:val="16"/>
                <w:color w:val="auto"/>
              </w:rPr>
              <w:t>176%</w:t>
            </w:r>
          </w:p>
        </w:tc>
      </w:tr>
      <w:tr>
        <w:trPr>
          <w:trHeight w:val="231"/>
        </w:trPr>
        <w:tc>
          <w:tcPr>
            <w:tcW w:w="460" w:type="dxa"/>
            <w:vAlign w:val="bottom"/>
            <w:shd w:val="clear" w:color="auto" w:fill="000039"/>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shd w:val="clear" w:color="auto" w:fill="000039"/>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shd w:val="clear" w:color="auto" w:fill="000039"/>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shd w:val="clear" w:color="auto" w:fill="000039"/>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shd w:val="clear" w:color="auto" w:fill="000039"/>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shd w:val="clear" w:color="auto" w:fill="000039"/>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shd w:val="clear" w:color="auto" w:fill="000039"/>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shd w:val="clear" w:color="auto" w:fill="000039"/>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shd w:val="clear" w:color="auto" w:fill="000039"/>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shd w:val="clear" w:color="auto" w:fill="BFBFBF"/>
          </w:tcPr>
          <w:p>
            <w:pPr>
              <w:spacing w:after="0"/>
              <w:rPr>
                <w:sz w:val="20"/>
                <w:szCs w:val="20"/>
                <w:color w:val="auto"/>
              </w:rPr>
            </w:pPr>
          </w:p>
        </w:tc>
        <w:tc>
          <w:tcPr>
            <w:tcW w:w="4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295910</wp:posOffset>
                </wp:positionH>
                <wp:positionV relativeFrom="paragraph">
                  <wp:posOffset>-146050</wp:posOffset>
                </wp:positionV>
                <wp:extent cx="0" cy="14605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pt,-11.4999pt" to="23.3pt,0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592455</wp:posOffset>
                </wp:positionH>
                <wp:positionV relativeFrom="paragraph">
                  <wp:posOffset>-146050</wp:posOffset>
                </wp:positionV>
                <wp:extent cx="0" cy="14605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pt,-11.4999pt" to="46.65pt,0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1183640</wp:posOffset>
                </wp:positionH>
                <wp:positionV relativeFrom="paragraph">
                  <wp:posOffset>-146050</wp:posOffset>
                </wp:positionV>
                <wp:extent cx="0" cy="14605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pt,-11.4999pt" to="93.2pt,0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1484630</wp:posOffset>
                </wp:positionH>
                <wp:positionV relativeFrom="paragraph">
                  <wp:posOffset>-146050</wp:posOffset>
                </wp:positionV>
                <wp:extent cx="0" cy="14605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9pt,-11.4999pt" to="116.9pt,0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1781810</wp:posOffset>
                </wp:positionH>
                <wp:positionV relativeFrom="paragraph">
                  <wp:posOffset>-146050</wp:posOffset>
                </wp:positionV>
                <wp:extent cx="0" cy="14605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3pt,-11.4999pt" to="140.3pt,0pt" o:allowincell="f" strokecolor="#FFFFFF" strokeweight="1.5pt"/>
            </w:pict>
          </mc:Fallback>
        </mc:AlternateContent>
      </w:r>
    </w:p>
    <w:p>
      <w:pPr>
        <w:spacing w:after="0"/>
        <w:rPr>
          <w:sz w:val="20"/>
          <w:szCs w:val="20"/>
          <w:color w:val="auto"/>
        </w:rPr>
      </w:pPr>
      <w:r>
        <w:rPr>
          <w:rFonts w:ascii="Arial" w:cs="Arial" w:eastAsia="Arial" w:hAnsi="Arial"/>
          <w:sz w:val="32"/>
          <w:szCs w:val="32"/>
          <w:b w:val="1"/>
          <w:bCs w:val="1"/>
          <w:color w:val="000039"/>
        </w:rPr>
        <w:t>2</w:t>
      </w:r>
      <w:r>
        <w:rPr>
          <w:rFonts w:ascii="Arial" w:cs="Arial" w:eastAsia="Arial" w:hAnsi="Arial"/>
          <w:sz w:val="42"/>
          <w:szCs w:val="42"/>
          <w:b w:val="1"/>
          <w:bCs w:val="1"/>
          <w:color w:val="000039"/>
          <w:vertAlign w:val="superscript"/>
        </w:rPr>
        <w:t>nd</w:t>
      </w:r>
      <w:r>
        <w:rPr>
          <w:rFonts w:ascii="Arial" w:cs="Arial" w:eastAsia="Arial" w:hAnsi="Arial"/>
          <w:sz w:val="32"/>
          <w:szCs w:val="32"/>
          <w:b w:val="1"/>
          <w:bCs w:val="1"/>
          <w:color w:val="000039"/>
        </w:rPr>
        <w:t xml:space="preserve"> </w:t>
      </w:r>
      <w:r>
        <w:rPr>
          <w:rFonts w:ascii="Arial" w:cs="Arial" w:eastAsia="Arial" w:hAnsi="Arial"/>
          <w:sz w:val="20"/>
          <w:szCs w:val="20"/>
          <w:color w:val="000000"/>
        </w:rPr>
        <w:t>place out of 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3218815</wp:posOffset>
                </wp:positionH>
                <wp:positionV relativeFrom="paragraph">
                  <wp:posOffset>-23495</wp:posOffset>
                </wp:positionV>
                <wp:extent cx="0" cy="302895"/>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2895"/>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45pt,-1.8499pt" to="253.45pt,22pt" o:allowincell="f" strokecolor="#000000" strokeweight="1.5pt"/>
            </w:pict>
          </mc:Fallback>
        </mc:AlternateConten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Years</w:t>
      </w:r>
    </w:p>
    <w:p>
      <w:pPr>
        <w:spacing w:after="0" w:line="69" w:lineRule="exact"/>
        <w:rPr>
          <w:sz w:val="20"/>
          <w:szCs w:val="20"/>
          <w:color w:val="auto"/>
        </w:rPr>
      </w:pPr>
    </w:p>
    <w:p>
      <w:pPr>
        <w:ind w:left="6100"/>
        <w:spacing w:after="0"/>
        <w:tabs>
          <w:tab w:leader="none" w:pos="7440" w:val="left"/>
          <w:tab w:leader="none" w:pos="8300" w:val="left"/>
        </w:tabs>
        <w:rPr>
          <w:sz w:val="20"/>
          <w:szCs w:val="20"/>
          <w:color w:val="auto"/>
        </w:rPr>
      </w:pPr>
      <w:r>
        <w:rPr>
          <w:rFonts w:ascii="Arial" w:cs="Arial" w:eastAsia="Arial" w:hAnsi="Arial"/>
          <w:sz w:val="13"/>
          <w:szCs w:val="13"/>
          <w:b w:val="1"/>
          <w:bCs w:val="1"/>
          <w:color w:val="auto"/>
        </w:rPr>
        <w:t>AbbVie</w:t>
      </w:r>
      <w:r>
        <w:rPr>
          <w:sz w:val="20"/>
          <w:szCs w:val="20"/>
          <w:color w:val="auto"/>
        </w:rPr>
        <w:tab/>
      </w:r>
      <w:r>
        <w:rPr>
          <w:rFonts w:ascii="Arial" w:cs="Arial" w:eastAsia="Arial" w:hAnsi="Arial"/>
          <w:sz w:val="13"/>
          <w:szCs w:val="13"/>
          <w:b w:val="1"/>
          <w:bCs w:val="1"/>
          <w:color w:val="auto"/>
        </w:rPr>
        <w:t>S&amp;P 500</w:t>
      </w:r>
      <w:r>
        <w:rPr>
          <w:sz w:val="20"/>
          <w:szCs w:val="20"/>
          <w:color w:val="auto"/>
        </w:rPr>
        <w:tab/>
      </w:r>
      <w:r>
        <w:rPr>
          <w:rFonts w:ascii="Arial" w:cs="Arial" w:eastAsia="Arial" w:hAnsi="Arial"/>
          <w:sz w:val="13"/>
          <w:szCs w:val="13"/>
          <w:b w:val="1"/>
          <w:bCs w:val="1"/>
          <w:color w:val="auto"/>
        </w:rPr>
        <w:t>NYSE Arca Pharma Index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602615</wp:posOffset>
                </wp:positionH>
                <wp:positionV relativeFrom="paragraph">
                  <wp:posOffset>-83185</wp:posOffset>
                </wp:positionV>
                <wp:extent cx="275590" cy="14478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144780"/>
                        </a:xfrm>
                        <a:prstGeom prst="rect">
                          <a:avLst/>
                        </a:prstGeom>
                        <a:solidFill>
                          <a:srgbClr val="000039"/>
                        </a:solidFill>
                      </wps:spPr>
                      <wps:bodyPr/>
                    </wps:wsp>
                  </a:graphicData>
                </a:graphic>
              </wp:anchor>
            </w:drawing>
          </mc:Choice>
          <mc:Fallback>
            <w:pict>
              <v:rect id="Shape 434" o:spid="_x0000_s1459" style="position:absolute;margin-left:47.45pt;margin-top:-6.5499pt;width:21.7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1791970</wp:posOffset>
                </wp:positionH>
                <wp:positionV relativeFrom="paragraph">
                  <wp:posOffset>-83185</wp:posOffset>
                </wp:positionV>
                <wp:extent cx="282575" cy="14478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 cy="144780"/>
                        </a:xfrm>
                        <a:prstGeom prst="rect">
                          <a:avLst/>
                        </a:prstGeom>
                        <a:solidFill>
                          <a:srgbClr val="000039"/>
                        </a:solidFill>
                      </wps:spPr>
                      <wps:bodyPr/>
                    </wps:wsp>
                  </a:graphicData>
                </a:graphic>
              </wp:anchor>
            </w:drawing>
          </mc:Choice>
          <mc:Fallback>
            <w:pict>
              <v:rect id="Shape 435" o:spid="_x0000_s1460" style="position:absolute;margin-left:141.1pt;margin-top:-6.5499pt;width:22.2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2093595</wp:posOffset>
                </wp:positionH>
                <wp:positionV relativeFrom="paragraph">
                  <wp:posOffset>-83185</wp:posOffset>
                </wp:positionV>
                <wp:extent cx="280035" cy="14478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035" cy="144780"/>
                        </a:xfrm>
                        <a:prstGeom prst="rect">
                          <a:avLst/>
                        </a:prstGeom>
                        <a:solidFill>
                          <a:srgbClr val="000039"/>
                        </a:solidFill>
                      </wps:spPr>
                      <wps:bodyPr/>
                    </wps:wsp>
                  </a:graphicData>
                </a:graphic>
              </wp:anchor>
            </w:drawing>
          </mc:Choice>
          <mc:Fallback>
            <w:pict>
              <v:rect id="Shape 436" o:spid="_x0000_s1461" style="position:absolute;margin-left:164.85pt;margin-top:-6.5499pt;width:22.0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2392680</wp:posOffset>
                </wp:positionH>
                <wp:positionV relativeFrom="paragraph">
                  <wp:posOffset>-83185</wp:posOffset>
                </wp:positionV>
                <wp:extent cx="278130" cy="14478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4780"/>
                        </a:xfrm>
                        <a:prstGeom prst="rect">
                          <a:avLst/>
                        </a:prstGeom>
                        <a:solidFill>
                          <a:srgbClr val="000039"/>
                        </a:solidFill>
                      </wps:spPr>
                      <wps:bodyPr/>
                    </wps:wsp>
                  </a:graphicData>
                </a:graphic>
              </wp:anchor>
            </w:drawing>
          </mc:Choice>
          <mc:Fallback>
            <w:pict>
              <v:rect id="Shape 437" o:spid="_x0000_s1462" style="position:absolute;margin-left:188.4pt;margin-top:-6.5499pt;width:21.9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2689860</wp:posOffset>
                </wp:positionH>
                <wp:positionV relativeFrom="paragraph">
                  <wp:posOffset>-83185</wp:posOffset>
                </wp:positionV>
                <wp:extent cx="288290" cy="14478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 cy="144780"/>
                        </a:xfrm>
                        <a:prstGeom prst="rect">
                          <a:avLst/>
                        </a:prstGeom>
                        <a:solidFill>
                          <a:srgbClr val="BFBFBF"/>
                        </a:solidFill>
                      </wps:spPr>
                      <wps:bodyPr/>
                    </wps:wsp>
                  </a:graphicData>
                </a:graphic>
              </wp:anchor>
            </w:drawing>
          </mc:Choice>
          <mc:Fallback>
            <w:pict>
              <v:rect id="Shape 438" o:spid="_x0000_s1463" style="position:absolute;margin-left:211.8pt;margin-top:-6.5499pt;width:22.7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-83185</wp:posOffset>
                </wp:positionV>
                <wp:extent cx="287020" cy="14478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020" cy="144780"/>
                        </a:xfrm>
                        <a:prstGeom prst="rect">
                          <a:avLst/>
                        </a:prstGeom>
                        <a:solidFill>
                          <a:srgbClr val="000039"/>
                        </a:solidFill>
                      </wps:spPr>
                      <wps:bodyPr/>
                    </wps:wsp>
                  </a:graphicData>
                </a:graphic>
              </wp:anchor>
            </w:drawing>
          </mc:Choice>
          <mc:Fallback>
            <w:pict>
              <v:rect id="Shape 439" o:spid="_x0000_s1464" style="position:absolute;margin-left:0pt;margin-top:-6.5499pt;width:22.6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295910</wp:posOffset>
                </wp:positionH>
                <wp:positionV relativeFrom="paragraph">
                  <wp:posOffset>-83185</wp:posOffset>
                </wp:positionV>
                <wp:extent cx="0" cy="14478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pt,-6.5499pt" to="23.3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306070</wp:posOffset>
                </wp:positionH>
                <wp:positionV relativeFrom="paragraph">
                  <wp:posOffset>-83185</wp:posOffset>
                </wp:positionV>
                <wp:extent cx="277495" cy="14478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4780"/>
                        </a:xfrm>
                        <a:prstGeom prst="rect">
                          <a:avLst/>
                        </a:prstGeom>
                        <a:solidFill>
                          <a:srgbClr val="000039"/>
                        </a:solidFill>
                      </wps:spPr>
                      <wps:bodyPr/>
                    </wps:wsp>
                  </a:graphicData>
                </a:graphic>
              </wp:anchor>
            </w:drawing>
          </mc:Choice>
          <mc:Fallback>
            <w:pict>
              <v:rect id="Shape 441" o:spid="_x0000_s1466" style="position:absolute;margin-left:24.1pt;margin-top:-6.5499pt;width:21.8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592455</wp:posOffset>
                </wp:positionH>
                <wp:positionV relativeFrom="paragraph">
                  <wp:posOffset>-83185</wp:posOffset>
                </wp:positionV>
                <wp:extent cx="0" cy="14478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5pt,-6.5499pt" to="46.65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897255</wp:posOffset>
                </wp:positionH>
                <wp:positionV relativeFrom="paragraph">
                  <wp:posOffset>-83185</wp:posOffset>
                </wp:positionV>
                <wp:extent cx="277495" cy="14478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144780"/>
                        </a:xfrm>
                        <a:prstGeom prst="rect">
                          <a:avLst/>
                        </a:prstGeom>
                        <a:solidFill>
                          <a:srgbClr val="000039"/>
                        </a:solidFill>
                      </wps:spPr>
                      <wps:bodyPr/>
                    </wps:wsp>
                  </a:graphicData>
                </a:graphic>
              </wp:anchor>
            </w:drawing>
          </mc:Choice>
          <mc:Fallback>
            <w:pict>
              <v:rect id="Shape 443" o:spid="_x0000_s1468" style="position:absolute;margin-left:70.65pt;margin-top:-6.5499pt;width:21.8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1183640</wp:posOffset>
                </wp:positionH>
                <wp:positionV relativeFrom="paragraph">
                  <wp:posOffset>-83185</wp:posOffset>
                </wp:positionV>
                <wp:extent cx="0" cy="14478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pt,-6.5499pt" to="93.2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1193800</wp:posOffset>
                </wp:positionH>
                <wp:positionV relativeFrom="paragraph">
                  <wp:posOffset>-83185</wp:posOffset>
                </wp:positionV>
                <wp:extent cx="281940" cy="14478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 cy="144780"/>
                        </a:xfrm>
                        <a:prstGeom prst="rect">
                          <a:avLst/>
                        </a:prstGeom>
                        <a:solidFill>
                          <a:srgbClr val="000039"/>
                        </a:solidFill>
                      </wps:spPr>
                      <wps:bodyPr/>
                    </wps:wsp>
                  </a:graphicData>
                </a:graphic>
              </wp:anchor>
            </w:drawing>
          </mc:Choice>
          <mc:Fallback>
            <w:pict>
              <v:rect id="Shape 445" o:spid="_x0000_s1470" style="position:absolute;margin-left:94pt;margin-top:-6.5499pt;width:22.2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1484630</wp:posOffset>
                </wp:positionH>
                <wp:positionV relativeFrom="paragraph">
                  <wp:posOffset>-83185</wp:posOffset>
                </wp:positionV>
                <wp:extent cx="0" cy="14478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9pt,-6.5499pt" to="116.9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1494790</wp:posOffset>
                </wp:positionH>
                <wp:positionV relativeFrom="paragraph">
                  <wp:posOffset>-83185</wp:posOffset>
                </wp:positionV>
                <wp:extent cx="278130" cy="14478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 cy="144780"/>
                        </a:xfrm>
                        <a:prstGeom prst="rect">
                          <a:avLst/>
                        </a:prstGeom>
                        <a:solidFill>
                          <a:srgbClr val="000039"/>
                        </a:solidFill>
                      </wps:spPr>
                      <wps:bodyPr/>
                    </wps:wsp>
                  </a:graphicData>
                </a:graphic>
              </wp:anchor>
            </w:drawing>
          </mc:Choice>
          <mc:Fallback>
            <w:pict>
              <v:rect id="Shape 447" o:spid="_x0000_s1472" style="position:absolute;margin-left:117.7pt;margin-top:-6.5499pt;width:21.9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mc:AlternateContent>
          <mc:Choice Requires="wps">
            <w:drawing>
              <wp:anchor simplePos="0" relativeHeight="251657728" behindDoc="1" locked="0" layoutInCell="0" allowOverlap="1">
                <wp:simplePos x="0" y="0"/>
                <wp:positionH relativeFrom="column">
                  <wp:posOffset>1781810</wp:posOffset>
                </wp:positionH>
                <wp:positionV relativeFrom="paragraph">
                  <wp:posOffset>-83185</wp:posOffset>
                </wp:positionV>
                <wp:extent cx="0" cy="14478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3pt,-6.5499pt" to="140.3pt,4.85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3218815</wp:posOffset>
                </wp:positionH>
                <wp:positionV relativeFrom="paragraph">
                  <wp:posOffset>-83185</wp:posOffset>
                </wp:positionV>
                <wp:extent cx="0" cy="429895"/>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989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45pt,-6.5499pt" to="253.45pt,27.3pt" o:allowincell="f" strokecolor="#000039" strokeweight="1.5pt"/>
            </w:pict>
          </mc:Fallback>
        </mc:AlternateContent>
      </w:r>
    </w:p>
    <w:p>
      <w:pPr>
        <w:spacing w:after="0" w:line="79" w:lineRule="exact"/>
        <w:rPr>
          <w:sz w:val="20"/>
          <w:szCs w:val="20"/>
          <w:color w:val="auto"/>
        </w:rPr>
      </w:pPr>
    </w:p>
    <w:p>
      <w:pPr>
        <w:spacing w:after="0"/>
        <w:rPr>
          <w:sz w:val="20"/>
          <w:szCs w:val="20"/>
          <w:color w:val="auto"/>
        </w:rPr>
      </w:pPr>
      <w:r>
        <w:rPr>
          <w:rFonts w:ascii="Arial" w:cs="Arial" w:eastAsia="Arial" w:hAnsi="Arial"/>
          <w:sz w:val="32"/>
          <w:szCs w:val="32"/>
          <w:b w:val="1"/>
          <w:bCs w:val="1"/>
          <w:color w:val="000039"/>
        </w:rPr>
        <w:t>2</w:t>
      </w:r>
      <w:r>
        <w:rPr>
          <w:rFonts w:ascii="Arial" w:cs="Arial" w:eastAsia="Arial" w:hAnsi="Arial"/>
          <w:sz w:val="42"/>
          <w:szCs w:val="42"/>
          <w:b w:val="1"/>
          <w:bCs w:val="1"/>
          <w:color w:val="000039"/>
          <w:vertAlign w:val="superscript"/>
        </w:rPr>
        <w:t>nd</w:t>
      </w:r>
      <w:r>
        <w:rPr>
          <w:rFonts w:ascii="Arial" w:cs="Arial" w:eastAsia="Arial" w:hAnsi="Arial"/>
          <w:sz w:val="32"/>
          <w:szCs w:val="32"/>
          <w:b w:val="1"/>
          <w:bCs w:val="1"/>
          <w:color w:val="000039"/>
        </w:rPr>
        <w:t xml:space="preserve"> </w:t>
      </w:r>
      <w:r>
        <w:rPr>
          <w:rFonts w:ascii="Arial" w:cs="Arial" w:eastAsia="Arial" w:hAnsi="Arial"/>
          <w:sz w:val="20"/>
          <w:szCs w:val="20"/>
          <w:color w:val="000000"/>
        </w:rPr>
        <w:t>place out of 10</w:t>
      </w:r>
    </w:p>
    <w:p>
      <w:pPr>
        <w:spacing w:after="0" w:line="109" w:lineRule="exact"/>
        <w:rPr>
          <w:sz w:val="20"/>
          <w:szCs w:val="20"/>
          <w:color w:val="auto"/>
        </w:rPr>
      </w:pPr>
    </w:p>
    <w:p>
      <w:pPr>
        <w:ind w:right="840"/>
        <w:spacing w:after="0" w:line="253" w:lineRule="auto"/>
        <w:rPr>
          <w:sz w:val="20"/>
          <w:szCs w:val="20"/>
          <w:color w:val="auto"/>
        </w:rPr>
      </w:pPr>
      <w:r>
        <w:rPr>
          <w:rFonts w:ascii="Arial" w:cs="Arial" w:eastAsia="Arial" w:hAnsi="Arial"/>
          <w:sz w:val="16"/>
          <w:szCs w:val="16"/>
          <w:b w:val="1"/>
          <w:bCs w:val="1"/>
          <w:color w:val="auto"/>
        </w:rPr>
        <w:t xml:space="preserve">AbbVie’s peer group above includes: </w:t>
      </w:r>
      <w:r>
        <w:rPr>
          <w:rFonts w:ascii="Arial" w:cs="Arial" w:eastAsia="Arial" w:hAnsi="Arial"/>
          <w:sz w:val="16"/>
          <w:szCs w:val="16"/>
          <w:color w:val="auto"/>
        </w:rPr>
        <w:t>Amgen, Inc; Bristol-Myers Squibb Company; Eli Lilly and Company; Gilead Sciences, Inc.;</w:t>
      </w:r>
      <w:r>
        <w:rPr>
          <w:rFonts w:ascii="Arial" w:cs="Arial" w:eastAsia="Arial" w:hAnsi="Arial"/>
          <w:sz w:val="16"/>
          <w:szCs w:val="16"/>
          <w:b w:val="1"/>
          <w:bCs w:val="1"/>
          <w:color w:val="auto"/>
        </w:rPr>
        <w:t xml:space="preserve"> </w:t>
      </w:r>
      <w:r>
        <w:rPr>
          <w:rFonts w:ascii="Arial" w:cs="Arial" w:eastAsia="Arial" w:hAnsi="Arial"/>
          <w:sz w:val="16"/>
          <w:szCs w:val="16"/>
          <w:color w:val="auto"/>
        </w:rPr>
        <w:t>GlaxoSmithKline plc; Johnson &amp; Johnson; Merck &amp; Company, Inc; Novartis AG; and Pfizer Inc. TSR measured as of 12/31/25.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34  </w:t>
      </w:r>
      <w:r>
        <w:rPr>
          <w:sz w:val="1"/>
          <w:szCs w:val="1"/>
          <w:color w:val="auto"/>
        </w:rPr>
        <w:drawing>
          <wp:inline distT="0" distB="0" distL="0" distR="0">
            <wp:extent cx="991870" cy="20066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204">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STOCKHOLDER RETURN (TSR)</w:t>
      </w:r>
    </w:p>
    <w:p>
      <w:pPr>
        <w:spacing w:after="0" w:line="123"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Over the last decade, AbbVie has delivered a total stockholder return of 485%, which places AbbVie in the top tier of its Health Care Peers and surpasses the cumulative total returns of the Standard &amp; Poor’s 500 Index and the NYSE Arca Pharmaceutical Index. The following graph covers the period from December 31, 2015 through December 31, 2025. This graph assumes $100 was invested in AbbVie common stock and each index on December 31, 2015 and also assumes the reinvestment of dividends. The stock price performance in the following graph is not necessarily indicative of future stock price performance.</w:t>
      </w:r>
    </w:p>
    <w:p>
      <w:pPr>
        <w:spacing w:after="0" w:line="67"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Comparison of Cumulative Total Stockholder Return – Last Ten Years</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-52070</wp:posOffset>
            </wp:positionV>
            <wp:extent cx="5908040" cy="24371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205">
                      <a:extLst>
                        <a:ext uri="{28A0092B-C50C-407E-A947-70E740481C1C}"/>
                      </a:extLst>
                    </a:blip>
                    <a:srcRect/>
                    <a:stretch>
                      <a:fillRect/>
                    </a:stretch>
                  </pic:blipFill>
                  <pic:spPr bwMode="auto">
                    <a:xfrm>
                      <a:off x="0" y="0"/>
                      <a:ext cx="5908040" cy="24371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$500</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$400</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$300</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$200</w:t>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p>
    <w:tbl>
      <w:tblPr>
        <w:tblLayout w:type="fixed"/>
        <w:tblInd w:w="240" w:type="dxa"/>
        <w:tblCellMar>
          <w:top w:w="0" w:type="dxa"/>
          <w:left w:w="0" w:type="dxa"/>
          <w:bottom w:w="0" w:type="dxa"/>
          <w:right w:w="0" w:type="dxa"/>
        </w:tblCellMar>
      </w:tblPr>
      <w:tr>
        <w:trPr>
          <w:trHeight w:val="682"/>
        </w:trPr>
        <w:tc>
          <w:tcPr>
            <w:tcW w:w="300" w:type="dxa"/>
            <w:vAlign w:val="bottom"/>
            <w:vMerge w:val="restart"/>
          </w:tcPr>
          <w:p>
            <w:pPr>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808080"/>
              <w:right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3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0" w:type="dxa"/>
            <w:vAlign w:val="bottom"/>
            <w:gridSpan w:val="3"/>
          </w:tcPr>
          <w:p>
            <w:pPr>
              <w:ind w:left="20"/>
              <w:spacing w:after="0"/>
              <w:rPr>
                <w:sz w:val="20"/>
                <w:szCs w:val="20"/>
                <w:color w:val="auto"/>
              </w:rPr>
            </w:pPr>
            <w:r>
              <w:rPr>
                <w:rFonts w:ascii="Arial" w:cs="Arial" w:eastAsia="Arial" w:hAnsi="Arial"/>
                <w:sz w:val="17"/>
                <w:szCs w:val="17"/>
                <w:color w:val="auto"/>
              </w:rPr>
              <w:t>12/31/15</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12/31/16</w:t>
            </w:r>
          </w:p>
        </w:tc>
        <w:tc>
          <w:tcPr>
            <w:tcW w:w="960" w:type="dxa"/>
            <w:vAlign w:val="bottom"/>
            <w:gridSpan w:val="2"/>
          </w:tcPr>
          <w:p>
            <w:pPr>
              <w:jc w:val="right"/>
              <w:ind w:right="38"/>
              <w:spacing w:after="0"/>
              <w:rPr>
                <w:sz w:val="20"/>
                <w:szCs w:val="20"/>
                <w:color w:val="auto"/>
              </w:rPr>
            </w:pPr>
            <w:r>
              <w:rPr>
                <w:rFonts w:ascii="Arial" w:cs="Arial" w:eastAsia="Arial" w:hAnsi="Arial"/>
                <w:sz w:val="17"/>
                <w:szCs w:val="17"/>
                <w:color w:val="auto"/>
              </w:rPr>
              <w:t>12/31/17</w:t>
            </w:r>
          </w:p>
        </w:tc>
        <w:tc>
          <w:tcPr>
            <w:tcW w:w="900" w:type="dxa"/>
            <w:vAlign w:val="bottom"/>
          </w:tcPr>
          <w:p>
            <w:pPr>
              <w:jc w:val="right"/>
              <w:ind w:right="33"/>
              <w:spacing w:after="0"/>
              <w:rPr>
                <w:sz w:val="20"/>
                <w:szCs w:val="20"/>
                <w:color w:val="auto"/>
              </w:rPr>
            </w:pPr>
            <w:r>
              <w:rPr>
                <w:rFonts w:ascii="Arial" w:cs="Arial" w:eastAsia="Arial" w:hAnsi="Arial"/>
                <w:sz w:val="17"/>
                <w:szCs w:val="17"/>
                <w:color w:val="auto"/>
              </w:rPr>
              <w:t>12/31/18</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12/31/19</w:t>
            </w:r>
          </w:p>
        </w:tc>
        <w:tc>
          <w:tcPr>
            <w:tcW w:w="920" w:type="dxa"/>
            <w:vAlign w:val="bottom"/>
          </w:tcPr>
          <w:p>
            <w:pPr>
              <w:jc w:val="right"/>
              <w:ind w:right="33"/>
              <w:spacing w:after="0"/>
              <w:rPr>
                <w:sz w:val="20"/>
                <w:szCs w:val="20"/>
                <w:color w:val="auto"/>
              </w:rPr>
            </w:pPr>
            <w:r>
              <w:rPr>
                <w:rFonts w:ascii="Arial" w:cs="Arial" w:eastAsia="Arial" w:hAnsi="Arial"/>
                <w:sz w:val="17"/>
                <w:szCs w:val="17"/>
                <w:color w:val="auto"/>
              </w:rPr>
              <w:t>12/31/20</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12/31/21</w:t>
            </w:r>
          </w:p>
        </w:tc>
        <w:tc>
          <w:tcPr>
            <w:tcW w:w="920" w:type="dxa"/>
            <w:vAlign w:val="bottom"/>
          </w:tcPr>
          <w:p>
            <w:pPr>
              <w:jc w:val="right"/>
              <w:ind w:right="33"/>
              <w:spacing w:after="0"/>
              <w:rPr>
                <w:sz w:val="20"/>
                <w:szCs w:val="20"/>
                <w:color w:val="auto"/>
              </w:rPr>
            </w:pPr>
            <w:r>
              <w:rPr>
                <w:rFonts w:ascii="Arial" w:cs="Arial" w:eastAsia="Arial" w:hAnsi="Arial"/>
                <w:sz w:val="17"/>
                <w:szCs w:val="17"/>
                <w:color w:val="auto"/>
              </w:rPr>
              <w:t>12/31/22</w:t>
            </w:r>
          </w:p>
        </w:tc>
        <w:tc>
          <w:tcPr>
            <w:tcW w:w="900" w:type="dxa"/>
            <w:vAlign w:val="bottom"/>
          </w:tcPr>
          <w:p>
            <w:pPr>
              <w:jc w:val="right"/>
              <w:ind w:right="13"/>
              <w:spacing w:after="0"/>
              <w:rPr>
                <w:sz w:val="20"/>
                <w:szCs w:val="20"/>
                <w:color w:val="auto"/>
              </w:rPr>
            </w:pPr>
            <w:r>
              <w:rPr>
                <w:rFonts w:ascii="Arial" w:cs="Arial" w:eastAsia="Arial" w:hAnsi="Arial"/>
                <w:sz w:val="17"/>
                <w:szCs w:val="17"/>
                <w:color w:val="auto"/>
              </w:rPr>
              <w:t>12/31/23</w:t>
            </w:r>
          </w:p>
        </w:tc>
        <w:tc>
          <w:tcPr>
            <w:tcW w:w="920" w:type="dxa"/>
            <w:vAlign w:val="bottom"/>
          </w:tcPr>
          <w:p>
            <w:pPr>
              <w:jc w:val="right"/>
              <w:ind w:right="33"/>
              <w:spacing w:after="0"/>
              <w:rPr>
                <w:sz w:val="20"/>
                <w:szCs w:val="20"/>
                <w:color w:val="auto"/>
              </w:rPr>
            </w:pPr>
            <w:r>
              <w:rPr>
                <w:rFonts w:ascii="Arial" w:cs="Arial" w:eastAsia="Arial" w:hAnsi="Arial"/>
                <w:sz w:val="17"/>
                <w:szCs w:val="17"/>
                <w:color w:val="auto"/>
              </w:rPr>
              <w:t>12/31/24</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12/31/25</w:t>
            </w:r>
          </w:p>
        </w:tc>
        <w:tc>
          <w:tcPr>
            <w:tcW w:w="0" w:type="dxa"/>
            <w:vAlign w:val="bottom"/>
          </w:tcPr>
          <w:p>
            <w:pPr>
              <w:spacing w:after="0"/>
              <w:rPr>
                <w:sz w:val="1"/>
                <w:szCs w:val="1"/>
                <w:color w:val="auto"/>
              </w:rPr>
            </w:pPr>
          </w:p>
        </w:tc>
      </w:tr>
      <w:tr>
        <w:trPr>
          <w:trHeight w:val="348"/>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bottom w:val="single" w:sz="8" w:color="000039"/>
            </w:tcBorders>
          </w:tcPr>
          <w:p>
            <w:pPr>
              <w:spacing w:after="0"/>
              <w:rPr>
                <w:sz w:val="24"/>
                <w:szCs w:val="24"/>
                <w:color w:val="auto"/>
              </w:rPr>
            </w:pPr>
          </w:p>
        </w:tc>
        <w:tc>
          <w:tcPr>
            <w:tcW w:w="140" w:type="dxa"/>
            <w:vAlign w:val="bottom"/>
            <w:tcBorders>
              <w:bottom w:val="single" w:sz="8" w:color="000039"/>
            </w:tcBorders>
          </w:tcPr>
          <w:p>
            <w:pPr>
              <w:spacing w:after="0"/>
              <w:rPr>
                <w:sz w:val="24"/>
                <w:szCs w:val="24"/>
                <w:color w:val="auto"/>
              </w:rPr>
            </w:pPr>
          </w:p>
        </w:tc>
        <w:tc>
          <w:tcPr>
            <w:tcW w:w="160" w:type="dxa"/>
            <w:vAlign w:val="bottom"/>
            <w:tcBorders>
              <w:bottom w:val="single" w:sz="8" w:color="000039"/>
            </w:tcBorders>
          </w:tcPr>
          <w:p>
            <w:pPr>
              <w:spacing w:after="0"/>
              <w:rPr>
                <w:sz w:val="24"/>
                <w:szCs w:val="24"/>
                <w:color w:val="auto"/>
              </w:rPr>
            </w:pPr>
          </w:p>
        </w:tc>
        <w:tc>
          <w:tcPr>
            <w:tcW w:w="1700" w:type="dxa"/>
            <w:vAlign w:val="bottom"/>
            <w:gridSpan w:val="2"/>
          </w:tcPr>
          <w:p>
            <w:pPr>
              <w:jc w:val="right"/>
              <w:ind w:right="673"/>
              <w:spacing w:after="0"/>
              <w:rPr>
                <w:sz w:val="20"/>
                <w:szCs w:val="20"/>
                <w:color w:val="auto"/>
              </w:rPr>
            </w:pPr>
            <w:r>
              <w:rPr>
                <w:rFonts w:ascii="Arial" w:cs="Arial" w:eastAsia="Arial" w:hAnsi="Arial"/>
                <w:sz w:val="16"/>
                <w:szCs w:val="16"/>
                <w:color w:val="auto"/>
              </w:rPr>
              <w:t>AbbVie Inc.</w:t>
            </w:r>
          </w:p>
        </w:tc>
        <w:tc>
          <w:tcPr>
            <w:tcW w:w="1840" w:type="dxa"/>
            <w:vAlign w:val="bottom"/>
            <w:gridSpan w:val="2"/>
          </w:tcPr>
          <w:p>
            <w:pPr>
              <w:jc w:val="right"/>
              <w:ind w:right="413"/>
              <w:spacing w:after="0"/>
              <w:rPr>
                <w:sz w:val="20"/>
                <w:szCs w:val="20"/>
                <w:color w:val="auto"/>
              </w:rPr>
            </w:pPr>
            <w:r>
              <w:rPr>
                <w:rFonts w:ascii="Arial" w:cs="Arial" w:eastAsia="Arial" w:hAnsi="Arial"/>
                <w:sz w:val="16"/>
                <w:szCs w:val="16"/>
                <w:color w:val="auto"/>
              </w:rPr>
              <w:t>S&amp;P 500 Index</w:t>
            </w:r>
          </w:p>
        </w:tc>
        <w:tc>
          <w:tcPr>
            <w:tcW w:w="3640" w:type="dxa"/>
            <w:vAlign w:val="bottom"/>
            <w:gridSpan w:val="4"/>
          </w:tcPr>
          <w:p>
            <w:pPr>
              <w:jc w:val="right"/>
              <w:ind w:right="653"/>
              <w:spacing w:after="0"/>
              <w:rPr>
                <w:sz w:val="20"/>
                <w:szCs w:val="20"/>
                <w:color w:val="auto"/>
              </w:rPr>
            </w:pPr>
            <w:r>
              <w:rPr>
                <w:rFonts w:ascii="Arial" w:cs="Arial" w:eastAsia="Arial" w:hAnsi="Arial"/>
                <w:sz w:val="16"/>
                <w:szCs w:val="16"/>
                <w:color w:val="auto"/>
              </w:rPr>
              <w:t>NYSE Arca Pharmaceutical Index</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951865</wp:posOffset>
                </wp:positionH>
                <wp:positionV relativeFrom="paragraph">
                  <wp:posOffset>-439420</wp:posOffset>
                </wp:positionV>
                <wp:extent cx="0" cy="3683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95pt,-34.5999pt" to="74.95pt,-31.6999pt" o:allowincell="f" strokecolor="#808080" strokeweight="0.8202pt"/>
            </w:pict>
          </mc:Fallback>
        </mc:AlternateContent>
        <mc:AlternateContent>
          <mc:Choice Requires="wps">
            <w:drawing>
              <wp:anchor simplePos="0" relativeHeight="251657728" behindDoc="1" locked="0" layoutInCell="0" allowOverlap="1">
                <wp:simplePos x="0" y="0"/>
                <wp:positionH relativeFrom="column">
                  <wp:posOffset>1530985</wp:posOffset>
                </wp:positionH>
                <wp:positionV relativeFrom="paragraph">
                  <wp:posOffset>-439420</wp:posOffset>
                </wp:positionV>
                <wp:extent cx="0" cy="3683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55pt,-34.5999pt" to="120.55pt,-31.6999pt" o:allowincell="f" strokecolor="#808080" strokeweight="0.8202pt"/>
            </w:pict>
          </mc:Fallback>
        </mc:AlternateContent>
        <mc:AlternateContent>
          <mc:Choice Requires="wps">
            <w:drawing>
              <wp:anchor simplePos="0" relativeHeight="251657728" behindDoc="1" locked="0" layoutInCell="0" allowOverlap="1">
                <wp:simplePos x="0" y="0"/>
                <wp:positionH relativeFrom="column">
                  <wp:posOffset>2110740</wp:posOffset>
                </wp:positionH>
                <wp:positionV relativeFrom="paragraph">
                  <wp:posOffset>-439420</wp:posOffset>
                </wp:positionV>
                <wp:extent cx="0" cy="3683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2pt,-34.5999pt" to="166.2pt,-31.6999pt" o:allowincell="f" strokecolor="#808080" strokeweight="0.8202pt"/>
            </w:pict>
          </mc:Fallback>
        </mc:AlternateContent>
        <mc:AlternateContent>
          <mc:Choice Requires="wps">
            <w:drawing>
              <wp:anchor simplePos="0" relativeHeight="251657728" behindDoc="1" locked="0" layoutInCell="0" allowOverlap="1">
                <wp:simplePos x="0" y="0"/>
                <wp:positionH relativeFrom="column">
                  <wp:posOffset>2690495</wp:posOffset>
                </wp:positionH>
                <wp:positionV relativeFrom="paragraph">
                  <wp:posOffset>-439420</wp:posOffset>
                </wp:positionV>
                <wp:extent cx="0" cy="3683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85pt,-34.5999pt" to="211.85pt,-31.6999pt" o:allowincell="f" strokecolor="#808080" strokeweight="0.8202pt"/>
            </w:pict>
          </mc:Fallback>
        </mc:AlternateContent>
        <mc:AlternateContent>
          <mc:Choice Requires="wps">
            <w:drawing>
              <wp:anchor simplePos="0" relativeHeight="251657728" behindDoc="1" locked="0" layoutInCell="0" allowOverlap="1">
                <wp:simplePos x="0" y="0"/>
                <wp:positionH relativeFrom="column">
                  <wp:posOffset>3269615</wp:posOffset>
                </wp:positionH>
                <wp:positionV relativeFrom="paragraph">
                  <wp:posOffset>-439420</wp:posOffset>
                </wp:positionV>
                <wp:extent cx="0" cy="3683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45pt,-34.5999pt" to="257.45pt,-31.6999pt" o:allowincell="f" strokecolor="#808080" strokeweight="0.8202pt"/>
            </w:pict>
          </mc:Fallback>
        </mc:AlternateContent>
        <mc:AlternateContent>
          <mc:Choice Requires="wps">
            <w:drawing>
              <wp:anchor simplePos="0" relativeHeight="251657728" behindDoc="1" locked="0" layoutInCell="0" allowOverlap="1">
                <wp:simplePos x="0" y="0"/>
                <wp:positionH relativeFrom="column">
                  <wp:posOffset>3849370</wp:posOffset>
                </wp:positionH>
                <wp:positionV relativeFrom="paragraph">
                  <wp:posOffset>-439420</wp:posOffset>
                </wp:positionV>
                <wp:extent cx="0" cy="3683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pt,-34.5999pt" to="303.1pt,-31.6999pt" o:allowincell="f" strokecolor="#808080" strokeweight="0.8202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-439420</wp:posOffset>
                </wp:positionV>
                <wp:extent cx="0" cy="3683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34.5999pt" to="348.75pt,-31.6999pt" o:allowincell="f" strokecolor="#808080" strokeweight="0.8202pt"/>
            </w:pict>
          </mc:Fallback>
        </mc:AlternateContent>
        <mc:AlternateContent>
          <mc:Choice Requires="wps">
            <w:drawing>
              <wp:anchor simplePos="0" relativeHeight="251657728" behindDoc="1" locked="0" layoutInCell="0" allowOverlap="1">
                <wp:simplePos x="0" y="0"/>
                <wp:positionH relativeFrom="column">
                  <wp:posOffset>5008245</wp:posOffset>
                </wp:positionH>
                <wp:positionV relativeFrom="paragraph">
                  <wp:posOffset>-439420</wp:posOffset>
                </wp:positionV>
                <wp:extent cx="0" cy="3683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35pt,-34.5999pt" to="394.35pt,-31.6999pt" o:allowincell="f" strokecolor="#808080" strokeweight="0.8202pt"/>
            </w:pict>
          </mc:Fallback>
        </mc:AlternateContent>
        <mc:AlternateContent>
          <mc:Choice Requires="wps">
            <w:drawing>
              <wp:anchor simplePos="0" relativeHeight="251657728" behindDoc="1" locked="0" layoutInCell="0" allowOverlap="1">
                <wp:simplePos x="0" y="0"/>
                <wp:positionH relativeFrom="column">
                  <wp:posOffset>5588000</wp:posOffset>
                </wp:positionH>
                <wp:positionV relativeFrom="paragraph">
                  <wp:posOffset>-439420</wp:posOffset>
                </wp:positionV>
                <wp:extent cx="0" cy="3683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pt,-34.5999pt" to="440pt,-31.6999pt" o:allowincell="f" strokecolor="#808080" strokeweight="0.8202pt"/>
            </w:pict>
          </mc:Fallback>
        </mc:AlternateContent>
        <mc:AlternateContent>
          <mc:Choice Requires="wps">
            <w:drawing>
              <wp:anchor simplePos="0" relativeHeight="251657728" behindDoc="1" locked="0" layoutInCell="0" allowOverlap="1">
                <wp:simplePos x="0" y="0"/>
                <wp:positionH relativeFrom="column">
                  <wp:posOffset>6167755</wp:posOffset>
                </wp:positionH>
                <wp:positionV relativeFrom="paragraph">
                  <wp:posOffset>-439420</wp:posOffset>
                </wp:positionV>
                <wp:extent cx="0" cy="3683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830"/>
                        </a:xfrm>
                        <a:prstGeom prst="line">
                          <a:avLst/>
                        </a:prstGeom>
                        <a:solidFill>
                          <a:srgbClr val="FFFFFF"/>
                        </a:solidFill>
                        <a:ln w="10416">
                          <a:solidFill>
                            <a:srgbClr val="80808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65pt,-34.5999pt" to="485.65pt,-31.6999pt" o:allowincell="f" strokecolor="#808080" strokeweight="0.8202pt"/>
            </w:pict>
          </mc:Fallback>
        </mc:AlternateContent>
        <w:drawing>
          <wp:anchor simplePos="0" relativeHeight="251657728" behindDoc="1" locked="0" layoutInCell="0" allowOverlap="1">
            <wp:simplePos x="0" y="0"/>
            <wp:positionH relativeFrom="column">
              <wp:posOffset>2188210</wp:posOffset>
            </wp:positionH>
            <wp:positionV relativeFrom="paragraph">
              <wp:posOffset>-92710</wp:posOffset>
            </wp:positionV>
            <wp:extent cx="314960" cy="1060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206">
                      <a:extLst>
                        <a:ext uri="{28A0092B-C50C-407E-A947-70E740481C1C}"/>
                      </a:extLst>
                    </a:blip>
                    <a:srcRect/>
                    <a:stretch>
                      <a:fillRect/>
                    </a:stretch>
                  </pic:blipFill>
                  <pic:spPr bwMode="auto">
                    <a:xfrm>
                      <a:off x="0" y="0"/>
                      <a:ext cx="314960" cy="10604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-93980</wp:posOffset>
            </wp:positionV>
            <wp:extent cx="309245" cy="1073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207">
                      <a:extLst>
                        <a:ext uri="{28A0092B-C50C-407E-A947-70E740481C1C}"/>
                      </a:extLst>
                    </a:blip>
                    <a:srcRect/>
                    <a:stretch>
                      <a:fillRect/>
                    </a:stretch>
                  </pic:blipFill>
                  <pic:spPr bwMode="auto">
                    <a:xfrm>
                      <a:off x="0" y="0"/>
                      <a:ext cx="309245" cy="107315"/>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ENGAGEMENT</w:t>
      </w:r>
    </w:p>
    <w:p>
      <w:pPr>
        <w:spacing w:after="0" w:line="116"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2025 Say on Pay Results</w:t>
      </w:r>
    </w:p>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At our 2025 Annual Meeting, the say on pay proposal received support from 93.1% of our stockholders. The Board and compensation committee are encouraged by the continued, consistent stockholder support for our executive compensation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56"/>
          <w:szCs w:val="56"/>
          <w:color w:val="000039"/>
        </w:rPr>
        <w:t>93.1%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-463550</wp:posOffset>
                </wp:positionV>
                <wp:extent cx="1599565" cy="735965"/>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735965"/>
                        </a:xfrm>
                        <a:prstGeom prst="rect">
                          <a:avLst/>
                        </a:prstGeom>
                        <a:solidFill>
                          <a:srgbClr val="F1F1F1"/>
                        </a:solidFill>
                      </wps:spPr>
                      <wps:bodyPr/>
                    </wps:wsp>
                  </a:graphicData>
                </a:graphic>
              </wp:anchor>
            </w:drawing>
          </mc:Choice>
          <mc:Fallback>
            <w:pict>
              <v:rect id="Shape 464" o:spid="_x0000_s1489" style="position:absolute;margin-left:-13.9499pt;margin-top:-36.4999pt;width:125.95pt;height:5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mc:AlternateContent>
          <mc:Choice Requires="wps">
            <w:drawing>
              <wp:anchor simplePos="0" relativeHeight="251657728" behindDoc="1" locked="0" layoutInCell="0" allowOverlap="1">
                <wp:simplePos x="0" y="0"/>
                <wp:positionH relativeFrom="column">
                  <wp:posOffset>-177165</wp:posOffset>
                </wp:positionH>
                <wp:positionV relativeFrom="paragraph">
                  <wp:posOffset>-398145</wp:posOffset>
                </wp:positionV>
                <wp:extent cx="1526540" cy="605155"/>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6540" cy="605155"/>
                        </a:xfrm>
                        <a:prstGeom prst="rect">
                          <a:avLst/>
                        </a:prstGeom>
                        <a:solidFill>
                          <a:srgbClr val="F1F1F1"/>
                        </a:solidFill>
                      </wps:spPr>
                      <wps:bodyPr/>
                    </wps:wsp>
                  </a:graphicData>
                </a:graphic>
              </wp:anchor>
            </w:drawing>
          </mc:Choice>
          <mc:Fallback>
            <w:pict>
              <v:rect id="Shape 465" o:spid="_x0000_s1490" style="position:absolute;margin-left:-13.9499pt;margin-top:-31.3499pt;width:120.2pt;height:47.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1" stroked="f"/>
            </w:pict>
          </mc:Fallback>
        </mc:AlternateConten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b w:val="1"/>
          <w:bCs w:val="1"/>
          <w:color w:val="000039"/>
        </w:rPr>
        <w:t>Say on Pay Results</w:t>
      </w:r>
    </w:p>
    <w:p>
      <w:pPr>
        <w:spacing w:after="0" w:line="261" w:lineRule="exact"/>
        <w:rPr>
          <w:sz w:val="20"/>
          <w:szCs w:val="20"/>
          <w:color w:val="auto"/>
        </w:rPr>
      </w:pPr>
    </w:p>
    <w:p>
      <w:pPr>
        <w:sectPr>
          <w:pgSz w:w="11880" w:h="15480" w:orient="portrait"/>
          <w:cols w:equalWidth="0" w:num="2">
            <w:col w:w="7320" w:space="520"/>
            <w:col w:w="2240"/>
          </w:cols>
          <w:pgMar w:left="900" w:top="702" w:right="900" w:bottom="0" w:gutter="0" w:footer="0" w:header="0"/>
          <w:type w:val="continuous"/>
        </w:sectPr>
      </w:pPr>
    </w:p>
    <w:p>
      <w:pPr>
        <w:spacing w:after="0" w:line="6"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AbbVie is committed to regular, ongoing engagement with stockholders to ensure that we continue to understand stockholder feedback about our compensation program and incorporate that feedback into the compensation decision-making process. To that end, in 2025 AbbVie reached out to stockholders representing over 45% of the company’s outstanding shares.</w:t>
      </w:r>
    </w:p>
    <w:p>
      <w:pPr>
        <w:spacing w:after="0" w:line="6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these discussions, the aggregate feedback acknowledged the alignment of our executives’ pay with AbbVie’s performance and expressed support for our compensation program, consistent with the level of stockholder support for our say on pay proposals since inception. The feedback informs the compensation committee’s continuous assessment of the program design and ongoing discussions with stockholders, which contribute to the evolution of the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208">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type w:val="continuous"/>
        </w:sectPr>
      </w:pPr>
    </w:p>
    <w:bookmarkStart w:id="164" w:name="page165"/>
    <w:bookmarkEnd w:id="164"/>
    <w:p>
      <w:pPr>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PROGRAM GOVERNANCE SUMMARY</w:t>
      </w:r>
    </w:p>
    <w:p>
      <w:pPr>
        <w:spacing w:after="0" w:line="123"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color w:val="auto"/>
        </w:rPr>
        <w:t>In addition to strong alignment of pay with the performance of the company and our NEOs, we maintain and are committed to good governance practices, including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118745</wp:posOffset>
                </wp:positionV>
                <wp:extent cx="76200" cy="574548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 cy="5745480"/>
                        </a:xfrm>
                        <a:prstGeom prst="rect">
                          <a:avLst/>
                        </a:prstGeom>
                        <a:solidFill>
                          <a:srgbClr val="000039"/>
                        </a:solidFill>
                      </wps:spPr>
                      <wps:bodyPr/>
                    </wps:wsp>
                  </a:graphicData>
                </a:graphic>
              </wp:anchor>
            </w:drawing>
          </mc:Choice>
          <mc:Fallback>
            <w:pict>
              <v:rect id="Shape 467" o:spid="_x0000_s1492" style="position:absolute;margin-left:-3pt;margin-top:9.35pt;width:6pt;height:45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39" stroked="f"/>
            </w:pict>
          </mc:Fallback>
        </mc:AlternateConten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28"/>
          <w:szCs w:val="28"/>
          <w:color w:val="auto"/>
        </w:rPr>
        <w:t>Good Governance Practices</w:t>
      </w:r>
    </w:p>
    <w:p>
      <w:pPr>
        <w:spacing w:after="0" w:line="86" w:lineRule="exact"/>
        <w:rPr>
          <w:sz w:val="20"/>
          <w:szCs w:val="20"/>
          <w:color w:val="auto"/>
        </w:rPr>
      </w:pPr>
    </w:p>
    <w:tbl>
      <w:tblPr>
        <w:tblLayout w:type="fixed"/>
        <w:tblInd w:w="240" w:type="dxa"/>
        <w:tblCellMar>
          <w:top w:w="0" w:type="dxa"/>
          <w:left w:w="0" w:type="dxa"/>
          <w:bottom w:w="0" w:type="dxa"/>
          <w:right w:w="0" w:type="dxa"/>
        </w:tblCellMar>
      </w:tblPr>
      <w:tr>
        <w:trPr>
          <w:trHeight w:val="350"/>
        </w:trPr>
        <w:tc>
          <w:tcPr>
            <w:tcW w:w="2280" w:type="dxa"/>
            <w:vAlign w:val="bottom"/>
            <w:tcBorders>
              <w:top w:val="single" w:sz="8" w:color="000039"/>
              <w:right w:val="single" w:sz="8" w:color="000039"/>
            </w:tcBorders>
          </w:tcPr>
          <w:p>
            <w:pPr>
              <w:spacing w:after="0"/>
              <w:rPr>
                <w:sz w:val="24"/>
                <w:szCs w:val="24"/>
                <w:color w:val="auto"/>
              </w:rPr>
            </w:pPr>
          </w:p>
        </w:tc>
        <w:tc>
          <w:tcPr>
            <w:tcW w:w="7560" w:type="dxa"/>
            <w:vAlign w:val="bottom"/>
            <w:tcBorders>
              <w:top w:val="single" w:sz="8" w:color="000039"/>
            </w:tcBorders>
          </w:tcPr>
          <w:p>
            <w:pPr>
              <w:ind w:left="180"/>
              <w:spacing w:after="0"/>
              <w:rPr>
                <w:sz w:val="20"/>
                <w:szCs w:val="20"/>
                <w:color w:val="auto"/>
              </w:rPr>
            </w:pPr>
            <w:r>
              <w:rPr>
                <w:rFonts w:ascii="Arial" w:cs="Arial" w:eastAsia="Arial" w:hAnsi="Arial"/>
                <w:sz w:val="19"/>
                <w:szCs w:val="19"/>
                <w:color w:val="auto"/>
              </w:rPr>
              <w:t>Annual incentive plan includes financial, operational, and strategic metrics to assess</w:t>
            </w:r>
          </w:p>
        </w:tc>
        <w:tc>
          <w:tcPr>
            <w:tcW w:w="0" w:type="dxa"/>
            <w:vAlign w:val="bottom"/>
          </w:tcPr>
          <w:p>
            <w:pPr>
              <w:spacing w:after="0"/>
              <w:rPr>
                <w:sz w:val="1"/>
                <w:szCs w:val="1"/>
                <w:color w:val="auto"/>
              </w:rPr>
            </w:pPr>
          </w:p>
        </w:tc>
      </w:tr>
      <w:tr>
        <w:trPr>
          <w:trHeight w:val="218"/>
        </w:trPr>
        <w:tc>
          <w:tcPr>
            <w:tcW w:w="2280" w:type="dxa"/>
            <w:vAlign w:val="bottom"/>
            <w:tcBorders>
              <w:right w:val="single" w:sz="8" w:color="000039"/>
            </w:tcBorders>
          </w:tcPr>
          <w:p>
            <w:pPr>
              <w:spacing w:after="0"/>
              <w:rPr>
                <w:sz w:val="18"/>
                <w:szCs w:val="18"/>
                <w:color w:val="auto"/>
              </w:rPr>
            </w:pPr>
          </w:p>
        </w:tc>
        <w:tc>
          <w:tcPr>
            <w:tcW w:w="7560" w:type="dxa"/>
            <w:vAlign w:val="bottom"/>
          </w:tcPr>
          <w:p>
            <w:pPr>
              <w:ind w:left="440"/>
              <w:spacing w:after="0"/>
              <w:rPr>
                <w:sz w:val="20"/>
                <w:szCs w:val="20"/>
                <w:color w:val="auto"/>
              </w:rPr>
            </w:pPr>
            <w:r>
              <w:rPr>
                <w:rFonts w:ascii="Arial" w:cs="Arial" w:eastAsia="Arial" w:hAnsi="Arial"/>
                <w:sz w:val="19"/>
                <w:szCs w:val="19"/>
                <w:color w:val="auto"/>
              </w:rPr>
              <w:t>performance</w:t>
            </w:r>
          </w:p>
        </w:tc>
        <w:tc>
          <w:tcPr>
            <w:tcW w:w="0" w:type="dxa"/>
            <w:vAlign w:val="bottom"/>
          </w:tcPr>
          <w:p>
            <w:pPr>
              <w:spacing w:after="0"/>
              <w:rPr>
                <w:sz w:val="1"/>
                <w:szCs w:val="1"/>
                <w:color w:val="auto"/>
              </w:rPr>
            </w:pPr>
          </w:p>
        </w:tc>
      </w:tr>
      <w:tr>
        <w:trPr>
          <w:trHeight w:val="295"/>
        </w:trPr>
        <w:tc>
          <w:tcPr>
            <w:tcW w:w="228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w w:val="99"/>
              </w:rPr>
              <w:t>Balanced Incentive</w:t>
            </w:r>
          </w:p>
        </w:tc>
        <w:tc>
          <w:tcPr>
            <w:tcW w:w="7560" w:type="dxa"/>
            <w:vAlign w:val="bottom"/>
          </w:tcPr>
          <w:p>
            <w:pPr>
              <w:ind w:left="180"/>
              <w:spacing w:after="0"/>
              <w:rPr>
                <w:sz w:val="20"/>
                <w:szCs w:val="20"/>
                <w:color w:val="auto"/>
              </w:rPr>
            </w:pPr>
            <w:r>
              <w:rPr>
                <w:rFonts w:ascii="Arial" w:cs="Arial" w:eastAsia="Arial" w:hAnsi="Arial"/>
                <w:sz w:val="19"/>
                <w:szCs w:val="19"/>
                <w:color w:val="auto"/>
              </w:rPr>
              <w:t>Annual incentive payout matrix used to define and cap the range for the committee’s</w:t>
            </w:r>
          </w:p>
        </w:tc>
        <w:tc>
          <w:tcPr>
            <w:tcW w:w="0" w:type="dxa"/>
            <w:vAlign w:val="bottom"/>
          </w:tcPr>
          <w:p>
            <w:pPr>
              <w:spacing w:after="0"/>
              <w:rPr>
                <w:sz w:val="1"/>
                <w:szCs w:val="1"/>
                <w:color w:val="auto"/>
              </w:rPr>
            </w:pPr>
          </w:p>
        </w:tc>
      </w:tr>
      <w:tr>
        <w:trPr>
          <w:trHeight w:val="142"/>
        </w:trPr>
        <w:tc>
          <w:tcPr>
            <w:tcW w:w="228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rPr>
              <w:t>Plan Design</w:t>
            </w:r>
          </w:p>
        </w:tc>
        <w:tc>
          <w:tcPr>
            <w:tcW w:w="7560" w:type="dxa"/>
            <w:vAlign w:val="bottom"/>
          </w:tcPr>
          <w:p>
            <w:pPr>
              <w:ind w:left="440"/>
              <w:spacing w:after="0" w:line="142" w:lineRule="exact"/>
              <w:rPr>
                <w:sz w:val="20"/>
                <w:szCs w:val="20"/>
                <w:color w:val="auto"/>
              </w:rPr>
            </w:pPr>
            <w:r>
              <w:rPr>
                <w:rFonts w:ascii="Arial" w:cs="Arial" w:eastAsia="Arial" w:hAnsi="Arial"/>
                <w:sz w:val="16"/>
                <w:szCs w:val="16"/>
                <w:color w:val="auto"/>
              </w:rPr>
              <w:t>determinations (at or below the plan maximum of 200% of target)</w:t>
            </w:r>
          </w:p>
        </w:tc>
        <w:tc>
          <w:tcPr>
            <w:tcW w:w="0" w:type="dxa"/>
            <w:vAlign w:val="bottom"/>
          </w:tcPr>
          <w:p>
            <w:pPr>
              <w:spacing w:after="0"/>
              <w:rPr>
                <w:sz w:val="1"/>
                <w:szCs w:val="1"/>
                <w:color w:val="auto"/>
              </w:rPr>
            </w:pPr>
          </w:p>
        </w:tc>
      </w:tr>
      <w:tr>
        <w:trPr>
          <w:trHeight w:val="218"/>
        </w:trPr>
        <w:tc>
          <w:tcPr>
            <w:tcW w:w="2280" w:type="dxa"/>
            <w:vAlign w:val="bottom"/>
            <w:tcBorders>
              <w:right w:val="single" w:sz="8" w:color="000039"/>
            </w:tcBorders>
            <w:vMerge w:val="continue"/>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9"/>
                <w:szCs w:val="19"/>
                <w:color w:val="auto"/>
              </w:rPr>
              <w:t>Long-term incentive design emphasizing multiple, relative performance metrics and</w:t>
            </w:r>
          </w:p>
        </w:tc>
        <w:tc>
          <w:tcPr>
            <w:tcW w:w="0" w:type="dxa"/>
            <w:vAlign w:val="bottom"/>
          </w:tcPr>
          <w:p>
            <w:pPr>
              <w:spacing w:after="0"/>
              <w:rPr>
                <w:sz w:val="1"/>
                <w:szCs w:val="1"/>
                <w:color w:val="auto"/>
              </w:rPr>
            </w:pPr>
          </w:p>
        </w:tc>
      </w:tr>
      <w:tr>
        <w:trPr>
          <w:trHeight w:val="220"/>
        </w:trPr>
        <w:tc>
          <w:tcPr>
            <w:tcW w:w="2280" w:type="dxa"/>
            <w:vAlign w:val="bottom"/>
            <w:tcBorders>
              <w:right w:val="single" w:sz="8" w:color="000039"/>
            </w:tcBorders>
          </w:tcPr>
          <w:p>
            <w:pPr>
              <w:spacing w:after="0"/>
              <w:rPr>
                <w:sz w:val="19"/>
                <w:szCs w:val="19"/>
                <w:color w:val="auto"/>
              </w:rPr>
            </w:pPr>
          </w:p>
        </w:tc>
        <w:tc>
          <w:tcPr>
            <w:tcW w:w="7560" w:type="dxa"/>
            <w:vAlign w:val="bottom"/>
          </w:tcPr>
          <w:p>
            <w:pPr>
              <w:ind w:left="440"/>
              <w:spacing w:after="0"/>
              <w:rPr>
                <w:sz w:val="20"/>
                <w:szCs w:val="20"/>
                <w:color w:val="auto"/>
              </w:rPr>
            </w:pPr>
            <w:r>
              <w:rPr>
                <w:rFonts w:ascii="Arial" w:cs="Arial" w:eastAsia="Arial" w:hAnsi="Arial"/>
                <w:sz w:val="19"/>
                <w:szCs w:val="19"/>
                <w:color w:val="auto"/>
              </w:rPr>
              <w:t>multi-year performance periods</w:t>
            </w:r>
          </w:p>
        </w:tc>
        <w:tc>
          <w:tcPr>
            <w:tcW w:w="0" w:type="dxa"/>
            <w:vAlign w:val="bottom"/>
          </w:tcPr>
          <w:p>
            <w:pPr>
              <w:spacing w:after="0"/>
              <w:rPr>
                <w:sz w:val="1"/>
                <w:szCs w:val="1"/>
                <w:color w:val="auto"/>
              </w:rPr>
            </w:pPr>
          </w:p>
        </w:tc>
      </w:tr>
      <w:tr>
        <w:trPr>
          <w:trHeight w:val="256"/>
        </w:trPr>
        <w:tc>
          <w:tcPr>
            <w:tcW w:w="2280" w:type="dxa"/>
            <w:vAlign w:val="bottom"/>
            <w:tcBorders>
              <w:right w:val="single" w:sz="8" w:color="000039"/>
            </w:tcBorders>
          </w:tcPr>
          <w:p>
            <w:pPr>
              <w:spacing w:after="0"/>
              <w:rPr>
                <w:sz w:val="22"/>
                <w:szCs w:val="22"/>
                <w:color w:val="auto"/>
              </w:rPr>
            </w:pPr>
          </w:p>
        </w:tc>
        <w:tc>
          <w:tcPr>
            <w:tcW w:w="7560" w:type="dxa"/>
            <w:vAlign w:val="bottom"/>
          </w:tcPr>
          <w:p>
            <w:pPr>
              <w:ind w:left="180"/>
              <w:spacing w:after="0"/>
              <w:rPr>
                <w:sz w:val="20"/>
                <w:szCs w:val="20"/>
                <w:color w:val="auto"/>
              </w:rPr>
            </w:pPr>
            <w:r>
              <w:rPr>
                <w:rFonts w:ascii="Arial" w:cs="Arial" w:eastAsia="Arial" w:hAnsi="Arial"/>
                <w:sz w:val="19"/>
                <w:szCs w:val="19"/>
                <w:color w:val="auto"/>
              </w:rPr>
              <w:t>No duplication of performance metrics in short- and long-term incentives</w:t>
            </w:r>
          </w:p>
        </w:tc>
        <w:tc>
          <w:tcPr>
            <w:tcW w:w="0" w:type="dxa"/>
            <w:vAlign w:val="bottom"/>
          </w:tcPr>
          <w:p>
            <w:pPr>
              <w:spacing w:after="0"/>
              <w:rPr>
                <w:sz w:val="1"/>
                <w:szCs w:val="1"/>
                <w:color w:val="auto"/>
              </w:rPr>
            </w:pPr>
          </w:p>
        </w:tc>
      </w:tr>
      <w:tr>
        <w:trPr>
          <w:trHeight w:val="110"/>
        </w:trPr>
        <w:tc>
          <w:tcPr>
            <w:tcW w:w="2280" w:type="dxa"/>
            <w:vAlign w:val="bottom"/>
            <w:tcBorders>
              <w:bottom w:val="single" w:sz="8" w:color="000039"/>
              <w:right w:val="single" w:sz="8" w:color="000039"/>
            </w:tcBorders>
          </w:tcPr>
          <w:p>
            <w:pPr>
              <w:spacing w:after="0"/>
              <w:rPr>
                <w:sz w:val="9"/>
                <w:szCs w:val="9"/>
                <w:color w:val="auto"/>
              </w:rPr>
            </w:pPr>
          </w:p>
        </w:tc>
        <w:tc>
          <w:tcPr>
            <w:tcW w:w="756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228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rPr>
              <w:t>Pay Equity and</w:t>
            </w:r>
          </w:p>
        </w:tc>
        <w:tc>
          <w:tcPr>
            <w:tcW w:w="7560" w:type="dxa"/>
            <w:vAlign w:val="bottom"/>
          </w:tcPr>
          <w:p>
            <w:pPr>
              <w:ind w:left="180"/>
              <w:spacing w:after="0"/>
              <w:rPr>
                <w:sz w:val="20"/>
                <w:szCs w:val="20"/>
                <w:color w:val="auto"/>
              </w:rPr>
            </w:pPr>
            <w:r>
              <w:rPr>
                <w:rFonts w:ascii="Arial" w:cs="Arial" w:eastAsia="Arial" w:hAnsi="Arial"/>
                <w:sz w:val="19"/>
                <w:szCs w:val="19"/>
                <w:color w:val="auto"/>
              </w:rPr>
              <w:t>Commitment to pay equity and regular review of pay to ensure pay is fair and</w:t>
            </w:r>
          </w:p>
        </w:tc>
        <w:tc>
          <w:tcPr>
            <w:tcW w:w="0" w:type="dxa"/>
            <w:vAlign w:val="bottom"/>
          </w:tcPr>
          <w:p>
            <w:pPr>
              <w:spacing w:after="0"/>
              <w:rPr>
                <w:sz w:val="1"/>
                <w:szCs w:val="1"/>
                <w:color w:val="auto"/>
              </w:rPr>
            </w:pPr>
          </w:p>
        </w:tc>
      </w:tr>
      <w:tr>
        <w:trPr>
          <w:trHeight w:val="213"/>
        </w:trPr>
        <w:tc>
          <w:tcPr>
            <w:tcW w:w="2280" w:type="dxa"/>
            <w:vAlign w:val="bottom"/>
            <w:tcBorders>
              <w:right w:val="single" w:sz="8" w:color="000039"/>
            </w:tcBorders>
            <w:vMerge w:val="continue"/>
          </w:tcPr>
          <w:p>
            <w:pPr>
              <w:spacing w:after="0"/>
              <w:rPr>
                <w:sz w:val="18"/>
                <w:szCs w:val="18"/>
                <w:color w:val="auto"/>
              </w:rPr>
            </w:pPr>
          </w:p>
        </w:tc>
        <w:tc>
          <w:tcPr>
            <w:tcW w:w="7560" w:type="dxa"/>
            <w:vAlign w:val="bottom"/>
          </w:tcPr>
          <w:p>
            <w:pPr>
              <w:ind w:left="440"/>
              <w:spacing w:after="0" w:line="213" w:lineRule="exact"/>
              <w:rPr>
                <w:sz w:val="20"/>
                <w:szCs w:val="20"/>
                <w:color w:val="auto"/>
              </w:rPr>
            </w:pPr>
            <w:r>
              <w:rPr>
                <w:rFonts w:ascii="Arial" w:cs="Arial" w:eastAsia="Arial" w:hAnsi="Arial"/>
                <w:sz w:val="19"/>
                <w:szCs w:val="19"/>
                <w:color w:val="auto"/>
              </w:rPr>
              <w:t>equitable</w:t>
            </w:r>
          </w:p>
        </w:tc>
        <w:tc>
          <w:tcPr>
            <w:tcW w:w="0" w:type="dxa"/>
            <w:vAlign w:val="bottom"/>
          </w:tcPr>
          <w:p>
            <w:pPr>
              <w:spacing w:after="0"/>
              <w:rPr>
                <w:sz w:val="1"/>
                <w:szCs w:val="1"/>
                <w:color w:val="auto"/>
              </w:rPr>
            </w:pPr>
          </w:p>
        </w:tc>
      </w:tr>
      <w:tr>
        <w:trPr>
          <w:trHeight w:val="249"/>
        </w:trPr>
        <w:tc>
          <w:tcPr>
            <w:tcW w:w="2280" w:type="dxa"/>
            <w:vAlign w:val="bottom"/>
            <w:tcBorders>
              <w:right w:val="single" w:sz="8" w:color="000039"/>
            </w:tcBorders>
          </w:tcPr>
          <w:p>
            <w:pPr>
              <w:jc w:val="center"/>
              <w:spacing w:after="0" w:line="249" w:lineRule="exact"/>
              <w:rPr>
                <w:sz w:val="20"/>
                <w:szCs w:val="20"/>
                <w:color w:val="auto"/>
              </w:rPr>
            </w:pPr>
            <w:r>
              <w:rPr>
                <w:rFonts w:ascii="Arial" w:cs="Arial" w:eastAsia="Arial" w:hAnsi="Arial"/>
                <w:sz w:val="24"/>
                <w:szCs w:val="24"/>
                <w:color w:val="auto"/>
              </w:rPr>
              <w:t>Sustainability</w:t>
            </w:r>
          </w:p>
        </w:tc>
        <w:tc>
          <w:tcPr>
            <w:tcW w:w="7560" w:type="dxa"/>
            <w:vAlign w:val="bottom"/>
          </w:tcPr>
          <w:p>
            <w:pPr>
              <w:ind w:left="180"/>
              <w:spacing w:after="0"/>
              <w:rPr>
                <w:sz w:val="20"/>
                <w:szCs w:val="20"/>
                <w:color w:val="auto"/>
              </w:rPr>
            </w:pPr>
            <w:r>
              <w:rPr>
                <w:rFonts w:ascii="Arial" w:cs="Arial" w:eastAsia="Arial" w:hAnsi="Arial"/>
                <w:sz w:val="19"/>
                <w:szCs w:val="19"/>
                <w:color w:val="auto"/>
              </w:rPr>
              <w:t>Incorporation of ESG into the strategic/leadership goals within the annual incentive</w:t>
            </w:r>
          </w:p>
        </w:tc>
        <w:tc>
          <w:tcPr>
            <w:tcW w:w="0" w:type="dxa"/>
            <w:vAlign w:val="bottom"/>
          </w:tcPr>
          <w:p>
            <w:pPr>
              <w:spacing w:after="0"/>
              <w:rPr>
                <w:sz w:val="1"/>
                <w:szCs w:val="1"/>
                <w:color w:val="auto"/>
              </w:rPr>
            </w:pPr>
          </w:p>
        </w:tc>
      </w:tr>
      <w:tr>
        <w:trPr>
          <w:trHeight w:val="256"/>
        </w:trPr>
        <w:tc>
          <w:tcPr>
            <w:tcW w:w="2280" w:type="dxa"/>
            <w:vAlign w:val="bottom"/>
            <w:tcBorders>
              <w:right w:val="single" w:sz="8" w:color="000039"/>
            </w:tcBorders>
          </w:tcPr>
          <w:p>
            <w:pPr>
              <w:spacing w:after="0"/>
              <w:rPr>
                <w:sz w:val="22"/>
                <w:szCs w:val="22"/>
                <w:color w:val="auto"/>
              </w:rPr>
            </w:pPr>
          </w:p>
        </w:tc>
        <w:tc>
          <w:tcPr>
            <w:tcW w:w="7560" w:type="dxa"/>
            <w:vAlign w:val="bottom"/>
          </w:tcPr>
          <w:p>
            <w:pPr>
              <w:ind w:left="440"/>
              <w:spacing w:after="0"/>
              <w:rPr>
                <w:sz w:val="20"/>
                <w:szCs w:val="20"/>
                <w:color w:val="auto"/>
              </w:rPr>
            </w:pPr>
            <w:r>
              <w:rPr>
                <w:rFonts w:ascii="Arial" w:cs="Arial" w:eastAsia="Arial" w:hAnsi="Arial"/>
                <w:sz w:val="19"/>
                <w:szCs w:val="19"/>
                <w:color w:val="auto"/>
              </w:rPr>
              <w:t>plan</w:t>
            </w:r>
          </w:p>
        </w:tc>
        <w:tc>
          <w:tcPr>
            <w:tcW w:w="0" w:type="dxa"/>
            <w:vAlign w:val="bottom"/>
          </w:tcPr>
          <w:p>
            <w:pPr>
              <w:spacing w:after="0"/>
              <w:rPr>
                <w:sz w:val="1"/>
                <w:szCs w:val="1"/>
                <w:color w:val="auto"/>
              </w:rPr>
            </w:pPr>
          </w:p>
        </w:tc>
      </w:tr>
      <w:tr>
        <w:trPr>
          <w:trHeight w:val="87"/>
        </w:trPr>
        <w:tc>
          <w:tcPr>
            <w:tcW w:w="2280" w:type="dxa"/>
            <w:vAlign w:val="bottom"/>
            <w:tcBorders>
              <w:bottom w:val="single" w:sz="8" w:color="000039"/>
              <w:right w:val="single" w:sz="8" w:color="000039"/>
            </w:tcBorders>
          </w:tcPr>
          <w:p>
            <w:pPr>
              <w:spacing w:after="0"/>
              <w:rPr>
                <w:sz w:val="7"/>
                <w:szCs w:val="7"/>
                <w:color w:val="auto"/>
              </w:rPr>
            </w:pPr>
          </w:p>
        </w:tc>
        <w:tc>
          <w:tcPr>
            <w:tcW w:w="7560" w:type="dxa"/>
            <w:vAlign w:val="bottom"/>
            <w:tcBorders>
              <w:bottom w:val="single" w:sz="8" w:color="000039"/>
            </w:tcBorders>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2280" w:type="dxa"/>
            <w:vAlign w:val="bottom"/>
            <w:tcBorders>
              <w:right w:val="single" w:sz="8" w:color="000039"/>
            </w:tcBorders>
          </w:tcPr>
          <w:p>
            <w:pPr>
              <w:spacing w:after="0"/>
              <w:rPr>
                <w:sz w:val="24"/>
                <w:szCs w:val="24"/>
                <w:color w:val="auto"/>
              </w:rPr>
            </w:pPr>
          </w:p>
        </w:tc>
        <w:tc>
          <w:tcPr>
            <w:tcW w:w="7560" w:type="dxa"/>
            <w:vAlign w:val="bottom"/>
          </w:tcPr>
          <w:p>
            <w:pPr>
              <w:ind w:left="180"/>
              <w:spacing w:after="0"/>
              <w:rPr>
                <w:sz w:val="20"/>
                <w:szCs w:val="20"/>
                <w:color w:val="auto"/>
              </w:rPr>
            </w:pPr>
            <w:r>
              <w:rPr>
                <w:rFonts w:ascii="Arial" w:cs="Arial" w:eastAsia="Arial" w:hAnsi="Arial"/>
                <w:sz w:val="19"/>
                <w:szCs w:val="19"/>
                <w:color w:val="auto"/>
              </w:rPr>
              <w:t>Mandatory clawback of excess compensation in the event of a restatement, plus</w:t>
            </w:r>
          </w:p>
        </w:tc>
        <w:tc>
          <w:tcPr>
            <w:tcW w:w="0" w:type="dxa"/>
            <w:vAlign w:val="bottom"/>
          </w:tcPr>
          <w:p>
            <w:pPr>
              <w:spacing w:after="0"/>
              <w:rPr>
                <w:sz w:val="1"/>
                <w:szCs w:val="1"/>
                <w:color w:val="auto"/>
              </w:rPr>
            </w:pPr>
          </w:p>
        </w:tc>
      </w:tr>
      <w:tr>
        <w:trPr>
          <w:trHeight w:val="218"/>
        </w:trPr>
        <w:tc>
          <w:tcPr>
            <w:tcW w:w="228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w w:val="99"/>
              </w:rPr>
              <w:t>Strong Governance</w:t>
            </w:r>
          </w:p>
        </w:tc>
        <w:tc>
          <w:tcPr>
            <w:tcW w:w="7560" w:type="dxa"/>
            <w:vAlign w:val="bottom"/>
          </w:tcPr>
          <w:p>
            <w:pPr>
              <w:ind w:left="440"/>
              <w:spacing w:after="0"/>
              <w:rPr>
                <w:sz w:val="20"/>
                <w:szCs w:val="20"/>
                <w:color w:val="auto"/>
              </w:rPr>
            </w:pPr>
            <w:r>
              <w:rPr>
                <w:rFonts w:ascii="Arial" w:cs="Arial" w:eastAsia="Arial" w:hAnsi="Arial"/>
                <w:sz w:val="19"/>
                <w:szCs w:val="19"/>
                <w:color w:val="auto"/>
              </w:rPr>
              <w:t>broad discretion to clawback compensation in the event of a material breach of the</w:t>
            </w:r>
          </w:p>
        </w:tc>
        <w:tc>
          <w:tcPr>
            <w:tcW w:w="0" w:type="dxa"/>
            <w:vAlign w:val="bottom"/>
          </w:tcPr>
          <w:p>
            <w:pPr>
              <w:spacing w:after="0"/>
              <w:rPr>
                <w:sz w:val="1"/>
                <w:szCs w:val="1"/>
                <w:color w:val="auto"/>
              </w:rPr>
            </w:pPr>
          </w:p>
        </w:tc>
      </w:tr>
      <w:tr>
        <w:trPr>
          <w:trHeight w:val="213"/>
        </w:trPr>
        <w:tc>
          <w:tcPr>
            <w:tcW w:w="2280" w:type="dxa"/>
            <w:vAlign w:val="bottom"/>
            <w:tcBorders>
              <w:right w:val="single" w:sz="8" w:color="000039"/>
            </w:tcBorders>
            <w:vMerge w:val="continue"/>
          </w:tcPr>
          <w:p>
            <w:pPr>
              <w:spacing w:after="0"/>
              <w:rPr>
                <w:sz w:val="18"/>
                <w:szCs w:val="18"/>
                <w:color w:val="auto"/>
              </w:rPr>
            </w:pPr>
          </w:p>
        </w:tc>
        <w:tc>
          <w:tcPr>
            <w:tcW w:w="7560" w:type="dxa"/>
            <w:vAlign w:val="bottom"/>
          </w:tcPr>
          <w:p>
            <w:pPr>
              <w:ind w:left="440"/>
              <w:spacing w:after="0" w:line="213" w:lineRule="exact"/>
              <w:rPr>
                <w:sz w:val="20"/>
                <w:szCs w:val="20"/>
                <w:color w:val="auto"/>
              </w:rPr>
            </w:pPr>
            <w:r>
              <w:rPr>
                <w:rFonts w:ascii="Arial" w:cs="Arial" w:eastAsia="Arial" w:hAnsi="Arial"/>
                <w:sz w:val="19"/>
                <w:szCs w:val="19"/>
                <w:color w:val="auto"/>
              </w:rPr>
              <w:t>AbbVie Code of Business Conduct</w:t>
            </w:r>
          </w:p>
        </w:tc>
        <w:tc>
          <w:tcPr>
            <w:tcW w:w="0" w:type="dxa"/>
            <w:vAlign w:val="bottom"/>
          </w:tcPr>
          <w:p>
            <w:pPr>
              <w:spacing w:after="0"/>
              <w:rPr>
                <w:sz w:val="1"/>
                <w:szCs w:val="1"/>
                <w:color w:val="auto"/>
              </w:rPr>
            </w:pPr>
          </w:p>
        </w:tc>
      </w:tr>
      <w:tr>
        <w:trPr>
          <w:trHeight w:val="249"/>
        </w:trPr>
        <w:tc>
          <w:tcPr>
            <w:tcW w:w="2280" w:type="dxa"/>
            <w:vAlign w:val="bottom"/>
            <w:tcBorders>
              <w:right w:val="single" w:sz="8" w:color="000039"/>
            </w:tcBorders>
          </w:tcPr>
          <w:p>
            <w:pPr>
              <w:jc w:val="center"/>
              <w:spacing w:after="0" w:line="249" w:lineRule="exact"/>
              <w:rPr>
                <w:sz w:val="20"/>
                <w:szCs w:val="20"/>
                <w:color w:val="auto"/>
              </w:rPr>
            </w:pPr>
            <w:r>
              <w:rPr>
                <w:rFonts w:ascii="Arial" w:cs="Arial" w:eastAsia="Arial" w:hAnsi="Arial"/>
                <w:sz w:val="24"/>
                <w:szCs w:val="24"/>
                <w:color w:val="auto"/>
                <w:w w:val="99"/>
              </w:rPr>
              <w:t>Practices</w:t>
            </w:r>
          </w:p>
        </w:tc>
        <w:tc>
          <w:tcPr>
            <w:tcW w:w="7560" w:type="dxa"/>
            <w:vAlign w:val="bottom"/>
          </w:tcPr>
          <w:p>
            <w:pPr>
              <w:ind w:left="180"/>
              <w:spacing w:after="0"/>
              <w:rPr>
                <w:sz w:val="20"/>
                <w:szCs w:val="20"/>
                <w:color w:val="auto"/>
              </w:rPr>
            </w:pPr>
            <w:r>
              <w:rPr>
                <w:rFonts w:ascii="Arial" w:cs="Arial" w:eastAsia="Arial" w:hAnsi="Arial"/>
                <w:sz w:val="19"/>
                <w:szCs w:val="19"/>
                <w:color w:val="auto"/>
              </w:rPr>
              <w:t>Anti-hedging and anti-pledging policies</w:t>
            </w:r>
          </w:p>
        </w:tc>
        <w:tc>
          <w:tcPr>
            <w:tcW w:w="0" w:type="dxa"/>
            <w:vAlign w:val="bottom"/>
          </w:tcPr>
          <w:p>
            <w:pPr>
              <w:spacing w:after="0"/>
              <w:rPr>
                <w:sz w:val="1"/>
                <w:szCs w:val="1"/>
                <w:color w:val="auto"/>
              </w:rPr>
            </w:pPr>
          </w:p>
        </w:tc>
      </w:tr>
      <w:tr>
        <w:trPr>
          <w:trHeight w:val="194"/>
        </w:trPr>
        <w:tc>
          <w:tcPr>
            <w:tcW w:w="2280" w:type="dxa"/>
            <w:vAlign w:val="bottom"/>
            <w:tcBorders>
              <w:right w:val="single" w:sz="8" w:color="000039"/>
            </w:tcBorders>
          </w:tcPr>
          <w:p>
            <w:pPr>
              <w:spacing w:after="0"/>
              <w:rPr>
                <w:sz w:val="16"/>
                <w:szCs w:val="16"/>
                <w:color w:val="auto"/>
              </w:rPr>
            </w:pPr>
          </w:p>
        </w:tc>
        <w:tc>
          <w:tcPr>
            <w:tcW w:w="7560" w:type="dxa"/>
            <w:vAlign w:val="bottom"/>
          </w:tcPr>
          <w:p>
            <w:pPr>
              <w:ind w:left="180"/>
              <w:spacing w:after="0" w:line="194" w:lineRule="exact"/>
              <w:rPr>
                <w:sz w:val="20"/>
                <w:szCs w:val="20"/>
                <w:color w:val="auto"/>
              </w:rPr>
            </w:pPr>
            <w:r>
              <w:rPr>
                <w:rFonts w:ascii="Arial" w:cs="Arial" w:eastAsia="Arial" w:hAnsi="Arial"/>
                <w:sz w:val="19"/>
                <w:szCs w:val="19"/>
                <w:color w:val="auto"/>
              </w:rPr>
              <w:t>Annual comprehensive compensation program risk review</w:t>
            </w:r>
          </w:p>
        </w:tc>
        <w:tc>
          <w:tcPr>
            <w:tcW w:w="0" w:type="dxa"/>
            <w:vAlign w:val="bottom"/>
          </w:tcPr>
          <w:p>
            <w:pPr>
              <w:spacing w:after="0"/>
              <w:rPr>
                <w:sz w:val="1"/>
                <w:szCs w:val="1"/>
                <w:color w:val="auto"/>
              </w:rPr>
            </w:pPr>
          </w:p>
        </w:tc>
      </w:tr>
      <w:tr>
        <w:trPr>
          <w:trHeight w:val="256"/>
        </w:trPr>
        <w:tc>
          <w:tcPr>
            <w:tcW w:w="2280" w:type="dxa"/>
            <w:vAlign w:val="bottom"/>
            <w:tcBorders>
              <w:right w:val="single" w:sz="8" w:color="000039"/>
            </w:tcBorders>
          </w:tcPr>
          <w:p>
            <w:pPr>
              <w:spacing w:after="0"/>
              <w:rPr>
                <w:sz w:val="22"/>
                <w:szCs w:val="22"/>
                <w:color w:val="auto"/>
              </w:rPr>
            </w:pPr>
          </w:p>
        </w:tc>
        <w:tc>
          <w:tcPr>
            <w:tcW w:w="7560" w:type="dxa"/>
            <w:vAlign w:val="bottom"/>
          </w:tcPr>
          <w:p>
            <w:pPr>
              <w:ind w:left="180"/>
              <w:spacing w:after="0"/>
              <w:rPr>
                <w:sz w:val="20"/>
                <w:szCs w:val="20"/>
                <w:color w:val="auto"/>
              </w:rPr>
            </w:pPr>
            <w:r>
              <w:rPr>
                <w:rFonts w:ascii="Arial" w:cs="Arial" w:eastAsia="Arial" w:hAnsi="Arial"/>
                <w:sz w:val="19"/>
                <w:szCs w:val="19"/>
                <w:color w:val="auto"/>
              </w:rPr>
              <w:t>Independent compensation consultant that performs no other work for the company</w:t>
            </w:r>
          </w:p>
        </w:tc>
        <w:tc>
          <w:tcPr>
            <w:tcW w:w="0" w:type="dxa"/>
            <w:vAlign w:val="bottom"/>
          </w:tcPr>
          <w:p>
            <w:pPr>
              <w:spacing w:after="0"/>
              <w:rPr>
                <w:sz w:val="1"/>
                <w:szCs w:val="1"/>
                <w:color w:val="auto"/>
              </w:rPr>
            </w:pPr>
          </w:p>
        </w:tc>
      </w:tr>
      <w:tr>
        <w:trPr>
          <w:trHeight w:val="110"/>
        </w:trPr>
        <w:tc>
          <w:tcPr>
            <w:tcW w:w="2280" w:type="dxa"/>
            <w:vAlign w:val="bottom"/>
            <w:tcBorders>
              <w:bottom w:val="single" w:sz="8" w:color="000039"/>
              <w:right w:val="single" w:sz="8" w:color="000039"/>
            </w:tcBorders>
          </w:tcPr>
          <w:p>
            <w:pPr>
              <w:spacing w:after="0"/>
              <w:rPr>
                <w:sz w:val="9"/>
                <w:szCs w:val="9"/>
                <w:color w:val="auto"/>
              </w:rPr>
            </w:pPr>
          </w:p>
        </w:tc>
        <w:tc>
          <w:tcPr>
            <w:tcW w:w="756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84"/>
        </w:trPr>
        <w:tc>
          <w:tcPr>
            <w:tcW w:w="228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w w:val="99"/>
              </w:rPr>
              <w:t>Pay for Performance</w:t>
            </w:r>
          </w:p>
        </w:tc>
        <w:tc>
          <w:tcPr>
            <w:tcW w:w="7560" w:type="dxa"/>
            <w:vAlign w:val="bottom"/>
          </w:tcPr>
          <w:p>
            <w:pPr>
              <w:ind w:left="180"/>
              <w:spacing w:after="0"/>
              <w:rPr>
                <w:sz w:val="20"/>
                <w:szCs w:val="20"/>
                <w:color w:val="auto"/>
              </w:rPr>
            </w:pPr>
            <w:r>
              <w:rPr>
                <w:rFonts w:ascii="Arial" w:cs="Arial" w:eastAsia="Arial" w:hAnsi="Arial"/>
                <w:sz w:val="19"/>
                <w:szCs w:val="19"/>
                <w:color w:val="auto"/>
              </w:rPr>
              <w:t>Short- and long-term incentive programs closely align with performance</w:t>
            </w:r>
          </w:p>
        </w:tc>
        <w:tc>
          <w:tcPr>
            <w:tcW w:w="0" w:type="dxa"/>
            <w:vAlign w:val="bottom"/>
          </w:tcPr>
          <w:p>
            <w:pPr>
              <w:spacing w:after="0"/>
              <w:rPr>
                <w:sz w:val="1"/>
                <w:szCs w:val="1"/>
                <w:color w:val="auto"/>
              </w:rPr>
            </w:pPr>
          </w:p>
        </w:tc>
      </w:tr>
      <w:tr>
        <w:trPr>
          <w:trHeight w:val="242"/>
        </w:trPr>
        <w:tc>
          <w:tcPr>
            <w:tcW w:w="2280" w:type="dxa"/>
            <w:vAlign w:val="bottom"/>
            <w:tcBorders>
              <w:right w:val="single" w:sz="8" w:color="000039"/>
            </w:tcBorders>
          </w:tcPr>
          <w:p>
            <w:pPr>
              <w:jc w:val="center"/>
              <w:spacing w:after="0" w:line="242" w:lineRule="exact"/>
              <w:rPr>
                <w:sz w:val="20"/>
                <w:szCs w:val="20"/>
                <w:color w:val="auto"/>
              </w:rPr>
            </w:pPr>
            <w:r>
              <w:rPr>
                <w:rFonts w:ascii="Arial" w:cs="Arial" w:eastAsia="Arial" w:hAnsi="Arial"/>
                <w:sz w:val="24"/>
                <w:szCs w:val="24"/>
                <w:color w:val="auto"/>
              </w:rPr>
              <w:t>and Stockholder</w:t>
            </w:r>
          </w:p>
        </w:tc>
        <w:tc>
          <w:tcPr>
            <w:tcW w:w="7560" w:type="dxa"/>
            <w:vAlign w:val="bottom"/>
          </w:tcPr>
          <w:p>
            <w:pPr>
              <w:ind w:left="180"/>
              <w:spacing w:after="0"/>
              <w:rPr>
                <w:sz w:val="20"/>
                <w:szCs w:val="20"/>
                <w:color w:val="auto"/>
              </w:rPr>
            </w:pPr>
            <w:r>
              <w:rPr>
                <w:rFonts w:ascii="Arial" w:cs="Arial" w:eastAsia="Arial" w:hAnsi="Arial"/>
                <w:sz w:val="19"/>
                <w:szCs w:val="19"/>
                <w:color w:val="auto"/>
              </w:rPr>
              <w:t>Majority of NEO compensation tied to long-term performance</w:t>
            </w:r>
          </w:p>
        </w:tc>
        <w:tc>
          <w:tcPr>
            <w:tcW w:w="0" w:type="dxa"/>
            <w:vAlign w:val="bottom"/>
          </w:tcPr>
          <w:p>
            <w:pPr>
              <w:spacing w:after="0"/>
              <w:rPr>
                <w:sz w:val="1"/>
                <w:szCs w:val="1"/>
                <w:color w:val="auto"/>
              </w:rPr>
            </w:pPr>
          </w:p>
        </w:tc>
      </w:tr>
      <w:tr>
        <w:trPr>
          <w:trHeight w:val="347"/>
        </w:trPr>
        <w:tc>
          <w:tcPr>
            <w:tcW w:w="228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w w:val="99"/>
              </w:rPr>
              <w:t>Alignment</w:t>
            </w:r>
          </w:p>
        </w:tc>
        <w:tc>
          <w:tcPr>
            <w:tcW w:w="7560" w:type="dxa"/>
            <w:vAlign w:val="bottom"/>
          </w:tcPr>
          <w:p>
            <w:pPr>
              <w:ind w:left="180"/>
              <w:spacing w:after="0"/>
              <w:rPr>
                <w:sz w:val="20"/>
                <w:szCs w:val="20"/>
                <w:color w:val="auto"/>
              </w:rPr>
            </w:pPr>
            <w:r>
              <w:rPr>
                <w:rFonts w:ascii="Arial" w:cs="Arial" w:eastAsia="Arial" w:hAnsi="Arial"/>
                <w:sz w:val="19"/>
                <w:szCs w:val="19"/>
                <w:color w:val="auto"/>
              </w:rPr>
              <w:t>Proactive stockholder engagement process</w:t>
            </w:r>
          </w:p>
        </w:tc>
        <w:tc>
          <w:tcPr>
            <w:tcW w:w="0" w:type="dxa"/>
            <w:vAlign w:val="bottom"/>
          </w:tcPr>
          <w:p>
            <w:pPr>
              <w:spacing w:after="0"/>
              <w:rPr>
                <w:sz w:val="1"/>
                <w:szCs w:val="1"/>
                <w:color w:val="auto"/>
              </w:rPr>
            </w:pPr>
          </w:p>
        </w:tc>
      </w:tr>
      <w:tr>
        <w:trPr>
          <w:trHeight w:val="104"/>
        </w:trPr>
        <w:tc>
          <w:tcPr>
            <w:tcW w:w="2280" w:type="dxa"/>
            <w:vAlign w:val="bottom"/>
            <w:tcBorders>
              <w:bottom w:val="single" w:sz="8" w:color="000039"/>
              <w:right w:val="single" w:sz="8" w:color="000039"/>
            </w:tcBorders>
          </w:tcPr>
          <w:p>
            <w:pPr>
              <w:spacing w:after="0"/>
              <w:rPr>
                <w:sz w:val="9"/>
                <w:szCs w:val="9"/>
                <w:color w:val="auto"/>
              </w:rPr>
            </w:pPr>
          </w:p>
        </w:tc>
        <w:tc>
          <w:tcPr>
            <w:tcW w:w="7560" w:type="dxa"/>
            <w:vAlign w:val="bottom"/>
            <w:tcBorders>
              <w:bottom w:val="single" w:sz="8" w:color="000039"/>
            </w:tcBorders>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228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w w:val="99"/>
              </w:rPr>
              <w:t>Robust Stock</w:t>
            </w:r>
          </w:p>
        </w:tc>
        <w:tc>
          <w:tcPr>
            <w:tcW w:w="7560" w:type="dxa"/>
            <w:vAlign w:val="bottom"/>
          </w:tcPr>
          <w:p>
            <w:pPr>
              <w:ind w:left="180"/>
              <w:spacing w:after="0"/>
              <w:rPr>
                <w:sz w:val="20"/>
                <w:szCs w:val="20"/>
                <w:color w:val="auto"/>
              </w:rPr>
            </w:pPr>
            <w:r>
              <w:rPr>
                <w:rFonts w:ascii="Arial" w:cs="Arial" w:eastAsia="Arial" w:hAnsi="Arial"/>
                <w:sz w:val="19"/>
                <w:szCs w:val="19"/>
                <w:color w:val="auto"/>
              </w:rPr>
              <w:t>6x salary for the CEO and 3x salary for NEOs</w:t>
            </w:r>
          </w:p>
        </w:tc>
        <w:tc>
          <w:tcPr>
            <w:tcW w:w="0" w:type="dxa"/>
            <w:vAlign w:val="bottom"/>
          </w:tcPr>
          <w:p>
            <w:pPr>
              <w:spacing w:after="0"/>
              <w:rPr>
                <w:sz w:val="1"/>
                <w:szCs w:val="1"/>
                <w:color w:val="auto"/>
              </w:rPr>
            </w:pPr>
          </w:p>
        </w:tc>
      </w:tr>
      <w:tr>
        <w:trPr>
          <w:trHeight w:val="170"/>
        </w:trPr>
        <w:tc>
          <w:tcPr>
            <w:tcW w:w="228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w w:val="99"/>
              </w:rPr>
              <w:t>Ownership</w:t>
            </w:r>
          </w:p>
        </w:tc>
        <w:tc>
          <w:tcPr>
            <w:tcW w:w="7560" w:type="dxa"/>
            <w:vAlign w:val="bottom"/>
          </w:tcPr>
          <w:p>
            <w:pPr>
              <w:ind w:left="180"/>
              <w:spacing w:after="0" w:line="171" w:lineRule="exact"/>
              <w:rPr>
                <w:sz w:val="20"/>
                <w:szCs w:val="20"/>
                <w:color w:val="auto"/>
              </w:rPr>
            </w:pPr>
            <w:r>
              <w:rPr>
                <w:rFonts w:ascii="Arial" w:cs="Arial" w:eastAsia="Arial" w:hAnsi="Arial"/>
                <w:sz w:val="19"/>
                <w:szCs w:val="19"/>
                <w:color w:val="auto"/>
              </w:rPr>
              <w:t>5x annual fees for non-employee directors</w:t>
            </w:r>
          </w:p>
        </w:tc>
        <w:tc>
          <w:tcPr>
            <w:tcW w:w="0" w:type="dxa"/>
            <w:vAlign w:val="bottom"/>
          </w:tcPr>
          <w:p>
            <w:pPr>
              <w:spacing w:after="0"/>
              <w:rPr>
                <w:sz w:val="1"/>
                <w:szCs w:val="1"/>
                <w:color w:val="auto"/>
              </w:rPr>
            </w:pPr>
          </w:p>
        </w:tc>
      </w:tr>
      <w:tr>
        <w:trPr>
          <w:trHeight w:val="196"/>
        </w:trPr>
        <w:tc>
          <w:tcPr>
            <w:tcW w:w="2280" w:type="dxa"/>
            <w:vAlign w:val="bottom"/>
            <w:tcBorders>
              <w:right w:val="single" w:sz="8" w:color="000039"/>
            </w:tcBorders>
            <w:vMerge w:val="continue"/>
          </w:tcPr>
          <w:p>
            <w:pPr>
              <w:spacing w:after="0"/>
              <w:rPr>
                <w:sz w:val="17"/>
                <w:szCs w:val="17"/>
                <w:color w:val="auto"/>
              </w:rPr>
            </w:pPr>
          </w:p>
        </w:tc>
        <w:tc>
          <w:tcPr>
            <w:tcW w:w="7560" w:type="dxa"/>
            <w:vAlign w:val="bottom"/>
          </w:tcPr>
          <w:p>
            <w:pPr>
              <w:ind w:left="180"/>
              <w:spacing w:after="0" w:line="195" w:lineRule="exact"/>
              <w:rPr>
                <w:sz w:val="20"/>
                <w:szCs w:val="20"/>
                <w:color w:val="auto"/>
              </w:rPr>
            </w:pPr>
            <w:r>
              <w:rPr>
                <w:rFonts w:ascii="Arial" w:cs="Arial" w:eastAsia="Arial" w:hAnsi="Arial"/>
                <w:sz w:val="19"/>
                <w:szCs w:val="19"/>
                <w:color w:val="auto"/>
              </w:rPr>
              <w:t>NEOs must hold and not sell equity until the minimum stock ownership requirement</w:t>
            </w:r>
          </w:p>
        </w:tc>
        <w:tc>
          <w:tcPr>
            <w:tcW w:w="0" w:type="dxa"/>
            <w:vAlign w:val="bottom"/>
          </w:tcPr>
          <w:p>
            <w:pPr>
              <w:spacing w:after="0"/>
              <w:rPr>
                <w:sz w:val="1"/>
                <w:szCs w:val="1"/>
                <w:color w:val="auto"/>
              </w:rPr>
            </w:pPr>
          </w:p>
        </w:tc>
      </w:tr>
      <w:tr>
        <w:trPr>
          <w:trHeight w:val="325"/>
        </w:trPr>
        <w:tc>
          <w:tcPr>
            <w:tcW w:w="228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rPr>
              <w:t>Requirements</w:t>
            </w:r>
          </w:p>
        </w:tc>
        <w:tc>
          <w:tcPr>
            <w:tcW w:w="7560" w:type="dxa"/>
            <w:vAlign w:val="bottom"/>
          </w:tcPr>
          <w:p>
            <w:pPr>
              <w:ind w:left="440"/>
              <w:spacing w:after="0"/>
              <w:rPr>
                <w:sz w:val="20"/>
                <w:szCs w:val="20"/>
                <w:color w:val="auto"/>
              </w:rPr>
            </w:pPr>
            <w:r>
              <w:rPr>
                <w:rFonts w:ascii="Arial" w:cs="Arial" w:eastAsia="Arial" w:hAnsi="Arial"/>
                <w:sz w:val="19"/>
                <w:szCs w:val="19"/>
                <w:color w:val="auto"/>
              </w:rPr>
              <w:t>is satisfied</w:t>
            </w:r>
          </w:p>
        </w:tc>
        <w:tc>
          <w:tcPr>
            <w:tcW w:w="0" w:type="dxa"/>
            <w:vAlign w:val="bottom"/>
          </w:tcPr>
          <w:p>
            <w:pPr>
              <w:spacing w:after="0"/>
              <w:rPr>
                <w:sz w:val="1"/>
                <w:szCs w:val="1"/>
                <w:color w:val="auto"/>
              </w:rPr>
            </w:pPr>
          </w:p>
        </w:tc>
      </w:tr>
      <w:tr>
        <w:trPr>
          <w:trHeight w:val="64"/>
        </w:trPr>
        <w:tc>
          <w:tcPr>
            <w:tcW w:w="2280" w:type="dxa"/>
            <w:vAlign w:val="bottom"/>
            <w:tcBorders>
              <w:bottom w:val="single" w:sz="8" w:color="000039"/>
              <w:right w:val="single" w:sz="8" w:color="000039"/>
            </w:tcBorders>
          </w:tcPr>
          <w:p>
            <w:pPr>
              <w:spacing w:after="0"/>
              <w:rPr>
                <w:sz w:val="5"/>
                <w:szCs w:val="5"/>
                <w:color w:val="auto"/>
              </w:rPr>
            </w:pPr>
          </w:p>
        </w:tc>
        <w:tc>
          <w:tcPr>
            <w:tcW w:w="7560" w:type="dxa"/>
            <w:vAlign w:val="bottom"/>
            <w:tcBorders>
              <w:bottom w:val="single" w:sz="8" w:color="000039"/>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280" w:type="dxa"/>
            <w:vAlign w:val="bottom"/>
            <w:tcBorders>
              <w:right w:val="single" w:sz="8" w:color="000039"/>
            </w:tcBorders>
          </w:tcPr>
          <w:p>
            <w:pPr>
              <w:spacing w:after="0"/>
              <w:rPr>
                <w:sz w:val="24"/>
                <w:szCs w:val="24"/>
                <w:color w:val="auto"/>
              </w:rPr>
            </w:pPr>
          </w:p>
        </w:tc>
        <w:tc>
          <w:tcPr>
            <w:tcW w:w="7560" w:type="dxa"/>
            <w:vAlign w:val="bottom"/>
          </w:tcPr>
          <w:p>
            <w:pPr>
              <w:ind w:left="180"/>
              <w:spacing w:after="0"/>
              <w:rPr>
                <w:sz w:val="20"/>
                <w:szCs w:val="20"/>
                <w:color w:val="auto"/>
              </w:rPr>
            </w:pPr>
            <w:r>
              <w:rPr>
                <w:rFonts w:ascii="Arial" w:cs="Arial" w:eastAsia="Arial" w:hAnsi="Arial"/>
                <w:sz w:val="19"/>
                <w:szCs w:val="19"/>
                <w:color w:val="auto"/>
              </w:rPr>
              <w:t>No single trigger vesting of equity or other benefits in the event of a change in</w:t>
            </w:r>
          </w:p>
        </w:tc>
        <w:tc>
          <w:tcPr>
            <w:tcW w:w="0" w:type="dxa"/>
            <w:vAlign w:val="bottom"/>
          </w:tcPr>
          <w:p>
            <w:pPr>
              <w:spacing w:after="0"/>
              <w:rPr>
                <w:sz w:val="1"/>
                <w:szCs w:val="1"/>
                <w:color w:val="auto"/>
              </w:rPr>
            </w:pPr>
          </w:p>
        </w:tc>
      </w:tr>
      <w:tr>
        <w:trPr>
          <w:trHeight w:val="218"/>
        </w:trPr>
        <w:tc>
          <w:tcPr>
            <w:tcW w:w="2280" w:type="dxa"/>
            <w:vAlign w:val="bottom"/>
            <w:tcBorders>
              <w:right w:val="single" w:sz="8" w:color="000039"/>
            </w:tcBorders>
          </w:tcPr>
          <w:p>
            <w:pPr>
              <w:spacing w:after="0"/>
              <w:rPr>
                <w:sz w:val="18"/>
                <w:szCs w:val="18"/>
                <w:color w:val="auto"/>
              </w:rPr>
            </w:pPr>
          </w:p>
        </w:tc>
        <w:tc>
          <w:tcPr>
            <w:tcW w:w="7560" w:type="dxa"/>
            <w:vAlign w:val="bottom"/>
          </w:tcPr>
          <w:p>
            <w:pPr>
              <w:ind w:left="440"/>
              <w:spacing w:after="0"/>
              <w:rPr>
                <w:sz w:val="20"/>
                <w:szCs w:val="20"/>
                <w:color w:val="auto"/>
              </w:rPr>
            </w:pPr>
            <w:r>
              <w:rPr>
                <w:rFonts w:ascii="Arial" w:cs="Arial" w:eastAsia="Arial" w:hAnsi="Arial"/>
                <w:sz w:val="19"/>
                <w:szCs w:val="19"/>
                <w:color w:val="auto"/>
              </w:rPr>
              <w:t>control</w:t>
            </w:r>
          </w:p>
        </w:tc>
        <w:tc>
          <w:tcPr>
            <w:tcW w:w="0" w:type="dxa"/>
            <w:vAlign w:val="bottom"/>
          </w:tcPr>
          <w:p>
            <w:pPr>
              <w:spacing w:after="0"/>
              <w:rPr>
                <w:sz w:val="1"/>
                <w:szCs w:val="1"/>
                <w:color w:val="auto"/>
              </w:rPr>
            </w:pPr>
          </w:p>
        </w:tc>
      </w:tr>
      <w:tr>
        <w:trPr>
          <w:trHeight w:val="295"/>
        </w:trPr>
        <w:tc>
          <w:tcPr>
            <w:tcW w:w="2280" w:type="dxa"/>
            <w:vAlign w:val="bottom"/>
            <w:tcBorders>
              <w:right w:val="single" w:sz="8" w:color="000039"/>
            </w:tcBorders>
          </w:tcPr>
          <w:p>
            <w:pPr>
              <w:jc w:val="center"/>
              <w:spacing w:after="0"/>
              <w:rPr>
                <w:sz w:val="20"/>
                <w:szCs w:val="20"/>
                <w:color w:val="auto"/>
              </w:rPr>
            </w:pPr>
            <w:r>
              <w:rPr>
                <w:rFonts w:ascii="Arial" w:cs="Arial" w:eastAsia="Arial" w:hAnsi="Arial"/>
                <w:sz w:val="24"/>
                <w:szCs w:val="24"/>
                <w:color w:val="auto"/>
                <w:w w:val="99"/>
              </w:rPr>
              <w:t>Responsible Pay</w:t>
            </w:r>
          </w:p>
        </w:tc>
        <w:tc>
          <w:tcPr>
            <w:tcW w:w="7560" w:type="dxa"/>
            <w:vAlign w:val="bottom"/>
          </w:tcPr>
          <w:p>
            <w:pPr>
              <w:ind w:left="180"/>
              <w:spacing w:after="0"/>
              <w:rPr>
                <w:sz w:val="20"/>
                <w:szCs w:val="20"/>
                <w:color w:val="auto"/>
              </w:rPr>
            </w:pPr>
            <w:r>
              <w:rPr>
                <w:rFonts w:ascii="Arial" w:cs="Arial" w:eastAsia="Arial" w:hAnsi="Arial"/>
                <w:sz w:val="19"/>
                <w:szCs w:val="19"/>
                <w:color w:val="auto"/>
              </w:rPr>
              <w:t>No repricing of stock options without express stockholder approval</w:t>
            </w:r>
          </w:p>
        </w:tc>
        <w:tc>
          <w:tcPr>
            <w:tcW w:w="0" w:type="dxa"/>
            <w:vAlign w:val="bottom"/>
          </w:tcPr>
          <w:p>
            <w:pPr>
              <w:spacing w:after="0"/>
              <w:rPr>
                <w:sz w:val="1"/>
                <w:szCs w:val="1"/>
                <w:color w:val="auto"/>
              </w:rPr>
            </w:pPr>
          </w:p>
        </w:tc>
      </w:tr>
      <w:tr>
        <w:trPr>
          <w:trHeight w:val="143"/>
        </w:trPr>
        <w:tc>
          <w:tcPr>
            <w:tcW w:w="2280" w:type="dxa"/>
            <w:vAlign w:val="bottom"/>
            <w:tcBorders>
              <w:right w:val="single" w:sz="8" w:color="000039"/>
            </w:tcBorders>
            <w:vMerge w:val="restart"/>
          </w:tcPr>
          <w:p>
            <w:pPr>
              <w:jc w:val="center"/>
              <w:spacing w:after="0"/>
              <w:rPr>
                <w:sz w:val="20"/>
                <w:szCs w:val="20"/>
                <w:color w:val="auto"/>
              </w:rPr>
            </w:pPr>
            <w:r>
              <w:rPr>
                <w:rFonts w:ascii="Arial" w:cs="Arial" w:eastAsia="Arial" w:hAnsi="Arial"/>
                <w:sz w:val="24"/>
                <w:szCs w:val="24"/>
                <w:color w:val="auto"/>
                <w:w w:val="99"/>
              </w:rPr>
              <w:t>Practices</w:t>
            </w:r>
          </w:p>
        </w:tc>
        <w:tc>
          <w:tcPr>
            <w:tcW w:w="7560" w:type="dxa"/>
            <w:vAlign w:val="bottom"/>
          </w:tcPr>
          <w:p>
            <w:pPr>
              <w:ind w:left="180"/>
              <w:spacing w:after="0" w:line="143" w:lineRule="exact"/>
              <w:rPr>
                <w:sz w:val="20"/>
                <w:szCs w:val="20"/>
                <w:color w:val="auto"/>
              </w:rPr>
            </w:pPr>
            <w:r>
              <w:rPr>
                <w:rFonts w:ascii="Arial" w:cs="Arial" w:eastAsia="Arial" w:hAnsi="Arial"/>
                <w:sz w:val="16"/>
                <w:szCs w:val="16"/>
                <w:color w:val="auto"/>
              </w:rPr>
              <w:t>No tax gross-ups in executive compensation program</w:t>
            </w:r>
          </w:p>
        </w:tc>
        <w:tc>
          <w:tcPr>
            <w:tcW w:w="0" w:type="dxa"/>
            <w:vAlign w:val="bottom"/>
          </w:tcPr>
          <w:p>
            <w:pPr>
              <w:spacing w:after="0"/>
              <w:rPr>
                <w:sz w:val="1"/>
                <w:szCs w:val="1"/>
                <w:color w:val="auto"/>
              </w:rPr>
            </w:pPr>
          </w:p>
        </w:tc>
      </w:tr>
      <w:tr>
        <w:trPr>
          <w:trHeight w:val="218"/>
        </w:trPr>
        <w:tc>
          <w:tcPr>
            <w:tcW w:w="2280" w:type="dxa"/>
            <w:vAlign w:val="bottom"/>
            <w:tcBorders>
              <w:right w:val="single" w:sz="8" w:color="000039"/>
            </w:tcBorders>
            <w:vMerge w:val="continue"/>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9"/>
                <w:szCs w:val="19"/>
                <w:color w:val="auto"/>
              </w:rPr>
              <w:t>No employment contracts</w:t>
            </w:r>
          </w:p>
        </w:tc>
        <w:tc>
          <w:tcPr>
            <w:tcW w:w="0" w:type="dxa"/>
            <w:vAlign w:val="bottom"/>
          </w:tcPr>
          <w:p>
            <w:pPr>
              <w:spacing w:after="0"/>
              <w:rPr>
                <w:sz w:val="1"/>
                <w:szCs w:val="1"/>
                <w:color w:val="auto"/>
              </w:rPr>
            </w:pPr>
          </w:p>
        </w:tc>
      </w:tr>
      <w:tr>
        <w:trPr>
          <w:trHeight w:val="220"/>
        </w:trPr>
        <w:tc>
          <w:tcPr>
            <w:tcW w:w="2280" w:type="dxa"/>
            <w:vAlign w:val="bottom"/>
            <w:tcBorders>
              <w:right w:val="single" w:sz="8" w:color="000039"/>
            </w:tcBorders>
          </w:tcPr>
          <w:p>
            <w:pPr>
              <w:spacing w:after="0"/>
              <w:rPr>
                <w:sz w:val="19"/>
                <w:szCs w:val="19"/>
                <w:color w:val="auto"/>
              </w:rPr>
            </w:pPr>
          </w:p>
        </w:tc>
        <w:tc>
          <w:tcPr>
            <w:tcW w:w="7560" w:type="dxa"/>
            <w:vAlign w:val="bottom"/>
          </w:tcPr>
          <w:p>
            <w:pPr>
              <w:ind w:left="180"/>
              <w:spacing w:after="0"/>
              <w:rPr>
                <w:sz w:val="20"/>
                <w:szCs w:val="20"/>
                <w:color w:val="auto"/>
              </w:rPr>
            </w:pPr>
            <w:r>
              <w:rPr>
                <w:rFonts w:ascii="Arial" w:cs="Arial" w:eastAsia="Arial" w:hAnsi="Arial"/>
                <w:sz w:val="19"/>
                <w:szCs w:val="19"/>
                <w:color w:val="auto"/>
              </w:rPr>
              <w:t>No guaranteed short-term incentives or equity awards</w:t>
            </w:r>
          </w:p>
        </w:tc>
        <w:tc>
          <w:tcPr>
            <w:tcW w:w="0" w:type="dxa"/>
            <w:vAlign w:val="bottom"/>
          </w:tcPr>
          <w:p>
            <w:pPr>
              <w:spacing w:after="0"/>
              <w:rPr>
                <w:sz w:val="1"/>
                <w:szCs w:val="1"/>
                <w:color w:val="auto"/>
              </w:rPr>
            </w:pPr>
          </w:p>
        </w:tc>
      </w:tr>
      <w:tr>
        <w:trPr>
          <w:trHeight w:val="256"/>
        </w:trPr>
        <w:tc>
          <w:tcPr>
            <w:tcW w:w="2280" w:type="dxa"/>
            <w:vAlign w:val="bottom"/>
            <w:tcBorders>
              <w:right w:val="single" w:sz="8" w:color="000039"/>
            </w:tcBorders>
          </w:tcPr>
          <w:p>
            <w:pPr>
              <w:spacing w:after="0"/>
              <w:rPr>
                <w:sz w:val="22"/>
                <w:szCs w:val="22"/>
                <w:color w:val="auto"/>
              </w:rPr>
            </w:pPr>
          </w:p>
        </w:tc>
        <w:tc>
          <w:tcPr>
            <w:tcW w:w="7560" w:type="dxa"/>
            <w:vAlign w:val="bottom"/>
          </w:tcPr>
          <w:p>
            <w:pPr>
              <w:ind w:left="180"/>
              <w:spacing w:after="0"/>
              <w:rPr>
                <w:sz w:val="20"/>
                <w:szCs w:val="20"/>
                <w:color w:val="auto"/>
              </w:rPr>
            </w:pPr>
            <w:r>
              <w:rPr>
                <w:rFonts w:ascii="Arial" w:cs="Arial" w:eastAsia="Arial" w:hAnsi="Arial"/>
                <w:sz w:val="19"/>
                <w:szCs w:val="19"/>
                <w:color w:val="auto"/>
              </w:rPr>
              <w:t>No dividends paid on unearned performance awards</w:t>
            </w:r>
          </w:p>
        </w:tc>
        <w:tc>
          <w:tcPr>
            <w:tcW w:w="0" w:type="dxa"/>
            <w:vAlign w:val="bottom"/>
          </w:tcPr>
          <w:p>
            <w:pPr>
              <w:spacing w:after="0"/>
              <w:rPr>
                <w:sz w:val="1"/>
                <w:szCs w:val="1"/>
                <w:color w:val="auto"/>
              </w:rPr>
            </w:pPr>
          </w:p>
        </w:tc>
      </w:tr>
      <w:tr>
        <w:trPr>
          <w:trHeight w:val="100"/>
        </w:trPr>
        <w:tc>
          <w:tcPr>
            <w:tcW w:w="2280" w:type="dxa"/>
            <w:vAlign w:val="bottom"/>
            <w:tcBorders>
              <w:right w:val="single" w:sz="8" w:color="000039"/>
            </w:tcBorders>
          </w:tcPr>
          <w:p>
            <w:pPr>
              <w:spacing w:after="0"/>
              <w:rPr>
                <w:sz w:val="8"/>
                <w:szCs w:val="8"/>
                <w:color w:val="auto"/>
              </w:rPr>
            </w:pPr>
          </w:p>
        </w:tc>
        <w:tc>
          <w:tcPr>
            <w:tcW w:w="7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36  </w:t>
      </w:r>
      <w:r>
        <w:rPr>
          <w:sz w:val="1"/>
          <w:szCs w:val="1"/>
          <w:color w:val="auto"/>
        </w:rPr>
        <w:drawing>
          <wp:inline distT="0" distB="0" distL="0" distR="0">
            <wp:extent cx="991870" cy="20066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209">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color w:val="808080"/>
        </w:rPr>
        <w:t>EXECUTIVE COMPENSATION</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0039"/>
        </w:rPr>
        <w:t>Components of our Executive Compensation Program</w:t>
      </w:r>
    </w:p>
    <w:p>
      <w:pPr>
        <w:spacing w:after="0" w:line="208" w:lineRule="exact"/>
        <w:rPr>
          <w:sz w:val="20"/>
          <w:szCs w:val="20"/>
          <w:color w:val="auto"/>
        </w:rPr>
      </w:pPr>
    </w:p>
    <w:p>
      <w:pPr>
        <w:ind w:left="100" w:right="20"/>
        <w:spacing w:after="0" w:line="254" w:lineRule="auto"/>
        <w:rPr>
          <w:sz w:val="20"/>
          <w:szCs w:val="20"/>
          <w:color w:val="auto"/>
        </w:rPr>
      </w:pPr>
      <w:r>
        <w:rPr>
          <w:rFonts w:ascii="Arial" w:cs="Arial" w:eastAsia="Arial" w:hAnsi="Arial"/>
          <w:sz w:val="20"/>
          <w:szCs w:val="20"/>
          <w:color w:val="auto"/>
        </w:rPr>
        <w:t>The compensation committee of the Board oversees our executive compensation program, which includes several compensation elements that have each been tailored to incentivize and reward specific aspects of company performance the Board believes are central to delivering long-term stockholder value. Key components of our annual compensation program are listed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95885</wp:posOffset>
                </wp:positionV>
                <wp:extent cx="1647825" cy="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782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469" o:spid="_x0000_s14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499pt,7.55pt" to="129pt,7.5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1778000</wp:posOffset>
                </wp:positionH>
                <wp:positionV relativeFrom="paragraph">
                  <wp:posOffset>95885</wp:posOffset>
                </wp:positionV>
                <wp:extent cx="149352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352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pt,7.55pt" to="257.6pt,7.5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3402965</wp:posOffset>
                </wp:positionH>
                <wp:positionV relativeFrom="paragraph">
                  <wp:posOffset>95885</wp:posOffset>
                </wp:positionV>
                <wp:extent cx="1313815"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381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95pt,7.55pt" to="371.4pt,7.5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4878705</wp:posOffset>
                </wp:positionH>
                <wp:positionV relativeFrom="paragraph">
                  <wp:posOffset>95885</wp:posOffset>
                </wp:positionV>
                <wp:extent cx="1579880" cy="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988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15pt,7.55pt" to="508.55pt,7.5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86360</wp:posOffset>
                </wp:positionV>
                <wp:extent cx="0" cy="274320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pt" to="0pt,222.8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1787525</wp:posOffset>
                </wp:positionH>
                <wp:positionV relativeFrom="paragraph">
                  <wp:posOffset>86360</wp:posOffset>
                </wp:positionV>
                <wp:extent cx="0" cy="274320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474" o:spid="_x0000_s14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75pt,6.8pt" to="140.75pt,222.8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3412490</wp:posOffset>
                </wp:positionH>
                <wp:positionV relativeFrom="paragraph">
                  <wp:posOffset>86360</wp:posOffset>
                </wp:positionV>
                <wp:extent cx="0" cy="274320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7pt,6.8pt" to="268.7pt,222.8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4888230</wp:posOffset>
                </wp:positionH>
                <wp:positionV relativeFrom="paragraph">
                  <wp:posOffset>86360</wp:posOffset>
                </wp:positionV>
                <wp:extent cx="0" cy="274320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pt,6.8pt" to="384.9pt,222.8pt" o:allowincell="f" strokecolor="#000039" strokeweight="1.5pt"/>
            </w:pict>
          </mc:Fallback>
        </mc:AlternateContent>
      </w:r>
    </w:p>
    <w:p>
      <w:pPr>
        <w:sectPr>
          <w:pgSz w:w="11880" w:h="15480" w:orient="portrait"/>
          <w:cols w:equalWidth="0" w:num="1">
            <w:col w:w="10080"/>
          </w:cols>
          <w:pgMar w:left="900" w:top="702" w:right="900" w:bottom="0" w:gutter="0" w:footer="0" w:header="0"/>
        </w:sectPr>
      </w:pPr>
    </w:p>
    <w:p>
      <w:pPr>
        <w:spacing w:after="0" w:line="139"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0039"/>
        </w:rPr>
        <w:t>Base Salary</w:t>
      </w:r>
    </w:p>
    <w:p>
      <w:pPr>
        <w:spacing w:after="0" w:line="129" w:lineRule="exact"/>
        <w:rPr>
          <w:sz w:val="20"/>
          <w:szCs w:val="20"/>
          <w:color w:val="auto"/>
        </w:rPr>
      </w:pPr>
    </w:p>
    <w:p>
      <w:pPr>
        <w:ind w:left="100" w:right="160"/>
        <w:spacing w:after="0" w:line="254" w:lineRule="auto"/>
        <w:rPr>
          <w:sz w:val="20"/>
          <w:szCs w:val="20"/>
          <w:color w:val="auto"/>
        </w:rPr>
      </w:pPr>
      <w:r>
        <w:rPr>
          <w:rFonts w:ascii="Arial" w:cs="Arial" w:eastAsia="Arial" w:hAnsi="Arial"/>
          <w:sz w:val="18"/>
          <w:szCs w:val="18"/>
          <w:color w:val="auto"/>
        </w:rPr>
        <w:t>Designed to be competitive with market and industry norms, and to reflect individual performance</w:t>
      </w:r>
    </w:p>
    <w:p>
      <w:pPr>
        <w:spacing w:after="0" w:line="72" w:lineRule="exact"/>
        <w:rPr>
          <w:sz w:val="20"/>
          <w:szCs w:val="20"/>
          <w:color w:val="auto"/>
        </w:rPr>
      </w:pPr>
    </w:p>
    <w:p>
      <w:pPr>
        <w:ind w:left="100"/>
        <w:spacing w:after="0" w:line="245" w:lineRule="auto"/>
        <w:rPr>
          <w:sz w:val="20"/>
          <w:szCs w:val="20"/>
          <w:color w:val="auto"/>
        </w:rPr>
      </w:pPr>
      <w:r>
        <w:rPr>
          <w:rFonts w:ascii="Arial" w:cs="Arial" w:eastAsia="Arial" w:hAnsi="Arial"/>
          <w:sz w:val="18"/>
          <w:szCs w:val="18"/>
          <w:color w:val="auto"/>
        </w:rPr>
        <w:t>Individual salaries are established relative to market median based on each NEO’s individual performance, skills, and experience, and internal equity, as well as the company’s annual operating budget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Short-Term</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Incentives</w:t>
      </w:r>
    </w:p>
    <w:p>
      <w:pPr>
        <w:spacing w:after="0" w:line="9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Performance Incentive Plan (PIP)</w:t>
      </w:r>
    </w:p>
    <w:p>
      <w:pPr>
        <w:ind w:right="80"/>
        <w:spacing w:after="0" w:line="253" w:lineRule="auto"/>
        <w:rPr>
          <w:sz w:val="20"/>
          <w:szCs w:val="20"/>
          <w:color w:val="auto"/>
        </w:rPr>
      </w:pPr>
      <w:r>
        <w:rPr>
          <w:rFonts w:ascii="Arial" w:cs="Arial" w:eastAsia="Arial" w:hAnsi="Arial"/>
          <w:sz w:val="18"/>
          <w:szCs w:val="18"/>
          <w:color w:val="auto"/>
        </w:rPr>
        <w:t>Based on non-GAAP performance measures such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Platform revenue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Income before taxes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Operating margin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Return on assets</w:t>
      </w:r>
    </w:p>
    <w:p>
      <w:pPr>
        <w:spacing w:after="0" w:line="39" w:lineRule="exact"/>
        <w:rPr>
          <w:sz w:val="20"/>
          <w:szCs w:val="20"/>
          <w:color w:val="auto"/>
        </w:rPr>
      </w:pPr>
    </w:p>
    <w:p>
      <w:pPr>
        <w:jc w:val="both"/>
        <w:ind w:right="620"/>
        <w:spacing w:after="0" w:line="286" w:lineRule="auto"/>
        <w:rPr>
          <w:sz w:val="20"/>
          <w:szCs w:val="20"/>
          <w:color w:val="auto"/>
        </w:rPr>
      </w:pPr>
      <w:r>
        <w:rPr>
          <w:rFonts w:ascii="Arial" w:cs="Arial" w:eastAsia="Arial" w:hAnsi="Arial"/>
          <w:sz w:val="18"/>
          <w:szCs w:val="18"/>
          <w:color w:val="auto"/>
        </w:rPr>
        <w:t>— Strategic and leadership goals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Long-Term</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Incentives</w:t>
      </w:r>
    </w:p>
    <w:p>
      <w:pPr>
        <w:spacing w:after="0" w:line="91"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 xml:space="preserve">80% </w:t>
      </w:r>
      <w:r>
        <w:rPr>
          <w:rFonts w:ascii="Arial" w:cs="Arial" w:eastAsia="Arial" w:hAnsi="Arial"/>
          <w:sz w:val="17"/>
          <w:szCs w:val="17"/>
          <w:color w:val="auto"/>
        </w:rPr>
        <w:t>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and performance-vested restricted stock units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color w:val="auto"/>
        </w:rPr>
        <w:t>Non-qualified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120"/>
        <w:spacing w:after="0" w:line="321" w:lineRule="auto"/>
        <w:rPr>
          <w:sz w:val="20"/>
          <w:szCs w:val="20"/>
          <w:color w:val="auto"/>
        </w:rPr>
      </w:pPr>
      <w:r>
        <w:rPr>
          <w:rFonts w:ascii="Arial" w:cs="Arial" w:eastAsia="Arial" w:hAnsi="Arial"/>
          <w:sz w:val="23"/>
          <w:szCs w:val="23"/>
          <w:b w:val="1"/>
          <w:bCs w:val="1"/>
          <w:color w:val="auto"/>
        </w:rPr>
        <w:t>Our Compensation Philosophy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-53975</wp:posOffset>
                </wp:positionH>
                <wp:positionV relativeFrom="paragraph">
                  <wp:posOffset>-431165</wp:posOffset>
                </wp:positionV>
                <wp:extent cx="1559560" cy="2723515"/>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9560" cy="2723515"/>
                        </a:xfrm>
                        <a:prstGeom prst="rect">
                          <a:avLst/>
                        </a:prstGeom>
                        <a:solidFill>
                          <a:srgbClr val="F2F2F2"/>
                        </a:solidFill>
                      </wps:spPr>
                      <wps:bodyPr/>
                    </wps:wsp>
                  </a:graphicData>
                </a:graphic>
              </wp:anchor>
            </w:drawing>
          </mc:Choice>
          <mc:Fallback>
            <w:pict>
              <v:rect id="Shape 477" o:spid="_x0000_s1502" style="position:absolute;margin-left:-4.2499pt;margin-top:-33.9499pt;width:122.8pt;height:21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2F2" stroked="f"/>
            </w:pict>
          </mc:Fallback>
        </mc:AlternateContent>
      </w:r>
    </w:p>
    <w:p>
      <w:pPr>
        <w:spacing w:after="0" w:line="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Align executive interests </w:t>
      </w:r>
      <w:r>
        <w:rPr>
          <w:rFonts w:ascii="Arial" w:cs="Arial" w:eastAsia="Arial" w:hAnsi="Arial"/>
          <w:sz w:val="18"/>
          <w:szCs w:val="18"/>
          <w:color w:val="auto"/>
        </w:rPr>
        <w:t>with the drivers of stockholder returns and profitable growth</w:t>
      </w:r>
    </w:p>
    <w:p>
      <w:pPr>
        <w:spacing w:after="0" w:line="19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Support achievement of the company’s </w:t>
      </w:r>
      <w:r>
        <w:rPr>
          <w:rFonts w:ascii="Arial" w:cs="Arial" w:eastAsia="Arial" w:hAnsi="Arial"/>
          <w:sz w:val="18"/>
          <w:szCs w:val="18"/>
          <w:b w:val="1"/>
          <w:bCs w:val="1"/>
          <w:color w:val="auto"/>
        </w:rPr>
        <w:t>primary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business goals </w:t>
      </w:r>
      <w:r>
        <w:rPr>
          <w:rFonts w:ascii="Arial" w:cs="Arial" w:eastAsia="Arial" w:hAnsi="Arial"/>
          <w:sz w:val="18"/>
          <w:szCs w:val="18"/>
          <w:color w:val="auto"/>
        </w:rPr>
        <w:t>to have a</w:t>
      </w:r>
      <w:r>
        <w:rPr>
          <w:rFonts w:ascii="Arial" w:cs="Arial" w:eastAsia="Arial" w:hAnsi="Arial"/>
          <w:sz w:val="18"/>
          <w:szCs w:val="18"/>
          <w:b w:val="1"/>
          <w:bCs w:val="1"/>
          <w:color w:val="auto"/>
        </w:rPr>
        <w:t xml:space="preserve"> </w:t>
      </w:r>
      <w:r>
        <w:rPr>
          <w:rFonts w:ascii="Arial" w:cs="Arial" w:eastAsia="Arial" w:hAnsi="Arial"/>
          <w:sz w:val="18"/>
          <w:szCs w:val="18"/>
          <w:color w:val="auto"/>
        </w:rPr>
        <w:t>remarkable impact on patients’ lives</w:t>
      </w:r>
    </w:p>
    <w:p>
      <w:pPr>
        <w:spacing w:after="0" w:line="19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color w:val="auto"/>
        </w:rPr>
        <w:t xml:space="preserve">Attract and retain world - class executives </w:t>
      </w:r>
      <w:r>
        <w:rPr>
          <w:rFonts w:ascii="Arial" w:cs="Arial" w:eastAsia="Arial" w:hAnsi="Arial"/>
          <w:sz w:val="17"/>
          <w:szCs w:val="17"/>
          <w:color w:val="auto"/>
        </w:rPr>
        <w:t>whose</w:t>
      </w:r>
      <w:r>
        <w:rPr>
          <w:rFonts w:ascii="Arial" w:cs="Arial" w:eastAsia="Arial" w:hAnsi="Arial"/>
          <w:sz w:val="17"/>
          <w:szCs w:val="17"/>
          <w:b w:val="1"/>
          <w:bCs w:val="1"/>
          <w:color w:val="auto"/>
        </w:rPr>
        <w:t xml:space="preserve"> </w:t>
      </w:r>
      <w:r>
        <w:rPr>
          <w:rFonts w:ascii="Arial" w:cs="Arial" w:eastAsia="Arial" w:hAnsi="Arial"/>
          <w:sz w:val="17"/>
          <w:szCs w:val="17"/>
          <w:color w:val="auto"/>
        </w:rPr>
        <w:t>talents and contributions sustain the growth in long-term stockholder value</w:t>
      </w:r>
    </w:p>
    <w:p>
      <w:pPr>
        <w:spacing w:after="0" w:line="200" w:lineRule="exact"/>
        <w:rPr>
          <w:sz w:val="20"/>
          <w:szCs w:val="20"/>
          <w:color w:val="auto"/>
        </w:rPr>
      </w:pPr>
    </w:p>
    <w:p>
      <w:pPr>
        <w:sectPr>
          <w:pgSz w:w="11880" w:h="15480" w:orient="portrait"/>
          <w:cols w:equalWidth="0" w:num="4">
            <w:col w:w="2440" w:space="480"/>
            <w:col w:w="1940" w:space="620"/>
            <w:col w:w="1640" w:space="680"/>
            <w:col w:w="2280"/>
          </w:cols>
          <w:pgMar w:left="900" w:top="702" w:right="900" w:bottom="0" w:gutter="0" w:footer="0" w:header="0"/>
          <w:type w:val="continuous"/>
        </w:sectPr>
      </w:pPr>
    </w:p>
    <w:p>
      <w:pPr>
        <w:spacing w:after="0" w:line="87"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The compensation committee is dedicated to ensuring that a substantial portion of executive compensation is “at-risk” and variable. Generally, more than three-fourths of our NEOs’ total direct compensation is variable and directly affected by both the company’s and the NEO’s performance, as indicated below.</w:t>
      </w:r>
    </w:p>
    <w:p>
      <w:pPr>
        <w:spacing w:after="0" w:line="321" w:lineRule="exact"/>
        <w:rPr>
          <w:sz w:val="20"/>
          <w:szCs w:val="20"/>
          <w:color w:val="auto"/>
        </w:rPr>
      </w:pPr>
    </w:p>
    <w:p>
      <w:pPr>
        <w:ind w:left="1760"/>
        <w:spacing w:after="0"/>
        <w:tabs>
          <w:tab w:leader="none" w:pos="6040" w:val="left"/>
        </w:tabs>
        <w:rPr>
          <w:sz w:val="20"/>
          <w:szCs w:val="20"/>
          <w:color w:val="auto"/>
        </w:rPr>
      </w:pPr>
      <w:r>
        <w:rPr>
          <w:rFonts w:ascii="Arial" w:cs="Arial" w:eastAsia="Arial" w:hAnsi="Arial"/>
          <w:sz w:val="21"/>
          <w:szCs w:val="21"/>
          <w:b w:val="1"/>
          <w:bCs w:val="1"/>
          <w:color w:val="000039"/>
        </w:rPr>
        <w:t>CEO Pay Mix</w:t>
      </w:r>
      <w:r>
        <w:rPr>
          <w:sz w:val="20"/>
          <w:szCs w:val="20"/>
          <w:color w:val="auto"/>
        </w:rPr>
        <w:tab/>
      </w:r>
      <w:r>
        <w:rPr>
          <w:rFonts w:ascii="Arial" w:cs="Arial" w:eastAsia="Arial" w:hAnsi="Arial"/>
          <w:sz w:val="20"/>
          <w:szCs w:val="20"/>
          <w:b w:val="1"/>
          <w:bCs w:val="1"/>
          <w:color w:val="000039"/>
        </w:rPr>
        <w:t>All Other NEO Average Pay Mix</w:t>
      </w:r>
    </w:p>
    <w:p>
      <w:pPr>
        <w:sectPr>
          <w:pgSz w:w="11880" w:h="15480" w:orient="portrait"/>
          <w:cols w:equalWidth="0" w:num="1">
            <w:col w:w="10080"/>
          </w:cols>
          <w:pgMar w:left="900" w:top="702" w:right="900" w:bottom="0" w:gutter="0" w:footer="0" w:header="0"/>
          <w:type w:val="continuous"/>
        </w:sectPr>
      </w:pP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333"/>
        </w:trPr>
        <w:tc>
          <w:tcPr>
            <w:tcW w:w="3060" w:type="dxa"/>
            <w:vAlign w:val="bottom"/>
            <w:vMerge w:val="restart"/>
          </w:tcPr>
          <w:p>
            <w:pPr>
              <w:spacing w:after="0"/>
              <w:rPr>
                <w:sz w:val="20"/>
                <w:szCs w:val="20"/>
                <w:color w:val="auto"/>
              </w:rPr>
            </w:pPr>
            <w:r>
              <w:rPr>
                <w:rFonts w:ascii="Arial" w:cs="Arial" w:eastAsia="Arial" w:hAnsi="Arial"/>
                <w:sz w:val="29"/>
                <w:szCs w:val="29"/>
                <w:color w:val="auto"/>
              </w:rPr>
              <w:t>71%</w:t>
            </w:r>
          </w:p>
        </w:tc>
        <w:tc>
          <w:tcPr>
            <w:tcW w:w="1920" w:type="dxa"/>
            <w:vAlign w:val="bottom"/>
          </w:tcPr>
          <w:p>
            <w:pPr>
              <w:jc w:val="right"/>
              <w:ind w:right="655"/>
              <w:spacing w:after="0"/>
              <w:rPr>
                <w:sz w:val="20"/>
                <w:szCs w:val="20"/>
                <w:color w:val="auto"/>
              </w:rPr>
            </w:pPr>
            <w:r>
              <w:rPr>
                <w:rFonts w:ascii="Arial" w:cs="Arial" w:eastAsia="Arial" w:hAnsi="Arial"/>
                <w:sz w:val="29"/>
                <w:szCs w:val="29"/>
                <w:color w:val="auto"/>
              </w:rPr>
              <w:t>7%</w:t>
            </w:r>
          </w:p>
        </w:tc>
        <w:tc>
          <w:tcPr>
            <w:tcW w:w="1620" w:type="dxa"/>
            <w:vAlign w:val="bottom"/>
            <w:vMerge w:val="restart"/>
          </w:tcPr>
          <w:p>
            <w:pPr>
              <w:ind w:left="200"/>
              <w:spacing w:after="0"/>
              <w:rPr>
                <w:sz w:val="20"/>
                <w:szCs w:val="20"/>
                <w:color w:val="auto"/>
              </w:rPr>
            </w:pPr>
            <w:r>
              <w:rPr>
                <w:rFonts w:ascii="Arial" w:cs="Arial" w:eastAsia="Arial" w:hAnsi="Arial"/>
                <w:sz w:val="29"/>
                <w:szCs w:val="29"/>
                <w:color w:val="auto"/>
              </w:rPr>
              <w:t>60%</w:t>
            </w:r>
          </w:p>
        </w:tc>
        <w:tc>
          <w:tcPr>
            <w:tcW w:w="0" w:type="dxa"/>
            <w:vAlign w:val="bottom"/>
          </w:tcPr>
          <w:p>
            <w:pPr>
              <w:spacing w:after="0"/>
              <w:rPr>
                <w:sz w:val="1"/>
                <w:szCs w:val="1"/>
                <w:color w:val="auto"/>
              </w:rPr>
            </w:pPr>
          </w:p>
        </w:tc>
      </w:tr>
      <w:tr>
        <w:trPr>
          <w:trHeight w:val="319"/>
        </w:trPr>
        <w:tc>
          <w:tcPr>
            <w:tcW w:w="3060" w:type="dxa"/>
            <w:vAlign w:val="bottom"/>
            <w:vMerge w:val="continue"/>
          </w:tcPr>
          <w:p>
            <w:pPr>
              <w:spacing w:after="0"/>
              <w:rPr>
                <w:sz w:val="24"/>
                <w:szCs w:val="24"/>
                <w:color w:val="auto"/>
              </w:rPr>
            </w:pPr>
          </w:p>
        </w:tc>
        <w:tc>
          <w:tcPr>
            <w:tcW w:w="1920" w:type="dxa"/>
            <w:vAlign w:val="bottom"/>
          </w:tcPr>
          <w:p>
            <w:pPr>
              <w:jc w:val="right"/>
              <w:ind w:right="695"/>
              <w:spacing w:after="0"/>
              <w:rPr>
                <w:sz w:val="20"/>
                <w:szCs w:val="20"/>
                <w:color w:val="auto"/>
              </w:rPr>
            </w:pPr>
            <w:r>
              <w:rPr>
                <w:rFonts w:ascii="Arial" w:cs="Arial" w:eastAsia="Arial" w:hAnsi="Arial"/>
                <w:sz w:val="16"/>
                <w:szCs w:val="16"/>
                <w:color w:val="auto"/>
              </w:rPr>
              <w:t>Base Salary</w:t>
            </w: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060" w:type="dxa"/>
            <w:vAlign w:val="bottom"/>
          </w:tcPr>
          <w:p>
            <w:pPr>
              <w:spacing w:after="0"/>
              <w:rPr>
                <w:sz w:val="20"/>
                <w:szCs w:val="20"/>
                <w:color w:val="auto"/>
              </w:rPr>
            </w:pPr>
            <w:r>
              <w:rPr>
                <w:rFonts w:ascii="Arial" w:cs="Arial" w:eastAsia="Arial" w:hAnsi="Arial"/>
                <w:sz w:val="16"/>
                <w:szCs w:val="16"/>
                <w:color w:val="auto"/>
              </w:rPr>
              <w:t>Long-Term</w:t>
            </w:r>
          </w:p>
        </w:tc>
        <w:tc>
          <w:tcPr>
            <w:tcW w:w="1920" w:type="dxa"/>
            <w:vAlign w:val="bottom"/>
          </w:tcPr>
          <w:p>
            <w:pPr>
              <w:spacing w:after="0"/>
              <w:rPr>
                <w:sz w:val="24"/>
                <w:szCs w:val="24"/>
                <w:color w:val="auto"/>
              </w:rPr>
            </w:pPr>
          </w:p>
        </w:tc>
        <w:tc>
          <w:tcPr>
            <w:tcW w:w="1620" w:type="dxa"/>
            <w:vAlign w:val="bottom"/>
          </w:tcPr>
          <w:p>
            <w:pPr>
              <w:ind w:left="200"/>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187"/>
        </w:trPr>
        <w:tc>
          <w:tcPr>
            <w:tcW w:w="3060" w:type="dxa"/>
            <w:vAlign w:val="bottom"/>
          </w:tcPr>
          <w:p>
            <w:pPr>
              <w:spacing w:after="0"/>
              <w:rPr>
                <w:sz w:val="20"/>
                <w:szCs w:val="20"/>
                <w:color w:val="auto"/>
              </w:rPr>
            </w:pPr>
            <w:r>
              <w:rPr>
                <w:rFonts w:ascii="Arial" w:cs="Arial" w:eastAsia="Arial" w:hAnsi="Arial"/>
                <w:sz w:val="16"/>
                <w:szCs w:val="16"/>
                <w:color w:val="auto"/>
              </w:rPr>
              <w:t>Incentives</w:t>
            </w:r>
          </w:p>
        </w:tc>
        <w:tc>
          <w:tcPr>
            <w:tcW w:w="1920" w:type="dxa"/>
            <w:vAlign w:val="bottom"/>
            <w:vMerge w:val="restart"/>
          </w:tcPr>
          <w:p>
            <w:pPr>
              <w:jc w:val="right"/>
              <w:ind w:right="95"/>
              <w:spacing w:after="0"/>
              <w:rPr>
                <w:sz w:val="20"/>
                <w:szCs w:val="20"/>
                <w:color w:val="auto"/>
              </w:rPr>
            </w:pPr>
            <w:r>
              <w:rPr>
                <w:rFonts w:ascii="Arial" w:cs="Arial" w:eastAsia="Arial" w:hAnsi="Arial"/>
                <w:sz w:val="29"/>
                <w:szCs w:val="29"/>
                <w:color w:val="auto"/>
              </w:rPr>
              <w:t>22%</w:t>
            </w:r>
          </w:p>
        </w:tc>
        <w:tc>
          <w:tcPr>
            <w:tcW w:w="1620" w:type="dxa"/>
            <w:vAlign w:val="bottom"/>
          </w:tcPr>
          <w:p>
            <w:pPr>
              <w:ind w:left="200"/>
              <w:spacing w:after="0"/>
              <w:rPr>
                <w:sz w:val="20"/>
                <w:szCs w:val="20"/>
                <w:color w:val="auto"/>
              </w:rPr>
            </w:pPr>
            <w:r>
              <w:rPr>
                <w:rFonts w:ascii="Arial" w:cs="Arial" w:eastAsia="Arial" w:hAnsi="Arial"/>
                <w:sz w:val="16"/>
                <w:szCs w:val="16"/>
                <w:color w:val="auto"/>
              </w:rPr>
              <w:t>Incentives</w:t>
            </w:r>
          </w:p>
        </w:tc>
        <w:tc>
          <w:tcPr>
            <w:tcW w:w="0" w:type="dxa"/>
            <w:vAlign w:val="bottom"/>
          </w:tcPr>
          <w:p>
            <w:pPr>
              <w:spacing w:after="0"/>
              <w:rPr>
                <w:sz w:val="1"/>
                <w:szCs w:val="1"/>
                <w:color w:val="auto"/>
              </w:rPr>
            </w:pPr>
          </w:p>
        </w:tc>
      </w:tr>
      <w:tr>
        <w:trPr>
          <w:trHeight w:val="175"/>
        </w:trPr>
        <w:tc>
          <w:tcPr>
            <w:tcW w:w="3060" w:type="dxa"/>
            <w:vAlign w:val="bottom"/>
            <w:vMerge w:val="restart"/>
          </w:tcPr>
          <w:p>
            <w:pPr>
              <w:ind w:left="2000"/>
              <w:spacing w:after="0" w:line="388" w:lineRule="exact"/>
              <w:rPr>
                <w:sz w:val="20"/>
                <w:szCs w:val="20"/>
                <w:color w:val="auto"/>
              </w:rPr>
            </w:pPr>
            <w:r>
              <w:rPr>
                <w:rFonts w:ascii="Arial" w:cs="Arial" w:eastAsia="Arial" w:hAnsi="Arial"/>
                <w:sz w:val="35"/>
                <w:szCs w:val="35"/>
                <w:color w:val="auto"/>
              </w:rPr>
              <w:t>CEO</w:t>
            </w:r>
          </w:p>
        </w:tc>
        <w:tc>
          <w:tcPr>
            <w:tcW w:w="192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1920" w:type="dxa"/>
            <w:vAlign w:val="bottom"/>
          </w:tcPr>
          <w:p>
            <w:pPr>
              <w:jc w:val="right"/>
              <w:ind w:right="135"/>
              <w:spacing w:after="0"/>
              <w:rPr>
                <w:sz w:val="20"/>
                <w:szCs w:val="20"/>
                <w:color w:val="auto"/>
              </w:rPr>
            </w:pPr>
            <w:r>
              <w:rPr>
                <w:rFonts w:ascii="Arial" w:cs="Arial" w:eastAsia="Arial" w:hAnsi="Arial"/>
                <w:sz w:val="16"/>
                <w:szCs w:val="16"/>
                <w:color w:val="auto"/>
              </w:rPr>
              <w:t>Short-Term</w:t>
            </w:r>
          </w:p>
        </w:tc>
        <w:tc>
          <w:tcPr>
            <w:tcW w:w="1620" w:type="dxa"/>
            <w:vAlign w:val="bottom"/>
            <w:vMerge w:val="restart"/>
          </w:tcPr>
          <w:p>
            <w:pPr>
              <w:ind w:left="200"/>
              <w:spacing w:after="0"/>
              <w:rPr>
                <w:sz w:val="20"/>
                <w:szCs w:val="20"/>
                <w:color w:val="auto"/>
              </w:rPr>
            </w:pPr>
            <w:r>
              <w:rPr>
                <w:rFonts w:ascii="Arial" w:cs="Arial" w:eastAsia="Arial" w:hAnsi="Arial"/>
                <w:sz w:val="29"/>
                <w:szCs w:val="29"/>
                <w:color w:val="auto"/>
              </w:rPr>
              <w:t>76%</w:t>
            </w:r>
          </w:p>
        </w:tc>
        <w:tc>
          <w:tcPr>
            <w:tcW w:w="0" w:type="dxa"/>
            <w:vAlign w:val="bottom"/>
          </w:tcPr>
          <w:p>
            <w:pPr>
              <w:spacing w:after="0"/>
              <w:rPr>
                <w:sz w:val="1"/>
                <w:szCs w:val="1"/>
                <w:color w:val="auto"/>
              </w:rPr>
            </w:pPr>
          </w:p>
        </w:tc>
      </w:tr>
      <w:tr>
        <w:trPr>
          <w:trHeight w:val="187"/>
        </w:trPr>
        <w:tc>
          <w:tcPr>
            <w:tcW w:w="3060" w:type="dxa"/>
            <w:vAlign w:val="bottom"/>
          </w:tcPr>
          <w:p>
            <w:pPr>
              <w:spacing w:after="0" w:line="187" w:lineRule="exact"/>
              <w:rPr>
                <w:sz w:val="20"/>
                <w:szCs w:val="20"/>
                <w:color w:val="auto"/>
              </w:rPr>
            </w:pPr>
            <w:r>
              <w:rPr>
                <w:rFonts w:ascii="Arial" w:cs="Arial" w:eastAsia="Arial" w:hAnsi="Arial"/>
                <w:sz w:val="21"/>
                <w:szCs w:val="21"/>
                <w:color w:val="auto"/>
              </w:rPr>
              <w:t>79%</w:t>
            </w:r>
          </w:p>
        </w:tc>
        <w:tc>
          <w:tcPr>
            <w:tcW w:w="1920" w:type="dxa"/>
            <w:vAlign w:val="bottom"/>
            <w:vMerge w:val="restart"/>
          </w:tcPr>
          <w:p>
            <w:pPr>
              <w:jc w:val="right"/>
              <w:ind w:right="135"/>
              <w:spacing w:after="0"/>
              <w:rPr>
                <w:sz w:val="20"/>
                <w:szCs w:val="20"/>
                <w:color w:val="auto"/>
              </w:rPr>
            </w:pPr>
            <w:r>
              <w:rPr>
                <w:rFonts w:ascii="Arial" w:cs="Arial" w:eastAsia="Arial" w:hAnsi="Arial"/>
                <w:sz w:val="16"/>
                <w:szCs w:val="16"/>
                <w:color w:val="auto"/>
              </w:rPr>
              <w:t>Incentives</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060" w:type="dxa"/>
            <w:vAlign w:val="bottom"/>
          </w:tcPr>
          <w:p>
            <w:pPr>
              <w:spacing w:after="0"/>
              <w:rPr>
                <w:sz w:val="2"/>
                <w:szCs w:val="2"/>
                <w:color w:val="auto"/>
              </w:rPr>
            </w:pPr>
          </w:p>
        </w:tc>
        <w:tc>
          <w:tcPr>
            <w:tcW w:w="1920" w:type="dxa"/>
            <w:vAlign w:val="bottom"/>
            <w:vMerge w:val="continue"/>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5"/>
        </w:trPr>
        <w:tc>
          <w:tcPr>
            <w:tcW w:w="3060" w:type="dxa"/>
            <w:vAlign w:val="bottom"/>
          </w:tcPr>
          <w:p>
            <w:pPr>
              <w:spacing w:after="0"/>
              <w:rPr>
                <w:sz w:val="20"/>
                <w:szCs w:val="20"/>
                <w:color w:val="auto"/>
              </w:rPr>
            </w:pPr>
            <w:r>
              <w:rPr>
                <w:rFonts w:ascii="Arial" w:cs="Arial" w:eastAsia="Arial" w:hAnsi="Arial"/>
                <w:sz w:val="16"/>
                <w:szCs w:val="16"/>
                <w:color w:val="auto"/>
              </w:rPr>
              <w:t>Performance-Based</w:t>
            </w:r>
          </w:p>
        </w:tc>
        <w:tc>
          <w:tcPr>
            <w:tcW w:w="1920" w:type="dxa"/>
            <w:vAlign w:val="bottom"/>
          </w:tcPr>
          <w:p>
            <w:pPr>
              <w:spacing w:after="0"/>
              <w:rPr>
                <w:sz w:val="24"/>
                <w:szCs w:val="24"/>
                <w:color w:val="auto"/>
              </w:rPr>
            </w:pPr>
          </w:p>
        </w:tc>
        <w:tc>
          <w:tcPr>
            <w:tcW w:w="1620" w:type="dxa"/>
            <w:vAlign w:val="bottom"/>
          </w:tcPr>
          <w:p>
            <w:pPr>
              <w:ind w:left="200"/>
              <w:spacing w:after="0"/>
              <w:rPr>
                <w:sz w:val="20"/>
                <w:szCs w:val="20"/>
                <w:color w:val="auto"/>
              </w:rPr>
            </w:pPr>
            <w:r>
              <w:rPr>
                <w:rFonts w:ascii="Arial" w:cs="Arial" w:eastAsia="Arial" w:hAnsi="Arial"/>
                <w:sz w:val="16"/>
                <w:szCs w:val="16"/>
                <w:color w:val="auto"/>
                <w:w w:val="98"/>
              </w:rPr>
              <w:t>Performance-Based</w:t>
            </w:r>
          </w:p>
        </w:tc>
        <w:tc>
          <w:tcPr>
            <w:tcW w:w="0" w:type="dxa"/>
            <w:vAlign w:val="bottom"/>
          </w:tcPr>
          <w:p>
            <w:pPr>
              <w:spacing w:after="0"/>
              <w:rPr>
                <w:sz w:val="1"/>
                <w:szCs w:val="1"/>
                <w:color w:val="auto"/>
              </w:rPr>
            </w:pPr>
          </w:p>
        </w:tc>
      </w:tr>
      <w:tr>
        <w:trPr>
          <w:trHeight w:val="187"/>
        </w:trPr>
        <w:tc>
          <w:tcPr>
            <w:tcW w:w="3060" w:type="dxa"/>
            <w:vAlign w:val="bottom"/>
          </w:tcPr>
          <w:p>
            <w:pPr>
              <w:spacing w:after="0"/>
              <w:rPr>
                <w:sz w:val="20"/>
                <w:szCs w:val="20"/>
                <w:color w:val="auto"/>
              </w:rPr>
            </w:pPr>
            <w:r>
              <w:rPr>
                <w:rFonts w:ascii="Arial" w:cs="Arial" w:eastAsia="Arial" w:hAnsi="Arial"/>
                <w:sz w:val="16"/>
                <w:szCs w:val="16"/>
                <w:color w:val="auto"/>
              </w:rPr>
              <w:t>Pay</w:t>
            </w:r>
          </w:p>
        </w:tc>
        <w:tc>
          <w:tcPr>
            <w:tcW w:w="1920" w:type="dxa"/>
            <w:vAlign w:val="bottom"/>
          </w:tcPr>
          <w:p>
            <w:pPr>
              <w:spacing w:after="0"/>
              <w:rPr>
                <w:sz w:val="16"/>
                <w:szCs w:val="16"/>
                <w:color w:val="auto"/>
              </w:rPr>
            </w:pPr>
          </w:p>
        </w:tc>
        <w:tc>
          <w:tcPr>
            <w:tcW w:w="1620" w:type="dxa"/>
            <w:vAlign w:val="bottom"/>
          </w:tcPr>
          <w:p>
            <w:pPr>
              <w:ind w:left="200"/>
              <w:spacing w:after="0"/>
              <w:rPr>
                <w:sz w:val="20"/>
                <w:szCs w:val="20"/>
                <w:color w:val="auto"/>
              </w:rPr>
            </w:pPr>
            <w:r>
              <w:rPr>
                <w:rFonts w:ascii="Arial" w:cs="Arial" w:eastAsia="Arial" w:hAnsi="Arial"/>
                <w:sz w:val="16"/>
                <w:szCs w:val="16"/>
                <w:color w:val="auto"/>
              </w:rPr>
              <w:t>Pay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-1353185</wp:posOffset>
            </wp:positionV>
            <wp:extent cx="3077210" cy="15951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210">
                      <a:extLst>
                        <a:ext uri="{28A0092B-C50C-407E-A947-70E740481C1C}"/>
                      </a:extLst>
                    </a:blip>
                    <a:srcRect/>
                    <a:stretch>
                      <a:fillRect/>
                    </a:stretch>
                  </pic:blipFill>
                  <pic:spPr bwMode="auto">
                    <a:xfrm>
                      <a:off x="0" y="0"/>
                      <a:ext cx="3077210" cy="159512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Executive Compensation Process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 TO PERFORMANCE-BASED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Avg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-616585</wp:posOffset>
            </wp:positionV>
            <wp:extent cx="3118485" cy="16160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211">
                      <a:extLst>
                        <a:ext uri="{28A0092B-C50C-407E-A947-70E740481C1C}"/>
                      </a:extLst>
                    </a:blip>
                    <a:srcRect/>
                    <a:stretch>
                      <a:fillRect/>
                    </a:stretch>
                  </pic:blipFill>
                  <pic:spPr bwMode="auto">
                    <a:xfrm>
                      <a:off x="0" y="0"/>
                      <a:ext cx="3118485" cy="161607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Other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NEOs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9"/>
          <w:szCs w:val="29"/>
          <w:color w:val="auto"/>
        </w:rPr>
        <w:t>13%</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Base Salary</w:t>
      </w:r>
    </w:p>
    <w:p>
      <w:pPr>
        <w:spacing w:after="0" w:line="200" w:lineRule="exact"/>
        <w:rPr>
          <w:sz w:val="20"/>
          <w:szCs w:val="20"/>
          <w:color w:val="auto"/>
        </w:rPr>
      </w:pPr>
    </w:p>
    <w:p>
      <w:pPr>
        <w:spacing w:after="0" w:line="255" w:lineRule="exact"/>
        <w:rPr>
          <w:sz w:val="20"/>
          <w:szCs w:val="20"/>
          <w:color w:val="auto"/>
        </w:rPr>
      </w:pPr>
    </w:p>
    <w:p>
      <w:pPr>
        <w:jc w:val="right"/>
        <w:ind w:right="40"/>
        <w:spacing w:after="0"/>
        <w:rPr>
          <w:sz w:val="20"/>
          <w:szCs w:val="20"/>
          <w:color w:val="auto"/>
        </w:rPr>
      </w:pPr>
      <w:r>
        <w:rPr>
          <w:rFonts w:ascii="Arial" w:cs="Arial" w:eastAsia="Arial" w:hAnsi="Arial"/>
          <w:sz w:val="29"/>
          <w:szCs w:val="29"/>
          <w:color w:val="auto"/>
        </w:rPr>
        <w:t>27%</w:t>
      </w:r>
    </w:p>
    <w:p>
      <w:pPr>
        <w:spacing w:after="0" w:line="64"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Short-Term</w:t>
      </w:r>
    </w:p>
    <w:p>
      <w:pPr>
        <w:spacing w:after="0" w:line="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Incentives</w:t>
      </w:r>
    </w:p>
    <w:p>
      <w:pPr>
        <w:spacing w:after="0" w:line="1597" w:lineRule="exact"/>
        <w:rPr>
          <w:sz w:val="20"/>
          <w:szCs w:val="20"/>
          <w:color w:val="auto"/>
        </w:rPr>
      </w:pPr>
    </w:p>
    <w:p>
      <w:pPr>
        <w:sectPr>
          <w:pgSz w:w="11880" w:h="15480" w:orient="portrait"/>
          <w:cols w:equalWidth="0" w:num="3">
            <w:col w:w="6620" w:space="480"/>
            <w:col w:w="960" w:space="640"/>
            <w:col w:w="1380"/>
          </w:cols>
          <w:pgMar w:left="900" w:top="702" w:right="900" w:bottom="0" w:gutter="0" w:footer="0" w:header="0"/>
          <w:type w:val="continuous"/>
        </w:sectPr>
      </w:pPr>
    </w:p>
    <w:p>
      <w:pPr>
        <w:ind w:right="40"/>
        <w:spacing w:after="0" w:line="264" w:lineRule="auto"/>
        <w:rPr>
          <w:sz w:val="20"/>
          <w:szCs w:val="20"/>
          <w:color w:val="auto"/>
        </w:rPr>
      </w:pPr>
      <w:r>
        <w:rPr>
          <w:rFonts w:ascii="Arial" w:cs="Arial" w:eastAsia="Arial" w:hAnsi="Arial"/>
          <w:sz w:val="19"/>
          <w:szCs w:val="19"/>
          <w:color w:val="auto"/>
        </w:rPr>
        <w:t>As discussed above, the majority of AbbVie’s NEO pay is performance-based. Specific goals and targets are the foundation of our pay-for-performance process. The committee believes the use of non-GAAP metrics to measure company performance for incentive plan purposes is appropriate. The use of certain non- GAAP metrics aligns NEOs to performance objectives that are commonly used to evaluate the performance of the company, provide accountability, and avoid inappropriate windfalls or penalties due to factors outside of their control. Importantly, both the targets and the financial performance results are presented on a consistent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212">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type w:val="continuous"/>
        </w:sectPr>
      </w:pPr>
    </w:p>
    <w:bookmarkStart w:id="166" w:name="page167"/>
    <w:bookmarkEnd w:id="166"/>
    <w:p>
      <w:pPr>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Though quantitative metrics such as financial and operational results are a central part of our performance assessment, some goals such as leadership and progress against strategic and long- term objectives are difficult to measure using numeric or formulaic criteria. As such, the compensation committee also conducts a qualitative assessment of individual performance to ensure the overall assessment of performance and pay decisions are aligned with the company’s true performance over a period of time. A discussion of the decision-making criteria for each pay component is below in the section captioned “Compensation Plan Elements.”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 PROCESS FOR SETTING TOTAL COMPENSATION</w:t>
      </w:r>
    </w:p>
    <w:p>
      <w:pPr>
        <w:spacing w:after="0" w:line="20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Each February, the committee, with the assistance of its independent compensation consultant and AbbVie’s management team, determines pay levels for NEOs. The process starts with a consideration of compensation levels and the mix of compensation for comparable executives at companies in AbbVie’s Health Care Peer Group, which are listed below in the section captioned “Compensation Benchmarking.” After this benchmark review, the committee establishes NEO compensation—base salary adjustments, annual incentive awards, and long- term incentive awards—relative to the peer median in each instance. Awards can be differentiated from the peer compensation levels based on company performance, each NEO’s individual performance, leadership, and contributions to AbbVie’s business and strategic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BENCHMARKING</w:t>
      </w:r>
    </w:p>
    <w:p>
      <w:pPr>
        <w:spacing w:after="0" w:line="205"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To provide the appropriate context for executive pay decisions, the committee, in consultation with its independent compensation consultant, assesses the compensation practices and pay levels of AbbVie’s Health Care Peer Group. The committee chooses to focus on the Health Care Peer Group because its constituents share important characteristics with AbbVie, particularly the global emphasis on research-based pharmaceuticals and biopharmaceutical therapies and the regulatory environment within which they operate. Members of the Health Care Peer Group are AbbVie’s primary competitors for executive talent and are companies the committee believes chiefly represent our competitive market:</w:t>
      </w:r>
    </w:p>
    <w:p>
      <w:pPr>
        <w:spacing w:after="0" w:line="179"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000039"/>
        </w:rPr>
        <w:t>Health Care Peer Group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1600200</wp:posOffset>
                </wp:positionH>
                <wp:positionV relativeFrom="paragraph">
                  <wp:posOffset>-133985</wp:posOffset>
                </wp:positionV>
                <wp:extent cx="3200400"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4763"/>
                        </a:xfrm>
                        <a:prstGeom prst="line">
                          <a:avLst/>
                        </a:prstGeom>
                        <a:solidFill>
                          <a:srgbClr val="FFFFFF"/>
                        </a:solidFill>
                        <a:ln w="6095">
                          <a:solidFill>
                            <a:srgbClr val="000039"/>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pt,-10.5499pt" to="378pt,-10.5499pt" o:allowincell="f" strokecolor="#000039" strokeweight="0.4799pt"/>
            </w:pict>
          </mc:Fallback>
        </mc:AlternateContent>
        <mc:AlternateContent>
          <mc:Choice Requires="wps">
            <w:drawing>
              <wp:anchor simplePos="0" relativeHeight="251657728" behindDoc="1" locked="0" layoutInCell="0" allowOverlap="1">
                <wp:simplePos x="0" y="0"/>
                <wp:positionH relativeFrom="column">
                  <wp:posOffset>1600200</wp:posOffset>
                </wp:positionH>
                <wp:positionV relativeFrom="paragraph">
                  <wp:posOffset>20320</wp:posOffset>
                </wp:positionV>
                <wp:extent cx="3200400" cy="146685"/>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146685"/>
                        </a:xfrm>
                        <a:prstGeom prst="rect">
                          <a:avLst/>
                        </a:prstGeom>
                        <a:solidFill>
                          <a:srgbClr val="D9D9D9"/>
                        </a:solidFill>
                      </wps:spPr>
                      <wps:bodyPr/>
                    </wps:wsp>
                  </a:graphicData>
                </a:graphic>
              </wp:anchor>
            </w:drawing>
          </mc:Choice>
          <mc:Fallback>
            <w:pict>
              <v:rect id="Shape 482" o:spid="_x0000_s1507" style="position:absolute;margin-left:126pt;margin-top:1.6pt;width:252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1600200</wp:posOffset>
                </wp:positionH>
                <wp:positionV relativeFrom="paragraph">
                  <wp:posOffset>17780</wp:posOffset>
                </wp:positionV>
                <wp:extent cx="3200400" cy="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4763"/>
                        </a:xfrm>
                        <a:prstGeom prst="line">
                          <a:avLst/>
                        </a:prstGeom>
                        <a:solidFill>
                          <a:srgbClr val="FFFFFF"/>
                        </a:solidFill>
                        <a:ln w="6095">
                          <a:solidFill>
                            <a:srgbClr val="000039"/>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pt,1.4pt" to="378pt,1.4pt" o:allowincell="f" strokecolor="#000039" strokeweight="0.4799pt"/>
            </w:pict>
          </mc:Fallback>
        </mc:AlternateContent>
      </w:r>
    </w:p>
    <w:p>
      <w:pPr>
        <w:spacing w:after="0" w:line="1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Amgen, Inc.</w:t>
      </w:r>
    </w:p>
    <w:p>
      <w:pPr>
        <w:ind w:left="2600"/>
        <w:spacing w:after="0"/>
        <w:rPr>
          <w:sz w:val="20"/>
          <w:szCs w:val="20"/>
          <w:color w:val="auto"/>
        </w:rPr>
      </w:pPr>
      <w:r>
        <w:rPr>
          <w:rFonts w:ascii="Arial" w:cs="Arial" w:eastAsia="Arial" w:hAnsi="Arial"/>
          <w:sz w:val="20"/>
          <w:szCs w:val="20"/>
          <w:color w:val="auto"/>
        </w:rPr>
        <w:t>Bristol-Myers Squibb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1600200</wp:posOffset>
                </wp:positionH>
                <wp:positionV relativeFrom="paragraph">
                  <wp:posOffset>-3810</wp:posOffset>
                </wp:positionV>
                <wp:extent cx="3200400" cy="145415"/>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145415"/>
                        </a:xfrm>
                        <a:prstGeom prst="rect">
                          <a:avLst/>
                        </a:prstGeom>
                        <a:solidFill>
                          <a:srgbClr val="D9D9D9"/>
                        </a:solidFill>
                      </wps:spPr>
                      <wps:bodyPr/>
                    </wps:wsp>
                  </a:graphicData>
                </a:graphic>
              </wp:anchor>
            </w:drawing>
          </mc:Choice>
          <mc:Fallback>
            <w:pict>
              <v:rect id="Shape 484" o:spid="_x0000_s1509" style="position:absolute;margin-left:126pt;margin-top:-0.2999pt;width:25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2600"/>
        <w:spacing w:after="0"/>
        <w:rPr>
          <w:sz w:val="20"/>
          <w:szCs w:val="20"/>
          <w:color w:val="auto"/>
        </w:rPr>
      </w:pPr>
      <w:r>
        <w:rPr>
          <w:rFonts w:ascii="Arial" w:cs="Arial" w:eastAsia="Arial" w:hAnsi="Arial"/>
          <w:sz w:val="20"/>
          <w:szCs w:val="20"/>
          <w:color w:val="auto"/>
        </w:rPr>
        <w:t>Eli Lilly and Company</w:t>
      </w:r>
    </w:p>
    <w:p>
      <w:pPr>
        <w:ind w:left="2600"/>
        <w:spacing w:after="0"/>
        <w:rPr>
          <w:sz w:val="20"/>
          <w:szCs w:val="20"/>
          <w:color w:val="auto"/>
        </w:rPr>
      </w:pPr>
      <w:r>
        <w:rPr>
          <w:rFonts w:ascii="Arial" w:cs="Arial" w:eastAsia="Arial" w:hAnsi="Arial"/>
          <w:sz w:val="20"/>
          <w:szCs w:val="20"/>
          <w:color w:val="auto"/>
        </w:rPr>
        <w:t>Gilead Sciences,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1600200</wp:posOffset>
                </wp:positionH>
                <wp:positionV relativeFrom="paragraph">
                  <wp:posOffset>-3810</wp:posOffset>
                </wp:positionV>
                <wp:extent cx="3200400" cy="145415"/>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145415"/>
                        </a:xfrm>
                        <a:prstGeom prst="rect">
                          <a:avLst/>
                        </a:prstGeom>
                        <a:solidFill>
                          <a:srgbClr val="D9D9D9"/>
                        </a:solidFill>
                      </wps:spPr>
                      <wps:bodyPr/>
                    </wps:wsp>
                  </a:graphicData>
                </a:graphic>
              </wp:anchor>
            </w:drawing>
          </mc:Choice>
          <mc:Fallback>
            <w:pict>
              <v:rect id="Shape 485" o:spid="_x0000_s1510" style="position:absolute;margin-left:126pt;margin-top:-0.2999pt;width:25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2600"/>
        <w:spacing w:after="0"/>
        <w:rPr>
          <w:sz w:val="20"/>
          <w:szCs w:val="20"/>
          <w:color w:val="auto"/>
        </w:rPr>
      </w:pPr>
      <w:r>
        <w:rPr>
          <w:rFonts w:ascii="Arial" w:cs="Arial" w:eastAsia="Arial" w:hAnsi="Arial"/>
          <w:sz w:val="20"/>
          <w:szCs w:val="20"/>
          <w:color w:val="auto"/>
        </w:rPr>
        <w:t>GlaxoSmithKline plc</w:t>
      </w:r>
    </w:p>
    <w:p>
      <w:pPr>
        <w:ind w:left="2600"/>
        <w:spacing w:after="0"/>
        <w:rPr>
          <w:sz w:val="20"/>
          <w:szCs w:val="20"/>
          <w:color w:val="auto"/>
        </w:rPr>
      </w:pPr>
      <w:r>
        <w:rPr>
          <w:rFonts w:ascii="Arial" w:cs="Arial" w:eastAsia="Arial" w:hAnsi="Arial"/>
          <w:sz w:val="20"/>
          <w:szCs w:val="20"/>
          <w:color w:val="auto"/>
        </w:rPr>
        <w:t>Johnson &amp; Johnson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1600200</wp:posOffset>
                </wp:positionH>
                <wp:positionV relativeFrom="paragraph">
                  <wp:posOffset>-3810</wp:posOffset>
                </wp:positionV>
                <wp:extent cx="3200400" cy="145415"/>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145415"/>
                        </a:xfrm>
                        <a:prstGeom prst="rect">
                          <a:avLst/>
                        </a:prstGeom>
                        <a:solidFill>
                          <a:srgbClr val="D9D9D9"/>
                        </a:solidFill>
                      </wps:spPr>
                      <wps:bodyPr/>
                    </wps:wsp>
                  </a:graphicData>
                </a:graphic>
              </wp:anchor>
            </w:drawing>
          </mc:Choice>
          <mc:Fallback>
            <w:pict>
              <v:rect id="Shape 486" o:spid="_x0000_s1511" style="position:absolute;margin-left:126pt;margin-top:-0.2999pt;width:25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2600"/>
        <w:spacing w:after="0"/>
        <w:rPr>
          <w:sz w:val="20"/>
          <w:szCs w:val="20"/>
          <w:color w:val="auto"/>
        </w:rPr>
      </w:pPr>
      <w:r>
        <w:rPr>
          <w:rFonts w:ascii="Arial" w:cs="Arial" w:eastAsia="Arial" w:hAnsi="Arial"/>
          <w:sz w:val="20"/>
          <w:szCs w:val="20"/>
          <w:color w:val="auto"/>
        </w:rPr>
        <w:t>Merck &amp; Company, Inc.</w:t>
      </w:r>
    </w:p>
    <w:p>
      <w:pPr>
        <w:ind w:left="2600"/>
        <w:spacing w:after="0"/>
        <w:rPr>
          <w:sz w:val="20"/>
          <w:szCs w:val="20"/>
          <w:color w:val="auto"/>
        </w:rPr>
      </w:pPr>
      <w:r>
        <w:rPr>
          <w:rFonts w:ascii="Arial" w:cs="Arial" w:eastAsia="Arial" w:hAnsi="Arial"/>
          <w:sz w:val="20"/>
          <w:szCs w:val="20"/>
          <w:color w:val="auto"/>
        </w:rPr>
        <w:t>Novartis AG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1600200</wp:posOffset>
                </wp:positionH>
                <wp:positionV relativeFrom="paragraph">
                  <wp:posOffset>-3810</wp:posOffset>
                </wp:positionV>
                <wp:extent cx="3200400" cy="145415"/>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145415"/>
                        </a:xfrm>
                        <a:prstGeom prst="rect">
                          <a:avLst/>
                        </a:prstGeom>
                        <a:solidFill>
                          <a:srgbClr val="D9D9D9"/>
                        </a:solidFill>
                      </wps:spPr>
                      <wps:bodyPr/>
                    </wps:wsp>
                  </a:graphicData>
                </a:graphic>
              </wp:anchor>
            </w:drawing>
          </mc:Choice>
          <mc:Fallback>
            <w:pict>
              <v:rect id="Shape 487" o:spid="_x0000_s1512" style="position:absolute;margin-left:126pt;margin-top:-0.2999pt;width:25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2600"/>
        <w:spacing w:after="0"/>
        <w:rPr>
          <w:sz w:val="20"/>
          <w:szCs w:val="20"/>
          <w:color w:val="auto"/>
        </w:rPr>
      </w:pPr>
      <w:r>
        <w:rPr>
          <w:rFonts w:ascii="Arial" w:cs="Arial" w:eastAsia="Arial" w:hAnsi="Arial"/>
          <w:sz w:val="20"/>
          <w:szCs w:val="20"/>
          <w:color w:val="auto"/>
        </w:rPr>
        <w:t>Pfizer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1590675</wp:posOffset>
                </wp:positionH>
                <wp:positionV relativeFrom="paragraph">
                  <wp:posOffset>-635</wp:posOffset>
                </wp:positionV>
                <wp:extent cx="3209925"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9925" cy="4763"/>
                        </a:xfrm>
                        <a:prstGeom prst="line">
                          <a:avLst/>
                        </a:prstGeom>
                        <a:solidFill>
                          <a:srgbClr val="FFFFFF"/>
                        </a:solidFill>
                        <a:ln w="6096">
                          <a:solidFill>
                            <a:srgbClr val="000039"/>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25pt,-0.0499pt" to="378pt,-0.0499pt" o:allowincell="f" strokecolor="#000039" strokeweight="0.48pt"/>
            </w:pict>
          </mc:Fallback>
        </mc:AlternateConten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COMPENSATION CONSULTANT</w:t>
      </w:r>
    </w:p>
    <w:p>
      <w:pPr>
        <w:spacing w:after="0" w:line="24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compensation committee has engaged Semler Brossy as its independent compensation consultant. The committee’s independent consultant reports directly to the chair of the committee. The consultant meets regularly, and as needed, with the committee in executive sessions, has direct access to the chair during and between meetings, and performs no other services for AbbVie or its senior executives. In partnership with the consultant, the committee determines what variables it will consider, which include: peer groups against which performance and pay should be examined, metrics to be used to assess AbbVie’s performance, competitive incentive practices in the marketplace, and compensation levels relative to market benchmarks.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38  </w:t>
      </w:r>
      <w:r>
        <w:rPr>
          <w:sz w:val="1"/>
          <w:szCs w:val="1"/>
          <w:color w:val="auto"/>
        </w:rPr>
        <w:drawing>
          <wp:inline distT="0" distB="0" distL="0" distR="0">
            <wp:extent cx="991870" cy="20066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213">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60"/>
          </w:cols>
          <w:pgMar w:left="900" w:top="702" w:right="920" w:bottom="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RISK OVERSIGHT</w:t>
      </w:r>
    </w:p>
    <w:p>
      <w:pPr>
        <w:spacing w:after="0" w:line="243"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The company has established, and the compensation committee endorses, several controls to address and mitigate compensation-related risk, such as employing a diverse set of performance metrics, maintaining robust stock ownership guidelines for its executives and non-employee directors, and retaining broad discretion to recover incentive awards in the event of misconduct that would constitute a material breach of the AbbVie Code of Business Conduct. The company’s clawback policy also requires recoupment of excess compensation in the event earnings are subsequently restated. The committee, in collaboration with its independent compensation consultant, identified no material risks in AbbVie’s compensation programs in 2025.</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When considering compensation- related risk, the committee is aware of certain risks associated with drug pricing decisions. The committee weighs these, as well as other risks material to the company, when designing AbbVie’s compensation programs. In addition, the committee, comprised entirely of independent directors, has discretion to adjust incentive payments, if needed, including to reflect decisions executives make that may impact AbbVie’s reputation and long-term sustainability.</w:t>
      </w:r>
    </w:p>
    <w:p>
      <w:pPr>
        <w:spacing w:after="0" w:line="183"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Compensation Plan Elements</w:t>
      </w:r>
    </w:p>
    <w:p>
      <w:pPr>
        <w:spacing w:after="0" w:line="249"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Three primary components make up AbbVie’s executive pay program: (1) base salary, (2) short-term incentives and (3) long-term incentives. The structure of each component is tailored to serve a specific function and purpose.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243"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The compensation committee sets appropriate levels of base salary to ensure that AbbVie can attract and retain a leadership team that will continue to meet our commitments to customers and patients and sustain long-term profitable growth for our stockholders. Generally, the committee considers the median of the Health Care Peer Group as an initial benchmark, but also references additional information as needed. Specific pay rates are then established for each NEO relative to their market benchmark based on the NEO’s performance, experience, unique skills, internal equity with others at AbbVie, and the company’s operating budget.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INCENTIVES AND 2025 RESULTS</w:t>
      </w:r>
    </w:p>
    <w:p>
      <w:pPr>
        <w:spacing w:after="0" w:line="244" w:lineRule="exact"/>
        <w:rPr>
          <w:sz w:val="20"/>
          <w:szCs w:val="20"/>
          <w:color w:val="auto"/>
        </w:rPr>
      </w:pPr>
    </w:p>
    <w:p>
      <w:pPr>
        <w:ind w:right="180"/>
        <w:spacing w:after="0" w:line="247" w:lineRule="auto"/>
        <w:rPr>
          <w:sz w:val="20"/>
          <w:szCs w:val="20"/>
          <w:color w:val="auto"/>
        </w:rPr>
      </w:pPr>
      <w:r>
        <w:rPr>
          <w:rFonts w:ascii="Arial" w:cs="Arial" w:eastAsia="Arial" w:hAnsi="Arial"/>
          <w:sz w:val="20"/>
          <w:szCs w:val="20"/>
          <w:color w:val="auto"/>
        </w:rPr>
        <w:t>Annual cash incentives are paid to NEOs through AbbVie’s Performance Incentive Plan (PIP), which rewards executives for achieving key financial and non-financial goals measured at the company and individual levels. AbbVie’s PIP structure is designed to align NEOs’ interests directly with AbbVie’s annual operating strategies to advance our mission, financial goals, and leadership behaviors. In doing so, it provides a direct link between the NEOs’ short- term incentives and the company’s and the NEOs’ annual performance results through measurable financial and operational performance followed by qualitative assessments of clearly defined strategic progress and leadership behaviors.</w:t>
      </w:r>
    </w:p>
    <w:p>
      <w:pPr>
        <w:spacing w:after="0" w:line="19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Determining actual incentive amounts is a multi-step process. An initial performance score is calculated for each NEO based on performance against weighted financial and strategic/leadership goals. This performance score results in a preliminary award amount of up to 100% of target only. Final awards are determined by the compensation committee based on a qualitative assessment of holistic performance and within the cap established from a payout matrix.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214">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68" w:name="page169"/>
    <w:bookmarkEnd w:id="168"/>
    <w:p>
      <w:pPr>
        <w:ind w:left="20"/>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Illustration of 2025 Incentive Calculation</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384"/>
        </w:trPr>
        <w:tc>
          <w:tcPr>
            <w:tcW w:w="1460" w:type="dxa"/>
            <w:vAlign w:val="bottom"/>
            <w:tcBorders>
              <w:top w:val="single" w:sz="8" w:color="000039"/>
              <w:left w:val="single" w:sz="8" w:color="000039"/>
              <w:right w:val="single" w:sz="8" w:color="000039"/>
            </w:tcBorders>
          </w:tcPr>
          <w:p>
            <w:pPr>
              <w:ind w:left="480"/>
              <w:spacing w:after="0"/>
              <w:rPr>
                <w:sz w:val="20"/>
                <w:szCs w:val="20"/>
                <w:color w:val="auto"/>
              </w:rPr>
            </w:pPr>
            <w:r>
              <w:rPr>
                <w:rFonts w:ascii="Arial" w:cs="Arial" w:eastAsia="Arial" w:hAnsi="Arial"/>
                <w:sz w:val="16"/>
                <w:szCs w:val="16"/>
                <w:b w:val="1"/>
                <w:bCs w:val="1"/>
                <w:color w:val="5F5F5F"/>
              </w:rPr>
              <w:t>Target</w:t>
            </w:r>
          </w:p>
        </w:tc>
        <w:tc>
          <w:tcPr>
            <w:tcW w:w="100" w:type="dxa"/>
            <w:vAlign w:val="bottom"/>
          </w:tcPr>
          <w:p>
            <w:pPr>
              <w:spacing w:after="0"/>
              <w:rPr>
                <w:sz w:val="24"/>
                <w:szCs w:val="24"/>
                <w:color w:val="auto"/>
              </w:rPr>
            </w:pPr>
          </w:p>
        </w:tc>
        <w:tc>
          <w:tcPr>
            <w:tcW w:w="320" w:type="dxa"/>
            <w:vAlign w:val="bottom"/>
            <w:tcBorders>
              <w:right w:val="single" w:sz="8" w:color="000039"/>
            </w:tcBorders>
          </w:tcPr>
          <w:p>
            <w:pPr>
              <w:ind w:left="40"/>
              <w:spacing w:after="0"/>
              <w:rPr>
                <w:sz w:val="20"/>
                <w:szCs w:val="20"/>
                <w:color w:val="auto"/>
              </w:rPr>
            </w:pPr>
            <w:r>
              <w:rPr>
                <w:rFonts w:ascii="Arial" w:cs="Arial" w:eastAsia="Arial" w:hAnsi="Arial"/>
                <w:sz w:val="16"/>
                <w:szCs w:val="16"/>
                <w:b w:val="1"/>
                <w:bCs w:val="1"/>
                <w:color w:val="5F5F5F"/>
              </w:rPr>
              <w:t>x</w:t>
            </w:r>
          </w:p>
        </w:tc>
        <w:tc>
          <w:tcPr>
            <w:tcW w:w="1440" w:type="dxa"/>
            <w:vAlign w:val="bottom"/>
            <w:tcBorders>
              <w:top w:val="single" w:sz="8" w:color="000039"/>
              <w:right w:val="single" w:sz="8" w:color="000039"/>
            </w:tcBorders>
          </w:tcPr>
          <w:p>
            <w:pPr>
              <w:jc w:val="center"/>
              <w:spacing w:after="0"/>
              <w:rPr>
                <w:sz w:val="20"/>
                <w:szCs w:val="20"/>
                <w:color w:val="auto"/>
              </w:rPr>
            </w:pPr>
            <w:r>
              <w:rPr>
                <w:rFonts w:ascii="Arial" w:cs="Arial" w:eastAsia="Arial" w:hAnsi="Arial"/>
                <w:sz w:val="16"/>
                <w:szCs w:val="16"/>
                <w:b w:val="1"/>
                <w:bCs w:val="1"/>
                <w:color w:val="5F5F5F"/>
                <w:w w:val="98"/>
              </w:rPr>
              <w:t>Performance</w:t>
            </w:r>
          </w:p>
        </w:tc>
        <w:tc>
          <w:tcPr>
            <w:tcW w:w="400" w:type="dxa"/>
            <w:vAlign w:val="bottom"/>
            <w:tcBorders>
              <w:right w:val="single" w:sz="8" w:color="000039"/>
            </w:tcBorders>
          </w:tcPr>
          <w:p>
            <w:pPr>
              <w:jc w:val="right"/>
              <w:ind w:right="80"/>
              <w:spacing w:after="0"/>
              <w:rPr>
                <w:sz w:val="20"/>
                <w:szCs w:val="20"/>
                <w:color w:val="auto"/>
              </w:rPr>
            </w:pPr>
            <w:r>
              <w:rPr>
                <w:rFonts w:ascii="Arial" w:cs="Arial" w:eastAsia="Arial" w:hAnsi="Arial"/>
                <w:sz w:val="16"/>
                <w:szCs w:val="16"/>
                <w:b w:val="1"/>
                <w:bCs w:val="1"/>
                <w:color w:val="5F5F5F"/>
              </w:rPr>
              <w:t>=</w:t>
            </w:r>
          </w:p>
        </w:tc>
        <w:tc>
          <w:tcPr>
            <w:tcW w:w="1440" w:type="dxa"/>
            <w:vAlign w:val="bottom"/>
            <w:tcBorders>
              <w:top w:val="single" w:sz="8" w:color="000039"/>
              <w:right w:val="single" w:sz="8" w:color="000039"/>
            </w:tcBorders>
          </w:tcPr>
          <w:p>
            <w:pPr>
              <w:jc w:val="center"/>
              <w:spacing w:after="0"/>
              <w:rPr>
                <w:sz w:val="20"/>
                <w:szCs w:val="20"/>
                <w:color w:val="auto"/>
              </w:rPr>
            </w:pPr>
            <w:r>
              <w:rPr>
                <w:rFonts w:ascii="Arial" w:cs="Arial" w:eastAsia="Arial" w:hAnsi="Arial"/>
                <w:sz w:val="16"/>
                <w:szCs w:val="16"/>
                <w:b w:val="1"/>
                <w:bCs w:val="1"/>
                <w:color w:val="5F5F5F"/>
                <w:w w:val="98"/>
              </w:rPr>
              <w:t>Preliminary</w:t>
            </w:r>
          </w:p>
        </w:tc>
        <w:tc>
          <w:tcPr>
            <w:tcW w:w="420" w:type="dxa"/>
            <w:vAlign w:val="bottom"/>
            <w:tcBorders>
              <w:right w:val="single" w:sz="8" w:color="000039"/>
            </w:tcBorders>
          </w:tcPr>
          <w:p>
            <w:pPr>
              <w:ind w:left="100"/>
              <w:spacing w:after="0"/>
              <w:rPr>
                <w:sz w:val="20"/>
                <w:szCs w:val="20"/>
                <w:color w:val="auto"/>
              </w:rPr>
            </w:pPr>
            <w:r>
              <w:rPr>
                <w:rFonts w:ascii="Arial" w:cs="Arial" w:eastAsia="Arial" w:hAnsi="Arial"/>
                <w:sz w:val="20"/>
                <w:szCs w:val="20"/>
                <w:b w:val="1"/>
                <w:bCs w:val="1"/>
                <w:color w:val="5F5F5F"/>
              </w:rPr>
              <w:t>→</w:t>
            </w:r>
          </w:p>
        </w:tc>
        <w:tc>
          <w:tcPr>
            <w:tcW w:w="1820" w:type="dxa"/>
            <w:vAlign w:val="bottom"/>
            <w:tcBorders>
              <w:top w:val="single" w:sz="8" w:color="000039"/>
            </w:tcBorders>
          </w:tcPr>
          <w:p>
            <w:pPr>
              <w:jc w:val="center"/>
              <w:ind w:left="120"/>
              <w:spacing w:after="0"/>
              <w:rPr>
                <w:sz w:val="20"/>
                <w:szCs w:val="20"/>
                <w:color w:val="auto"/>
              </w:rPr>
            </w:pPr>
            <w:r>
              <w:rPr>
                <w:rFonts w:ascii="Arial" w:cs="Arial" w:eastAsia="Arial" w:hAnsi="Arial"/>
                <w:sz w:val="16"/>
                <w:szCs w:val="16"/>
                <w:b w:val="1"/>
                <w:bCs w:val="1"/>
                <w:color w:val="5F5F5F"/>
              </w:rPr>
              <w:t>Final Committee</w:t>
            </w:r>
          </w:p>
        </w:tc>
        <w:tc>
          <w:tcPr>
            <w:tcW w:w="240" w:type="dxa"/>
            <w:vAlign w:val="bottom"/>
            <w:tcBorders>
              <w:top w:val="single" w:sz="8" w:color="000039"/>
              <w:right w:val="single" w:sz="8" w:color="000039"/>
            </w:tcBorders>
          </w:tcPr>
          <w:p>
            <w:pPr>
              <w:spacing w:after="0"/>
              <w:rPr>
                <w:sz w:val="24"/>
                <w:szCs w:val="24"/>
                <w:color w:val="auto"/>
              </w:rPr>
            </w:pPr>
          </w:p>
        </w:tc>
        <w:tc>
          <w:tcPr>
            <w:tcW w:w="400" w:type="dxa"/>
            <w:vAlign w:val="bottom"/>
            <w:tcBorders>
              <w:right w:val="single" w:sz="8" w:color="000039"/>
            </w:tcBorders>
          </w:tcPr>
          <w:p>
            <w:pPr>
              <w:jc w:val="center"/>
              <w:spacing w:after="0"/>
              <w:rPr>
                <w:sz w:val="20"/>
                <w:szCs w:val="20"/>
                <w:color w:val="auto"/>
              </w:rPr>
            </w:pPr>
            <w:r>
              <w:rPr>
                <w:rFonts w:ascii="Arial" w:cs="Arial" w:eastAsia="Arial" w:hAnsi="Arial"/>
                <w:sz w:val="16"/>
                <w:szCs w:val="16"/>
                <w:b w:val="1"/>
                <w:bCs w:val="1"/>
                <w:color w:val="5F5F5F"/>
                <w:w w:val="85"/>
              </w:rPr>
              <w:t>=</w:t>
            </w:r>
          </w:p>
        </w:tc>
        <w:tc>
          <w:tcPr>
            <w:tcW w:w="400" w:type="dxa"/>
            <w:vAlign w:val="bottom"/>
            <w:tcBorders>
              <w:top w:val="single" w:sz="8" w:color="000039"/>
            </w:tcBorders>
          </w:tcPr>
          <w:p>
            <w:pPr>
              <w:spacing w:after="0"/>
              <w:rPr>
                <w:sz w:val="24"/>
                <w:szCs w:val="24"/>
                <w:color w:val="auto"/>
              </w:rPr>
            </w:pPr>
          </w:p>
        </w:tc>
        <w:tc>
          <w:tcPr>
            <w:tcW w:w="1680" w:type="dxa"/>
            <w:vAlign w:val="bottom"/>
            <w:tcBorders>
              <w:top w:val="single" w:sz="8" w:color="000039"/>
              <w:right w:val="single" w:sz="8" w:color="000039"/>
            </w:tcBorders>
            <w:gridSpan w:val="2"/>
          </w:tcPr>
          <w:p>
            <w:pPr>
              <w:jc w:val="center"/>
              <w:ind w:right="460"/>
              <w:spacing w:after="0"/>
              <w:rPr>
                <w:sz w:val="20"/>
                <w:szCs w:val="20"/>
                <w:color w:val="auto"/>
              </w:rPr>
            </w:pPr>
            <w:r>
              <w:rPr>
                <w:rFonts w:ascii="Arial" w:cs="Arial" w:eastAsia="Arial" w:hAnsi="Arial"/>
                <w:sz w:val="16"/>
                <w:szCs w:val="16"/>
                <w:b w:val="1"/>
                <w:bCs w:val="1"/>
                <w:color w:val="5F5F5F"/>
              </w:rPr>
              <w:t>Final</w:t>
            </w:r>
          </w:p>
        </w:tc>
        <w:tc>
          <w:tcPr>
            <w:tcW w:w="0" w:type="dxa"/>
            <w:vAlign w:val="bottom"/>
          </w:tcPr>
          <w:p>
            <w:pPr>
              <w:spacing w:after="0"/>
              <w:rPr>
                <w:sz w:val="1"/>
                <w:szCs w:val="1"/>
                <w:color w:val="auto"/>
              </w:rPr>
            </w:pPr>
          </w:p>
        </w:tc>
      </w:tr>
      <w:tr>
        <w:trPr>
          <w:trHeight w:val="228"/>
        </w:trPr>
        <w:tc>
          <w:tcPr>
            <w:tcW w:w="1460" w:type="dxa"/>
            <w:vAlign w:val="bottom"/>
            <w:tcBorders>
              <w:left w:val="single" w:sz="8" w:color="000039"/>
              <w:right w:val="single" w:sz="8" w:color="000039"/>
            </w:tcBorders>
          </w:tcPr>
          <w:p>
            <w:pPr>
              <w:ind w:left="480"/>
              <w:spacing w:after="0"/>
              <w:rPr>
                <w:sz w:val="20"/>
                <w:szCs w:val="20"/>
                <w:color w:val="auto"/>
              </w:rPr>
            </w:pPr>
            <w:r>
              <w:rPr>
                <w:rFonts w:ascii="Arial" w:cs="Arial" w:eastAsia="Arial" w:hAnsi="Arial"/>
                <w:sz w:val="16"/>
                <w:szCs w:val="16"/>
                <w:b w:val="1"/>
                <w:bCs w:val="1"/>
                <w:color w:val="5F5F5F"/>
              </w:rPr>
              <w:t>Award</w:t>
            </w:r>
          </w:p>
        </w:tc>
        <w:tc>
          <w:tcPr>
            <w:tcW w:w="100" w:type="dxa"/>
            <w:vAlign w:val="bottom"/>
          </w:tcPr>
          <w:p>
            <w:pPr>
              <w:spacing w:after="0"/>
              <w:rPr>
                <w:sz w:val="19"/>
                <w:szCs w:val="19"/>
                <w:color w:val="auto"/>
              </w:rPr>
            </w:pPr>
          </w:p>
        </w:tc>
        <w:tc>
          <w:tcPr>
            <w:tcW w:w="320" w:type="dxa"/>
            <w:vAlign w:val="bottom"/>
            <w:tcBorders>
              <w:right w:val="single" w:sz="8" w:color="000039"/>
            </w:tcBorders>
          </w:tcPr>
          <w:p>
            <w:pPr>
              <w:spacing w:after="0"/>
              <w:rPr>
                <w:sz w:val="19"/>
                <w:szCs w:val="19"/>
                <w:color w:val="auto"/>
              </w:rPr>
            </w:pPr>
          </w:p>
        </w:tc>
        <w:tc>
          <w:tcPr>
            <w:tcW w:w="1440" w:type="dxa"/>
            <w:vAlign w:val="bottom"/>
            <w:tcBorders>
              <w:right w:val="single" w:sz="8" w:color="000039"/>
            </w:tcBorders>
          </w:tcPr>
          <w:p>
            <w:pPr>
              <w:jc w:val="center"/>
              <w:spacing w:after="0"/>
              <w:rPr>
                <w:sz w:val="20"/>
                <w:szCs w:val="20"/>
                <w:color w:val="auto"/>
              </w:rPr>
            </w:pPr>
            <w:r>
              <w:rPr>
                <w:rFonts w:ascii="Arial" w:cs="Arial" w:eastAsia="Arial" w:hAnsi="Arial"/>
                <w:sz w:val="16"/>
                <w:szCs w:val="16"/>
                <w:b w:val="1"/>
                <w:bCs w:val="1"/>
                <w:color w:val="5F5F5F"/>
                <w:w w:val="98"/>
              </w:rPr>
              <w:t>Score</w:t>
            </w:r>
          </w:p>
        </w:tc>
        <w:tc>
          <w:tcPr>
            <w:tcW w:w="400" w:type="dxa"/>
            <w:vAlign w:val="bottom"/>
            <w:tcBorders>
              <w:right w:val="single" w:sz="8" w:color="000039"/>
            </w:tcBorders>
          </w:tcPr>
          <w:p>
            <w:pPr>
              <w:spacing w:after="0"/>
              <w:rPr>
                <w:sz w:val="19"/>
                <w:szCs w:val="19"/>
                <w:color w:val="auto"/>
              </w:rPr>
            </w:pPr>
          </w:p>
        </w:tc>
        <w:tc>
          <w:tcPr>
            <w:tcW w:w="1440" w:type="dxa"/>
            <w:vAlign w:val="bottom"/>
            <w:tcBorders>
              <w:right w:val="single" w:sz="8" w:color="000039"/>
            </w:tcBorders>
          </w:tcPr>
          <w:p>
            <w:pPr>
              <w:jc w:val="center"/>
              <w:spacing w:after="0"/>
              <w:rPr>
                <w:sz w:val="20"/>
                <w:szCs w:val="20"/>
                <w:color w:val="auto"/>
              </w:rPr>
            </w:pPr>
            <w:r>
              <w:rPr>
                <w:rFonts w:ascii="Arial" w:cs="Arial" w:eastAsia="Arial" w:hAnsi="Arial"/>
                <w:sz w:val="16"/>
                <w:szCs w:val="16"/>
                <w:b w:val="1"/>
                <w:bCs w:val="1"/>
                <w:color w:val="5F5F5F"/>
              </w:rPr>
              <w:t>Award</w:t>
            </w:r>
          </w:p>
        </w:tc>
        <w:tc>
          <w:tcPr>
            <w:tcW w:w="420" w:type="dxa"/>
            <w:vAlign w:val="bottom"/>
            <w:tcBorders>
              <w:right w:val="single" w:sz="8" w:color="000039"/>
            </w:tcBorders>
          </w:tcPr>
          <w:p>
            <w:pPr>
              <w:spacing w:after="0"/>
              <w:rPr>
                <w:sz w:val="19"/>
                <w:szCs w:val="19"/>
                <w:color w:val="auto"/>
              </w:rPr>
            </w:pPr>
          </w:p>
        </w:tc>
        <w:tc>
          <w:tcPr>
            <w:tcW w:w="1820" w:type="dxa"/>
            <w:vAlign w:val="bottom"/>
          </w:tcPr>
          <w:p>
            <w:pPr>
              <w:jc w:val="center"/>
              <w:ind w:left="120"/>
              <w:spacing w:after="0"/>
              <w:rPr>
                <w:sz w:val="20"/>
                <w:szCs w:val="20"/>
                <w:color w:val="auto"/>
              </w:rPr>
            </w:pPr>
            <w:r>
              <w:rPr>
                <w:rFonts w:ascii="Arial" w:cs="Arial" w:eastAsia="Arial" w:hAnsi="Arial"/>
                <w:sz w:val="16"/>
                <w:szCs w:val="16"/>
                <w:b w:val="1"/>
                <w:bCs w:val="1"/>
                <w:color w:val="5F5F5F"/>
                <w:w w:val="98"/>
              </w:rPr>
              <w:t>Decision</w:t>
            </w:r>
          </w:p>
        </w:tc>
        <w:tc>
          <w:tcPr>
            <w:tcW w:w="240" w:type="dxa"/>
            <w:vAlign w:val="bottom"/>
            <w:tcBorders>
              <w:right w:val="single" w:sz="8" w:color="000039"/>
            </w:tcBorders>
          </w:tcPr>
          <w:p>
            <w:pPr>
              <w:spacing w:after="0"/>
              <w:rPr>
                <w:sz w:val="19"/>
                <w:szCs w:val="19"/>
                <w:color w:val="auto"/>
              </w:rPr>
            </w:pPr>
          </w:p>
        </w:tc>
        <w:tc>
          <w:tcPr>
            <w:tcW w:w="400" w:type="dxa"/>
            <w:vAlign w:val="bottom"/>
            <w:tcBorders>
              <w:right w:val="single" w:sz="8" w:color="000039"/>
            </w:tcBorders>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Borders>
              <w:right w:val="single" w:sz="8" w:color="000039"/>
            </w:tcBorders>
            <w:gridSpan w:val="2"/>
          </w:tcPr>
          <w:p>
            <w:pPr>
              <w:jc w:val="center"/>
              <w:ind w:right="460"/>
              <w:spacing w:after="0"/>
              <w:rPr>
                <w:sz w:val="20"/>
                <w:szCs w:val="20"/>
                <w:color w:val="auto"/>
              </w:rPr>
            </w:pPr>
            <w:r>
              <w:rPr>
                <w:rFonts w:ascii="Arial" w:cs="Arial" w:eastAsia="Arial" w:hAnsi="Arial"/>
                <w:sz w:val="16"/>
                <w:szCs w:val="16"/>
                <w:b w:val="1"/>
                <w:bCs w:val="1"/>
                <w:color w:val="5F5F5F"/>
              </w:rPr>
              <w:t>Award</w:t>
            </w:r>
          </w:p>
        </w:tc>
        <w:tc>
          <w:tcPr>
            <w:tcW w:w="0" w:type="dxa"/>
            <w:vAlign w:val="bottom"/>
          </w:tcPr>
          <w:p>
            <w:pPr>
              <w:spacing w:after="0"/>
              <w:rPr>
                <w:sz w:val="1"/>
                <w:szCs w:val="1"/>
                <w:color w:val="auto"/>
              </w:rPr>
            </w:pPr>
          </w:p>
        </w:tc>
      </w:tr>
      <w:tr>
        <w:trPr>
          <w:trHeight w:val="133"/>
        </w:trPr>
        <w:tc>
          <w:tcPr>
            <w:tcW w:w="1460" w:type="dxa"/>
            <w:vAlign w:val="bottom"/>
            <w:tcBorders>
              <w:left w:val="single" w:sz="8" w:color="000039"/>
              <w:bottom w:val="single" w:sz="8" w:color="000039"/>
              <w:right w:val="single" w:sz="8" w:color="000039"/>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000039"/>
            </w:tcBorders>
          </w:tcPr>
          <w:p>
            <w:pPr>
              <w:spacing w:after="0"/>
              <w:rPr>
                <w:sz w:val="11"/>
                <w:szCs w:val="11"/>
                <w:color w:val="auto"/>
              </w:rPr>
            </w:pPr>
          </w:p>
        </w:tc>
        <w:tc>
          <w:tcPr>
            <w:tcW w:w="1440" w:type="dxa"/>
            <w:vAlign w:val="bottom"/>
            <w:tcBorders>
              <w:bottom w:val="single" w:sz="8" w:color="000039"/>
              <w:right w:val="single" w:sz="8" w:color="000039"/>
            </w:tcBorders>
          </w:tcPr>
          <w:p>
            <w:pPr>
              <w:spacing w:after="0"/>
              <w:rPr>
                <w:sz w:val="11"/>
                <w:szCs w:val="11"/>
                <w:color w:val="auto"/>
              </w:rPr>
            </w:pPr>
          </w:p>
        </w:tc>
        <w:tc>
          <w:tcPr>
            <w:tcW w:w="400" w:type="dxa"/>
            <w:vAlign w:val="bottom"/>
            <w:tcBorders>
              <w:right w:val="single" w:sz="8" w:color="000039"/>
            </w:tcBorders>
          </w:tcPr>
          <w:p>
            <w:pPr>
              <w:spacing w:after="0"/>
              <w:rPr>
                <w:sz w:val="11"/>
                <w:szCs w:val="11"/>
                <w:color w:val="auto"/>
              </w:rPr>
            </w:pPr>
          </w:p>
        </w:tc>
        <w:tc>
          <w:tcPr>
            <w:tcW w:w="1440" w:type="dxa"/>
            <w:vAlign w:val="bottom"/>
            <w:tcBorders>
              <w:bottom w:val="single" w:sz="8" w:color="000039"/>
              <w:right w:val="single" w:sz="8" w:color="000039"/>
            </w:tcBorders>
          </w:tcPr>
          <w:p>
            <w:pPr>
              <w:spacing w:after="0"/>
              <w:rPr>
                <w:sz w:val="11"/>
                <w:szCs w:val="11"/>
                <w:color w:val="auto"/>
              </w:rPr>
            </w:pPr>
          </w:p>
        </w:tc>
        <w:tc>
          <w:tcPr>
            <w:tcW w:w="420" w:type="dxa"/>
            <w:vAlign w:val="bottom"/>
            <w:tcBorders>
              <w:right w:val="single" w:sz="8" w:color="000039"/>
            </w:tcBorders>
          </w:tcPr>
          <w:p>
            <w:pPr>
              <w:spacing w:after="0"/>
              <w:rPr>
                <w:sz w:val="11"/>
                <w:szCs w:val="11"/>
                <w:color w:val="auto"/>
              </w:rPr>
            </w:pPr>
          </w:p>
        </w:tc>
        <w:tc>
          <w:tcPr>
            <w:tcW w:w="2060" w:type="dxa"/>
            <w:vAlign w:val="bottom"/>
            <w:tcBorders>
              <w:bottom w:val="single" w:sz="8" w:color="000039"/>
              <w:right w:val="single" w:sz="8" w:color="000039"/>
            </w:tcBorders>
            <w:gridSpan w:val="2"/>
          </w:tcPr>
          <w:p>
            <w:pPr>
              <w:spacing w:after="0"/>
              <w:rPr>
                <w:sz w:val="11"/>
                <w:szCs w:val="11"/>
                <w:color w:val="auto"/>
              </w:rPr>
            </w:pPr>
          </w:p>
        </w:tc>
        <w:tc>
          <w:tcPr>
            <w:tcW w:w="400" w:type="dxa"/>
            <w:vAlign w:val="bottom"/>
            <w:tcBorders>
              <w:right w:val="single" w:sz="8" w:color="000039"/>
            </w:tcBorders>
          </w:tcPr>
          <w:p>
            <w:pPr>
              <w:spacing w:after="0"/>
              <w:rPr>
                <w:sz w:val="11"/>
                <w:szCs w:val="11"/>
                <w:color w:val="auto"/>
              </w:rPr>
            </w:pPr>
          </w:p>
        </w:tc>
        <w:tc>
          <w:tcPr>
            <w:tcW w:w="2040" w:type="dxa"/>
            <w:vAlign w:val="bottom"/>
            <w:tcBorders>
              <w:bottom w:val="single" w:sz="8" w:color="000039"/>
            </w:tcBorders>
            <w:gridSpan w:val="2"/>
          </w:tcPr>
          <w:p>
            <w:pPr>
              <w:spacing w:after="0"/>
              <w:rPr>
                <w:sz w:val="11"/>
                <w:szCs w:val="11"/>
                <w:color w:val="auto"/>
              </w:rPr>
            </w:pPr>
          </w:p>
        </w:tc>
        <w:tc>
          <w:tcPr>
            <w:tcW w:w="40" w:type="dxa"/>
            <w:vAlign w:val="bottom"/>
            <w:tcBorders>
              <w:bottom w:val="single" w:sz="8" w:color="000039"/>
              <w:right w:val="single" w:sz="8" w:color="000039"/>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460" w:type="dxa"/>
            <w:vAlign w:val="bottom"/>
            <w:tcBorders>
              <w:bottom w:val="single" w:sz="8" w:color="F2F2F2"/>
            </w:tcBorders>
          </w:tcPr>
          <w:p>
            <w:pPr>
              <w:spacing w:after="0"/>
              <w:rPr>
                <w:sz w:val="19"/>
                <w:szCs w:val="19"/>
                <w:color w:val="auto"/>
              </w:rPr>
            </w:pPr>
          </w:p>
        </w:tc>
        <w:tc>
          <w:tcPr>
            <w:tcW w:w="100" w:type="dxa"/>
            <w:vAlign w:val="bottom"/>
            <w:tcBorders>
              <w:bottom w:val="single" w:sz="8" w:color="F2F2F2"/>
            </w:tcBorders>
          </w:tcPr>
          <w:p>
            <w:pPr>
              <w:spacing w:after="0"/>
              <w:rPr>
                <w:sz w:val="19"/>
                <w:szCs w:val="19"/>
                <w:color w:val="auto"/>
              </w:rPr>
            </w:pPr>
          </w:p>
        </w:tc>
        <w:tc>
          <w:tcPr>
            <w:tcW w:w="320" w:type="dxa"/>
            <w:vAlign w:val="bottom"/>
            <w:tcBorders>
              <w:bottom w:val="single" w:sz="8" w:color="F2F2F2"/>
            </w:tcBorders>
          </w:tcPr>
          <w:p>
            <w:pPr>
              <w:spacing w:after="0"/>
              <w:rPr>
                <w:sz w:val="19"/>
                <w:szCs w:val="19"/>
                <w:color w:val="auto"/>
              </w:rPr>
            </w:pPr>
          </w:p>
        </w:tc>
        <w:tc>
          <w:tcPr>
            <w:tcW w:w="1440" w:type="dxa"/>
            <w:vAlign w:val="bottom"/>
            <w:tcBorders>
              <w:bottom w:val="single" w:sz="8" w:color="F2F2F2"/>
            </w:tcBorders>
          </w:tcPr>
          <w:p>
            <w:pPr>
              <w:spacing w:after="0"/>
              <w:rPr>
                <w:sz w:val="19"/>
                <w:szCs w:val="19"/>
                <w:color w:val="auto"/>
              </w:rPr>
            </w:pPr>
          </w:p>
        </w:tc>
        <w:tc>
          <w:tcPr>
            <w:tcW w:w="400" w:type="dxa"/>
            <w:vAlign w:val="bottom"/>
            <w:tcBorders>
              <w:bottom w:val="single" w:sz="8" w:color="F2F2F2"/>
            </w:tcBorders>
          </w:tcPr>
          <w:p>
            <w:pPr>
              <w:spacing w:after="0"/>
              <w:rPr>
                <w:sz w:val="19"/>
                <w:szCs w:val="19"/>
                <w:color w:val="auto"/>
              </w:rPr>
            </w:pPr>
          </w:p>
        </w:tc>
        <w:tc>
          <w:tcPr>
            <w:tcW w:w="1440" w:type="dxa"/>
            <w:vAlign w:val="bottom"/>
            <w:tcBorders>
              <w:bottom w:val="single" w:sz="8" w:color="000039"/>
            </w:tcBorders>
          </w:tcPr>
          <w:p>
            <w:pPr>
              <w:spacing w:after="0"/>
              <w:rPr>
                <w:sz w:val="19"/>
                <w:szCs w:val="19"/>
                <w:color w:val="auto"/>
              </w:rPr>
            </w:pPr>
          </w:p>
        </w:tc>
        <w:tc>
          <w:tcPr>
            <w:tcW w:w="420" w:type="dxa"/>
            <w:vAlign w:val="bottom"/>
            <w:tcBorders>
              <w:bottom w:val="single" w:sz="8" w:color="F2F2F2"/>
            </w:tcBorders>
          </w:tcPr>
          <w:p>
            <w:pPr>
              <w:spacing w:after="0"/>
              <w:rPr>
                <w:sz w:val="19"/>
                <w:szCs w:val="19"/>
                <w:color w:val="auto"/>
              </w:rPr>
            </w:pPr>
          </w:p>
        </w:tc>
        <w:tc>
          <w:tcPr>
            <w:tcW w:w="4500" w:type="dxa"/>
            <w:vAlign w:val="bottom"/>
            <w:tcBorders>
              <w:bottom w:val="single" w:sz="8" w:color="000039"/>
            </w:tcBorders>
            <w:gridSpan w:val="5"/>
          </w:tcPr>
          <w:p>
            <w:pPr>
              <w:spacing w:after="0"/>
              <w:rPr>
                <w:sz w:val="19"/>
                <w:szCs w:val="19"/>
                <w:color w:val="auto"/>
              </w:rPr>
            </w:pPr>
          </w:p>
        </w:tc>
        <w:tc>
          <w:tcPr>
            <w:tcW w:w="40" w:type="dxa"/>
            <w:vAlign w:val="bottom"/>
            <w:tcBorders>
              <w:bottom w:val="single" w:sz="8" w:color="000039"/>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460" w:type="dxa"/>
            <w:vAlign w:val="bottom"/>
            <w:tcBorders>
              <w:left w:val="single" w:sz="8" w:color="F2F2F2"/>
              <w:right w:val="single" w:sz="8" w:color="F2F2F2"/>
            </w:tcBorders>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320" w:type="dxa"/>
            <w:vAlign w:val="bottom"/>
            <w:tcBorders>
              <w:right w:val="single" w:sz="8" w:color="F2F2F2"/>
            </w:tcBorders>
            <w:shd w:val="clear" w:color="auto" w:fill="F2F2F2"/>
          </w:tcPr>
          <w:p>
            <w:pPr>
              <w:spacing w:after="0"/>
              <w:rPr>
                <w:sz w:val="15"/>
                <w:szCs w:val="15"/>
                <w:color w:val="auto"/>
              </w:rPr>
            </w:pPr>
          </w:p>
        </w:tc>
        <w:tc>
          <w:tcPr>
            <w:tcW w:w="1440" w:type="dxa"/>
            <w:vAlign w:val="bottom"/>
            <w:tcBorders>
              <w:right w:val="single" w:sz="8" w:color="F2F2F2"/>
            </w:tcBorders>
            <w:shd w:val="clear" w:color="auto" w:fill="F2F2F2"/>
          </w:tcPr>
          <w:p>
            <w:pPr>
              <w:spacing w:after="0"/>
              <w:rPr>
                <w:sz w:val="15"/>
                <w:szCs w:val="15"/>
                <w:color w:val="auto"/>
              </w:rPr>
            </w:pPr>
          </w:p>
        </w:tc>
        <w:tc>
          <w:tcPr>
            <w:tcW w:w="400" w:type="dxa"/>
            <w:vAlign w:val="bottom"/>
            <w:tcBorders>
              <w:right w:val="single" w:sz="8" w:color="000039"/>
            </w:tcBorders>
            <w:shd w:val="clear" w:color="auto" w:fill="F2F2F2"/>
          </w:tcPr>
          <w:p>
            <w:pPr>
              <w:spacing w:after="0"/>
              <w:rPr>
                <w:sz w:val="15"/>
                <w:szCs w:val="15"/>
                <w:color w:val="auto"/>
              </w:rPr>
            </w:pPr>
          </w:p>
        </w:tc>
        <w:tc>
          <w:tcPr>
            <w:tcW w:w="1440" w:type="dxa"/>
            <w:vAlign w:val="bottom"/>
            <w:tcBorders>
              <w:right w:val="single" w:sz="8" w:color="000039"/>
            </w:tcBorders>
            <w:vMerge w:val="restart"/>
            <w:shd w:val="clear" w:color="auto" w:fill="F2F2F2"/>
          </w:tcPr>
          <w:p>
            <w:pPr>
              <w:jc w:val="center"/>
              <w:spacing w:after="0"/>
              <w:rPr>
                <w:sz w:val="20"/>
                <w:szCs w:val="20"/>
                <w:color w:val="auto"/>
              </w:rPr>
            </w:pPr>
            <w:r>
              <w:rPr>
                <w:rFonts w:ascii="Arial" w:cs="Arial" w:eastAsia="Arial" w:hAnsi="Arial"/>
                <w:sz w:val="16"/>
                <w:szCs w:val="16"/>
                <w:b w:val="1"/>
                <w:bCs w:val="1"/>
                <w:color w:val="auto"/>
              </w:rPr>
              <w:t>Maximum</w:t>
            </w:r>
          </w:p>
        </w:tc>
        <w:tc>
          <w:tcPr>
            <w:tcW w:w="420" w:type="dxa"/>
            <w:vAlign w:val="bottom"/>
            <w:tcBorders>
              <w:right w:val="single" w:sz="8" w:color="000039"/>
            </w:tcBorders>
            <w:shd w:val="clear" w:color="auto" w:fill="F2F2F2"/>
          </w:tcPr>
          <w:p>
            <w:pPr>
              <w:spacing w:after="0"/>
              <w:rPr>
                <w:sz w:val="15"/>
                <w:szCs w:val="15"/>
                <w:color w:val="auto"/>
              </w:rPr>
            </w:pPr>
          </w:p>
        </w:tc>
        <w:tc>
          <w:tcPr>
            <w:tcW w:w="4500" w:type="dxa"/>
            <w:vAlign w:val="bottom"/>
            <w:gridSpan w:val="5"/>
          </w:tcPr>
          <w:p>
            <w:pPr>
              <w:spacing w:after="0"/>
              <w:rPr>
                <w:sz w:val="15"/>
                <w:szCs w:val="15"/>
                <w:color w:val="auto"/>
              </w:rPr>
            </w:pPr>
          </w:p>
        </w:tc>
        <w:tc>
          <w:tcPr>
            <w:tcW w:w="40" w:type="dxa"/>
            <w:vAlign w:val="bottom"/>
            <w:tcBorders>
              <w:right w:val="single" w:sz="8" w:color="000039"/>
            </w:tcBorders>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tcBorders>
              <w:left w:val="single" w:sz="8" w:color="F2F2F2"/>
              <w:right w:val="single" w:sz="8" w:color="F2F2F2"/>
            </w:tcBorders>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320" w:type="dxa"/>
            <w:vAlign w:val="bottom"/>
            <w:tcBorders>
              <w:right w:val="single" w:sz="8" w:color="F2F2F2"/>
            </w:tcBorders>
            <w:shd w:val="clear" w:color="auto" w:fill="F2F2F2"/>
          </w:tcPr>
          <w:p>
            <w:pPr>
              <w:spacing w:after="0"/>
              <w:rPr>
                <w:sz w:val="15"/>
                <w:szCs w:val="15"/>
                <w:color w:val="auto"/>
              </w:rPr>
            </w:pPr>
          </w:p>
        </w:tc>
        <w:tc>
          <w:tcPr>
            <w:tcW w:w="1440" w:type="dxa"/>
            <w:vAlign w:val="bottom"/>
            <w:tcBorders>
              <w:right w:val="single" w:sz="8" w:color="F2F2F2"/>
            </w:tcBorders>
            <w:shd w:val="clear" w:color="auto" w:fill="F2F2F2"/>
          </w:tcPr>
          <w:p>
            <w:pPr>
              <w:spacing w:after="0"/>
              <w:rPr>
                <w:sz w:val="15"/>
                <w:szCs w:val="15"/>
                <w:color w:val="auto"/>
              </w:rPr>
            </w:pPr>
          </w:p>
        </w:tc>
        <w:tc>
          <w:tcPr>
            <w:tcW w:w="400" w:type="dxa"/>
            <w:vAlign w:val="bottom"/>
            <w:tcBorders>
              <w:right w:val="single" w:sz="8" w:color="000039"/>
            </w:tcBorders>
            <w:shd w:val="clear" w:color="auto" w:fill="F2F2F2"/>
          </w:tcPr>
          <w:p>
            <w:pPr>
              <w:spacing w:after="0"/>
              <w:rPr>
                <w:sz w:val="15"/>
                <w:szCs w:val="15"/>
                <w:color w:val="auto"/>
              </w:rPr>
            </w:pPr>
          </w:p>
        </w:tc>
        <w:tc>
          <w:tcPr>
            <w:tcW w:w="1440" w:type="dxa"/>
            <w:vAlign w:val="bottom"/>
            <w:tcBorders>
              <w:right w:val="single" w:sz="8" w:color="000039"/>
            </w:tcBorders>
            <w:vMerge w:val="continue"/>
            <w:shd w:val="clear" w:color="auto" w:fill="F2F2F2"/>
          </w:tcPr>
          <w:p>
            <w:pPr>
              <w:spacing w:after="0"/>
              <w:rPr>
                <w:sz w:val="15"/>
                <w:szCs w:val="15"/>
                <w:color w:val="auto"/>
              </w:rPr>
            </w:pPr>
          </w:p>
        </w:tc>
        <w:tc>
          <w:tcPr>
            <w:tcW w:w="420" w:type="dxa"/>
            <w:vAlign w:val="bottom"/>
            <w:tcBorders>
              <w:right w:val="single" w:sz="8" w:color="000039"/>
            </w:tcBorders>
            <w:shd w:val="clear" w:color="auto" w:fill="F2F2F2"/>
          </w:tcPr>
          <w:p>
            <w:pPr>
              <w:spacing w:after="0"/>
              <w:rPr>
                <w:sz w:val="15"/>
                <w:szCs w:val="15"/>
                <w:color w:val="auto"/>
              </w:rPr>
            </w:pPr>
          </w:p>
        </w:tc>
        <w:tc>
          <w:tcPr>
            <w:tcW w:w="4500" w:type="dxa"/>
            <w:vAlign w:val="bottom"/>
            <w:gridSpan w:val="5"/>
            <w:shd w:val="clear" w:color="auto" w:fill="F2F2F2"/>
          </w:tcPr>
          <w:p>
            <w:pPr>
              <w:jc w:val="center"/>
              <w:spacing w:after="0"/>
              <w:rPr>
                <w:sz w:val="20"/>
                <w:szCs w:val="20"/>
                <w:color w:val="auto"/>
              </w:rPr>
            </w:pPr>
            <w:r>
              <w:rPr>
                <w:rFonts w:ascii="Arial" w:cs="Arial" w:eastAsia="Arial" w:hAnsi="Arial"/>
                <w:sz w:val="16"/>
                <w:szCs w:val="16"/>
                <w:b w:val="1"/>
                <w:bCs w:val="1"/>
                <w:color w:val="auto"/>
                <w:w w:val="99"/>
              </w:rPr>
              <w:t>2025 Performance results:</w:t>
            </w:r>
          </w:p>
        </w:tc>
        <w:tc>
          <w:tcPr>
            <w:tcW w:w="40" w:type="dxa"/>
            <w:vAlign w:val="bottom"/>
            <w:tcBorders>
              <w:right w:val="single" w:sz="8" w:color="000039"/>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tcBorders>
              <w:left w:val="single" w:sz="8" w:color="F2F2F2"/>
            </w:tcBorders>
            <w:gridSpan w:val="2"/>
            <w:shd w:val="clear" w:color="auto" w:fill="F2F2F2"/>
          </w:tcPr>
          <w:p>
            <w:pPr>
              <w:ind w:left="160"/>
              <w:spacing w:after="0"/>
              <w:rPr>
                <w:sz w:val="20"/>
                <w:szCs w:val="20"/>
                <w:color w:val="auto"/>
              </w:rPr>
            </w:pPr>
            <w:r>
              <w:rPr>
                <w:rFonts w:ascii="Arial" w:cs="Arial" w:eastAsia="Arial" w:hAnsi="Arial"/>
                <w:sz w:val="16"/>
                <w:szCs w:val="16"/>
                <w:b w:val="1"/>
                <w:bCs w:val="1"/>
                <w:color w:val="auto"/>
              </w:rPr>
              <w:t>Plan Governance:</w:t>
            </w:r>
          </w:p>
        </w:tc>
        <w:tc>
          <w:tcPr>
            <w:tcW w:w="320" w:type="dxa"/>
            <w:vAlign w:val="bottom"/>
            <w:tcBorders>
              <w:right w:val="single" w:sz="8" w:color="F2F2F2"/>
            </w:tcBorders>
            <w:shd w:val="clear" w:color="auto" w:fill="F2F2F2"/>
          </w:tcPr>
          <w:p>
            <w:pPr>
              <w:spacing w:after="0"/>
              <w:rPr>
                <w:sz w:val="15"/>
                <w:szCs w:val="15"/>
                <w:color w:val="auto"/>
              </w:rPr>
            </w:pPr>
          </w:p>
        </w:tc>
        <w:tc>
          <w:tcPr>
            <w:tcW w:w="1440" w:type="dxa"/>
            <w:vAlign w:val="bottom"/>
            <w:tcBorders>
              <w:right w:val="single" w:sz="8" w:color="F2F2F2"/>
            </w:tcBorders>
            <w:shd w:val="clear" w:color="auto" w:fill="F2F2F2"/>
          </w:tcPr>
          <w:p>
            <w:pPr>
              <w:spacing w:after="0"/>
              <w:rPr>
                <w:sz w:val="15"/>
                <w:szCs w:val="15"/>
                <w:color w:val="auto"/>
              </w:rPr>
            </w:pPr>
          </w:p>
        </w:tc>
        <w:tc>
          <w:tcPr>
            <w:tcW w:w="400" w:type="dxa"/>
            <w:vAlign w:val="bottom"/>
            <w:tcBorders>
              <w:right w:val="single" w:sz="8" w:color="000039"/>
            </w:tcBorders>
            <w:shd w:val="clear" w:color="auto" w:fill="F2F2F2"/>
          </w:tcPr>
          <w:p>
            <w:pPr>
              <w:spacing w:after="0"/>
              <w:rPr>
                <w:sz w:val="15"/>
                <w:szCs w:val="15"/>
                <w:color w:val="auto"/>
              </w:rPr>
            </w:pPr>
          </w:p>
        </w:tc>
        <w:tc>
          <w:tcPr>
            <w:tcW w:w="1440" w:type="dxa"/>
            <w:vAlign w:val="bottom"/>
            <w:tcBorders>
              <w:right w:val="single" w:sz="8" w:color="000039"/>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100% of Target</w:t>
            </w:r>
          </w:p>
        </w:tc>
        <w:tc>
          <w:tcPr>
            <w:tcW w:w="420" w:type="dxa"/>
            <w:vAlign w:val="bottom"/>
            <w:tcBorders>
              <w:right w:val="single" w:sz="8" w:color="000039"/>
            </w:tcBorders>
            <w:shd w:val="clear" w:color="auto" w:fill="F2F2F2"/>
          </w:tcPr>
          <w:p>
            <w:pPr>
              <w:spacing w:after="0"/>
              <w:rPr>
                <w:sz w:val="15"/>
                <w:szCs w:val="15"/>
                <w:color w:val="auto"/>
              </w:rPr>
            </w:pPr>
          </w:p>
        </w:tc>
        <w:tc>
          <w:tcPr>
            <w:tcW w:w="4500" w:type="dxa"/>
            <w:vAlign w:val="bottom"/>
            <w:gridSpan w:val="5"/>
            <w:shd w:val="clear" w:color="auto" w:fill="F2F2F2"/>
          </w:tcPr>
          <w:p>
            <w:pPr>
              <w:jc w:val="center"/>
              <w:spacing w:after="0"/>
              <w:rPr>
                <w:sz w:val="20"/>
                <w:szCs w:val="20"/>
                <w:color w:val="auto"/>
              </w:rPr>
            </w:pPr>
            <w:r>
              <w:rPr>
                <w:rFonts w:ascii="Arial" w:cs="Arial" w:eastAsia="Arial" w:hAnsi="Arial"/>
                <w:sz w:val="16"/>
                <w:szCs w:val="16"/>
                <w:b w:val="1"/>
                <w:bCs w:val="1"/>
                <w:color w:val="auto"/>
                <w:w w:val="99"/>
              </w:rPr>
              <w:t>Capped at plan maximum of 200% of Target per payout</w:t>
            </w:r>
          </w:p>
        </w:tc>
        <w:tc>
          <w:tcPr>
            <w:tcW w:w="40" w:type="dxa"/>
            <w:vAlign w:val="bottom"/>
            <w:tcBorders>
              <w:right w:val="single" w:sz="8" w:color="000039"/>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F2F2F2"/>
              <w:right w:val="single" w:sz="8" w:color="F2F2F2"/>
            </w:tcBorders>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320" w:type="dxa"/>
            <w:vAlign w:val="bottom"/>
            <w:tcBorders>
              <w:right w:val="single" w:sz="8" w:color="F2F2F2"/>
            </w:tcBorders>
            <w:shd w:val="clear" w:color="auto" w:fill="F2F2F2"/>
          </w:tcPr>
          <w:p>
            <w:pPr>
              <w:spacing w:after="0"/>
              <w:rPr>
                <w:sz w:val="16"/>
                <w:szCs w:val="16"/>
                <w:color w:val="auto"/>
              </w:rPr>
            </w:pPr>
          </w:p>
        </w:tc>
        <w:tc>
          <w:tcPr>
            <w:tcW w:w="1440" w:type="dxa"/>
            <w:vAlign w:val="bottom"/>
            <w:tcBorders>
              <w:right w:val="single" w:sz="8" w:color="F2F2F2"/>
            </w:tcBorders>
            <w:shd w:val="clear" w:color="auto" w:fill="F2F2F2"/>
          </w:tcPr>
          <w:p>
            <w:pPr>
              <w:spacing w:after="0"/>
              <w:rPr>
                <w:sz w:val="16"/>
                <w:szCs w:val="16"/>
                <w:color w:val="auto"/>
              </w:rPr>
            </w:pPr>
          </w:p>
        </w:tc>
        <w:tc>
          <w:tcPr>
            <w:tcW w:w="400" w:type="dxa"/>
            <w:vAlign w:val="bottom"/>
            <w:tcBorders>
              <w:right w:val="single" w:sz="8" w:color="000039"/>
            </w:tcBorders>
            <w:shd w:val="clear" w:color="auto" w:fill="F2F2F2"/>
          </w:tcPr>
          <w:p>
            <w:pPr>
              <w:spacing w:after="0"/>
              <w:rPr>
                <w:sz w:val="16"/>
                <w:szCs w:val="16"/>
                <w:color w:val="auto"/>
              </w:rPr>
            </w:pPr>
          </w:p>
        </w:tc>
        <w:tc>
          <w:tcPr>
            <w:tcW w:w="1440" w:type="dxa"/>
            <w:vAlign w:val="bottom"/>
            <w:tcBorders>
              <w:right w:val="single" w:sz="8" w:color="000039"/>
            </w:tcBorders>
            <w:shd w:val="clear" w:color="auto" w:fill="F2F2F2"/>
          </w:tcPr>
          <w:p>
            <w:pPr>
              <w:jc w:val="center"/>
              <w:spacing w:after="0"/>
              <w:rPr>
                <w:sz w:val="20"/>
                <w:szCs w:val="20"/>
                <w:color w:val="auto"/>
              </w:rPr>
            </w:pPr>
            <w:r>
              <w:rPr>
                <w:rFonts w:ascii="Arial" w:cs="Arial" w:eastAsia="Arial" w:hAnsi="Arial"/>
                <w:sz w:val="16"/>
                <w:szCs w:val="16"/>
                <w:b w:val="1"/>
                <w:bCs w:val="1"/>
                <w:color w:val="auto"/>
                <w:w w:val="99"/>
              </w:rPr>
              <w:t>per plan design</w:t>
            </w:r>
          </w:p>
        </w:tc>
        <w:tc>
          <w:tcPr>
            <w:tcW w:w="420" w:type="dxa"/>
            <w:vAlign w:val="bottom"/>
            <w:tcBorders>
              <w:right w:val="single" w:sz="8" w:color="000039"/>
            </w:tcBorders>
            <w:shd w:val="clear" w:color="auto" w:fill="F2F2F2"/>
          </w:tcPr>
          <w:p>
            <w:pPr>
              <w:spacing w:after="0"/>
              <w:rPr>
                <w:sz w:val="16"/>
                <w:szCs w:val="16"/>
                <w:color w:val="auto"/>
              </w:rPr>
            </w:pPr>
          </w:p>
        </w:tc>
        <w:tc>
          <w:tcPr>
            <w:tcW w:w="1820" w:type="dxa"/>
            <w:vAlign w:val="bottom"/>
            <w:shd w:val="clear" w:color="auto" w:fill="F2F2F2"/>
          </w:tcPr>
          <w:p>
            <w:pPr>
              <w:spacing w:after="0"/>
              <w:rPr>
                <w:sz w:val="16"/>
                <w:szCs w:val="16"/>
                <w:color w:val="auto"/>
              </w:rPr>
            </w:pPr>
          </w:p>
        </w:tc>
        <w:tc>
          <w:tcPr>
            <w:tcW w:w="1040" w:type="dxa"/>
            <w:vAlign w:val="bottom"/>
            <w:gridSpan w:val="3"/>
            <w:shd w:val="clear" w:color="auto" w:fill="F2F2F2"/>
          </w:tcPr>
          <w:p>
            <w:pPr>
              <w:jc w:val="center"/>
              <w:ind w:right="200"/>
              <w:spacing w:after="0"/>
              <w:rPr>
                <w:sz w:val="20"/>
                <w:szCs w:val="20"/>
                <w:color w:val="auto"/>
              </w:rPr>
            </w:pPr>
            <w:r>
              <w:rPr>
                <w:rFonts w:ascii="Arial" w:cs="Arial" w:eastAsia="Arial" w:hAnsi="Arial"/>
                <w:sz w:val="16"/>
                <w:szCs w:val="16"/>
                <w:b w:val="1"/>
                <w:bCs w:val="1"/>
                <w:color w:val="auto"/>
                <w:w w:val="99"/>
              </w:rPr>
              <w:t>matrix</w:t>
            </w:r>
          </w:p>
        </w:tc>
        <w:tc>
          <w:tcPr>
            <w:tcW w:w="1640" w:type="dxa"/>
            <w:vAlign w:val="bottom"/>
            <w:shd w:val="clear" w:color="auto" w:fill="F2F2F2"/>
          </w:tcPr>
          <w:p>
            <w:pPr>
              <w:spacing w:after="0"/>
              <w:rPr>
                <w:sz w:val="16"/>
                <w:szCs w:val="16"/>
                <w:color w:val="auto"/>
              </w:rPr>
            </w:pPr>
          </w:p>
        </w:tc>
        <w:tc>
          <w:tcPr>
            <w:tcW w:w="40" w:type="dxa"/>
            <w:vAlign w:val="bottom"/>
            <w:tcBorders>
              <w:right w:val="single" w:sz="8" w:color="000039"/>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60" w:type="dxa"/>
            <w:vAlign w:val="bottom"/>
            <w:tcBorders>
              <w:left w:val="single" w:sz="8" w:color="F2F2F2"/>
              <w:right w:val="single" w:sz="8" w:color="F2F2F2"/>
            </w:tcBorders>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320" w:type="dxa"/>
            <w:vAlign w:val="bottom"/>
            <w:tcBorders>
              <w:right w:val="single" w:sz="8" w:color="F2F2F2"/>
            </w:tcBorders>
            <w:shd w:val="clear" w:color="auto" w:fill="F2F2F2"/>
          </w:tcPr>
          <w:p>
            <w:pPr>
              <w:spacing w:after="0"/>
              <w:rPr>
                <w:sz w:val="15"/>
                <w:szCs w:val="15"/>
                <w:color w:val="auto"/>
              </w:rPr>
            </w:pPr>
          </w:p>
        </w:tc>
        <w:tc>
          <w:tcPr>
            <w:tcW w:w="1440" w:type="dxa"/>
            <w:vAlign w:val="bottom"/>
            <w:tcBorders>
              <w:right w:val="single" w:sz="8" w:color="F2F2F2"/>
            </w:tcBorders>
            <w:shd w:val="clear" w:color="auto" w:fill="F2F2F2"/>
          </w:tcPr>
          <w:p>
            <w:pPr>
              <w:spacing w:after="0"/>
              <w:rPr>
                <w:sz w:val="15"/>
                <w:szCs w:val="15"/>
                <w:color w:val="auto"/>
              </w:rPr>
            </w:pPr>
          </w:p>
        </w:tc>
        <w:tc>
          <w:tcPr>
            <w:tcW w:w="400" w:type="dxa"/>
            <w:vAlign w:val="bottom"/>
            <w:tcBorders>
              <w:right w:val="single" w:sz="8" w:color="000039"/>
            </w:tcBorders>
            <w:shd w:val="clear" w:color="auto" w:fill="F2F2F2"/>
          </w:tcPr>
          <w:p>
            <w:pPr>
              <w:spacing w:after="0"/>
              <w:rPr>
                <w:sz w:val="15"/>
                <w:szCs w:val="15"/>
                <w:color w:val="auto"/>
              </w:rPr>
            </w:pPr>
          </w:p>
        </w:tc>
        <w:tc>
          <w:tcPr>
            <w:tcW w:w="1440" w:type="dxa"/>
            <w:vAlign w:val="bottom"/>
            <w:tcBorders>
              <w:bottom w:val="single" w:sz="8" w:color="000039"/>
              <w:right w:val="single" w:sz="8" w:color="000039"/>
            </w:tcBorders>
            <w:shd w:val="clear" w:color="auto" w:fill="F2F2F2"/>
          </w:tcPr>
          <w:p>
            <w:pPr>
              <w:spacing w:after="0"/>
              <w:rPr>
                <w:sz w:val="15"/>
                <w:szCs w:val="15"/>
                <w:color w:val="auto"/>
              </w:rPr>
            </w:pPr>
          </w:p>
        </w:tc>
        <w:tc>
          <w:tcPr>
            <w:tcW w:w="420" w:type="dxa"/>
            <w:vAlign w:val="bottom"/>
            <w:tcBorders>
              <w:right w:val="single" w:sz="8" w:color="000039"/>
            </w:tcBorders>
            <w:shd w:val="clear" w:color="auto" w:fill="F2F2F2"/>
          </w:tcPr>
          <w:p>
            <w:pPr>
              <w:spacing w:after="0"/>
              <w:rPr>
                <w:sz w:val="15"/>
                <w:szCs w:val="15"/>
                <w:color w:val="auto"/>
              </w:rPr>
            </w:pPr>
          </w:p>
        </w:tc>
        <w:tc>
          <w:tcPr>
            <w:tcW w:w="1820" w:type="dxa"/>
            <w:vAlign w:val="bottom"/>
            <w:tcBorders>
              <w:bottom w:val="single" w:sz="8" w:color="000039"/>
            </w:tcBorders>
          </w:tcPr>
          <w:p>
            <w:pPr>
              <w:spacing w:after="0"/>
              <w:rPr>
                <w:sz w:val="15"/>
                <w:szCs w:val="15"/>
                <w:color w:val="auto"/>
              </w:rPr>
            </w:pPr>
          </w:p>
        </w:tc>
        <w:tc>
          <w:tcPr>
            <w:tcW w:w="240" w:type="dxa"/>
            <w:vAlign w:val="bottom"/>
            <w:tcBorders>
              <w:bottom w:val="single" w:sz="8" w:color="000039"/>
            </w:tcBorders>
          </w:tcPr>
          <w:p>
            <w:pPr>
              <w:spacing w:after="0"/>
              <w:rPr>
                <w:sz w:val="15"/>
                <w:szCs w:val="15"/>
                <w:color w:val="auto"/>
              </w:rPr>
            </w:pPr>
          </w:p>
        </w:tc>
        <w:tc>
          <w:tcPr>
            <w:tcW w:w="400" w:type="dxa"/>
            <w:vAlign w:val="bottom"/>
            <w:tcBorders>
              <w:bottom w:val="single" w:sz="8" w:color="000039"/>
            </w:tcBorders>
          </w:tcPr>
          <w:p>
            <w:pPr>
              <w:spacing w:after="0"/>
              <w:rPr>
                <w:sz w:val="15"/>
                <w:szCs w:val="15"/>
                <w:color w:val="auto"/>
              </w:rPr>
            </w:pPr>
          </w:p>
        </w:tc>
        <w:tc>
          <w:tcPr>
            <w:tcW w:w="400" w:type="dxa"/>
            <w:vAlign w:val="bottom"/>
            <w:tcBorders>
              <w:bottom w:val="single" w:sz="8" w:color="000039"/>
            </w:tcBorders>
          </w:tcPr>
          <w:p>
            <w:pPr>
              <w:spacing w:after="0"/>
              <w:rPr>
                <w:sz w:val="15"/>
                <w:szCs w:val="15"/>
                <w:color w:val="auto"/>
              </w:rPr>
            </w:pPr>
          </w:p>
        </w:tc>
        <w:tc>
          <w:tcPr>
            <w:tcW w:w="1640" w:type="dxa"/>
            <w:vAlign w:val="bottom"/>
            <w:tcBorders>
              <w:bottom w:val="single" w:sz="8" w:color="000039"/>
            </w:tcBorders>
          </w:tcPr>
          <w:p>
            <w:pPr>
              <w:spacing w:after="0"/>
              <w:rPr>
                <w:sz w:val="15"/>
                <w:szCs w:val="15"/>
                <w:color w:val="auto"/>
              </w:rPr>
            </w:pPr>
          </w:p>
        </w:tc>
        <w:tc>
          <w:tcPr>
            <w:tcW w:w="40" w:type="dxa"/>
            <w:vAlign w:val="bottom"/>
            <w:tcBorders>
              <w:bottom w:val="single" w:sz="8" w:color="000039"/>
              <w:right w:val="single" w:sz="8" w:color="000039"/>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-601980</wp:posOffset>
            </wp:positionV>
            <wp:extent cx="2887980" cy="6089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215">
                      <a:extLst>
                        <a:ext uri="{28A0092B-C50C-407E-A947-70E740481C1C}"/>
                      </a:extLst>
                    </a:blip>
                    <a:srcRect/>
                    <a:stretch>
                      <a:fillRect/>
                    </a:stretch>
                  </pic:blipFill>
                  <pic:spPr bwMode="auto">
                    <a:xfrm>
                      <a:off x="0" y="0"/>
                      <a:ext cx="2887980" cy="608965"/>
                    </a:xfrm>
                    <a:prstGeom prst="rect">
                      <a:avLst/>
                    </a:prstGeom>
                    <a:noFill/>
                  </pic:spPr>
                </pic:pic>
              </a:graphicData>
            </a:graphic>
          </wp:anchor>
        </w:drawing>
      </w:r>
    </w:p>
    <w:p>
      <w:pPr>
        <w:spacing w:after="0" w:line="191" w:lineRule="exact"/>
        <w:rPr>
          <w:sz w:val="20"/>
          <w:szCs w:val="20"/>
          <w:color w:val="auto"/>
        </w:rPr>
      </w:pPr>
    </w:p>
    <w:p>
      <w:pPr>
        <w:jc w:val="both"/>
        <w:ind w:left="20" w:right="300"/>
        <w:spacing w:after="0" w:line="261" w:lineRule="auto"/>
        <w:rPr>
          <w:sz w:val="20"/>
          <w:szCs w:val="20"/>
          <w:color w:val="auto"/>
        </w:rPr>
      </w:pPr>
      <w:r>
        <w:rPr>
          <w:rFonts w:ascii="Arial" w:cs="Arial" w:eastAsia="Arial" w:hAnsi="Arial"/>
          <w:sz w:val="20"/>
          <w:szCs w:val="20"/>
          <w:color w:val="auto"/>
        </w:rPr>
        <w:t>The short- term incentive goals and their respective weightings are summarized in the chart below. The specific goals and weightings for each NEO are established at the start of each performance year based on the NEO’s role and anticipated contributions to the company’s annual objectives.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760" w:type="dxa"/>
            <w:vAlign w:val="bottom"/>
          </w:tcPr>
          <w:p>
            <w:pPr>
              <w:spacing w:after="0"/>
              <w:rPr>
                <w:sz w:val="17"/>
                <w:szCs w:val="17"/>
                <w:color w:val="auto"/>
              </w:rPr>
            </w:pPr>
          </w:p>
        </w:tc>
        <w:tc>
          <w:tcPr>
            <w:tcW w:w="25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6"/>
                <w:szCs w:val="16"/>
                <w:b w:val="1"/>
                <w:bCs w:val="1"/>
                <w:color w:val="000039"/>
              </w:rPr>
              <w:t>Financial Goals</w:t>
            </w:r>
          </w:p>
        </w:tc>
        <w:tc>
          <w:tcPr>
            <w:tcW w:w="140" w:type="dxa"/>
            <w:vAlign w:val="bottom"/>
          </w:tcPr>
          <w:p>
            <w:pPr>
              <w:spacing w:after="0"/>
              <w:rPr>
                <w:sz w:val="17"/>
                <w:szCs w:val="17"/>
                <w:color w:val="auto"/>
              </w:rPr>
            </w:pPr>
          </w:p>
        </w:tc>
        <w:tc>
          <w:tcPr>
            <w:tcW w:w="3660" w:type="dxa"/>
            <w:vAlign w:val="bottom"/>
            <w:tcBorders>
              <w:bottom w:val="single" w:sz="8" w:color="auto"/>
            </w:tcBorders>
            <w:gridSpan w:val="6"/>
          </w:tcPr>
          <w:p>
            <w:pPr>
              <w:jc w:val="right"/>
              <w:ind w:right="533"/>
              <w:spacing w:after="0"/>
              <w:rPr>
                <w:sz w:val="20"/>
                <w:szCs w:val="20"/>
                <w:color w:val="auto"/>
              </w:rPr>
            </w:pPr>
            <w:r>
              <w:rPr>
                <w:rFonts w:ascii="Arial" w:cs="Arial" w:eastAsia="Arial" w:hAnsi="Arial"/>
                <w:sz w:val="16"/>
                <w:szCs w:val="16"/>
                <w:b w:val="1"/>
                <w:bCs w:val="1"/>
                <w:color w:val="000039"/>
              </w:rPr>
              <w:t>Strategic and Leadership Goals</w:t>
            </w:r>
          </w:p>
        </w:tc>
      </w:tr>
      <w:tr>
        <w:trPr>
          <w:trHeight w:val="156"/>
        </w:trPr>
        <w:tc>
          <w:tcPr>
            <w:tcW w:w="3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right"/>
              <w:ind w:right="280"/>
              <w:spacing w:after="0" w:line="156" w:lineRule="exact"/>
              <w:rPr>
                <w:sz w:val="20"/>
                <w:szCs w:val="20"/>
                <w:color w:val="auto"/>
              </w:rPr>
            </w:pPr>
            <w:r>
              <w:rPr>
                <w:rFonts w:ascii="Arial" w:cs="Arial" w:eastAsia="Arial" w:hAnsi="Arial"/>
                <w:sz w:val="16"/>
                <w:szCs w:val="16"/>
                <w:b w:val="1"/>
                <w:bCs w:val="1"/>
                <w:color w:val="000039"/>
              </w:rPr>
              <w:t>Platform Revenue,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4"/>
        </w:trPr>
        <w:tc>
          <w:tcPr>
            <w:tcW w:w="3760" w:type="dxa"/>
            <w:vAlign w:val="bottom"/>
          </w:tcPr>
          <w:p>
            <w:pPr>
              <w:spacing w:after="0"/>
              <w:rPr>
                <w:sz w:val="15"/>
                <w:szCs w:val="15"/>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000039"/>
                <w:w w:val="96"/>
              </w:rPr>
              <w:t>Income</w:t>
            </w:r>
          </w:p>
        </w:tc>
        <w:tc>
          <w:tcPr>
            <w:tcW w:w="1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000039"/>
              </w:rPr>
              <w:t>Operating Margin,</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5"/>
        </w:trPr>
        <w:tc>
          <w:tcPr>
            <w:tcW w:w="3760" w:type="dxa"/>
            <w:vAlign w:val="bottom"/>
          </w:tcPr>
          <w:p>
            <w:pPr>
              <w:spacing w:after="0"/>
              <w:rPr>
                <w:sz w:val="16"/>
                <w:szCs w:val="16"/>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000039"/>
              </w:rPr>
              <w:t>Before</w:t>
            </w:r>
          </w:p>
        </w:tc>
        <w:tc>
          <w:tcPr>
            <w:tcW w:w="1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000039"/>
              </w:rPr>
              <w:t>and Return on</w:t>
            </w:r>
          </w:p>
        </w:tc>
        <w:tc>
          <w:tcPr>
            <w:tcW w:w="1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00039"/>
              </w:rPr>
              <w:t>R&amp;D/</w:t>
            </w:r>
          </w:p>
        </w:tc>
        <w:tc>
          <w:tcPr>
            <w:tcW w:w="1220" w:type="dxa"/>
            <w:vAlign w:val="bottom"/>
          </w:tcPr>
          <w:p>
            <w:pPr>
              <w:jc w:val="right"/>
              <w:ind w:right="135"/>
              <w:spacing w:after="0"/>
              <w:rPr>
                <w:sz w:val="20"/>
                <w:szCs w:val="20"/>
                <w:color w:val="auto"/>
              </w:rPr>
            </w:pPr>
            <w:r>
              <w:rPr>
                <w:rFonts w:ascii="Arial" w:cs="Arial" w:eastAsia="Arial" w:hAnsi="Arial"/>
                <w:sz w:val="16"/>
                <w:szCs w:val="16"/>
                <w:b w:val="1"/>
                <w:bCs w:val="1"/>
                <w:color w:val="000039"/>
              </w:rPr>
              <w:t>Business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2"/>
        </w:trPr>
        <w:tc>
          <w:tcPr>
            <w:tcW w:w="3760" w:type="dxa"/>
            <w:vAlign w:val="bottom"/>
            <w:tcBorders>
              <w:bottom w:val="single" w:sz="8" w:color="000039"/>
            </w:tcBorders>
          </w:tcPr>
          <w:p>
            <w:pPr>
              <w:spacing w:after="0"/>
              <w:rPr>
                <w:sz w:val="17"/>
                <w:szCs w:val="17"/>
                <w:color w:val="auto"/>
              </w:rPr>
            </w:pPr>
          </w:p>
        </w:tc>
        <w:tc>
          <w:tcPr>
            <w:tcW w:w="800" w:type="dxa"/>
            <w:vAlign w:val="bottom"/>
            <w:tcBorders>
              <w:bottom w:val="single" w:sz="8" w:color="000039"/>
            </w:tcBorders>
            <w:gridSpan w:val="2"/>
          </w:tcPr>
          <w:p>
            <w:pPr>
              <w:jc w:val="right"/>
              <w:ind w:right="150"/>
              <w:spacing w:after="0"/>
              <w:rPr>
                <w:sz w:val="20"/>
                <w:szCs w:val="20"/>
                <w:color w:val="auto"/>
              </w:rPr>
            </w:pPr>
            <w:r>
              <w:rPr>
                <w:rFonts w:ascii="Arial" w:cs="Arial" w:eastAsia="Arial" w:hAnsi="Arial"/>
                <w:sz w:val="16"/>
                <w:szCs w:val="16"/>
                <w:b w:val="1"/>
                <w:bCs w:val="1"/>
                <w:color w:val="000039"/>
              </w:rPr>
              <w:t>Taxes</w:t>
            </w:r>
          </w:p>
        </w:tc>
        <w:tc>
          <w:tcPr>
            <w:tcW w:w="1500" w:type="dxa"/>
            <w:vAlign w:val="bottom"/>
            <w:tcBorders>
              <w:bottom w:val="single" w:sz="8" w:color="000039"/>
            </w:tcBorders>
          </w:tcPr>
          <w:p>
            <w:pPr>
              <w:jc w:val="right"/>
              <w:spacing w:after="0" w:line="202" w:lineRule="exact"/>
              <w:rPr>
                <w:sz w:val="20"/>
                <w:szCs w:val="20"/>
                <w:color w:val="auto"/>
              </w:rPr>
            </w:pPr>
            <w:r>
              <w:rPr>
                <w:rFonts w:ascii="Arial" w:cs="Arial" w:eastAsia="Arial" w:hAnsi="Arial"/>
                <w:sz w:val="16"/>
                <w:szCs w:val="16"/>
                <w:b w:val="1"/>
                <w:bCs w:val="1"/>
                <w:color w:val="000039"/>
              </w:rPr>
              <w:t>Assets</w:t>
            </w:r>
            <w:r>
              <w:rPr>
                <w:rFonts w:ascii="Arial" w:cs="Arial" w:eastAsia="Arial" w:hAnsi="Arial"/>
                <w:sz w:val="19"/>
                <w:szCs w:val="19"/>
                <w:b w:val="1"/>
                <w:bCs w:val="1"/>
                <w:color w:val="000039"/>
                <w:vertAlign w:val="superscript"/>
              </w:rPr>
              <w:t>(1)</w:t>
            </w: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0039"/>
              </w:rPr>
              <w:t>Innovation</w:t>
            </w:r>
          </w:p>
        </w:tc>
        <w:tc>
          <w:tcPr>
            <w:tcW w:w="160" w:type="dxa"/>
            <w:vAlign w:val="bottom"/>
            <w:tcBorders>
              <w:bottom w:val="single" w:sz="8" w:color="000039"/>
            </w:tcBorders>
          </w:tcPr>
          <w:p>
            <w:pPr>
              <w:spacing w:after="0"/>
              <w:rPr>
                <w:sz w:val="17"/>
                <w:szCs w:val="17"/>
                <w:color w:val="auto"/>
              </w:rPr>
            </w:pPr>
          </w:p>
        </w:tc>
        <w:tc>
          <w:tcPr>
            <w:tcW w:w="1220" w:type="dxa"/>
            <w:vAlign w:val="bottom"/>
            <w:tcBorders>
              <w:bottom w:val="single" w:sz="8" w:color="000039"/>
            </w:tcBorders>
          </w:tcPr>
          <w:p>
            <w:pPr>
              <w:jc w:val="right"/>
              <w:ind w:right="135"/>
              <w:spacing w:after="0"/>
              <w:rPr>
                <w:sz w:val="20"/>
                <w:szCs w:val="20"/>
                <w:color w:val="auto"/>
              </w:rPr>
            </w:pPr>
            <w:r>
              <w:rPr>
                <w:rFonts w:ascii="Arial" w:cs="Arial" w:eastAsia="Arial" w:hAnsi="Arial"/>
                <w:sz w:val="16"/>
                <w:szCs w:val="16"/>
                <w:b w:val="1"/>
                <w:bCs w:val="1"/>
                <w:color w:val="000039"/>
                <w:w w:val="97"/>
              </w:rPr>
              <w:t>Development</w:t>
            </w:r>
          </w:p>
        </w:tc>
        <w:tc>
          <w:tcPr>
            <w:tcW w:w="620" w:type="dxa"/>
            <w:vAlign w:val="bottom"/>
            <w:tcBorders>
              <w:bottom w:val="single" w:sz="8" w:color="000039"/>
            </w:tcBorders>
            <w:gridSpan w:val="2"/>
          </w:tcPr>
          <w:p>
            <w:pPr>
              <w:jc w:val="right"/>
              <w:ind w:right="150"/>
              <w:spacing w:after="0"/>
              <w:rPr>
                <w:sz w:val="20"/>
                <w:szCs w:val="20"/>
                <w:color w:val="auto"/>
              </w:rPr>
            </w:pPr>
            <w:r>
              <w:rPr>
                <w:rFonts w:ascii="Arial" w:cs="Arial" w:eastAsia="Arial" w:hAnsi="Arial"/>
                <w:sz w:val="16"/>
                <w:szCs w:val="16"/>
                <w:b w:val="1"/>
                <w:bCs w:val="1"/>
                <w:color w:val="000039"/>
              </w:rPr>
              <w:t>ESG</w:t>
            </w:r>
          </w:p>
        </w:tc>
        <w:tc>
          <w:tcPr>
            <w:tcW w:w="660" w:type="dxa"/>
            <w:vAlign w:val="bottom"/>
            <w:tcBorders>
              <w:bottom w:val="single" w:sz="8" w:color="000039"/>
            </w:tcBorders>
          </w:tcPr>
          <w:p>
            <w:pPr>
              <w:jc w:val="right"/>
              <w:ind w:right="133"/>
              <w:spacing w:after="0"/>
              <w:rPr>
                <w:sz w:val="20"/>
                <w:szCs w:val="20"/>
                <w:color w:val="auto"/>
              </w:rPr>
            </w:pPr>
            <w:r>
              <w:rPr>
                <w:rFonts w:ascii="Arial" w:cs="Arial" w:eastAsia="Arial" w:hAnsi="Arial"/>
                <w:sz w:val="16"/>
                <w:szCs w:val="16"/>
                <w:b w:val="1"/>
                <w:bCs w:val="1"/>
                <w:color w:val="000039"/>
                <w:w w:val="98"/>
              </w:rPr>
              <w:t>Other</w:t>
            </w:r>
          </w:p>
        </w:tc>
      </w:tr>
      <w:tr>
        <w:trPr>
          <w:trHeight w:val="204"/>
        </w:trPr>
        <w:tc>
          <w:tcPr>
            <w:tcW w:w="3760" w:type="dxa"/>
            <w:vAlign w:val="bottom"/>
            <w:shd w:val="clear" w:color="auto" w:fill="D9D9D9"/>
          </w:tcPr>
          <w:p>
            <w:pPr>
              <w:spacing w:after="0" w:line="199" w:lineRule="exact"/>
              <w:rPr>
                <w:sz w:val="20"/>
                <w:szCs w:val="20"/>
                <w:color w:val="auto"/>
              </w:rPr>
            </w:pPr>
            <w:r>
              <w:rPr>
                <w:rFonts w:ascii="Arial" w:cs="Arial" w:eastAsia="Arial" w:hAnsi="Arial"/>
                <w:sz w:val="18"/>
                <w:szCs w:val="18"/>
                <w:color w:val="auto"/>
              </w:rPr>
              <w:t>Robert A. Michael</w:t>
            </w:r>
          </w:p>
        </w:tc>
        <w:tc>
          <w:tcPr>
            <w:tcW w:w="600" w:type="dxa"/>
            <w:vAlign w:val="bottom"/>
            <w:shd w:val="clear" w:color="auto" w:fill="D9D9D9"/>
          </w:tcPr>
          <w:p>
            <w:pPr>
              <w:jc w:val="right"/>
              <w:spacing w:after="0" w:line="199" w:lineRule="exact"/>
              <w:rPr>
                <w:sz w:val="20"/>
                <w:szCs w:val="20"/>
                <w:color w:val="auto"/>
              </w:rPr>
            </w:pPr>
            <w:r>
              <w:rPr>
                <w:rFonts w:ascii="Arial" w:cs="Arial" w:eastAsia="Arial" w:hAnsi="Arial"/>
                <w:sz w:val="18"/>
                <w:szCs w:val="18"/>
                <w:color w:val="auto"/>
              </w:rPr>
              <w:t>20</w:t>
            </w:r>
          </w:p>
        </w:tc>
        <w:tc>
          <w:tcPr>
            <w:tcW w:w="200" w:type="dxa"/>
            <w:vAlign w:val="bottom"/>
            <w:shd w:val="clear" w:color="auto" w:fill="D9D9D9"/>
          </w:tcPr>
          <w:p>
            <w:pPr>
              <w:jc w:val="right"/>
              <w:spacing w:after="0" w:line="199" w:lineRule="exact"/>
              <w:rPr>
                <w:sz w:val="20"/>
                <w:szCs w:val="20"/>
                <w:color w:val="auto"/>
              </w:rPr>
            </w:pPr>
            <w:r>
              <w:rPr>
                <w:rFonts w:ascii="Arial" w:cs="Arial" w:eastAsia="Arial" w:hAnsi="Arial"/>
                <w:sz w:val="18"/>
                <w:szCs w:val="18"/>
                <w:color w:val="auto"/>
                <w:w w:val="87"/>
              </w:rPr>
              <w:t>%</w:t>
            </w:r>
          </w:p>
        </w:tc>
        <w:tc>
          <w:tcPr>
            <w:tcW w:w="1720" w:type="dxa"/>
            <w:vAlign w:val="bottom"/>
            <w:gridSpan w:val="2"/>
            <w:shd w:val="clear" w:color="auto" w:fill="D9D9D9"/>
          </w:tcPr>
          <w:p>
            <w:pPr>
              <w:jc w:val="right"/>
              <w:ind w:right="60"/>
              <w:spacing w:after="0" w:line="199" w:lineRule="exact"/>
              <w:rPr>
                <w:sz w:val="20"/>
                <w:szCs w:val="20"/>
                <w:color w:val="auto"/>
              </w:rPr>
            </w:pPr>
            <w:r>
              <w:rPr>
                <w:rFonts w:ascii="Arial" w:cs="Arial" w:eastAsia="Arial" w:hAnsi="Arial"/>
                <w:sz w:val="18"/>
                <w:szCs w:val="18"/>
                <w:color w:val="auto"/>
              </w:rPr>
              <w:t>60 %</w:t>
            </w:r>
          </w:p>
        </w:tc>
        <w:tc>
          <w:tcPr>
            <w:tcW w:w="14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line="199" w:lineRule="exact"/>
              <w:rPr>
                <w:sz w:val="20"/>
                <w:szCs w:val="20"/>
                <w:color w:val="auto"/>
              </w:rPr>
            </w:pPr>
            <w:r>
              <w:rPr>
                <w:rFonts w:ascii="Arial" w:cs="Arial" w:eastAsia="Arial" w:hAnsi="Arial"/>
                <w:sz w:val="18"/>
                <w:szCs w:val="18"/>
                <w:color w:val="auto"/>
              </w:rPr>
              <w:t>10 %</w:t>
            </w:r>
          </w:p>
        </w:tc>
        <w:tc>
          <w:tcPr>
            <w:tcW w:w="420" w:type="dxa"/>
            <w:vAlign w:val="bottom"/>
            <w:shd w:val="clear" w:color="auto" w:fill="D9D9D9"/>
          </w:tcPr>
          <w:p>
            <w:pPr>
              <w:jc w:val="right"/>
              <w:spacing w:after="0" w:line="199" w:lineRule="exact"/>
              <w:rPr>
                <w:sz w:val="20"/>
                <w:szCs w:val="20"/>
                <w:color w:val="auto"/>
              </w:rPr>
            </w:pPr>
            <w:r>
              <w:rPr>
                <w:rFonts w:ascii="Arial" w:cs="Arial" w:eastAsia="Arial" w:hAnsi="Arial"/>
                <w:sz w:val="18"/>
                <w:szCs w:val="18"/>
                <w:color w:val="auto"/>
              </w:rPr>
              <w:t>10</w:t>
            </w:r>
          </w:p>
        </w:tc>
        <w:tc>
          <w:tcPr>
            <w:tcW w:w="200" w:type="dxa"/>
            <w:vAlign w:val="bottom"/>
            <w:shd w:val="clear" w:color="auto" w:fill="D9D9D9"/>
          </w:tcPr>
          <w:p>
            <w:pPr>
              <w:jc w:val="right"/>
              <w:spacing w:after="0" w:line="199" w:lineRule="exact"/>
              <w:rPr>
                <w:sz w:val="20"/>
                <w:szCs w:val="20"/>
                <w:color w:val="auto"/>
              </w:rPr>
            </w:pPr>
            <w:r>
              <w:rPr>
                <w:rFonts w:ascii="Arial" w:cs="Arial" w:eastAsia="Arial" w:hAnsi="Arial"/>
                <w:sz w:val="18"/>
                <w:szCs w:val="18"/>
                <w:color w:val="auto"/>
                <w:w w:val="87"/>
              </w:rPr>
              <w:t>%</w:t>
            </w:r>
          </w:p>
        </w:tc>
        <w:tc>
          <w:tcPr>
            <w:tcW w:w="660" w:type="dxa"/>
            <w:vAlign w:val="bottom"/>
            <w:shd w:val="clear" w:color="auto" w:fill="D9D9D9"/>
          </w:tcPr>
          <w:p>
            <w:pPr>
              <w:spacing w:after="0"/>
              <w:rPr>
                <w:sz w:val="17"/>
                <w:szCs w:val="17"/>
                <w:color w:val="auto"/>
              </w:rPr>
            </w:pPr>
          </w:p>
        </w:tc>
      </w:tr>
      <w:tr>
        <w:trPr>
          <w:trHeight w:val="208"/>
        </w:trPr>
        <w:tc>
          <w:tcPr>
            <w:tcW w:w="3760" w:type="dxa"/>
            <w:vAlign w:val="bottom"/>
          </w:tcPr>
          <w:p>
            <w:pPr>
              <w:spacing w:after="0"/>
              <w:rPr>
                <w:sz w:val="20"/>
                <w:szCs w:val="20"/>
                <w:color w:val="auto"/>
              </w:rPr>
            </w:pPr>
            <w:r>
              <w:rPr>
                <w:rFonts w:ascii="Arial" w:cs="Arial" w:eastAsia="Arial" w:hAnsi="Arial"/>
                <w:sz w:val="18"/>
                <w:szCs w:val="18"/>
                <w:color w:val="auto"/>
              </w:rPr>
              <w:t>Scott T. Reents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60 %</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06"/>
        </w:trPr>
        <w:tc>
          <w:tcPr>
            <w:tcW w:w="3760" w:type="dxa"/>
            <w:vAlign w:val="bottom"/>
            <w:shd w:val="clear" w:color="auto" w:fill="D9D9D9"/>
          </w:tcPr>
          <w:p>
            <w:pPr>
              <w:spacing w:after="0" w:line="195" w:lineRule="exact"/>
              <w:rPr>
                <w:sz w:val="20"/>
                <w:szCs w:val="20"/>
                <w:color w:val="auto"/>
              </w:rPr>
            </w:pPr>
            <w:r>
              <w:rPr>
                <w:rFonts w:ascii="Arial" w:cs="Arial" w:eastAsia="Arial" w:hAnsi="Arial"/>
                <w:sz w:val="18"/>
                <w:szCs w:val="18"/>
                <w:color w:val="auto"/>
              </w:rPr>
              <w:t>Jeffrey R. Stewart</w:t>
            </w:r>
          </w:p>
        </w:tc>
        <w:tc>
          <w:tcPr>
            <w:tcW w:w="800" w:type="dxa"/>
            <w:vAlign w:val="bottom"/>
            <w:gridSpan w:val="2"/>
            <w:shd w:val="clear" w:color="auto" w:fill="D9D9D9"/>
          </w:tcPr>
          <w:p>
            <w:pPr>
              <w:jc w:val="right"/>
              <w:spacing w:after="0" w:line="195" w:lineRule="exact"/>
              <w:rPr>
                <w:sz w:val="20"/>
                <w:szCs w:val="20"/>
                <w:color w:val="auto"/>
              </w:rPr>
            </w:pPr>
            <w:r>
              <w:rPr>
                <w:rFonts w:ascii="Arial" w:cs="Arial" w:eastAsia="Arial" w:hAnsi="Arial"/>
                <w:sz w:val="18"/>
                <w:szCs w:val="18"/>
                <w:color w:val="auto"/>
              </w:rPr>
              <w:t>20 %</w:t>
            </w:r>
          </w:p>
        </w:tc>
        <w:tc>
          <w:tcPr>
            <w:tcW w:w="1720" w:type="dxa"/>
            <w:vAlign w:val="bottom"/>
            <w:gridSpan w:val="2"/>
            <w:shd w:val="clear" w:color="auto" w:fill="D9D9D9"/>
          </w:tcPr>
          <w:p>
            <w:pPr>
              <w:jc w:val="right"/>
              <w:ind w:right="60"/>
              <w:spacing w:after="0" w:line="195" w:lineRule="exact"/>
              <w:rPr>
                <w:sz w:val="20"/>
                <w:szCs w:val="20"/>
                <w:color w:val="auto"/>
              </w:rPr>
            </w:pPr>
            <w:r>
              <w:rPr>
                <w:rFonts w:ascii="Arial" w:cs="Arial" w:eastAsia="Arial" w:hAnsi="Arial"/>
                <w:sz w:val="18"/>
                <w:szCs w:val="18"/>
                <w:color w:val="auto"/>
              </w:rPr>
              <w:t>50 %</w:t>
            </w:r>
          </w:p>
        </w:tc>
        <w:tc>
          <w:tcPr>
            <w:tcW w:w="14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20" w:type="dxa"/>
            <w:vAlign w:val="bottom"/>
            <w:shd w:val="clear" w:color="auto" w:fill="D9D9D9"/>
          </w:tcPr>
          <w:p>
            <w:pPr>
              <w:spacing w:after="0"/>
              <w:rPr>
                <w:sz w:val="17"/>
                <w:szCs w:val="17"/>
                <w:color w:val="auto"/>
              </w:rPr>
            </w:pPr>
          </w:p>
        </w:tc>
        <w:tc>
          <w:tcPr>
            <w:tcW w:w="620" w:type="dxa"/>
            <w:vAlign w:val="bottom"/>
            <w:gridSpan w:val="2"/>
            <w:shd w:val="clear" w:color="auto" w:fill="D9D9D9"/>
          </w:tcPr>
          <w:p>
            <w:pPr>
              <w:jc w:val="right"/>
              <w:spacing w:after="0" w:line="195" w:lineRule="exact"/>
              <w:rPr>
                <w:sz w:val="20"/>
                <w:szCs w:val="20"/>
                <w:color w:val="auto"/>
              </w:rPr>
            </w:pPr>
            <w:r>
              <w:rPr>
                <w:rFonts w:ascii="Arial" w:cs="Arial" w:eastAsia="Arial" w:hAnsi="Arial"/>
                <w:sz w:val="18"/>
                <w:szCs w:val="18"/>
                <w:color w:val="auto"/>
              </w:rPr>
              <w:t>10 %</w:t>
            </w:r>
          </w:p>
        </w:tc>
        <w:tc>
          <w:tcPr>
            <w:tcW w:w="660" w:type="dxa"/>
            <w:vAlign w:val="bottom"/>
            <w:shd w:val="clear" w:color="auto" w:fill="D9D9D9"/>
          </w:tcPr>
          <w:p>
            <w:pPr>
              <w:jc w:val="right"/>
              <w:spacing w:after="0" w:line="195" w:lineRule="exact"/>
              <w:rPr>
                <w:sz w:val="20"/>
                <w:szCs w:val="20"/>
                <w:color w:val="auto"/>
              </w:rPr>
            </w:pPr>
            <w:r>
              <w:rPr>
                <w:rFonts w:ascii="Arial" w:cs="Arial" w:eastAsia="Arial" w:hAnsi="Arial"/>
                <w:sz w:val="18"/>
                <w:szCs w:val="18"/>
                <w:color w:val="auto"/>
              </w:rPr>
              <w:t>20 %</w:t>
            </w:r>
          </w:p>
        </w:tc>
      </w:tr>
      <w:tr>
        <w:trPr>
          <w:trHeight w:val="208"/>
        </w:trPr>
        <w:tc>
          <w:tcPr>
            <w:tcW w:w="3760" w:type="dxa"/>
            <w:vAlign w:val="bottom"/>
          </w:tcPr>
          <w:p>
            <w:pPr>
              <w:spacing w:after="0"/>
              <w:rPr>
                <w:sz w:val="20"/>
                <w:szCs w:val="20"/>
                <w:color w:val="auto"/>
              </w:rPr>
            </w:pPr>
            <w:r>
              <w:rPr>
                <w:rFonts w:ascii="Arial" w:cs="Arial" w:eastAsia="Arial" w:hAnsi="Arial"/>
                <w:sz w:val="18"/>
                <w:szCs w:val="18"/>
                <w:color w:val="auto"/>
              </w:rPr>
              <w:t>Azita Saleki-Gerhardt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1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66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06"/>
        </w:trPr>
        <w:tc>
          <w:tcPr>
            <w:tcW w:w="3760" w:type="dxa"/>
            <w:vAlign w:val="bottom"/>
            <w:shd w:val="clear" w:color="auto" w:fill="D9D9D9"/>
          </w:tcPr>
          <w:p>
            <w:pPr>
              <w:spacing w:after="0"/>
              <w:rPr>
                <w:sz w:val="20"/>
                <w:szCs w:val="20"/>
                <w:color w:val="auto"/>
              </w:rPr>
            </w:pPr>
            <w:r>
              <w:rPr>
                <w:rFonts w:ascii="Arial" w:cs="Arial" w:eastAsia="Arial" w:hAnsi="Arial"/>
                <w:sz w:val="18"/>
                <w:szCs w:val="18"/>
                <w:color w:val="auto"/>
              </w:rPr>
              <w:t>Roopal B. Thakkar</w:t>
            </w:r>
          </w:p>
        </w:tc>
        <w:tc>
          <w:tcPr>
            <w:tcW w:w="80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10 %</w:t>
            </w:r>
          </w:p>
        </w:tc>
        <w:tc>
          <w:tcPr>
            <w:tcW w:w="1720" w:type="dxa"/>
            <w:vAlign w:val="bottom"/>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10 %</w:t>
            </w:r>
          </w:p>
        </w:tc>
        <w:tc>
          <w:tcPr>
            <w:tcW w:w="1300" w:type="dxa"/>
            <w:vAlign w:val="bottom"/>
            <w:gridSpan w:val="3"/>
            <w:shd w:val="clear" w:color="auto" w:fill="D9D9D9"/>
          </w:tcPr>
          <w:p>
            <w:pPr>
              <w:jc w:val="right"/>
              <w:spacing w:after="0"/>
              <w:rPr>
                <w:sz w:val="20"/>
                <w:szCs w:val="20"/>
                <w:color w:val="auto"/>
              </w:rPr>
            </w:pPr>
            <w:r>
              <w:rPr>
                <w:rFonts w:ascii="Arial" w:cs="Arial" w:eastAsia="Arial" w:hAnsi="Arial"/>
                <w:sz w:val="18"/>
                <w:szCs w:val="18"/>
                <w:color w:val="auto"/>
              </w:rPr>
              <w:t>50 %</w:t>
            </w:r>
          </w:p>
        </w:tc>
        <w:tc>
          <w:tcPr>
            <w:tcW w:w="1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20 %</w:t>
            </w:r>
          </w:p>
        </w:tc>
        <w:tc>
          <w:tcPr>
            <w:tcW w:w="6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10 %</w:t>
            </w:r>
          </w:p>
        </w:tc>
        <w:tc>
          <w:tcPr>
            <w:tcW w:w="660" w:type="dxa"/>
            <w:vAlign w:val="bottom"/>
            <w:shd w:val="clear" w:color="auto" w:fill="D9D9D9"/>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106680</wp:posOffset>
                </wp:positionV>
                <wp:extent cx="1600200"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8.4pt" to="126.9pt,8.4pt" o:allowincell="f" strokecolor="#000000" strokeweight="1.02pt"/>
            </w:pict>
          </mc:Fallback>
        </mc:AlternateConten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20"/>
          <w:szCs w:val="20"/>
          <w:color w:val="auto"/>
        </w:rPr>
        <w:t>(1) Financial goals are equally weighted.</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Short-Term Incentive Financial Goals</w:t>
      </w:r>
    </w:p>
    <w:p>
      <w:pPr>
        <w:spacing w:after="0" w:line="123" w:lineRule="exact"/>
        <w:rPr>
          <w:sz w:val="20"/>
          <w:szCs w:val="20"/>
          <w:color w:val="auto"/>
        </w:rPr>
      </w:pPr>
    </w:p>
    <w:p>
      <w:pPr>
        <w:ind w:left="20" w:right="20"/>
        <w:spacing w:after="0" w:line="250" w:lineRule="auto"/>
        <w:rPr>
          <w:sz w:val="20"/>
          <w:szCs w:val="20"/>
          <w:color w:val="auto"/>
        </w:rPr>
      </w:pPr>
      <w:r>
        <w:rPr>
          <w:rFonts w:ascii="Arial" w:cs="Arial" w:eastAsia="Arial" w:hAnsi="Arial"/>
          <w:sz w:val="20"/>
          <w:szCs w:val="20"/>
          <w:color w:val="auto"/>
        </w:rPr>
        <w:t>The committee reviews and ensures all financial goals are appropriately rigorous and consistent with driving top-tier performance for the sector in both the short and long term. The performance targets for each goal are calibrated to a range of potential outcomes, with above target payouts for strong performance and below target payouts (including no payout) for below target performance. Targets are based on expected business, market and regulatory conditions, including expectations for our pipeline.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20" w:type="dxa"/>
            <w:vAlign w:val="bottom"/>
            <w:gridSpan w:val="2"/>
            <w:vMerge w:val="restart"/>
          </w:tcPr>
          <w:p>
            <w:pPr>
              <w:spacing w:after="0"/>
              <w:rPr>
                <w:sz w:val="20"/>
                <w:szCs w:val="20"/>
                <w:color w:val="auto"/>
              </w:rPr>
            </w:pPr>
            <w:r>
              <w:rPr>
                <w:rFonts w:ascii="Arial" w:cs="Arial" w:eastAsia="Arial" w:hAnsi="Arial"/>
                <w:sz w:val="16"/>
                <w:szCs w:val="16"/>
                <w:b w:val="1"/>
                <w:bCs w:val="1"/>
                <w:color w:val="000039"/>
              </w:rPr>
              <w:t>Goal</w:t>
            </w:r>
            <w:r>
              <w:rPr>
                <w:rFonts w:ascii="Arial" w:cs="Arial" w:eastAsia="Arial" w:hAnsi="Arial"/>
                <w:sz w:val="19"/>
                <w:szCs w:val="19"/>
                <w:b w:val="1"/>
                <w:bCs w:val="1"/>
                <w:color w:val="000039"/>
                <w:vertAlign w:val="superscript"/>
              </w:rPr>
              <w:t>(1)</w:t>
            </w: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jc w:val="right"/>
              <w:ind w:right="180"/>
              <w:spacing w:after="0"/>
              <w:rPr>
                <w:sz w:val="20"/>
                <w:szCs w:val="20"/>
                <w:color w:val="auto"/>
              </w:rPr>
            </w:pPr>
            <w:r>
              <w:rPr>
                <w:rFonts w:ascii="Arial" w:cs="Arial" w:eastAsia="Arial" w:hAnsi="Arial"/>
                <w:sz w:val="16"/>
                <w:szCs w:val="16"/>
                <w:b w:val="1"/>
                <w:bCs w:val="1"/>
                <w:color w:val="000039"/>
              </w:rPr>
              <w:t>2025 Target vs.</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b w:val="1"/>
                <w:bCs w:val="1"/>
                <w:color w:val="000039"/>
                <w:w w:val="96"/>
              </w:rPr>
              <w:t>2025 Actual vs.</w:t>
            </w:r>
          </w:p>
        </w:tc>
        <w:tc>
          <w:tcPr>
            <w:tcW w:w="0" w:type="dxa"/>
            <w:vAlign w:val="bottom"/>
          </w:tcPr>
          <w:p>
            <w:pPr>
              <w:spacing w:after="0"/>
              <w:rPr>
                <w:sz w:val="1"/>
                <w:szCs w:val="1"/>
                <w:color w:val="auto"/>
              </w:rPr>
            </w:pPr>
          </w:p>
        </w:tc>
      </w:tr>
      <w:tr>
        <w:trPr>
          <w:trHeight w:val="202"/>
        </w:trPr>
        <w:tc>
          <w:tcPr>
            <w:tcW w:w="3020" w:type="dxa"/>
            <w:vAlign w:val="bottom"/>
            <w:gridSpan w:val="2"/>
            <w:vMerge w:val="continue"/>
          </w:tcPr>
          <w:p>
            <w:pPr>
              <w:spacing w:after="0"/>
              <w:rPr>
                <w:sz w:val="17"/>
                <w:szCs w:val="17"/>
                <w:color w:val="auto"/>
              </w:rPr>
            </w:pPr>
          </w:p>
        </w:tc>
        <w:tc>
          <w:tcPr>
            <w:tcW w:w="1340" w:type="dxa"/>
            <w:vAlign w:val="bottom"/>
            <w:gridSpan w:val="2"/>
          </w:tcPr>
          <w:p>
            <w:pPr>
              <w:ind w:left="420"/>
              <w:spacing w:after="0"/>
              <w:rPr>
                <w:sz w:val="20"/>
                <w:szCs w:val="20"/>
                <w:color w:val="auto"/>
              </w:rPr>
            </w:pPr>
            <w:r>
              <w:rPr>
                <w:rFonts w:ascii="Arial" w:cs="Arial" w:eastAsia="Arial" w:hAnsi="Arial"/>
                <w:sz w:val="16"/>
                <w:szCs w:val="16"/>
                <w:b w:val="1"/>
                <w:bCs w:val="1"/>
                <w:color w:val="000039"/>
              </w:rPr>
              <w:t>2024 Actual</w:t>
            </w:r>
          </w:p>
        </w:tc>
        <w:tc>
          <w:tcPr>
            <w:tcW w:w="3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000039"/>
              </w:rPr>
              <w:t>2025 Target</w:t>
            </w:r>
          </w:p>
        </w:tc>
        <w:tc>
          <w:tcPr>
            <w:tcW w:w="1460" w:type="dxa"/>
            <w:vAlign w:val="bottom"/>
          </w:tcPr>
          <w:p>
            <w:pPr>
              <w:jc w:val="right"/>
              <w:ind w:right="180"/>
              <w:spacing w:after="0"/>
              <w:rPr>
                <w:sz w:val="20"/>
                <w:szCs w:val="20"/>
                <w:color w:val="auto"/>
              </w:rPr>
            </w:pPr>
            <w:r>
              <w:rPr>
                <w:rFonts w:ascii="Arial" w:cs="Arial" w:eastAsia="Arial" w:hAnsi="Arial"/>
                <w:sz w:val="16"/>
                <w:szCs w:val="16"/>
                <w:b w:val="1"/>
                <w:bCs w:val="1"/>
                <w:color w:val="000039"/>
              </w:rPr>
              <w:t>2024 Actual</w:t>
            </w: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000039"/>
              </w:rPr>
              <w:t>2025 Actual</w:t>
            </w:r>
          </w:p>
        </w:tc>
        <w:tc>
          <w:tcPr>
            <w:tcW w:w="340" w:type="dxa"/>
            <w:vAlign w:val="bottom"/>
          </w:tcPr>
          <w:p>
            <w:pPr>
              <w:spacing w:after="0"/>
              <w:rPr>
                <w:sz w:val="17"/>
                <w:szCs w:val="17"/>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b w:val="1"/>
                <w:bCs w:val="1"/>
                <w:color w:val="000039"/>
              </w:rPr>
              <w:t>2025 Target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Borders>
              <w:top w:val="single" w:sz="8" w:color="000039"/>
            </w:tcBorders>
            <w:shd w:val="clear" w:color="auto" w:fill="D9D9D9"/>
          </w:tcPr>
          <w:p>
            <w:pPr>
              <w:spacing w:after="0" w:line="174" w:lineRule="exact"/>
              <w:rPr>
                <w:sz w:val="20"/>
                <w:szCs w:val="20"/>
                <w:color w:val="auto"/>
              </w:rPr>
            </w:pPr>
            <w:r>
              <w:rPr>
                <w:rFonts w:ascii="Arial" w:cs="Arial" w:eastAsia="Arial" w:hAnsi="Arial"/>
                <w:sz w:val="16"/>
                <w:szCs w:val="16"/>
                <w:color w:val="auto"/>
              </w:rPr>
              <w:t>A. Platform Revenue</w:t>
            </w:r>
            <w:r>
              <w:rPr>
                <w:rFonts w:ascii="Arial" w:cs="Arial" w:eastAsia="Arial" w:hAnsi="Arial"/>
                <w:sz w:val="19"/>
                <w:szCs w:val="19"/>
                <w:color w:val="auto"/>
                <w:vertAlign w:val="superscript"/>
              </w:rPr>
              <w:t>(2)</w:t>
            </w:r>
          </w:p>
        </w:tc>
        <w:tc>
          <w:tcPr>
            <w:tcW w:w="620" w:type="dxa"/>
            <w:vAlign w:val="bottom"/>
            <w:tcBorders>
              <w:top w:val="single" w:sz="8" w:color="000039"/>
            </w:tcBorders>
            <w:shd w:val="clear" w:color="auto" w:fill="D9D9D9"/>
          </w:tcPr>
          <w:p>
            <w:pPr>
              <w:ind w:left="420"/>
              <w:spacing w:after="0" w:line="175"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000039"/>
            </w:tcBorders>
            <w:shd w:val="clear" w:color="auto" w:fill="D9D9D9"/>
          </w:tcPr>
          <w:p>
            <w:pPr>
              <w:jc w:val="right"/>
              <w:spacing w:after="0" w:line="175" w:lineRule="exact"/>
              <w:rPr>
                <w:sz w:val="20"/>
                <w:szCs w:val="20"/>
                <w:color w:val="auto"/>
              </w:rPr>
            </w:pPr>
            <w:r>
              <w:rPr>
                <w:rFonts w:ascii="Arial" w:cs="Arial" w:eastAsia="Arial" w:hAnsi="Arial"/>
                <w:sz w:val="16"/>
                <w:szCs w:val="16"/>
                <w:color w:val="auto"/>
              </w:rPr>
              <w:t>47.3 BN</w:t>
            </w:r>
          </w:p>
        </w:tc>
        <w:tc>
          <w:tcPr>
            <w:tcW w:w="320" w:type="dxa"/>
            <w:vAlign w:val="bottom"/>
            <w:tcBorders>
              <w:top w:val="single" w:sz="8" w:color="000039"/>
            </w:tcBorders>
            <w:shd w:val="clear" w:color="auto" w:fill="D9D9D9"/>
          </w:tcPr>
          <w:p>
            <w:pPr>
              <w:ind w:left="20"/>
              <w:spacing w:after="0"/>
              <w:rPr>
                <w:sz w:val="20"/>
                <w:szCs w:val="20"/>
                <w:color w:val="auto"/>
              </w:rPr>
            </w:pPr>
            <w:r>
              <w:rPr>
                <w:rFonts w:ascii="Arial" w:cs="Arial" w:eastAsia="Arial" w:hAnsi="Arial"/>
                <w:sz w:val="10"/>
                <w:szCs w:val="10"/>
                <w:color w:val="auto"/>
              </w:rPr>
              <w:t>(2)</w:t>
            </w:r>
          </w:p>
        </w:tc>
        <w:tc>
          <w:tcPr>
            <w:tcW w:w="200" w:type="dxa"/>
            <w:vAlign w:val="bottom"/>
            <w:tcBorders>
              <w:top w:val="single" w:sz="8" w:color="000039"/>
            </w:tcBorders>
            <w:shd w:val="clear" w:color="auto" w:fill="D9D9D9"/>
          </w:tcPr>
          <w:p>
            <w:pPr>
              <w:spacing w:after="0" w:line="175"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000039"/>
            </w:tcBorders>
            <w:shd w:val="clear" w:color="auto" w:fill="D9D9D9"/>
          </w:tcPr>
          <w:p>
            <w:pPr>
              <w:ind w:left="120"/>
              <w:spacing w:after="0" w:line="175" w:lineRule="exact"/>
              <w:rPr>
                <w:sz w:val="20"/>
                <w:szCs w:val="20"/>
                <w:color w:val="auto"/>
              </w:rPr>
            </w:pPr>
            <w:r>
              <w:rPr>
                <w:rFonts w:ascii="Arial" w:cs="Arial" w:eastAsia="Arial" w:hAnsi="Arial"/>
                <w:sz w:val="16"/>
                <w:szCs w:val="16"/>
                <w:color w:val="auto"/>
              </w:rPr>
              <w:t>53.7 BN</w:t>
            </w:r>
          </w:p>
        </w:tc>
        <w:tc>
          <w:tcPr>
            <w:tcW w:w="1460" w:type="dxa"/>
            <w:vAlign w:val="bottom"/>
            <w:tcBorders>
              <w:top w:val="single" w:sz="8" w:color="000039"/>
            </w:tcBorders>
            <w:shd w:val="clear" w:color="auto" w:fill="D9D9D9"/>
          </w:tcPr>
          <w:p>
            <w:pPr>
              <w:jc w:val="right"/>
              <w:spacing w:after="0" w:line="175" w:lineRule="exact"/>
              <w:rPr>
                <w:sz w:val="20"/>
                <w:szCs w:val="20"/>
                <w:color w:val="auto"/>
              </w:rPr>
            </w:pPr>
            <w:r>
              <w:rPr>
                <w:rFonts w:ascii="Arial" w:cs="Arial" w:eastAsia="Arial" w:hAnsi="Arial"/>
                <w:sz w:val="16"/>
                <w:szCs w:val="16"/>
                <w:color w:val="auto"/>
              </w:rPr>
              <w:t>114 %</w:t>
            </w:r>
          </w:p>
        </w:tc>
        <w:tc>
          <w:tcPr>
            <w:tcW w:w="260" w:type="dxa"/>
            <w:vAlign w:val="bottom"/>
            <w:tcBorders>
              <w:top w:val="single" w:sz="8" w:color="000039"/>
            </w:tcBorders>
            <w:shd w:val="clear" w:color="auto" w:fill="D9D9D9"/>
          </w:tcPr>
          <w:p>
            <w:pPr>
              <w:ind w:left="60"/>
              <w:spacing w:after="0" w:line="175"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000039"/>
            </w:tcBorders>
            <w:gridSpan w:val="2"/>
            <w:shd w:val="clear" w:color="auto" w:fill="D9D9D9"/>
          </w:tcPr>
          <w:p>
            <w:pPr>
              <w:ind w:left="120"/>
              <w:spacing w:after="0" w:line="174" w:lineRule="exact"/>
              <w:rPr>
                <w:sz w:val="20"/>
                <w:szCs w:val="20"/>
                <w:color w:val="auto"/>
              </w:rPr>
            </w:pPr>
            <w:r>
              <w:rPr>
                <w:rFonts w:ascii="Arial" w:cs="Arial" w:eastAsia="Arial" w:hAnsi="Arial"/>
                <w:sz w:val="16"/>
                <w:szCs w:val="16"/>
                <w:color w:val="auto"/>
              </w:rPr>
              <w:t xml:space="preserve">56.3 BN </w:t>
            </w:r>
            <w:r>
              <w:rPr>
                <w:rFonts w:ascii="Arial" w:cs="Arial" w:eastAsia="Arial" w:hAnsi="Arial"/>
                <w:sz w:val="19"/>
                <w:szCs w:val="19"/>
                <w:color w:val="auto"/>
                <w:vertAlign w:val="superscript"/>
              </w:rPr>
              <w:t>(2)</w:t>
            </w:r>
          </w:p>
        </w:tc>
        <w:tc>
          <w:tcPr>
            <w:tcW w:w="1340" w:type="dxa"/>
            <w:vAlign w:val="bottom"/>
            <w:tcBorders>
              <w:top w:val="single" w:sz="8" w:color="000039"/>
            </w:tcBorders>
            <w:shd w:val="clear" w:color="auto" w:fill="D9D9D9"/>
          </w:tcPr>
          <w:p>
            <w:pPr>
              <w:jc w:val="right"/>
              <w:spacing w:after="0" w:line="175" w:lineRule="exact"/>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B. Non GAAP Income Before Taxes</w:t>
            </w:r>
          </w:p>
        </w:tc>
        <w:tc>
          <w:tcPr>
            <w:tcW w:w="620" w:type="dxa"/>
            <w:vAlign w:val="bottom"/>
          </w:tcPr>
          <w:p>
            <w:pPr>
              <w:ind w:left="4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24.6 BN</w:t>
            </w:r>
          </w:p>
        </w:tc>
        <w:tc>
          <w:tcPr>
            <w:tcW w:w="320" w:type="dxa"/>
            <w:vAlign w:val="bottom"/>
          </w:tcPr>
          <w:p>
            <w:pPr>
              <w:ind w:left="20"/>
              <w:spacing w:after="0"/>
              <w:rPr>
                <w:sz w:val="20"/>
                <w:szCs w:val="20"/>
                <w:color w:val="auto"/>
              </w:rPr>
            </w:pPr>
            <w:r>
              <w:rPr>
                <w:rFonts w:ascii="Arial" w:cs="Arial" w:eastAsia="Arial" w:hAnsi="Arial"/>
                <w:sz w:val="10"/>
                <w:szCs w:val="10"/>
                <w:color w:val="auto"/>
              </w:rPr>
              <w:t>(3)</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120"/>
              <w:spacing w:after="0"/>
              <w:rPr>
                <w:sz w:val="20"/>
                <w:szCs w:val="20"/>
                <w:color w:val="auto"/>
              </w:rPr>
            </w:pPr>
            <w:r>
              <w:rPr>
                <w:rFonts w:ascii="Arial" w:cs="Arial" w:eastAsia="Arial" w:hAnsi="Arial"/>
                <w:sz w:val="16"/>
                <w:szCs w:val="16"/>
                <w:color w:val="auto"/>
              </w:rPr>
              <w:t>25.7 BN</w:t>
            </w:r>
          </w:p>
        </w:tc>
        <w:tc>
          <w:tcPr>
            <w:tcW w:w="1460" w:type="dxa"/>
            <w:vAlign w:val="bottom"/>
          </w:tcPr>
          <w:p>
            <w:pPr>
              <w:jc w:val="right"/>
              <w:spacing w:after="0"/>
              <w:rPr>
                <w:sz w:val="20"/>
                <w:szCs w:val="20"/>
                <w:color w:val="auto"/>
              </w:rPr>
            </w:pPr>
            <w:r>
              <w:rPr>
                <w:rFonts w:ascii="Arial" w:cs="Arial" w:eastAsia="Arial" w:hAnsi="Arial"/>
                <w:sz w:val="16"/>
                <w:szCs w:val="16"/>
                <w:color w:val="auto"/>
              </w:rPr>
              <w:t>104 %</w:t>
            </w:r>
          </w:p>
        </w:tc>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120"/>
              <w:spacing w:after="0" w:line="187" w:lineRule="exact"/>
              <w:rPr>
                <w:sz w:val="20"/>
                <w:szCs w:val="20"/>
                <w:color w:val="auto"/>
              </w:rPr>
            </w:pPr>
            <w:r>
              <w:rPr>
                <w:rFonts w:ascii="Arial" w:cs="Arial" w:eastAsia="Arial" w:hAnsi="Arial"/>
                <w:sz w:val="16"/>
                <w:szCs w:val="16"/>
                <w:color w:val="auto"/>
              </w:rPr>
              <w:t xml:space="preserve">26.9 BN </w:t>
            </w:r>
            <w:r>
              <w:rPr>
                <w:rFonts w:ascii="Arial" w:cs="Arial" w:eastAsia="Arial" w:hAnsi="Arial"/>
                <w:sz w:val="19"/>
                <w:szCs w:val="19"/>
                <w:color w:val="auto"/>
                <w:vertAlign w:val="superscript"/>
              </w:rPr>
              <w:t>(3)</w:t>
            </w:r>
          </w:p>
        </w:tc>
        <w:tc>
          <w:tcPr>
            <w:tcW w:w="1340" w:type="dxa"/>
            <w:vAlign w:val="bottom"/>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0" w:type="dxa"/>
            <w:vAlign w:val="bottom"/>
            <w:shd w:val="clear" w:color="auto" w:fill="D9D9D9"/>
          </w:tcPr>
          <w:p>
            <w:pPr>
              <w:spacing w:after="0" w:line="150" w:lineRule="exact"/>
              <w:rPr>
                <w:sz w:val="20"/>
                <w:szCs w:val="20"/>
                <w:color w:val="auto"/>
              </w:rPr>
            </w:pPr>
            <w:r>
              <w:rPr>
                <w:rFonts w:ascii="Arial" w:cs="Arial" w:eastAsia="Arial" w:hAnsi="Arial"/>
                <w:sz w:val="14"/>
                <w:szCs w:val="14"/>
                <w:color w:val="auto"/>
              </w:rPr>
              <w:t>C. Adjusted Return on Assets</w:t>
            </w:r>
            <w:r>
              <w:rPr>
                <w:rFonts w:ascii="Arial" w:cs="Arial" w:eastAsia="Arial" w:hAnsi="Arial"/>
                <w:sz w:val="17"/>
                <w:szCs w:val="17"/>
                <w:color w:val="auto"/>
                <w:vertAlign w:val="superscript"/>
              </w:rPr>
              <w:t>(4)</w:t>
            </w:r>
          </w:p>
        </w:tc>
        <w:tc>
          <w:tcPr>
            <w:tcW w:w="620" w:type="dxa"/>
            <w:vAlign w:val="bottom"/>
            <w:shd w:val="clear" w:color="auto" w:fill="D9D9D9"/>
          </w:tcPr>
          <w:p>
            <w:pPr>
              <w:spacing w:after="0"/>
              <w:rPr>
                <w:sz w:val="13"/>
                <w:szCs w:val="13"/>
                <w:color w:val="auto"/>
              </w:rPr>
            </w:pPr>
          </w:p>
        </w:tc>
        <w:tc>
          <w:tcPr>
            <w:tcW w:w="720" w:type="dxa"/>
            <w:vAlign w:val="bottom"/>
            <w:vMerge w:val="restart"/>
            <w:shd w:val="clear" w:color="auto" w:fill="D9D9D9"/>
          </w:tcPr>
          <w:p>
            <w:pPr>
              <w:jc w:val="right"/>
              <w:spacing w:after="0" w:line="165" w:lineRule="exact"/>
              <w:rPr>
                <w:sz w:val="20"/>
                <w:szCs w:val="20"/>
                <w:color w:val="auto"/>
              </w:rPr>
            </w:pPr>
            <w:r>
              <w:rPr>
                <w:rFonts w:ascii="Arial" w:cs="Arial" w:eastAsia="Arial" w:hAnsi="Arial"/>
                <w:sz w:val="16"/>
                <w:szCs w:val="16"/>
                <w:color w:val="auto"/>
              </w:rPr>
              <w:t>22.2</w:t>
            </w:r>
          </w:p>
        </w:tc>
        <w:tc>
          <w:tcPr>
            <w:tcW w:w="320" w:type="dxa"/>
            <w:vAlign w:val="bottom"/>
            <w:shd w:val="clear" w:color="auto" w:fill="D9D9D9"/>
          </w:tcPr>
          <w:p>
            <w:pPr>
              <w:ind w:left="20"/>
              <w:spacing w:after="0" w:line="150"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(4)</w:t>
            </w:r>
          </w:p>
        </w:tc>
        <w:tc>
          <w:tcPr>
            <w:tcW w:w="200" w:type="dxa"/>
            <w:vAlign w:val="bottom"/>
            <w:shd w:val="clear" w:color="auto" w:fill="D9D9D9"/>
          </w:tcPr>
          <w:p>
            <w:pPr>
              <w:spacing w:after="0"/>
              <w:rPr>
                <w:sz w:val="13"/>
                <w:szCs w:val="13"/>
                <w:color w:val="auto"/>
              </w:rPr>
            </w:pPr>
          </w:p>
        </w:tc>
        <w:tc>
          <w:tcPr>
            <w:tcW w:w="940" w:type="dxa"/>
            <w:vAlign w:val="bottom"/>
            <w:shd w:val="clear" w:color="auto" w:fill="D9D9D9"/>
          </w:tcPr>
          <w:p>
            <w:pPr>
              <w:jc w:val="right"/>
              <w:spacing w:after="0" w:line="150" w:lineRule="exact"/>
              <w:rPr>
                <w:sz w:val="20"/>
                <w:szCs w:val="20"/>
                <w:color w:val="auto"/>
              </w:rPr>
            </w:pPr>
            <w:r>
              <w:rPr>
                <w:rFonts w:ascii="Arial" w:cs="Arial" w:eastAsia="Arial" w:hAnsi="Arial"/>
                <w:sz w:val="16"/>
                <w:szCs w:val="16"/>
                <w:color w:val="auto"/>
              </w:rPr>
              <w:t>24.0 %</w:t>
            </w:r>
          </w:p>
        </w:tc>
        <w:tc>
          <w:tcPr>
            <w:tcW w:w="1460" w:type="dxa"/>
            <w:vAlign w:val="bottom"/>
            <w:shd w:val="clear" w:color="auto" w:fill="D9D9D9"/>
          </w:tcPr>
          <w:p>
            <w:pPr>
              <w:jc w:val="right"/>
              <w:spacing w:after="0" w:line="150" w:lineRule="exact"/>
              <w:rPr>
                <w:sz w:val="20"/>
                <w:szCs w:val="20"/>
                <w:color w:val="auto"/>
              </w:rPr>
            </w:pPr>
            <w:r>
              <w:rPr>
                <w:rFonts w:ascii="Arial" w:cs="Arial" w:eastAsia="Arial" w:hAnsi="Arial"/>
                <w:sz w:val="16"/>
                <w:szCs w:val="16"/>
                <w:color w:val="auto"/>
              </w:rPr>
              <w:t>108 %</w:t>
            </w:r>
          </w:p>
        </w:tc>
        <w:tc>
          <w:tcPr>
            <w:tcW w:w="260" w:type="dxa"/>
            <w:vAlign w:val="bottom"/>
            <w:shd w:val="clear" w:color="auto" w:fill="D9D9D9"/>
          </w:tcPr>
          <w:p>
            <w:pPr>
              <w:spacing w:after="0"/>
              <w:rPr>
                <w:sz w:val="13"/>
                <w:szCs w:val="13"/>
                <w:color w:val="auto"/>
              </w:rPr>
            </w:pPr>
          </w:p>
        </w:tc>
        <w:tc>
          <w:tcPr>
            <w:tcW w:w="1060" w:type="dxa"/>
            <w:vAlign w:val="bottom"/>
            <w:gridSpan w:val="2"/>
            <w:shd w:val="clear" w:color="auto" w:fill="D9D9D9"/>
          </w:tcPr>
          <w:p>
            <w:pPr>
              <w:jc w:val="right"/>
              <w:spacing w:after="0" w:line="150" w:lineRule="exact"/>
              <w:rPr>
                <w:sz w:val="20"/>
                <w:szCs w:val="20"/>
                <w:color w:val="auto"/>
              </w:rPr>
            </w:pPr>
            <w:r>
              <w:rPr>
                <w:rFonts w:ascii="Arial" w:cs="Arial" w:eastAsia="Arial" w:hAnsi="Arial"/>
                <w:sz w:val="14"/>
                <w:szCs w:val="14"/>
                <w:color w:val="auto"/>
              </w:rPr>
              <w:t xml:space="preserve">24.8 % </w:t>
            </w:r>
            <w:r>
              <w:rPr>
                <w:rFonts w:ascii="Arial" w:cs="Arial" w:eastAsia="Arial" w:hAnsi="Arial"/>
                <w:sz w:val="17"/>
                <w:szCs w:val="17"/>
                <w:color w:val="auto"/>
                <w:vertAlign w:val="superscript"/>
              </w:rPr>
              <w:t>(4)</w:t>
            </w:r>
          </w:p>
        </w:tc>
        <w:tc>
          <w:tcPr>
            <w:tcW w:w="1340" w:type="dxa"/>
            <w:vAlign w:val="bottom"/>
            <w:shd w:val="clear" w:color="auto" w:fill="D9D9D9"/>
          </w:tcPr>
          <w:p>
            <w:pPr>
              <w:jc w:val="right"/>
              <w:spacing w:after="0" w:line="150" w:lineRule="exact"/>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000" w:type="dxa"/>
            <w:vAlign w:val="bottom"/>
            <w:shd w:val="clear" w:color="auto" w:fill="D9D9D9"/>
          </w:tcPr>
          <w:p>
            <w:pPr>
              <w:jc w:val="right"/>
              <w:ind w:right="2377"/>
              <w:spacing w:after="0"/>
              <w:rPr>
                <w:sz w:val="20"/>
                <w:szCs w:val="20"/>
                <w:color w:val="auto"/>
              </w:rPr>
            </w:pPr>
            <w:r>
              <w:rPr>
                <w:rFonts w:ascii="Times New Roman" w:cs="Times New Roman" w:eastAsia="Times New Roman" w:hAnsi="Times New Roman"/>
                <w:sz w:val="1"/>
                <w:szCs w:val="1"/>
                <w:color w:val="auto"/>
              </w:rPr>
              <w:t>-</w:t>
            </w:r>
          </w:p>
        </w:tc>
        <w:tc>
          <w:tcPr>
            <w:tcW w:w="620" w:type="dxa"/>
            <w:vAlign w:val="bottom"/>
            <w:shd w:val="clear" w:color="auto" w:fill="D9D9D9"/>
          </w:tcPr>
          <w:p>
            <w:pPr>
              <w:spacing w:after="0"/>
              <w:rPr>
                <w:sz w:val="3"/>
                <w:szCs w:val="3"/>
                <w:color w:val="auto"/>
              </w:rPr>
            </w:pPr>
          </w:p>
        </w:tc>
        <w:tc>
          <w:tcPr>
            <w:tcW w:w="720" w:type="dxa"/>
            <w:vAlign w:val="bottom"/>
            <w:vMerge w:val="continue"/>
            <w:shd w:val="clear" w:color="auto" w:fill="D9D9D9"/>
          </w:tcPr>
          <w:p>
            <w:pPr>
              <w:spacing w:after="0"/>
              <w:rPr>
                <w:sz w:val="3"/>
                <w:szCs w:val="3"/>
                <w:color w:val="auto"/>
              </w:rPr>
            </w:pPr>
          </w:p>
        </w:tc>
        <w:tc>
          <w:tcPr>
            <w:tcW w:w="320" w:type="dxa"/>
            <w:vAlign w:val="bottom"/>
            <w:shd w:val="clear" w:color="auto" w:fill="D9D9D9"/>
          </w:tcPr>
          <w:p>
            <w:pPr>
              <w:spacing w:after="0"/>
              <w:rPr>
                <w:sz w:val="3"/>
                <w:szCs w:val="3"/>
                <w:color w:val="auto"/>
              </w:rPr>
            </w:pPr>
          </w:p>
        </w:tc>
        <w:tc>
          <w:tcPr>
            <w:tcW w:w="200" w:type="dxa"/>
            <w:vAlign w:val="bottom"/>
            <w:shd w:val="clear" w:color="auto" w:fill="D9D9D9"/>
          </w:tcPr>
          <w:p>
            <w:pPr>
              <w:spacing w:after="0"/>
              <w:rPr>
                <w:sz w:val="3"/>
                <w:szCs w:val="3"/>
                <w:color w:val="auto"/>
              </w:rPr>
            </w:pPr>
          </w:p>
        </w:tc>
        <w:tc>
          <w:tcPr>
            <w:tcW w:w="940" w:type="dxa"/>
            <w:vAlign w:val="bottom"/>
            <w:shd w:val="clear" w:color="auto" w:fill="D9D9D9"/>
          </w:tcPr>
          <w:p>
            <w:pPr>
              <w:spacing w:after="0"/>
              <w:rPr>
                <w:sz w:val="3"/>
                <w:szCs w:val="3"/>
                <w:color w:val="auto"/>
              </w:rPr>
            </w:pPr>
          </w:p>
        </w:tc>
        <w:tc>
          <w:tcPr>
            <w:tcW w:w="1460" w:type="dxa"/>
            <w:vAlign w:val="bottom"/>
            <w:shd w:val="clear" w:color="auto" w:fill="D9D9D9"/>
          </w:tcPr>
          <w:p>
            <w:pPr>
              <w:spacing w:after="0"/>
              <w:rPr>
                <w:sz w:val="3"/>
                <w:szCs w:val="3"/>
                <w:color w:val="auto"/>
              </w:rPr>
            </w:pPr>
          </w:p>
        </w:tc>
        <w:tc>
          <w:tcPr>
            <w:tcW w:w="260" w:type="dxa"/>
            <w:vAlign w:val="bottom"/>
            <w:shd w:val="clear" w:color="auto" w:fill="D9D9D9"/>
          </w:tcPr>
          <w:p>
            <w:pPr>
              <w:spacing w:after="0"/>
              <w:rPr>
                <w:sz w:val="3"/>
                <w:szCs w:val="3"/>
                <w:color w:val="auto"/>
              </w:rPr>
            </w:pPr>
          </w:p>
        </w:tc>
        <w:tc>
          <w:tcPr>
            <w:tcW w:w="720" w:type="dxa"/>
            <w:vAlign w:val="bottom"/>
            <w:shd w:val="clear" w:color="auto" w:fill="D9D9D9"/>
          </w:tcPr>
          <w:p>
            <w:pPr>
              <w:spacing w:after="0"/>
              <w:rPr>
                <w:sz w:val="3"/>
                <w:szCs w:val="3"/>
                <w:color w:val="auto"/>
              </w:rPr>
            </w:pPr>
          </w:p>
        </w:tc>
        <w:tc>
          <w:tcPr>
            <w:tcW w:w="340" w:type="dxa"/>
            <w:vAlign w:val="bottom"/>
            <w:shd w:val="clear" w:color="auto" w:fill="D9D9D9"/>
          </w:tcPr>
          <w:p>
            <w:pPr>
              <w:spacing w:after="0"/>
              <w:rPr>
                <w:sz w:val="3"/>
                <w:szCs w:val="3"/>
                <w:color w:val="auto"/>
              </w:rPr>
            </w:pPr>
          </w:p>
        </w:tc>
        <w:tc>
          <w:tcPr>
            <w:tcW w:w="1340" w:type="dxa"/>
            <w:vAlign w:val="bottom"/>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00" w:type="dxa"/>
            <w:vAlign w:val="bottom"/>
            <w:vMerge w:val="restart"/>
          </w:tcPr>
          <w:p>
            <w:pPr>
              <w:spacing w:after="0"/>
              <w:rPr>
                <w:sz w:val="20"/>
                <w:szCs w:val="20"/>
                <w:color w:val="auto"/>
              </w:rPr>
            </w:pPr>
            <w:r>
              <w:rPr>
                <w:rFonts w:ascii="Arial" w:cs="Arial" w:eastAsia="Arial" w:hAnsi="Arial"/>
                <w:sz w:val="16"/>
                <w:szCs w:val="16"/>
                <w:color w:val="auto"/>
              </w:rPr>
              <w:t>D. Non</w:t>
            </w:r>
            <w:r>
              <w:rPr>
                <w:rFonts w:ascii="Times New Roman" w:cs="Times New Roman" w:eastAsia="Times New Roman" w:hAnsi="Times New Roman"/>
                <w:sz w:val="16"/>
                <w:szCs w:val="16"/>
                <w:color w:val="auto"/>
              </w:rPr>
              <w:t>-</w:t>
            </w:r>
            <w:r>
              <w:rPr>
                <w:rFonts w:ascii="Arial" w:cs="Arial" w:eastAsia="Arial" w:hAnsi="Arial"/>
                <w:sz w:val="16"/>
                <w:szCs w:val="16"/>
                <w:color w:val="auto"/>
              </w:rPr>
              <w:t>GAAP Operating Margin</w:t>
            </w:r>
          </w:p>
        </w:tc>
        <w:tc>
          <w:tcPr>
            <w:tcW w:w="62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26.2 BN</w:t>
            </w:r>
          </w:p>
        </w:tc>
        <w:tc>
          <w:tcPr>
            <w:tcW w:w="320" w:type="dxa"/>
            <w:vAlign w:val="bottom"/>
          </w:tcPr>
          <w:p>
            <w:pPr>
              <w:ind w:left="20"/>
              <w:spacing w:after="0"/>
              <w:rPr>
                <w:sz w:val="20"/>
                <w:szCs w:val="20"/>
                <w:color w:val="auto"/>
              </w:rPr>
            </w:pPr>
            <w:r>
              <w:rPr>
                <w:rFonts w:ascii="Arial" w:cs="Arial" w:eastAsia="Arial" w:hAnsi="Arial"/>
                <w:sz w:val="10"/>
                <w:szCs w:val="10"/>
                <w:color w:val="auto"/>
              </w:rPr>
              <w:t>(3)</w:t>
            </w: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ind w:left="120"/>
              <w:spacing w:after="0"/>
              <w:rPr>
                <w:sz w:val="20"/>
                <w:szCs w:val="20"/>
                <w:color w:val="auto"/>
              </w:rPr>
            </w:pPr>
            <w:r>
              <w:rPr>
                <w:rFonts w:ascii="Arial" w:cs="Arial" w:eastAsia="Arial" w:hAnsi="Arial"/>
                <w:sz w:val="16"/>
                <w:szCs w:val="16"/>
                <w:color w:val="auto"/>
              </w:rPr>
              <w:t>27.9 BN</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106 %</w:t>
            </w:r>
          </w:p>
        </w:tc>
        <w:tc>
          <w:tcPr>
            <w:tcW w:w="2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ind w:left="120"/>
              <w:spacing w:after="0"/>
              <w:rPr>
                <w:sz w:val="20"/>
                <w:szCs w:val="20"/>
                <w:color w:val="auto"/>
              </w:rPr>
            </w:pPr>
            <w:r>
              <w:rPr>
                <w:rFonts w:ascii="Arial" w:cs="Arial" w:eastAsia="Arial" w:hAnsi="Arial"/>
                <w:sz w:val="16"/>
                <w:szCs w:val="16"/>
                <w:color w:val="auto"/>
              </w:rPr>
              <w:t>29.0 BN</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(3)</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-43180</wp:posOffset>
                </wp:positionV>
                <wp:extent cx="1600200" cy="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3.3999pt" to="126.9pt,-3.3999pt" o:allowincell="f" strokecolor="#000000" strokeweight="1.02pt"/>
            </w:pict>
          </mc:Fallback>
        </mc:AlternateContent>
      </w:r>
    </w:p>
    <w:p>
      <w:pPr>
        <w:ind w:left="380" w:hanging="360"/>
        <w:spacing w:after="0"/>
        <w:tabs>
          <w:tab w:leader="none" w:pos="3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Results achieved reflect certain specified items, which are reconciled in Appendix B.</w:t>
      </w:r>
    </w:p>
    <w:p>
      <w:pPr>
        <w:spacing w:after="0" w:line="93" w:lineRule="exact"/>
        <w:rPr>
          <w:rFonts w:ascii="Arial" w:cs="Arial" w:eastAsia="Arial" w:hAnsi="Arial"/>
          <w:sz w:val="20"/>
          <w:szCs w:val="20"/>
          <w:color w:val="auto"/>
        </w:rPr>
      </w:pPr>
    </w:p>
    <w:p>
      <w:pPr>
        <w:ind w:left="380" w:hanging="360"/>
        <w:spacing w:after="0" w:line="248" w:lineRule="auto"/>
        <w:tabs>
          <w:tab w:leader="none" w:pos="3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Platform Revenue is a non-GAAP metric comprised of net revenues less Humira net revenues and adjusted for foreign exchange, as described in Appendix B. The committee retained for 2025 the use of Platform Revenue, first introduced as a performance metric within the PIP in 2022, to reinforce management’s focus on growth opportunities to offset anticipated revenue decline associated with U.S. Humira loss of exclusivity (LOE). The Platform Revenue target and result are adjusted for foreign exchange because it is unpredictable at the time the target is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2600" w:val="left"/>
        </w:tabs>
        <w:rPr>
          <w:sz w:val="20"/>
          <w:szCs w:val="20"/>
          <w:color w:val="auto"/>
        </w:rPr>
      </w:pPr>
      <w:r>
        <w:rPr>
          <w:rFonts w:ascii="Arial" w:cs="Arial" w:eastAsia="Arial" w:hAnsi="Arial"/>
          <w:sz w:val="20"/>
          <w:szCs w:val="20"/>
          <w:color w:val="auto"/>
        </w:rPr>
        <w:t xml:space="preserve">40  </w:t>
      </w:r>
      <w:r>
        <w:rPr>
          <w:sz w:val="1"/>
          <w:szCs w:val="1"/>
          <w:color w:val="auto"/>
        </w:rPr>
        <w:drawing>
          <wp:inline distT="0" distB="0" distL="0" distR="0">
            <wp:extent cx="991870" cy="20066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216">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100"/>
          </w:cols>
          <w:pgMar w:left="880" w:top="702" w:right="900" w:bottom="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left="360" w:hanging="360"/>
        <w:spacing w:after="0"/>
        <w:tabs>
          <w:tab w:leader="none" w:pos="3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Evaluated on a constant currency basis.</w:t>
      </w:r>
    </w:p>
    <w:p>
      <w:pPr>
        <w:spacing w:after="0" w:line="239" w:lineRule="exact"/>
        <w:rPr>
          <w:rFonts w:ascii="Arial" w:cs="Arial" w:eastAsia="Arial" w:hAnsi="Arial"/>
          <w:sz w:val="20"/>
          <w:szCs w:val="20"/>
          <w:color w:val="auto"/>
        </w:rPr>
      </w:pPr>
    </w:p>
    <w:p>
      <w:pPr>
        <w:ind w:left="360" w:right="260" w:hanging="360"/>
        <w:spacing w:after="0" w:line="267" w:lineRule="auto"/>
        <w:tabs>
          <w:tab w:leader="none" w:pos="3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Adjusted Return on Assets is a non-GAAP metric which is equal to the quotient of (i) adjusted net earnings, as described in Appendix B, plus interest expense (as reported), net of tax,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(ii) average adjusted net assets. Average adjusted net assets is equal to the average of the following over the 2024 and 2025 fiscal years: total assets, less total current liabilities, plus short-term borrowings and the current portion of long-term debt and finance lease obligations, in each case, as reported on the company’s balance sheet.</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Assessments of performance against financial results consider the effect of foreign exchange and other specified adjustments and/or unusual or unpredictable events, and the appropriateness of these adjustments is reviewed annually by the committee. In 2025, specified adjustments included intangible asset amortization, intangible asset impairment, acquisition and integration-related costs, IPR&amp;D and milestones expense, change in fair value of contingent consideration, and other items, as described in Appendix B.</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Incentive Strategic and Leadership Goals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Each NEO achieved or exceeded their 2025 strategic and leadership goals, which are listed below:</w:t>
      </w:r>
    </w:p>
    <w:p>
      <w:pPr>
        <w:spacing w:after="0" w:line="248" w:lineRule="exact"/>
        <w:rPr>
          <w:sz w:val="20"/>
          <w:szCs w:val="20"/>
          <w:color w:val="auto"/>
        </w:rPr>
      </w:pPr>
    </w:p>
    <w:p>
      <w:pPr>
        <w:ind w:left="360" w:right="180" w:hanging="360"/>
        <w:spacing w:after="0" w:line="249" w:lineRule="auto"/>
        <w:tabs>
          <w:tab w:leader="none" w:pos="360" w:val="left"/>
        </w:tabs>
        <w:numPr>
          <w:ilvl w:val="0"/>
          <w:numId w:val="106"/>
        </w:numPr>
        <w:rPr>
          <w:rFonts w:ascii="Arial" w:cs="Arial" w:eastAsia="Arial" w:hAnsi="Arial"/>
          <w:sz w:val="20"/>
          <w:szCs w:val="20"/>
          <w:color w:val="000039"/>
        </w:rPr>
      </w:pPr>
      <w:r>
        <w:rPr>
          <w:rFonts w:ascii="Arial" w:cs="Arial" w:eastAsia="Arial" w:hAnsi="Arial"/>
          <w:sz w:val="20"/>
          <w:szCs w:val="20"/>
          <w:b w:val="1"/>
          <w:bCs w:val="1"/>
          <w:color w:val="auto"/>
        </w:rPr>
        <w:t xml:space="preserve">Robert A. Michael: </w:t>
      </w:r>
      <w:r>
        <w:rPr>
          <w:rFonts w:ascii="Arial" w:cs="Arial" w:eastAsia="Arial" w:hAnsi="Arial"/>
          <w:sz w:val="20"/>
          <w:szCs w:val="20"/>
          <w:color w:val="auto"/>
        </w:rPr>
        <w:t>Execute key strategic initiatives to drive sustainable long-term business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deliver value to our stockholders; build investor confidence and credibility; successfully advance mid- and late-stage pipeline assets; continue to drive employee engagement and motivation around AbbVie’s mission and future prospects; advance our transformation to a biopharmaceutical culture; and achieve proprietary pharmaceutical pipeline enhancement objectives.</w:t>
      </w:r>
    </w:p>
    <w:p>
      <w:pPr>
        <w:spacing w:after="0" w:line="1" w:lineRule="exact"/>
        <w:rPr>
          <w:rFonts w:ascii="Arial" w:cs="Arial" w:eastAsia="Arial" w:hAnsi="Arial"/>
          <w:sz w:val="20"/>
          <w:szCs w:val="20"/>
          <w:color w:val="000039"/>
        </w:rPr>
      </w:pPr>
    </w:p>
    <w:p>
      <w:pPr>
        <w:ind w:left="360" w:right="160" w:hanging="360"/>
        <w:spacing w:after="0" w:line="244" w:lineRule="auto"/>
        <w:tabs>
          <w:tab w:leader="none" w:pos="360" w:val="left"/>
        </w:tabs>
        <w:numPr>
          <w:ilvl w:val="0"/>
          <w:numId w:val="106"/>
        </w:numPr>
        <w:rPr>
          <w:rFonts w:ascii="Arial" w:cs="Arial" w:eastAsia="Arial" w:hAnsi="Arial"/>
          <w:sz w:val="20"/>
          <w:szCs w:val="20"/>
          <w:color w:val="000039"/>
        </w:rPr>
      </w:pPr>
      <w:r>
        <w:rPr>
          <w:rFonts w:ascii="Arial" w:cs="Arial" w:eastAsia="Arial" w:hAnsi="Arial"/>
          <w:sz w:val="20"/>
          <w:szCs w:val="20"/>
          <w:b w:val="1"/>
          <w:bCs w:val="1"/>
          <w:color w:val="auto"/>
        </w:rPr>
        <w:t xml:space="preserve">Scott T. Reents: </w:t>
      </w:r>
      <w:r>
        <w:rPr>
          <w:rFonts w:ascii="Arial" w:cs="Arial" w:eastAsia="Arial" w:hAnsi="Arial"/>
          <w:sz w:val="20"/>
          <w:szCs w:val="20"/>
          <w:color w:val="auto"/>
        </w:rPr>
        <w:t>Drive enterprise finance strategic initiatives and transformation on key financial processes;</w:t>
      </w:r>
      <w:r>
        <w:rPr>
          <w:rFonts w:ascii="Arial" w:cs="Arial" w:eastAsia="Arial" w:hAnsi="Arial"/>
          <w:sz w:val="20"/>
          <w:szCs w:val="20"/>
          <w:b w:val="1"/>
          <w:bCs w:val="1"/>
          <w:color w:val="auto"/>
        </w:rPr>
        <w:t xml:space="preserve"> </w:t>
      </w:r>
      <w:r>
        <w:rPr>
          <w:rFonts w:ascii="Arial" w:cs="Arial" w:eastAsia="Arial" w:hAnsi="Arial"/>
          <w:sz w:val="20"/>
          <w:szCs w:val="20"/>
          <w:color w:val="auto"/>
        </w:rPr>
        <w:t>ensure execution and provide oversight of company financial goals; and achieve transaction integration objectives.</w:t>
      </w:r>
    </w:p>
    <w:p>
      <w:pPr>
        <w:spacing w:after="0" w:line="1" w:lineRule="exact"/>
        <w:rPr>
          <w:rFonts w:ascii="Arial" w:cs="Arial" w:eastAsia="Arial" w:hAnsi="Arial"/>
          <w:sz w:val="20"/>
          <w:szCs w:val="20"/>
          <w:color w:val="000039"/>
        </w:rPr>
      </w:pPr>
    </w:p>
    <w:p>
      <w:pPr>
        <w:ind w:left="360" w:right="40" w:hanging="360"/>
        <w:spacing w:after="0" w:line="246" w:lineRule="auto"/>
        <w:tabs>
          <w:tab w:leader="none" w:pos="360" w:val="left"/>
        </w:tabs>
        <w:numPr>
          <w:ilvl w:val="0"/>
          <w:numId w:val="106"/>
        </w:numPr>
        <w:rPr>
          <w:rFonts w:ascii="Arial" w:cs="Arial" w:eastAsia="Arial" w:hAnsi="Arial"/>
          <w:sz w:val="20"/>
          <w:szCs w:val="20"/>
          <w:color w:val="000039"/>
        </w:rPr>
      </w:pPr>
      <w:r>
        <w:rPr>
          <w:rFonts w:ascii="Arial" w:cs="Arial" w:eastAsia="Arial" w:hAnsi="Arial"/>
          <w:sz w:val="20"/>
          <w:szCs w:val="20"/>
          <w:b w:val="1"/>
          <w:bCs w:val="1"/>
          <w:color w:val="auto"/>
        </w:rPr>
        <w:t xml:space="preserve">Jeffrey R. Stewart: </w:t>
      </w:r>
      <w:r>
        <w:rPr>
          <w:rFonts w:ascii="Arial" w:cs="Arial" w:eastAsia="Arial" w:hAnsi="Arial"/>
          <w:sz w:val="20"/>
          <w:szCs w:val="20"/>
          <w:color w:val="auto"/>
        </w:rPr>
        <w:t>Achieve key product milestones; drive patient access for all therapies across the different</w:t>
      </w:r>
      <w:r>
        <w:rPr>
          <w:rFonts w:ascii="Arial" w:cs="Arial" w:eastAsia="Arial" w:hAnsi="Arial"/>
          <w:sz w:val="20"/>
          <w:szCs w:val="20"/>
          <w:b w:val="1"/>
          <w:bCs w:val="1"/>
          <w:color w:val="auto"/>
        </w:rPr>
        <w:t xml:space="preserve"> </w:t>
      </w:r>
      <w:r>
        <w:rPr>
          <w:rFonts w:ascii="Arial" w:cs="Arial" w:eastAsia="Arial" w:hAnsi="Arial"/>
          <w:sz w:val="20"/>
          <w:szCs w:val="20"/>
          <w:color w:val="auto"/>
        </w:rPr>
        <w:t>franchises; and successfully adapt and execute market strategies relative to external considerations.</w:t>
      </w:r>
    </w:p>
    <w:p>
      <w:pPr>
        <w:spacing w:after="0" w:line="1" w:lineRule="exact"/>
        <w:rPr>
          <w:rFonts w:ascii="Arial" w:cs="Arial" w:eastAsia="Arial" w:hAnsi="Arial"/>
          <w:sz w:val="20"/>
          <w:szCs w:val="20"/>
          <w:color w:val="000039"/>
        </w:rPr>
      </w:pPr>
    </w:p>
    <w:p>
      <w:pPr>
        <w:ind w:left="360" w:right="180" w:hanging="360"/>
        <w:spacing w:after="0" w:line="243" w:lineRule="auto"/>
        <w:tabs>
          <w:tab w:leader="none" w:pos="360" w:val="left"/>
        </w:tabs>
        <w:numPr>
          <w:ilvl w:val="0"/>
          <w:numId w:val="106"/>
        </w:numPr>
        <w:rPr>
          <w:rFonts w:ascii="Arial" w:cs="Arial" w:eastAsia="Arial" w:hAnsi="Arial"/>
          <w:sz w:val="20"/>
          <w:szCs w:val="20"/>
          <w:color w:val="auto"/>
        </w:rPr>
      </w:pPr>
      <w:r>
        <w:rPr>
          <w:rFonts w:ascii="Arial" w:cs="Arial" w:eastAsia="Arial" w:hAnsi="Arial"/>
          <w:sz w:val="20"/>
          <w:szCs w:val="20"/>
          <w:b w:val="1"/>
          <w:bCs w:val="1"/>
          <w:color w:val="auto"/>
        </w:rPr>
        <w:t xml:space="preserve">Azita Saleki-Gerhardt: </w:t>
      </w:r>
      <w:r>
        <w:rPr>
          <w:rFonts w:ascii="Arial" w:cs="Arial" w:eastAsia="Arial" w:hAnsi="Arial"/>
          <w:sz w:val="20"/>
          <w:szCs w:val="20"/>
          <w:color w:val="auto"/>
        </w:rPr>
        <w:t>Successfully drive operations optimization and milestones through AI and advanced</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execute on objectives including product launches and financial goals; achieve integration objectives from manufacturing investment; and support research and development initiatives per company strategy.</w:t>
      </w:r>
    </w:p>
    <w:p>
      <w:pPr>
        <w:spacing w:after="0" w:line="1" w:lineRule="exact"/>
        <w:rPr>
          <w:rFonts w:ascii="Arial" w:cs="Arial" w:eastAsia="Arial" w:hAnsi="Arial"/>
          <w:sz w:val="20"/>
          <w:szCs w:val="20"/>
          <w:color w:val="auto"/>
        </w:rPr>
      </w:pPr>
    </w:p>
    <w:p>
      <w:pPr>
        <w:jc w:val="both"/>
        <w:ind w:left="360" w:right="260" w:hanging="360"/>
        <w:spacing w:after="0" w:line="248" w:lineRule="auto"/>
        <w:tabs>
          <w:tab w:leader="none" w:pos="360" w:val="left"/>
        </w:tabs>
        <w:numPr>
          <w:ilvl w:val="0"/>
          <w:numId w:val="106"/>
        </w:numPr>
        <w:rPr>
          <w:rFonts w:ascii="Arial" w:cs="Arial" w:eastAsia="Arial" w:hAnsi="Arial"/>
          <w:sz w:val="20"/>
          <w:szCs w:val="20"/>
          <w:color w:val="auto"/>
        </w:rPr>
      </w:pPr>
      <w:r>
        <w:rPr>
          <w:rFonts w:ascii="Arial" w:cs="Arial" w:eastAsia="Arial" w:hAnsi="Arial"/>
          <w:sz w:val="20"/>
          <w:szCs w:val="20"/>
          <w:b w:val="1"/>
          <w:bCs w:val="1"/>
          <w:color w:val="auto"/>
        </w:rPr>
        <w:t xml:space="preserve">Roopal B. Thakkar: </w:t>
      </w:r>
      <w:r>
        <w:rPr>
          <w:rFonts w:ascii="Arial" w:cs="Arial" w:eastAsia="Arial" w:hAnsi="Arial"/>
          <w:sz w:val="20"/>
          <w:szCs w:val="20"/>
          <w:color w:val="auto"/>
        </w:rPr>
        <w:t>Advance innovative therapies by achieving key research and development milestones</w:t>
      </w:r>
      <w:r>
        <w:rPr>
          <w:rFonts w:ascii="Arial" w:cs="Arial" w:eastAsia="Arial" w:hAnsi="Arial"/>
          <w:sz w:val="20"/>
          <w:szCs w:val="20"/>
          <w:b w:val="1"/>
          <w:bCs w:val="1"/>
          <w:color w:val="auto"/>
        </w:rPr>
        <w:t xml:space="preserve"> </w:t>
      </w:r>
      <w:r>
        <w:rPr>
          <w:rFonts w:ascii="Arial" w:cs="Arial" w:eastAsia="Arial" w:hAnsi="Arial"/>
          <w:sz w:val="20"/>
          <w:szCs w:val="20"/>
          <w:color w:val="auto"/>
        </w:rPr>
        <w:t>per company strategy; continue to progress and achieve proprietary pipeline enhancement objectives; and ensure timely regulatory submissions for key compounds and indications.</w:t>
      </w:r>
    </w:p>
    <w:p>
      <w:pPr>
        <w:spacing w:after="0" w:line="18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2025, our NEOs continued to take a formal goal aligned to protecting AbbVie’s reputation and supporting business sustainability across a range of environmental, social, and governance (ESG) topics aligned to our long-term company strategy. The ESG goal was weighted 10% within the short-term incentive program for each NEO. AbbVie’s senior executives have different areas of focus when it comes to driving the company’s ESG framework. Example achievements under the ESG goal category in 2025 by AbbVie’s senior executives included:</w:t>
      </w:r>
    </w:p>
    <w:p>
      <w:pPr>
        <w:spacing w:after="0" w:line="205" w:lineRule="exact"/>
        <w:rPr>
          <w:sz w:val="20"/>
          <w:szCs w:val="20"/>
          <w:color w:val="auto"/>
        </w:rPr>
      </w:pPr>
    </w:p>
    <w:p>
      <w:pPr>
        <w:ind w:left="720" w:right="280" w:hanging="360"/>
        <w:spacing w:after="0" w:line="260" w:lineRule="auto"/>
        <w:tabs>
          <w:tab w:leader="none" w:pos="72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Successfully executed mandatory reporting preparedness, establishing cross-enterprise governance to ensure readiness.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AbbVie’s three-year ESG Strategy was approved by our cross-enterprise ESG Council.</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Improved ESG-related rankings by third parties, including MSCI and Sustainalytics.</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As part of this ESG goal category, all senior leaders, including the NEOs, continued to take a goal aligned to furthering AbbVie’s commitment to embracing diversity and inclusion, one of the five foundational AbbVie Principles. We believe that innovation comes from people with differing perspectives working together on inclusive teams. The diversity we seek is broad and includes many unique life experiences and factors. We are proud of our ability to hire and promote based on merit and qualification while still fostering an inclusive workplace where all employees can perform and thrive.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217">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70" w:name="page171"/>
    <w:bookmarkEnd w:id="170"/>
    <w:p>
      <w:pPr>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right="200"/>
        <w:spacing w:after="0" w:line="282" w:lineRule="auto"/>
        <w:rPr>
          <w:sz w:val="20"/>
          <w:szCs w:val="20"/>
          <w:color w:val="auto"/>
        </w:rPr>
      </w:pPr>
      <w:r>
        <w:rPr>
          <w:rFonts w:ascii="Arial" w:cs="Arial" w:eastAsia="Arial" w:hAnsi="Arial"/>
          <w:sz w:val="20"/>
          <w:szCs w:val="20"/>
          <w:color w:val="auto"/>
        </w:rPr>
        <w:t>Our strategies include specific priority areas to ensure AbbVie fosters a culture that is inclusive and innovative – in service of our people, patients, and business. 2025 progress on this strategy includes:</w:t>
      </w:r>
    </w:p>
    <w:p>
      <w:pPr>
        <w:spacing w:after="0" w:line="163" w:lineRule="exact"/>
        <w:rPr>
          <w:sz w:val="20"/>
          <w:szCs w:val="20"/>
          <w:color w:val="auto"/>
        </w:rPr>
      </w:pPr>
    </w:p>
    <w:p>
      <w:pPr>
        <w:ind w:left="720" w:right="140" w:hanging="360"/>
        <w:spacing w:after="0" w:line="248" w:lineRule="auto"/>
        <w:tabs>
          <w:tab w:leader="none" w:pos="72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Fostering an inclusive workplace</w:t>
      </w:r>
      <w:r>
        <w:rPr>
          <w:rFonts w:ascii="Arial" w:cs="Arial" w:eastAsia="Arial" w:hAnsi="Arial"/>
          <w:sz w:val="20"/>
          <w:szCs w:val="20"/>
          <w:color w:val="auto"/>
        </w:rPr>
        <w:t>. Our ongoing work amplifies culture with inclusion and belonging for all. As a world-class employer, we continue to support the development of our leaders, employees and teams, providing all with the opportunity to grow and succeed, and we cast a wide net to attract the most qualified talent. In 2025, we continued to progress accessibility for current and future employees – with the launch of a cross-functional, multi-year strategy and taskforce.</w:t>
      </w:r>
    </w:p>
    <w:p>
      <w:pPr>
        <w:ind w:left="720" w:right="220" w:hanging="360"/>
        <w:spacing w:after="0" w:line="243" w:lineRule="auto"/>
        <w:tabs>
          <w:tab w:leader="none" w:pos="72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Building inclusive leadership</w:t>
      </w:r>
      <w:r>
        <w:rPr>
          <w:rFonts w:ascii="Arial" w:cs="Arial" w:eastAsia="Arial" w:hAnsi="Arial"/>
          <w:sz w:val="20"/>
          <w:szCs w:val="20"/>
          <w:color w:val="auto"/>
        </w:rPr>
        <w:t>. We designed and delivered offerings to build inclusive leadership for all people leaders, while also creating the space for dialogue around inclusive team dynamics. In 2025, we introduced Collective Uniqueness, an opt-in global program dedicated to strengthening teams with inclusion for all, with 6,500 people leaders and their teams participating.</w:t>
      </w:r>
    </w:p>
    <w:p>
      <w:pPr>
        <w:spacing w:after="0" w:line="2" w:lineRule="exact"/>
        <w:rPr>
          <w:rFonts w:ascii="Arial" w:cs="Arial" w:eastAsia="Arial" w:hAnsi="Arial"/>
          <w:sz w:val="20"/>
          <w:szCs w:val="20"/>
          <w:color w:val="auto"/>
        </w:rPr>
      </w:pPr>
    </w:p>
    <w:p>
      <w:pPr>
        <w:ind w:left="720" w:right="100" w:hanging="360"/>
        <w:spacing w:after="0" w:line="247" w:lineRule="auto"/>
        <w:tabs>
          <w:tab w:leader="none" w:pos="72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Strengthening community, well-being and belonging</w:t>
      </w:r>
      <w:r>
        <w:rPr>
          <w:rFonts w:ascii="Arial" w:cs="Arial" w:eastAsia="Arial" w:hAnsi="Arial"/>
          <w:sz w:val="20"/>
          <w:szCs w:val="20"/>
          <w:color w:val="auto"/>
        </w:rPr>
        <w:t>. We continue to support our global Employee Resource Groups, which are open to all employees and reflect our belief that inclusion benefits everyone and drives high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Incentive Payout Matrix</w:t>
      </w:r>
    </w:p>
    <w:p>
      <w:pPr>
        <w:spacing w:after="0" w:line="123"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color w:val="auto"/>
        </w:rPr>
        <w:t>A formal payout matrix based on Platform Revenue and Non-GAAP Income Before Taxes guides the committee by capping the range of final awards at or below the plan maximum of 200% of target. The matrix is used to ensure alignment between PIP payout outcomes and company financial performance.</w:t>
      </w:r>
    </w:p>
    <w:p>
      <w:pPr>
        <w:spacing w:after="0" w:line="177" w:lineRule="exact"/>
        <w:rPr>
          <w:sz w:val="20"/>
          <w:szCs w:val="20"/>
          <w:color w:val="auto"/>
        </w:rPr>
      </w:pPr>
    </w:p>
    <w:p>
      <w:pPr>
        <w:ind w:right="300"/>
        <w:spacing w:after="0" w:line="283" w:lineRule="auto"/>
        <w:rPr>
          <w:sz w:val="20"/>
          <w:szCs w:val="20"/>
          <w:color w:val="auto"/>
        </w:rPr>
      </w:pPr>
      <w:r>
        <w:rPr>
          <w:rFonts w:ascii="Arial" w:cs="Arial" w:eastAsia="Arial" w:hAnsi="Arial"/>
          <w:sz w:val="20"/>
          <w:szCs w:val="20"/>
          <w:color w:val="auto"/>
        </w:rPr>
        <w:t>For 2025, actual Platform Revenue performance was 105% compared to target, and actual Non-GAAP Income Before Taxes was also 105% compared to target.</w:t>
      </w:r>
    </w:p>
    <w:p>
      <w:pPr>
        <w:spacing w:after="0" w:line="149" w:lineRule="exact"/>
        <w:rPr>
          <w:sz w:val="20"/>
          <w:szCs w:val="20"/>
          <w:color w:val="auto"/>
        </w:rPr>
      </w:pPr>
    </w:p>
    <w:p>
      <w:pPr>
        <w:spacing w:after="0"/>
        <w:tabs>
          <w:tab w:leader="none" w:pos="5880" w:val="left"/>
          <w:tab w:leader="none" w:pos="8520" w:val="left"/>
        </w:tabs>
        <w:rPr>
          <w:sz w:val="20"/>
          <w:szCs w:val="20"/>
          <w:color w:val="auto"/>
        </w:rPr>
      </w:pPr>
      <w:r>
        <w:rPr>
          <w:rFonts w:ascii="Arial" w:cs="Arial" w:eastAsia="Arial" w:hAnsi="Arial"/>
          <w:sz w:val="16"/>
          <w:szCs w:val="16"/>
          <w:b w:val="1"/>
          <w:bCs w:val="1"/>
          <w:color w:val="000039"/>
        </w:rPr>
        <w:t>Annual Incentive</w:t>
      </w:r>
      <w:r>
        <w:rPr>
          <w:sz w:val="20"/>
          <w:szCs w:val="20"/>
          <w:color w:val="auto"/>
        </w:rPr>
        <w:tab/>
      </w:r>
      <w:r>
        <w:rPr>
          <w:rFonts w:ascii="Arial" w:cs="Arial" w:eastAsia="Arial" w:hAnsi="Arial"/>
          <w:sz w:val="16"/>
          <w:szCs w:val="16"/>
          <w:b w:val="1"/>
          <w:bCs w:val="1"/>
          <w:color w:val="000039"/>
        </w:rPr>
        <w:t>2025 Target vs.</w:t>
      </w:r>
      <w:r>
        <w:rPr>
          <w:sz w:val="20"/>
          <w:szCs w:val="20"/>
          <w:color w:val="auto"/>
        </w:rPr>
        <w:tab/>
      </w:r>
      <w:r>
        <w:rPr>
          <w:rFonts w:ascii="Arial" w:cs="Arial" w:eastAsia="Arial" w:hAnsi="Arial"/>
          <w:sz w:val="16"/>
          <w:szCs w:val="16"/>
          <w:b w:val="1"/>
          <w:bCs w:val="1"/>
          <w:color w:val="000039"/>
        </w:rPr>
        <w:t>2025 Actual vs.</w:t>
      </w:r>
    </w:p>
    <w:p>
      <w:pPr>
        <w:spacing w:after="0"/>
        <w:tabs>
          <w:tab w:leader="none" w:pos="3560" w:val="left"/>
          <w:tab w:leader="none" w:pos="4760" w:val="left"/>
          <w:tab w:leader="none" w:pos="6140" w:val="left"/>
          <w:tab w:leader="none" w:pos="7320" w:val="left"/>
          <w:tab w:leader="none" w:pos="8800" w:val="left"/>
        </w:tabs>
        <w:rPr>
          <w:sz w:val="20"/>
          <w:szCs w:val="20"/>
          <w:color w:val="auto"/>
        </w:rPr>
      </w:pPr>
      <w:r>
        <w:rPr>
          <w:rFonts w:ascii="Arial" w:cs="Arial" w:eastAsia="Arial" w:hAnsi="Arial"/>
          <w:sz w:val="16"/>
          <w:szCs w:val="16"/>
          <w:b w:val="1"/>
          <w:bCs w:val="1"/>
          <w:color w:val="000039"/>
        </w:rPr>
        <w:t>Payout Matrix</w:t>
      </w:r>
      <w:r>
        <w:rPr>
          <w:rFonts w:ascii="Arial" w:cs="Arial" w:eastAsia="Arial" w:hAnsi="Arial"/>
          <w:sz w:val="19"/>
          <w:szCs w:val="19"/>
          <w:b w:val="1"/>
          <w:bCs w:val="1"/>
          <w:color w:val="000039"/>
          <w:vertAlign w:val="superscript"/>
        </w:rPr>
        <w:t>(1)</w:t>
      </w:r>
      <w:r>
        <w:rPr>
          <w:sz w:val="20"/>
          <w:szCs w:val="20"/>
          <w:color w:val="auto"/>
        </w:rPr>
        <w:tab/>
      </w:r>
      <w:r>
        <w:rPr>
          <w:rFonts w:ascii="Arial" w:cs="Arial" w:eastAsia="Arial" w:hAnsi="Arial"/>
          <w:sz w:val="16"/>
          <w:szCs w:val="16"/>
          <w:b w:val="1"/>
          <w:bCs w:val="1"/>
          <w:color w:val="000039"/>
        </w:rPr>
        <w:t>2024 Actual</w:t>
      </w:r>
      <w:r>
        <w:rPr>
          <w:sz w:val="20"/>
          <w:szCs w:val="20"/>
          <w:color w:val="auto"/>
        </w:rPr>
        <w:tab/>
      </w:r>
      <w:r>
        <w:rPr>
          <w:rFonts w:ascii="Arial" w:cs="Arial" w:eastAsia="Arial" w:hAnsi="Arial"/>
          <w:sz w:val="16"/>
          <w:szCs w:val="16"/>
          <w:b w:val="1"/>
          <w:bCs w:val="1"/>
          <w:color w:val="000039"/>
        </w:rPr>
        <w:t>2025 Target</w:t>
      </w:r>
      <w:r>
        <w:rPr>
          <w:sz w:val="20"/>
          <w:szCs w:val="20"/>
          <w:color w:val="auto"/>
        </w:rPr>
        <w:tab/>
      </w:r>
      <w:r>
        <w:rPr>
          <w:rFonts w:ascii="Arial" w:cs="Arial" w:eastAsia="Arial" w:hAnsi="Arial"/>
          <w:sz w:val="16"/>
          <w:szCs w:val="16"/>
          <w:b w:val="1"/>
          <w:bCs w:val="1"/>
          <w:color w:val="000039"/>
        </w:rPr>
        <w:t>2024 Actual</w:t>
      </w:r>
      <w:r>
        <w:rPr>
          <w:sz w:val="20"/>
          <w:szCs w:val="20"/>
          <w:color w:val="auto"/>
        </w:rPr>
        <w:tab/>
      </w:r>
      <w:r>
        <w:rPr>
          <w:rFonts w:ascii="Arial" w:cs="Arial" w:eastAsia="Arial" w:hAnsi="Arial"/>
          <w:sz w:val="16"/>
          <w:szCs w:val="16"/>
          <w:b w:val="1"/>
          <w:bCs w:val="1"/>
          <w:color w:val="000039"/>
        </w:rPr>
        <w:t>2025 Actual</w:t>
      </w:r>
      <w:r>
        <w:rPr>
          <w:sz w:val="20"/>
          <w:szCs w:val="20"/>
          <w:color w:val="auto"/>
        </w:rPr>
        <w:tab/>
      </w:r>
      <w:r>
        <w:rPr>
          <w:rFonts w:ascii="Arial" w:cs="Arial" w:eastAsia="Arial" w:hAnsi="Arial"/>
          <w:sz w:val="15"/>
          <w:szCs w:val="15"/>
          <w:b w:val="1"/>
          <w:bCs w:val="1"/>
          <w:color w:val="000039"/>
        </w:rPr>
        <w:t>2025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306185" cy="1708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218">
                      <a:extLst>
                        <a:ext uri="{28A0092B-C50C-407E-A947-70E740481C1C}"/>
                      </a:extLst>
                    </a:blip>
                    <a:srcRect/>
                    <a:stretch>
                      <a:fillRect/>
                    </a:stretch>
                  </pic:blipFill>
                  <pic:spPr bwMode="auto">
                    <a:xfrm>
                      <a:off x="0" y="0"/>
                      <a:ext cx="6306185" cy="170815"/>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tbl>
      <w:tblPr>
        <w:tblLayout w:type="fixed"/>
        <w:tblInd w:w="0" w:type="dxa"/>
        <w:tblCellMar>
          <w:top w:w="0" w:type="dxa"/>
          <w:left w:w="0" w:type="dxa"/>
          <w:bottom w:w="0" w:type="dxa"/>
          <w:right w:w="0" w:type="dxa"/>
        </w:tblCellMar>
      </w:tblPr>
      <w:tr>
        <w:trPr>
          <w:trHeight w:val="188"/>
        </w:trPr>
        <w:tc>
          <w:tcPr>
            <w:tcW w:w="3240" w:type="dxa"/>
            <w:vAlign w:val="bottom"/>
          </w:tcPr>
          <w:p>
            <w:pPr>
              <w:spacing w:after="0" w:line="188" w:lineRule="exact"/>
              <w:rPr>
                <w:sz w:val="20"/>
                <w:szCs w:val="20"/>
                <w:color w:val="auto"/>
              </w:rPr>
            </w:pPr>
            <w:r>
              <w:rPr>
                <w:rFonts w:ascii="Arial" w:cs="Arial" w:eastAsia="Arial" w:hAnsi="Arial"/>
                <w:sz w:val="17"/>
                <w:szCs w:val="17"/>
                <w:color w:val="auto"/>
              </w:rPr>
              <w:t>Platform Revenue</w:t>
            </w:r>
            <w:r>
              <w:rPr>
                <w:rFonts w:ascii="Arial" w:cs="Arial" w:eastAsia="Arial" w:hAnsi="Arial"/>
                <w:sz w:val="21"/>
                <w:szCs w:val="21"/>
                <w:color w:val="auto"/>
                <w:vertAlign w:val="superscript"/>
              </w:rPr>
              <w:t>(2)</w:t>
            </w:r>
          </w:p>
        </w:tc>
        <w:tc>
          <w:tcPr>
            <w:tcW w:w="1200" w:type="dxa"/>
            <w:vAlign w:val="bottom"/>
          </w:tcPr>
          <w:p>
            <w:pPr>
              <w:ind w:left="320"/>
              <w:spacing w:after="0" w:line="187" w:lineRule="exact"/>
              <w:rPr>
                <w:sz w:val="20"/>
                <w:szCs w:val="20"/>
                <w:color w:val="auto"/>
              </w:rPr>
            </w:pPr>
            <w:r>
              <w:rPr>
                <w:rFonts w:ascii="Arial" w:cs="Arial" w:eastAsia="Arial" w:hAnsi="Arial"/>
                <w:sz w:val="20"/>
                <w:szCs w:val="20"/>
                <w:color w:val="auto"/>
                <w:w w:val="96"/>
              </w:rPr>
              <w:t>$ 47.3 BN</w:t>
            </w:r>
          </w:p>
        </w:tc>
      </w:tr>
      <w:tr>
        <w:trPr>
          <w:trHeight w:val="277"/>
        </w:trPr>
        <w:tc>
          <w:tcPr>
            <w:tcW w:w="3240" w:type="dxa"/>
            <w:vAlign w:val="bottom"/>
          </w:tcPr>
          <w:p>
            <w:pPr>
              <w:spacing w:after="0"/>
              <w:rPr>
                <w:sz w:val="20"/>
                <w:szCs w:val="20"/>
                <w:color w:val="auto"/>
              </w:rPr>
            </w:pPr>
            <w:r>
              <w:rPr>
                <w:rFonts w:ascii="Arial" w:cs="Arial" w:eastAsia="Arial" w:hAnsi="Arial"/>
                <w:sz w:val="20"/>
                <w:szCs w:val="20"/>
                <w:color w:val="auto"/>
              </w:rPr>
              <w:t>Non</w:t>
            </w:r>
            <w:r>
              <w:rPr>
                <w:rFonts w:ascii="Times New Roman" w:cs="Times New Roman" w:eastAsia="Times New Roman" w:hAnsi="Times New Roman"/>
                <w:sz w:val="20"/>
                <w:szCs w:val="20"/>
                <w:color w:val="auto"/>
              </w:rPr>
              <w:t>-</w:t>
            </w:r>
            <w:r>
              <w:rPr>
                <w:rFonts w:ascii="Arial" w:cs="Arial" w:eastAsia="Arial" w:hAnsi="Arial"/>
                <w:sz w:val="20"/>
                <w:szCs w:val="20"/>
                <w:color w:val="auto"/>
              </w:rPr>
              <w:t>GAAP Income Before Taxes</w:t>
            </w:r>
          </w:p>
        </w:tc>
        <w:tc>
          <w:tcPr>
            <w:tcW w:w="1200" w:type="dxa"/>
            <w:vAlign w:val="bottom"/>
          </w:tcPr>
          <w:p>
            <w:pPr>
              <w:ind w:left="320"/>
              <w:spacing w:after="0"/>
              <w:rPr>
                <w:sz w:val="20"/>
                <w:szCs w:val="20"/>
                <w:color w:val="auto"/>
              </w:rPr>
            </w:pPr>
            <w:r>
              <w:rPr>
                <w:rFonts w:ascii="Arial" w:cs="Arial" w:eastAsia="Arial" w:hAnsi="Arial"/>
                <w:sz w:val="20"/>
                <w:szCs w:val="20"/>
                <w:color w:val="auto"/>
                <w:w w:val="96"/>
              </w:rPr>
              <w:t>$ 24.6 BN</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20"/>
                <w:szCs w:val="20"/>
                <w:color w:val="auto"/>
              </w:rPr>
              <w:t>$ 53.7 BN</w:t>
            </w:r>
          </w:p>
        </w:tc>
        <w:tc>
          <w:tcPr>
            <w:tcW w:w="920" w:type="dxa"/>
            <w:vAlign w:val="bottom"/>
          </w:tcPr>
          <w:p>
            <w:pPr>
              <w:jc w:val="right"/>
              <w:spacing w:after="0"/>
              <w:rPr>
                <w:sz w:val="20"/>
                <w:szCs w:val="20"/>
                <w:color w:val="auto"/>
              </w:rPr>
            </w:pPr>
            <w:r>
              <w:rPr>
                <w:rFonts w:ascii="Arial" w:cs="Arial" w:eastAsia="Arial" w:hAnsi="Arial"/>
                <w:sz w:val="20"/>
                <w:szCs w:val="20"/>
                <w:color w:val="auto"/>
              </w:rPr>
              <w:t>114</w:t>
            </w:r>
          </w:p>
        </w:tc>
        <w:tc>
          <w:tcPr>
            <w:tcW w:w="1180" w:type="dxa"/>
            <w:vAlign w:val="bottom"/>
            <w:shd w:val="clear" w:color="auto" w:fill="D9D9D9"/>
          </w:tcPr>
          <w:p>
            <w:pPr>
              <w:spacing w:after="0"/>
              <w:rPr>
                <w:sz w:val="20"/>
                <w:szCs w:val="20"/>
                <w:color w:val="auto"/>
              </w:rPr>
            </w:pPr>
            <w:r>
              <w:rPr>
                <w:rFonts w:ascii="Arial" w:cs="Arial" w:eastAsia="Arial" w:hAnsi="Arial"/>
                <w:sz w:val="20"/>
                <w:szCs w:val="20"/>
                <w:color w:val="auto"/>
                <w:highlight w:val="lightGray"/>
              </w:rPr>
              <w:t>% $ 56.3 BN</w:t>
            </w:r>
          </w:p>
        </w:tc>
        <w:tc>
          <w:tcPr>
            <w:tcW w:w="620" w:type="dxa"/>
            <w:vAlign w:val="bottom"/>
            <w:shd w:val="clear" w:color="auto" w:fill="D9D9D9"/>
          </w:tcPr>
          <w:p>
            <w:pPr>
              <w:jc w:val="right"/>
              <w:ind w:right="395"/>
              <w:spacing w:after="0"/>
              <w:rPr>
                <w:sz w:val="20"/>
                <w:szCs w:val="20"/>
                <w:color w:val="auto"/>
              </w:rPr>
            </w:pPr>
            <w:r>
              <w:rPr>
                <w:rFonts w:ascii="Arial" w:cs="Arial" w:eastAsia="Arial" w:hAnsi="Arial"/>
                <w:sz w:val="13"/>
                <w:szCs w:val="13"/>
                <w:color w:val="auto"/>
                <w:w w:val="87"/>
              </w:rPr>
              <w:t>(2)</w:t>
            </w:r>
          </w:p>
        </w:tc>
        <w:tc>
          <w:tcPr>
            <w:tcW w:w="10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105 %</w:t>
            </w:r>
          </w:p>
        </w:tc>
      </w:tr>
      <w:tr>
        <w:trPr>
          <w:trHeight w:val="235"/>
        </w:trPr>
        <w:tc>
          <w:tcPr>
            <w:tcW w:w="1400" w:type="dxa"/>
            <w:vAlign w:val="bottom"/>
          </w:tcPr>
          <w:p>
            <w:pPr>
              <w:spacing w:after="0"/>
              <w:rPr>
                <w:sz w:val="20"/>
                <w:szCs w:val="20"/>
                <w:color w:val="auto"/>
              </w:rPr>
            </w:pPr>
            <w:r>
              <w:rPr>
                <w:rFonts w:ascii="Arial" w:cs="Arial" w:eastAsia="Arial" w:hAnsi="Arial"/>
                <w:sz w:val="20"/>
                <w:szCs w:val="20"/>
                <w:color w:val="auto"/>
              </w:rPr>
              <w:t>$ 25.7 BN</w:t>
            </w:r>
          </w:p>
        </w:tc>
        <w:tc>
          <w:tcPr>
            <w:tcW w:w="920" w:type="dxa"/>
            <w:vAlign w:val="bottom"/>
          </w:tcPr>
          <w:p>
            <w:pPr>
              <w:jc w:val="right"/>
              <w:spacing w:after="0"/>
              <w:rPr>
                <w:sz w:val="20"/>
                <w:szCs w:val="20"/>
                <w:color w:val="auto"/>
              </w:rPr>
            </w:pPr>
            <w:r>
              <w:rPr>
                <w:rFonts w:ascii="Arial" w:cs="Arial" w:eastAsia="Arial" w:hAnsi="Arial"/>
                <w:sz w:val="20"/>
                <w:szCs w:val="20"/>
                <w:color w:val="auto"/>
              </w:rPr>
              <w:t>104</w:t>
            </w:r>
          </w:p>
        </w:tc>
        <w:tc>
          <w:tcPr>
            <w:tcW w:w="1180" w:type="dxa"/>
            <w:vAlign w:val="bottom"/>
          </w:tcPr>
          <w:p>
            <w:pPr>
              <w:spacing w:after="0"/>
              <w:rPr>
                <w:sz w:val="20"/>
                <w:szCs w:val="20"/>
                <w:color w:val="auto"/>
              </w:rPr>
            </w:pPr>
            <w:r>
              <w:rPr>
                <w:rFonts w:ascii="Arial" w:cs="Arial" w:eastAsia="Arial" w:hAnsi="Arial"/>
                <w:sz w:val="20"/>
                <w:szCs w:val="20"/>
                <w:color w:val="auto"/>
              </w:rPr>
              <w:t>% $ 26.9 BN</w:t>
            </w:r>
          </w:p>
        </w:tc>
        <w:tc>
          <w:tcPr>
            <w:tcW w:w="620" w:type="dxa"/>
            <w:vAlign w:val="bottom"/>
          </w:tcPr>
          <w:p>
            <w:pPr>
              <w:jc w:val="right"/>
              <w:ind w:right="395"/>
              <w:spacing w:after="0"/>
              <w:rPr>
                <w:sz w:val="20"/>
                <w:szCs w:val="20"/>
                <w:color w:val="auto"/>
              </w:rPr>
            </w:pPr>
            <w:r>
              <w:rPr>
                <w:rFonts w:ascii="Arial" w:cs="Arial" w:eastAsia="Arial" w:hAnsi="Arial"/>
                <w:sz w:val="13"/>
                <w:szCs w:val="13"/>
                <w:color w:val="auto"/>
                <w:w w:val="87"/>
              </w:rPr>
              <w:t>(3)</w:t>
            </w:r>
          </w:p>
        </w:tc>
        <w:tc>
          <w:tcPr>
            <w:tcW w:w="1040" w:type="dxa"/>
            <w:vAlign w:val="bottom"/>
          </w:tcPr>
          <w:p>
            <w:pPr>
              <w:jc w:val="right"/>
              <w:spacing w:after="0"/>
              <w:rPr>
                <w:sz w:val="20"/>
                <w:szCs w:val="20"/>
                <w:color w:val="auto"/>
              </w:rPr>
            </w:pPr>
            <w:r>
              <w:rPr>
                <w:rFonts w:ascii="Arial" w:cs="Arial" w:eastAsia="Arial" w:hAnsi="Arial"/>
                <w:sz w:val="20"/>
                <w:szCs w:val="20"/>
                <w:color w:val="auto"/>
              </w:rPr>
              <w:t>105 %</w:t>
            </w:r>
          </w:p>
        </w:tc>
      </w:tr>
    </w:tbl>
    <w:p>
      <w:pPr>
        <w:spacing w:after="0" w:line="1" w:lineRule="exact"/>
        <w:rPr>
          <w:sz w:val="20"/>
          <w:szCs w:val="20"/>
          <w:color w:val="auto"/>
        </w:rPr>
      </w:pPr>
    </w:p>
    <w:p>
      <w:pPr>
        <w:sectPr>
          <w:pgSz w:w="11880" w:h="15480" w:orient="portrait"/>
          <w:cols w:equalWidth="0" w:num="3">
            <w:col w:w="4440" w:space="80"/>
            <w:col w:w="160" w:space="100"/>
            <w:col w:w="5300"/>
          </w:cols>
          <w:pgMar w:left="900" w:top="702" w:right="900" w:bottom="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560" w:type="dxa"/>
            <w:vAlign w:val="bottom"/>
            <w:tcBorders>
              <w:top w:val="single" w:sz="8" w:color="000039"/>
            </w:tcBorders>
          </w:tcPr>
          <w:p>
            <w:pPr>
              <w:jc w:val="right"/>
              <w:ind w:right="210"/>
              <w:spacing w:after="0" w:line="219" w:lineRule="exact"/>
              <w:rPr>
                <w:sz w:val="20"/>
                <w:szCs w:val="20"/>
                <w:color w:val="auto"/>
              </w:rPr>
            </w:pPr>
            <w:r>
              <w:rPr>
                <w:rFonts w:ascii="Arial" w:cs="Arial" w:eastAsia="Arial" w:hAnsi="Arial"/>
                <w:sz w:val="22"/>
                <w:szCs w:val="22"/>
                <w:b w:val="1"/>
                <w:bCs w:val="1"/>
                <w:color w:val="auto"/>
              </w:rPr>
              <w:t>2025 Payout</w:t>
            </w:r>
          </w:p>
        </w:tc>
        <w:tc>
          <w:tcPr>
            <w:tcW w:w="3380" w:type="dxa"/>
            <w:vAlign w:val="bottom"/>
            <w:tcBorders>
              <w:top w:val="single" w:sz="8" w:color="000039"/>
            </w:tcBorders>
          </w:tcPr>
          <w:p>
            <w:pPr>
              <w:ind w:left="320"/>
              <w:spacing w:after="0" w:line="219" w:lineRule="exact"/>
              <w:rPr>
                <w:sz w:val="20"/>
                <w:szCs w:val="20"/>
                <w:color w:val="auto"/>
              </w:rPr>
            </w:pPr>
            <w:r>
              <w:rPr>
                <w:rFonts w:ascii="Arial" w:cs="Arial" w:eastAsia="Arial" w:hAnsi="Arial"/>
                <w:sz w:val="22"/>
                <w:szCs w:val="22"/>
                <w:b w:val="1"/>
                <w:bCs w:val="1"/>
                <w:color w:val="auto"/>
              </w:rPr>
              <w:t>Capped at plan maximum -</w:t>
            </w:r>
          </w:p>
        </w:tc>
      </w:tr>
      <w:tr>
        <w:trPr>
          <w:trHeight w:val="313"/>
        </w:trPr>
        <w:tc>
          <w:tcPr>
            <w:tcW w:w="6560" w:type="dxa"/>
            <w:vAlign w:val="bottom"/>
          </w:tcPr>
          <w:p>
            <w:pPr>
              <w:jc w:val="right"/>
              <w:ind w:right="210"/>
              <w:spacing w:after="0"/>
              <w:rPr>
                <w:sz w:val="20"/>
                <w:szCs w:val="20"/>
                <w:color w:val="auto"/>
              </w:rPr>
            </w:pPr>
            <w:r>
              <w:rPr>
                <w:rFonts w:ascii="Arial" w:cs="Arial" w:eastAsia="Arial" w:hAnsi="Arial"/>
                <w:sz w:val="22"/>
                <w:szCs w:val="22"/>
                <w:b w:val="1"/>
                <w:bCs w:val="1"/>
                <w:color w:val="auto"/>
              </w:rPr>
              <w:t>Matrix Result</w:t>
            </w:r>
          </w:p>
        </w:tc>
        <w:tc>
          <w:tcPr>
            <w:tcW w:w="3380" w:type="dxa"/>
            <w:vAlign w:val="bottom"/>
          </w:tcPr>
          <w:p>
            <w:pPr>
              <w:ind w:left="1700"/>
              <w:spacing w:after="0"/>
              <w:rPr>
                <w:sz w:val="20"/>
                <w:szCs w:val="20"/>
                <w:color w:val="auto"/>
              </w:rPr>
            </w:pPr>
            <w:r>
              <w:rPr>
                <w:rFonts w:ascii="Arial" w:cs="Arial" w:eastAsia="Arial" w:hAnsi="Arial"/>
                <w:sz w:val="22"/>
                <w:szCs w:val="22"/>
                <w:b w:val="1"/>
                <w:bCs w:val="1"/>
                <w:color w:val="auto"/>
              </w:rPr>
              <w:t>200% of target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83820</wp:posOffset>
                </wp:positionV>
                <wp:extent cx="1599565" cy="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97" o:spid="_x0000_s15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6pt" to="125.9pt,6.6pt" o:allowincell="f" strokecolor="#000000" strokeweight="1.02pt"/>
            </w:pict>
          </mc:Fallback>
        </mc:AlternateContent>
      </w:r>
    </w:p>
    <w:p>
      <w:pPr>
        <w:spacing w:after="0" w:line="155" w:lineRule="exact"/>
        <w:rPr>
          <w:sz w:val="20"/>
          <w:szCs w:val="20"/>
          <w:color w:val="auto"/>
        </w:rPr>
      </w:pPr>
    </w:p>
    <w:p>
      <w:pPr>
        <w:ind w:left="360" w:hanging="360"/>
        <w:spacing w:after="0"/>
        <w:tabs>
          <w:tab w:leader="none" w:pos="3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Results achieved reflect certain specified items, which are reconciled in Appendix B.</w:t>
      </w:r>
    </w:p>
    <w:p>
      <w:pPr>
        <w:spacing w:after="0" w:line="240" w:lineRule="exact"/>
        <w:rPr>
          <w:rFonts w:ascii="Arial" w:cs="Arial" w:eastAsia="Arial" w:hAnsi="Arial"/>
          <w:sz w:val="20"/>
          <w:szCs w:val="20"/>
          <w:color w:val="auto"/>
        </w:rPr>
      </w:pPr>
    </w:p>
    <w:p>
      <w:pPr>
        <w:ind w:left="360" w:hanging="360"/>
        <w:spacing w:after="0" w:line="248" w:lineRule="auto"/>
        <w:tabs>
          <w:tab w:leader="none" w:pos="3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Platform Revenue is a non-GAAP metric comprised of net revenues less Humira net revenues and adjusted for foreign exchange, as outlined in Appendix B. The committee retained for 2025 the use of Platform Revenue, first introduced as a performance metric within the PIP in 2022, to reinforce management’s focus on growth opportunities to offset anticipated revenue decline associated with U.S. Humira loss of exclusivity (LOE). The Platform Revenue target and result are adjusted for foreign exchange because it is unpredictable at the time the target is set.</w:t>
      </w:r>
    </w:p>
    <w:p>
      <w:pPr>
        <w:spacing w:after="0" w:line="194" w:lineRule="exact"/>
        <w:rPr>
          <w:rFonts w:ascii="Arial" w:cs="Arial" w:eastAsia="Arial" w:hAnsi="Arial"/>
          <w:sz w:val="20"/>
          <w:szCs w:val="20"/>
          <w:color w:val="auto"/>
        </w:rPr>
      </w:pPr>
    </w:p>
    <w:p>
      <w:pPr>
        <w:ind w:left="420" w:hanging="420"/>
        <w:spacing w:after="0"/>
        <w:tabs>
          <w:tab w:leader="none" w:pos="4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Evaluated on a constant currency basis.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The results for each of our NEOs are shown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vMerge w:val="restart"/>
          </w:tcPr>
          <w:p>
            <w:pPr>
              <w:spacing w:after="0"/>
              <w:rPr>
                <w:sz w:val="20"/>
                <w:szCs w:val="20"/>
                <w:color w:val="auto"/>
              </w:rPr>
            </w:pPr>
            <w:r>
              <w:rPr>
                <w:rFonts w:ascii="Arial" w:cs="Arial" w:eastAsia="Arial" w:hAnsi="Arial"/>
                <w:sz w:val="16"/>
                <w:szCs w:val="16"/>
                <w:b w:val="1"/>
                <w:bCs w:val="1"/>
                <w:color w:val="000039"/>
              </w:rPr>
              <w:t>Executive</w:t>
            </w:r>
          </w:p>
        </w:tc>
        <w:tc>
          <w:tcPr>
            <w:tcW w:w="294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000039"/>
              </w:rPr>
              <w:t>Target Award</w:t>
            </w:r>
          </w:p>
        </w:tc>
        <w:tc>
          <w:tcPr>
            <w:tcW w:w="1880" w:type="dxa"/>
            <w:vAlign w:val="bottom"/>
            <w:vMerge w:val="restart"/>
          </w:tcPr>
          <w:p>
            <w:pPr>
              <w:jc w:val="right"/>
              <w:spacing w:after="0"/>
              <w:rPr>
                <w:sz w:val="20"/>
                <w:szCs w:val="20"/>
                <w:color w:val="auto"/>
              </w:rPr>
            </w:pPr>
            <w:r>
              <w:rPr>
                <w:rFonts w:ascii="Arial" w:cs="Arial" w:eastAsia="Arial" w:hAnsi="Arial"/>
                <w:sz w:val="16"/>
                <w:szCs w:val="16"/>
                <w:b w:val="1"/>
                <w:bCs w:val="1"/>
                <w:color w:val="000039"/>
              </w:rPr>
              <w:t>$ Actual Award Paid</w:t>
            </w:r>
          </w:p>
        </w:tc>
        <w:tc>
          <w:tcPr>
            <w:tcW w:w="0" w:type="dxa"/>
            <w:vAlign w:val="bottom"/>
          </w:tcPr>
          <w:p>
            <w:pPr>
              <w:spacing w:after="0"/>
              <w:rPr>
                <w:sz w:val="1"/>
                <w:szCs w:val="1"/>
                <w:color w:val="auto"/>
              </w:rPr>
            </w:pPr>
          </w:p>
        </w:tc>
      </w:tr>
      <w:tr>
        <w:trPr>
          <w:trHeight w:val="173"/>
        </w:trPr>
        <w:tc>
          <w:tcPr>
            <w:tcW w:w="5260" w:type="dxa"/>
            <w:vAlign w:val="bottom"/>
            <w:tcBorders>
              <w:bottom w:val="single" w:sz="8" w:color="000039"/>
            </w:tcBorders>
            <w:vMerge w:val="continue"/>
          </w:tcPr>
          <w:p>
            <w:pPr>
              <w:spacing w:after="0"/>
              <w:rPr>
                <w:sz w:val="15"/>
                <w:szCs w:val="15"/>
                <w:color w:val="auto"/>
              </w:rPr>
            </w:pPr>
          </w:p>
        </w:tc>
        <w:tc>
          <w:tcPr>
            <w:tcW w:w="1360" w:type="dxa"/>
            <w:vAlign w:val="bottom"/>
            <w:tcBorders>
              <w:top w:val="single" w:sz="8" w:color="000039"/>
              <w:bottom w:val="single" w:sz="8" w:color="000039"/>
            </w:tcBorders>
          </w:tcPr>
          <w:p>
            <w:pPr>
              <w:jc w:val="right"/>
              <w:ind w:right="106"/>
              <w:spacing w:after="0" w:line="173" w:lineRule="exact"/>
              <w:rPr>
                <w:sz w:val="20"/>
                <w:szCs w:val="20"/>
                <w:color w:val="auto"/>
              </w:rPr>
            </w:pPr>
            <w:r>
              <w:rPr>
                <w:rFonts w:ascii="Arial" w:cs="Arial" w:eastAsia="Arial" w:hAnsi="Arial"/>
                <w:sz w:val="16"/>
                <w:szCs w:val="16"/>
                <w:b w:val="1"/>
                <w:bCs w:val="1"/>
                <w:color w:val="000039"/>
              </w:rPr>
              <w:t>$ Value</w:t>
            </w:r>
          </w:p>
        </w:tc>
        <w:tc>
          <w:tcPr>
            <w:tcW w:w="1140" w:type="dxa"/>
            <w:vAlign w:val="bottom"/>
            <w:tcBorders>
              <w:top w:val="single" w:sz="8" w:color="000039"/>
              <w:bottom w:val="single" w:sz="8" w:color="000039"/>
            </w:tcBorders>
          </w:tcPr>
          <w:p>
            <w:pPr>
              <w:jc w:val="right"/>
              <w:spacing w:after="0" w:line="173" w:lineRule="exact"/>
              <w:rPr>
                <w:sz w:val="20"/>
                <w:szCs w:val="20"/>
                <w:color w:val="auto"/>
              </w:rPr>
            </w:pPr>
            <w:r>
              <w:rPr>
                <w:rFonts w:ascii="Arial" w:cs="Arial" w:eastAsia="Arial" w:hAnsi="Arial"/>
                <w:sz w:val="16"/>
                <w:szCs w:val="16"/>
                <w:b w:val="1"/>
                <w:bCs w:val="1"/>
                <w:color w:val="000039"/>
              </w:rPr>
              <w:t>% of Salary</w:t>
            </w:r>
          </w:p>
        </w:tc>
        <w:tc>
          <w:tcPr>
            <w:tcW w:w="440" w:type="dxa"/>
            <w:vAlign w:val="bottom"/>
            <w:tcBorders>
              <w:bottom w:val="single" w:sz="8" w:color="000039"/>
            </w:tcBorders>
          </w:tcPr>
          <w:p>
            <w:pPr>
              <w:spacing w:after="0"/>
              <w:rPr>
                <w:sz w:val="15"/>
                <w:szCs w:val="15"/>
                <w:color w:val="auto"/>
              </w:rPr>
            </w:pPr>
          </w:p>
        </w:tc>
        <w:tc>
          <w:tcPr>
            <w:tcW w:w="1880" w:type="dxa"/>
            <w:vAlign w:val="bottom"/>
            <w:tcBorders>
              <w:bottom w:val="single" w:sz="8" w:color="000039"/>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260" w:type="dxa"/>
            <w:vAlign w:val="bottom"/>
            <w:shd w:val="clear" w:color="auto" w:fill="D9D9D9"/>
          </w:tcPr>
          <w:p>
            <w:pPr>
              <w:spacing w:after="0" w:line="220" w:lineRule="exact"/>
              <w:rPr>
                <w:sz w:val="20"/>
                <w:szCs w:val="20"/>
                <w:color w:val="auto"/>
              </w:rPr>
            </w:pPr>
            <w:r>
              <w:rPr>
                <w:rFonts w:ascii="Arial" w:cs="Arial" w:eastAsia="Arial" w:hAnsi="Arial"/>
                <w:sz w:val="20"/>
                <w:szCs w:val="20"/>
                <w:color w:val="auto"/>
              </w:rPr>
              <w:t>Robert A. Michael</w:t>
            </w:r>
          </w:p>
        </w:tc>
        <w:tc>
          <w:tcPr>
            <w:tcW w:w="1360" w:type="dxa"/>
            <w:vAlign w:val="bottom"/>
            <w:shd w:val="clear" w:color="auto" w:fill="D9D9D9"/>
          </w:tcPr>
          <w:p>
            <w:pPr>
              <w:jc w:val="right"/>
              <w:ind w:right="106"/>
              <w:spacing w:after="0" w:line="220" w:lineRule="exact"/>
              <w:rPr>
                <w:sz w:val="20"/>
                <w:szCs w:val="20"/>
                <w:color w:val="auto"/>
              </w:rPr>
            </w:pPr>
            <w:r>
              <w:rPr>
                <w:rFonts w:ascii="Arial" w:cs="Arial" w:eastAsia="Arial" w:hAnsi="Arial"/>
                <w:sz w:val="20"/>
                <w:szCs w:val="20"/>
                <w:color w:val="auto"/>
              </w:rPr>
              <w:t>2,805,000</w:t>
            </w:r>
          </w:p>
        </w:tc>
        <w:tc>
          <w:tcPr>
            <w:tcW w:w="1580" w:type="dxa"/>
            <w:vAlign w:val="bottom"/>
            <w:gridSpan w:val="2"/>
            <w:shd w:val="clear" w:color="auto" w:fill="D9D9D9"/>
          </w:tcPr>
          <w:p>
            <w:pPr>
              <w:jc w:val="right"/>
              <w:ind w:right="260"/>
              <w:spacing w:after="0" w:line="220" w:lineRule="exact"/>
              <w:rPr>
                <w:sz w:val="20"/>
                <w:szCs w:val="20"/>
                <w:color w:val="auto"/>
              </w:rPr>
            </w:pPr>
            <w:r>
              <w:rPr>
                <w:rFonts w:ascii="Arial" w:cs="Arial" w:eastAsia="Arial" w:hAnsi="Arial"/>
                <w:sz w:val="20"/>
                <w:szCs w:val="20"/>
                <w:color w:val="auto"/>
              </w:rPr>
              <w:t>165 %</w:t>
            </w:r>
          </w:p>
        </w:tc>
        <w:tc>
          <w:tcPr>
            <w:tcW w:w="1880" w:type="dxa"/>
            <w:vAlign w:val="bottom"/>
            <w:shd w:val="clear" w:color="auto" w:fill="D9D9D9"/>
          </w:tcPr>
          <w:p>
            <w:pPr>
              <w:jc w:val="right"/>
              <w:spacing w:after="0" w:line="220" w:lineRule="exact"/>
              <w:rPr>
                <w:sz w:val="20"/>
                <w:szCs w:val="20"/>
                <w:color w:val="auto"/>
              </w:rPr>
            </w:pPr>
            <w:r>
              <w:rPr>
                <w:rFonts w:ascii="Arial" w:cs="Arial" w:eastAsia="Arial" w:hAnsi="Arial"/>
                <w:sz w:val="20"/>
                <w:szCs w:val="20"/>
                <w:color w:val="auto"/>
              </w:rPr>
              <w:t>5,200,000</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20"/>
                <w:szCs w:val="20"/>
                <w:color w:val="auto"/>
              </w:rPr>
              <w:t>Scott T. Reents</w:t>
            </w:r>
          </w:p>
        </w:tc>
        <w:tc>
          <w:tcPr>
            <w:tcW w:w="1360" w:type="dxa"/>
            <w:vAlign w:val="bottom"/>
          </w:tcPr>
          <w:p>
            <w:pPr>
              <w:jc w:val="right"/>
              <w:ind w:right="106"/>
              <w:spacing w:after="0"/>
              <w:rPr>
                <w:sz w:val="20"/>
                <w:szCs w:val="20"/>
                <w:color w:val="auto"/>
              </w:rPr>
            </w:pPr>
            <w:r>
              <w:rPr>
                <w:rFonts w:ascii="Arial" w:cs="Arial" w:eastAsia="Arial" w:hAnsi="Arial"/>
                <w:sz w:val="20"/>
                <w:szCs w:val="20"/>
                <w:color w:val="auto"/>
              </w:rPr>
              <w:t>1,359,600</w:t>
            </w:r>
          </w:p>
        </w:tc>
        <w:tc>
          <w:tcPr>
            <w:tcW w:w="1580" w:type="dxa"/>
            <w:vAlign w:val="bottom"/>
            <w:gridSpan w:val="2"/>
          </w:tcPr>
          <w:p>
            <w:pPr>
              <w:jc w:val="right"/>
              <w:ind w:right="260"/>
              <w:spacing w:after="0"/>
              <w:rPr>
                <w:sz w:val="20"/>
                <w:szCs w:val="20"/>
                <w:color w:val="auto"/>
              </w:rPr>
            </w:pPr>
            <w:r>
              <w:rPr>
                <w:rFonts w:ascii="Arial" w:cs="Arial" w:eastAsia="Arial" w:hAnsi="Arial"/>
                <w:sz w:val="20"/>
                <w:szCs w:val="20"/>
                <w:color w:val="auto"/>
              </w:rPr>
              <w:t>120 %</w:t>
            </w:r>
          </w:p>
        </w:tc>
        <w:tc>
          <w:tcPr>
            <w:tcW w:w="1880" w:type="dxa"/>
            <w:vAlign w:val="bottom"/>
          </w:tcPr>
          <w:p>
            <w:pPr>
              <w:jc w:val="right"/>
              <w:spacing w:after="0"/>
              <w:rPr>
                <w:sz w:val="20"/>
                <w:szCs w:val="20"/>
                <w:color w:val="auto"/>
              </w:rPr>
            </w:pPr>
            <w:r>
              <w:rPr>
                <w:rFonts w:ascii="Arial" w:cs="Arial" w:eastAsia="Arial" w:hAnsi="Arial"/>
                <w:sz w:val="20"/>
                <w:szCs w:val="20"/>
                <w:color w:val="auto"/>
              </w:rPr>
              <w:t>2,350,000</w:t>
            </w:r>
          </w:p>
        </w:tc>
        <w:tc>
          <w:tcPr>
            <w:tcW w:w="0" w:type="dxa"/>
            <w:vAlign w:val="bottom"/>
          </w:tcPr>
          <w:p>
            <w:pPr>
              <w:spacing w:after="0"/>
              <w:rPr>
                <w:sz w:val="1"/>
                <w:szCs w:val="1"/>
                <w:color w:val="auto"/>
              </w:rPr>
            </w:pPr>
          </w:p>
        </w:tc>
      </w:tr>
      <w:tr>
        <w:trPr>
          <w:trHeight w:val="230"/>
        </w:trPr>
        <w:tc>
          <w:tcPr>
            <w:tcW w:w="5260" w:type="dxa"/>
            <w:vAlign w:val="bottom"/>
            <w:shd w:val="clear" w:color="auto" w:fill="D9D9D9"/>
          </w:tcPr>
          <w:p>
            <w:pPr>
              <w:spacing w:after="0"/>
              <w:rPr>
                <w:sz w:val="20"/>
                <w:szCs w:val="20"/>
                <w:color w:val="auto"/>
              </w:rPr>
            </w:pPr>
            <w:r>
              <w:rPr>
                <w:rFonts w:ascii="Arial" w:cs="Arial" w:eastAsia="Arial" w:hAnsi="Arial"/>
                <w:sz w:val="20"/>
                <w:szCs w:val="20"/>
                <w:color w:val="auto"/>
              </w:rPr>
              <w:t>Jeffrey R. Stewart</w:t>
            </w:r>
          </w:p>
        </w:tc>
        <w:tc>
          <w:tcPr>
            <w:tcW w:w="1360" w:type="dxa"/>
            <w:vAlign w:val="bottom"/>
            <w:shd w:val="clear" w:color="auto" w:fill="D9D9D9"/>
          </w:tcPr>
          <w:p>
            <w:pPr>
              <w:jc w:val="right"/>
              <w:ind w:right="106"/>
              <w:spacing w:after="0"/>
              <w:rPr>
                <w:sz w:val="20"/>
                <w:szCs w:val="20"/>
                <w:color w:val="auto"/>
              </w:rPr>
            </w:pPr>
            <w:r>
              <w:rPr>
                <w:rFonts w:ascii="Arial" w:cs="Arial" w:eastAsia="Arial" w:hAnsi="Arial"/>
                <w:sz w:val="20"/>
                <w:szCs w:val="20"/>
                <w:color w:val="auto"/>
              </w:rPr>
              <w:t>1,591,350</w:t>
            </w:r>
          </w:p>
        </w:tc>
        <w:tc>
          <w:tcPr>
            <w:tcW w:w="1580" w:type="dxa"/>
            <w:vAlign w:val="bottom"/>
            <w:gridSpan w:val="2"/>
            <w:shd w:val="clear" w:color="auto" w:fill="D9D9D9"/>
          </w:tcPr>
          <w:p>
            <w:pPr>
              <w:jc w:val="right"/>
              <w:ind w:right="260"/>
              <w:spacing w:after="0"/>
              <w:rPr>
                <w:sz w:val="20"/>
                <w:szCs w:val="20"/>
                <w:color w:val="auto"/>
              </w:rPr>
            </w:pPr>
            <w:r>
              <w:rPr>
                <w:rFonts w:ascii="Arial" w:cs="Arial" w:eastAsia="Arial" w:hAnsi="Arial"/>
                <w:sz w:val="20"/>
                <w:szCs w:val="20"/>
                <w:color w:val="auto"/>
              </w:rPr>
              <w:t>120 %</w:t>
            </w:r>
          </w:p>
        </w:tc>
        <w:tc>
          <w:tcPr>
            <w:tcW w:w="18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2,950,000</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20"/>
                <w:szCs w:val="20"/>
                <w:color w:val="auto"/>
              </w:rPr>
              <w:t>Azita Saleki-Gerhardt</w:t>
            </w:r>
          </w:p>
        </w:tc>
        <w:tc>
          <w:tcPr>
            <w:tcW w:w="1360" w:type="dxa"/>
            <w:vAlign w:val="bottom"/>
          </w:tcPr>
          <w:p>
            <w:pPr>
              <w:jc w:val="right"/>
              <w:ind w:right="106"/>
              <w:spacing w:after="0"/>
              <w:rPr>
                <w:sz w:val="20"/>
                <w:szCs w:val="20"/>
                <w:color w:val="auto"/>
              </w:rPr>
            </w:pPr>
            <w:r>
              <w:rPr>
                <w:rFonts w:ascii="Arial" w:cs="Arial" w:eastAsia="Arial" w:hAnsi="Arial"/>
                <w:sz w:val="20"/>
                <w:szCs w:val="20"/>
                <w:color w:val="auto"/>
              </w:rPr>
              <w:t>1,273,080</w:t>
            </w:r>
          </w:p>
        </w:tc>
        <w:tc>
          <w:tcPr>
            <w:tcW w:w="1580" w:type="dxa"/>
            <w:vAlign w:val="bottom"/>
            <w:gridSpan w:val="2"/>
          </w:tcPr>
          <w:p>
            <w:pPr>
              <w:jc w:val="right"/>
              <w:ind w:right="260"/>
              <w:spacing w:after="0"/>
              <w:rPr>
                <w:sz w:val="20"/>
                <w:szCs w:val="20"/>
                <w:color w:val="auto"/>
              </w:rPr>
            </w:pPr>
            <w:r>
              <w:rPr>
                <w:rFonts w:ascii="Arial" w:cs="Arial" w:eastAsia="Arial" w:hAnsi="Arial"/>
                <w:sz w:val="20"/>
                <w:szCs w:val="20"/>
                <w:color w:val="auto"/>
              </w:rPr>
              <w:t>120 %</w:t>
            </w:r>
          </w:p>
        </w:tc>
        <w:tc>
          <w:tcPr>
            <w:tcW w:w="1880" w:type="dxa"/>
            <w:vAlign w:val="bottom"/>
          </w:tcPr>
          <w:p>
            <w:pPr>
              <w:jc w:val="right"/>
              <w:spacing w:after="0"/>
              <w:rPr>
                <w:sz w:val="20"/>
                <w:szCs w:val="20"/>
                <w:color w:val="auto"/>
              </w:rPr>
            </w:pPr>
            <w:r>
              <w:rPr>
                <w:rFonts w:ascii="Arial" w:cs="Arial" w:eastAsia="Arial" w:hAnsi="Arial"/>
                <w:sz w:val="20"/>
                <w:szCs w:val="20"/>
                <w:color w:val="auto"/>
              </w:rPr>
              <w:t>2,200,000</w:t>
            </w:r>
          </w:p>
        </w:tc>
        <w:tc>
          <w:tcPr>
            <w:tcW w:w="0" w:type="dxa"/>
            <w:vAlign w:val="bottom"/>
          </w:tcPr>
          <w:p>
            <w:pPr>
              <w:spacing w:after="0"/>
              <w:rPr>
                <w:sz w:val="1"/>
                <w:szCs w:val="1"/>
                <w:color w:val="auto"/>
              </w:rPr>
            </w:pPr>
          </w:p>
        </w:tc>
      </w:tr>
      <w:tr>
        <w:trPr>
          <w:trHeight w:val="230"/>
        </w:trPr>
        <w:tc>
          <w:tcPr>
            <w:tcW w:w="5260" w:type="dxa"/>
            <w:vAlign w:val="bottom"/>
            <w:shd w:val="clear" w:color="auto" w:fill="D9D9D9"/>
          </w:tcPr>
          <w:p>
            <w:pPr>
              <w:spacing w:after="0"/>
              <w:rPr>
                <w:sz w:val="20"/>
                <w:szCs w:val="20"/>
                <w:color w:val="auto"/>
              </w:rPr>
            </w:pPr>
            <w:r>
              <w:rPr>
                <w:rFonts w:ascii="Arial" w:cs="Arial" w:eastAsia="Arial" w:hAnsi="Arial"/>
                <w:sz w:val="20"/>
                <w:szCs w:val="20"/>
                <w:color w:val="auto"/>
              </w:rPr>
              <w:t>Roopal B. Thakkar</w:t>
            </w:r>
          </w:p>
        </w:tc>
        <w:tc>
          <w:tcPr>
            <w:tcW w:w="1360" w:type="dxa"/>
            <w:vAlign w:val="bottom"/>
            <w:shd w:val="clear" w:color="auto" w:fill="D9D9D9"/>
          </w:tcPr>
          <w:p>
            <w:pPr>
              <w:jc w:val="right"/>
              <w:ind w:right="106"/>
              <w:spacing w:after="0"/>
              <w:rPr>
                <w:sz w:val="20"/>
                <w:szCs w:val="20"/>
                <w:color w:val="auto"/>
              </w:rPr>
            </w:pPr>
            <w:r>
              <w:rPr>
                <w:rFonts w:ascii="Arial" w:cs="Arial" w:eastAsia="Arial" w:hAnsi="Arial"/>
                <w:sz w:val="20"/>
                <w:szCs w:val="20"/>
                <w:color w:val="auto"/>
              </w:rPr>
              <w:t>1,320,000</w:t>
            </w:r>
          </w:p>
        </w:tc>
        <w:tc>
          <w:tcPr>
            <w:tcW w:w="1580" w:type="dxa"/>
            <w:vAlign w:val="bottom"/>
            <w:gridSpan w:val="2"/>
            <w:shd w:val="clear" w:color="auto" w:fill="D9D9D9"/>
          </w:tcPr>
          <w:p>
            <w:pPr>
              <w:jc w:val="right"/>
              <w:ind w:right="260"/>
              <w:spacing w:after="0"/>
              <w:rPr>
                <w:sz w:val="20"/>
                <w:szCs w:val="20"/>
                <w:color w:val="auto"/>
              </w:rPr>
            </w:pPr>
            <w:r>
              <w:rPr>
                <w:rFonts w:ascii="Arial" w:cs="Arial" w:eastAsia="Arial" w:hAnsi="Arial"/>
                <w:sz w:val="20"/>
                <w:szCs w:val="20"/>
                <w:color w:val="auto"/>
              </w:rPr>
              <w:t>110 %</w:t>
            </w:r>
          </w:p>
        </w:tc>
        <w:tc>
          <w:tcPr>
            <w:tcW w:w="18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2,350,000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42  </w:t>
      </w:r>
      <w:r>
        <w:rPr>
          <w:sz w:val="1"/>
          <w:szCs w:val="1"/>
          <w:color w:val="auto"/>
        </w:rPr>
        <w:drawing>
          <wp:inline distT="0" distB="0" distL="0" distR="0">
            <wp:extent cx="991870" cy="20066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219">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type w:val="continuous"/>
        </w:sectPr>
      </w:pPr>
    </w:p>
    <w:bookmarkStart w:id="171" w:name="page172"/>
    <w:bookmarkEnd w:id="171"/>
    <w:p>
      <w:pPr>
        <w:jc w:val="right"/>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LONG-TERM INCENTIVES AND 2025 RESULTS</w:t>
      </w:r>
    </w:p>
    <w:p>
      <w:pPr>
        <w:spacing w:after="0" w:line="164" w:lineRule="exact"/>
        <w:rPr>
          <w:sz w:val="20"/>
          <w:szCs w:val="20"/>
          <w:color w:val="auto"/>
        </w:rPr>
      </w:pPr>
    </w:p>
    <w:p>
      <w:pPr>
        <w:ind w:left="20" w:right="140"/>
        <w:spacing w:after="0" w:line="261" w:lineRule="auto"/>
        <w:rPr>
          <w:sz w:val="20"/>
          <w:szCs w:val="20"/>
          <w:color w:val="auto"/>
        </w:rPr>
      </w:pPr>
      <w:r>
        <w:rPr>
          <w:rFonts w:ascii="Arial" w:cs="Arial" w:eastAsia="Arial" w:hAnsi="Arial"/>
          <w:sz w:val="20"/>
          <w:szCs w:val="20"/>
          <w:color w:val="auto"/>
        </w:rPr>
        <w:t>The executive long-term incentive (“LTI”) program design aligns AbbVie’s LTI compensation with key operational and financial initiatives, including sustained adjusted diluted EPS growth and generation of superior investment returns relative to peers. In 2025, NEOs received annual LTI awards with the following characteristics: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Long-Term Incentive Program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1600" w:type="dxa"/>
            <w:vAlign w:val="bottom"/>
            <w:tcBorders>
              <w:top w:val="single" w:sz="8" w:color="000039"/>
              <w:bottom w:val="single" w:sz="8" w:color="000039"/>
            </w:tcBorders>
            <w:gridSpan w:val="2"/>
          </w:tcPr>
          <w:p>
            <w:pPr>
              <w:ind w:left="120"/>
              <w:spacing w:after="0"/>
              <w:rPr>
                <w:sz w:val="20"/>
                <w:szCs w:val="20"/>
                <w:color w:val="auto"/>
              </w:rPr>
            </w:pPr>
            <w:r>
              <w:rPr>
                <w:rFonts w:ascii="Arial" w:cs="Arial" w:eastAsia="Arial" w:hAnsi="Arial"/>
                <w:sz w:val="20"/>
                <w:szCs w:val="20"/>
                <w:b w:val="1"/>
                <w:bCs w:val="1"/>
                <w:color w:val="000039"/>
              </w:rPr>
              <w:t>Award Type</w:t>
            </w:r>
          </w:p>
        </w:tc>
        <w:tc>
          <w:tcPr>
            <w:tcW w:w="1500" w:type="dxa"/>
            <w:vAlign w:val="bottom"/>
            <w:tcBorders>
              <w:top w:val="single" w:sz="8" w:color="000039"/>
              <w:bottom w:val="single" w:sz="8" w:color="000039"/>
            </w:tcBorders>
          </w:tcPr>
          <w:p>
            <w:pPr>
              <w:spacing w:after="0"/>
              <w:rPr>
                <w:sz w:val="20"/>
                <w:szCs w:val="20"/>
                <w:color w:val="auto"/>
              </w:rPr>
            </w:pPr>
          </w:p>
        </w:tc>
        <w:tc>
          <w:tcPr>
            <w:tcW w:w="240" w:type="dxa"/>
            <w:vAlign w:val="bottom"/>
            <w:tcBorders>
              <w:top w:val="single" w:sz="8" w:color="000039"/>
              <w:bottom w:val="single" w:sz="8" w:color="000039"/>
            </w:tcBorders>
          </w:tcPr>
          <w:p>
            <w:pPr>
              <w:spacing w:after="0"/>
              <w:rPr>
                <w:sz w:val="20"/>
                <w:szCs w:val="20"/>
                <w:color w:val="auto"/>
              </w:rPr>
            </w:pPr>
          </w:p>
        </w:tc>
        <w:tc>
          <w:tcPr>
            <w:tcW w:w="4840" w:type="dxa"/>
            <w:vAlign w:val="bottom"/>
            <w:tcBorders>
              <w:top w:val="single" w:sz="8" w:color="000039"/>
              <w:bottom w:val="single" w:sz="8" w:color="000039"/>
            </w:tcBorders>
          </w:tcPr>
          <w:p>
            <w:pPr>
              <w:jc w:val="center"/>
              <w:ind w:right="161"/>
              <w:spacing w:after="0"/>
              <w:rPr>
                <w:sz w:val="20"/>
                <w:szCs w:val="20"/>
                <w:color w:val="auto"/>
              </w:rPr>
            </w:pPr>
            <w:r>
              <w:rPr>
                <w:rFonts w:ascii="Arial" w:cs="Arial" w:eastAsia="Arial" w:hAnsi="Arial"/>
                <w:sz w:val="20"/>
                <w:szCs w:val="20"/>
                <w:b w:val="1"/>
                <w:bCs w:val="1"/>
                <w:color w:val="000039"/>
              </w:rPr>
              <w:t>Metric</w:t>
            </w:r>
          </w:p>
        </w:tc>
        <w:tc>
          <w:tcPr>
            <w:tcW w:w="1900" w:type="dxa"/>
            <w:vAlign w:val="bottom"/>
            <w:tcBorders>
              <w:top w:val="single" w:sz="8" w:color="000039"/>
              <w:bottom w:val="single" w:sz="8" w:color="000039"/>
            </w:tcBorders>
          </w:tcPr>
          <w:p>
            <w:pPr>
              <w:jc w:val="center"/>
              <w:spacing w:after="0"/>
              <w:rPr>
                <w:sz w:val="20"/>
                <w:szCs w:val="20"/>
                <w:color w:val="auto"/>
              </w:rPr>
            </w:pPr>
            <w:r>
              <w:rPr>
                <w:rFonts w:ascii="Arial" w:cs="Arial" w:eastAsia="Arial" w:hAnsi="Arial"/>
                <w:sz w:val="20"/>
                <w:szCs w:val="20"/>
                <w:b w:val="1"/>
                <w:bCs w:val="1"/>
                <w:color w:val="000039"/>
                <w:w w:val="99"/>
              </w:rPr>
              <w:t>Performance Period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0" w:type="dxa"/>
            <w:vAlign w:val="bottom"/>
          </w:tcPr>
          <w:p>
            <w:pPr>
              <w:ind w:left="120"/>
              <w:spacing w:after="0" w:line="225" w:lineRule="exact"/>
              <w:rPr>
                <w:sz w:val="20"/>
                <w:szCs w:val="20"/>
                <w:color w:val="auto"/>
              </w:rPr>
            </w:pPr>
            <w:r>
              <w:rPr>
                <w:rFonts w:ascii="Arial" w:cs="Arial" w:eastAsia="Arial" w:hAnsi="Arial"/>
                <w:sz w:val="20"/>
                <w:szCs w:val="20"/>
                <w:color w:val="auto"/>
                <w:w w:val="99"/>
              </w:rPr>
              <w:t>40%</w:t>
            </w:r>
          </w:p>
        </w:tc>
        <w:tc>
          <w:tcPr>
            <w:tcW w:w="2560" w:type="dxa"/>
            <w:vAlign w:val="bottom"/>
            <w:gridSpan w:val="2"/>
          </w:tcPr>
          <w:p>
            <w:pPr>
              <w:ind w:left="40"/>
              <w:spacing w:after="0" w:line="225" w:lineRule="exact"/>
              <w:rPr>
                <w:sz w:val="20"/>
                <w:szCs w:val="20"/>
                <w:color w:val="auto"/>
              </w:rPr>
            </w:pPr>
            <w:r>
              <w:rPr>
                <w:rFonts w:ascii="Arial" w:cs="Arial" w:eastAsia="Arial" w:hAnsi="Arial"/>
                <w:sz w:val="20"/>
                <w:szCs w:val="20"/>
                <w:color w:val="auto"/>
              </w:rPr>
              <w:t>Performance Shares</w:t>
            </w:r>
          </w:p>
        </w:tc>
        <w:tc>
          <w:tcPr>
            <w:tcW w:w="240" w:type="dxa"/>
            <w:vAlign w:val="bottom"/>
            <w:shd w:val="clear" w:color="auto" w:fill="D9D9D9"/>
          </w:tcPr>
          <w:p>
            <w:pPr>
              <w:spacing w:after="0"/>
              <w:rPr>
                <w:sz w:val="19"/>
                <w:szCs w:val="19"/>
                <w:color w:val="auto"/>
              </w:rPr>
            </w:pPr>
          </w:p>
        </w:tc>
        <w:tc>
          <w:tcPr>
            <w:tcW w:w="4840" w:type="dxa"/>
            <w:vAlign w:val="bottom"/>
            <w:vMerge w:val="restart"/>
          </w:tcPr>
          <w:p>
            <w:pPr>
              <w:jc w:val="center"/>
              <w:ind w:right="141"/>
              <w:spacing w:after="0"/>
              <w:rPr>
                <w:sz w:val="20"/>
                <w:szCs w:val="20"/>
                <w:color w:val="auto"/>
              </w:rPr>
            </w:pPr>
            <w:r>
              <w:rPr>
                <w:rFonts w:ascii="Arial" w:cs="Arial" w:eastAsia="Arial" w:hAnsi="Arial"/>
                <w:sz w:val="20"/>
                <w:szCs w:val="20"/>
                <w:color w:val="auto"/>
                <w:w w:val="99"/>
              </w:rPr>
              <w:t>Adjusted Diluted EPS, 3</w:t>
            </w:r>
            <w:r>
              <w:rPr>
                <w:rFonts w:ascii="Times New Roman" w:cs="Times New Roman" w:eastAsia="Times New Roman" w:hAnsi="Times New Roman"/>
                <w:sz w:val="20"/>
                <w:szCs w:val="20"/>
                <w:color w:val="auto"/>
                <w:w w:val="99"/>
              </w:rPr>
              <w:t>-</w:t>
            </w:r>
            <w:r>
              <w:rPr>
                <w:rFonts w:ascii="Arial" w:cs="Arial" w:eastAsia="Arial" w:hAnsi="Arial"/>
                <w:sz w:val="20"/>
                <w:szCs w:val="20"/>
                <w:color w:val="auto"/>
                <w:w w:val="99"/>
              </w:rPr>
              <w:t>Year Relative TSR Modifier</w:t>
            </w:r>
          </w:p>
        </w:tc>
        <w:tc>
          <w:tcPr>
            <w:tcW w:w="1900" w:type="dxa"/>
            <w:vAlign w:val="bottom"/>
            <w:shd w:val="clear" w:color="auto" w:fill="D9D9D9"/>
          </w:tcPr>
          <w:p>
            <w:pPr>
              <w:jc w:val="center"/>
              <w:spacing w:after="0" w:line="210" w:lineRule="exact"/>
              <w:rPr>
                <w:sz w:val="20"/>
                <w:szCs w:val="20"/>
                <w:color w:val="auto"/>
              </w:rPr>
            </w:pPr>
            <w:r>
              <w:rPr>
                <w:rFonts w:ascii="Arial" w:cs="Arial" w:eastAsia="Arial" w:hAnsi="Arial"/>
                <w:sz w:val="20"/>
                <w:szCs w:val="20"/>
                <w:color w:val="auto"/>
              </w:rPr>
              <w:t>3 Years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 w:type="dxa"/>
            <w:vAlign w:val="bottom"/>
          </w:tcPr>
          <w:p>
            <w:pPr>
              <w:ind w:left="120"/>
              <w:spacing w:after="0" w:line="215" w:lineRule="exact"/>
              <w:rPr>
                <w:sz w:val="20"/>
                <w:szCs w:val="20"/>
                <w:color w:val="auto"/>
              </w:rPr>
            </w:pPr>
            <w:r>
              <w:rPr>
                <w:rFonts w:ascii="Arial" w:cs="Arial" w:eastAsia="Arial" w:hAnsi="Arial"/>
                <w:sz w:val="20"/>
                <w:szCs w:val="20"/>
                <w:color w:val="auto"/>
                <w:w w:val="99"/>
              </w:rPr>
              <w:t>40%</w:t>
            </w:r>
          </w:p>
        </w:tc>
        <w:tc>
          <w:tcPr>
            <w:tcW w:w="2560" w:type="dxa"/>
            <w:vAlign w:val="bottom"/>
            <w:gridSpan w:val="2"/>
          </w:tcPr>
          <w:p>
            <w:pPr>
              <w:ind w:left="40"/>
              <w:spacing w:after="0" w:line="215" w:lineRule="exact"/>
              <w:rPr>
                <w:sz w:val="20"/>
                <w:szCs w:val="20"/>
                <w:color w:val="auto"/>
              </w:rPr>
            </w:pPr>
            <w:r>
              <w:rPr>
                <w:rFonts w:ascii="Arial" w:cs="Arial" w:eastAsia="Arial" w:hAnsi="Arial"/>
                <w:sz w:val="20"/>
                <w:szCs w:val="20"/>
                <w:color w:val="auto"/>
              </w:rPr>
              <w:t>Performance Vested</w:t>
            </w:r>
          </w:p>
        </w:tc>
        <w:tc>
          <w:tcPr>
            <w:tcW w:w="240" w:type="dxa"/>
            <w:vAlign w:val="bottom"/>
          </w:tcPr>
          <w:p>
            <w:pPr>
              <w:spacing w:after="0"/>
              <w:rPr>
                <w:sz w:val="18"/>
                <w:szCs w:val="18"/>
                <w:color w:val="auto"/>
              </w:rPr>
            </w:pPr>
          </w:p>
        </w:tc>
        <w:tc>
          <w:tcPr>
            <w:tcW w:w="4840" w:type="dxa"/>
            <w:vAlign w:val="bottom"/>
            <w:vMerge w:val="continue"/>
          </w:tcPr>
          <w:p>
            <w:pPr>
              <w:spacing w:after="0"/>
              <w:rPr>
                <w:sz w:val="18"/>
                <w:szCs w:val="18"/>
                <w:color w:val="auto"/>
              </w:rPr>
            </w:pPr>
          </w:p>
        </w:tc>
        <w:tc>
          <w:tcPr>
            <w:tcW w:w="1900" w:type="dxa"/>
            <w:vAlign w:val="bottom"/>
            <w:vMerge w:val="restart"/>
          </w:tcPr>
          <w:p>
            <w:pPr>
              <w:jc w:val="center"/>
              <w:spacing w:after="0"/>
              <w:rPr>
                <w:sz w:val="20"/>
                <w:szCs w:val="20"/>
                <w:color w:val="auto"/>
              </w:rPr>
            </w:pPr>
            <w:r>
              <w:rPr>
                <w:rFonts w:ascii="Arial" w:cs="Arial" w:eastAsia="Arial" w:hAnsi="Arial"/>
                <w:sz w:val="20"/>
                <w:szCs w:val="20"/>
                <w:color w:val="auto"/>
              </w:rPr>
              <w:t>3 Years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00" w:type="dxa"/>
            <w:vAlign w:val="bottom"/>
            <w:gridSpan w:val="2"/>
            <w:vMerge w:val="restart"/>
          </w:tcPr>
          <w:p>
            <w:pPr>
              <w:ind w:left="120"/>
              <w:spacing w:after="0" w:line="207" w:lineRule="exact"/>
              <w:rPr>
                <w:sz w:val="20"/>
                <w:szCs w:val="20"/>
                <w:color w:val="auto"/>
              </w:rPr>
            </w:pPr>
            <w:r>
              <w:rPr>
                <w:rFonts w:ascii="Arial" w:cs="Arial" w:eastAsia="Arial" w:hAnsi="Arial"/>
                <w:sz w:val="20"/>
                <w:szCs w:val="20"/>
                <w:color w:val="auto"/>
              </w:rPr>
              <w:t>Restricted Stock</w:t>
            </w:r>
          </w:p>
        </w:tc>
        <w:tc>
          <w:tcPr>
            <w:tcW w:w="1500" w:type="dxa"/>
            <w:vAlign w:val="bottom"/>
          </w:tcPr>
          <w:p>
            <w:pPr>
              <w:jc w:val="right"/>
              <w:ind w:right="962"/>
              <w:spacing w:after="0" w:line="26" w:lineRule="exact"/>
              <w:rPr>
                <w:sz w:val="20"/>
                <w:szCs w:val="20"/>
                <w:color w:val="auto"/>
              </w:rPr>
            </w:pPr>
            <w:r>
              <w:rPr>
                <w:rFonts w:ascii="Arial" w:cs="Arial" w:eastAsia="Arial" w:hAnsi="Arial"/>
                <w:sz w:val="3"/>
                <w:szCs w:val="3"/>
                <w:color w:val="auto"/>
              </w:rPr>
              <w:t>Units</w:t>
            </w:r>
          </w:p>
        </w:tc>
        <w:tc>
          <w:tcPr>
            <w:tcW w:w="240" w:type="dxa"/>
            <w:vAlign w:val="bottom"/>
          </w:tcPr>
          <w:p>
            <w:pPr>
              <w:spacing w:after="0"/>
              <w:rPr>
                <w:sz w:val="2"/>
                <w:szCs w:val="2"/>
                <w:color w:val="auto"/>
              </w:rPr>
            </w:pPr>
          </w:p>
        </w:tc>
        <w:tc>
          <w:tcPr>
            <w:tcW w:w="4840" w:type="dxa"/>
            <w:vAlign w:val="bottom"/>
          </w:tcPr>
          <w:p>
            <w:pPr>
              <w:jc w:val="center"/>
              <w:ind w:right="141"/>
              <w:spacing w:after="0" w:line="26" w:lineRule="exact"/>
              <w:rPr>
                <w:sz w:val="20"/>
                <w:szCs w:val="20"/>
                <w:color w:val="auto"/>
              </w:rPr>
            </w:pPr>
            <w:r>
              <w:rPr>
                <w:rFonts w:ascii="Arial" w:cs="Arial" w:eastAsia="Arial" w:hAnsi="Arial"/>
                <w:sz w:val="3"/>
                <w:szCs w:val="3"/>
                <w:color w:val="auto"/>
              </w:rPr>
              <w:t>Relative Return on Invested Capital</w:t>
            </w: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500" w:type="dxa"/>
            <w:vAlign w:val="bottom"/>
          </w:tcPr>
          <w:p>
            <w:pPr>
              <w:jc w:val="right"/>
              <w:ind w:right="1262"/>
              <w:spacing w:after="0" w:line="182"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540" w:type="dxa"/>
            <w:vAlign w:val="bottom"/>
            <w:vMerge w:val="restart"/>
          </w:tcPr>
          <w:p>
            <w:pPr>
              <w:ind w:left="120"/>
              <w:spacing w:after="0"/>
              <w:rPr>
                <w:sz w:val="20"/>
                <w:szCs w:val="20"/>
                <w:color w:val="auto"/>
              </w:rPr>
            </w:pPr>
            <w:r>
              <w:rPr>
                <w:rFonts w:ascii="Arial" w:cs="Arial" w:eastAsia="Arial" w:hAnsi="Arial"/>
                <w:sz w:val="20"/>
                <w:szCs w:val="20"/>
                <w:color w:val="auto"/>
                <w:w w:val="99"/>
              </w:rPr>
              <w:t>20%</w:t>
            </w:r>
          </w:p>
        </w:tc>
        <w:tc>
          <w:tcPr>
            <w:tcW w:w="2560" w:type="dxa"/>
            <w:vAlign w:val="bottom"/>
            <w:gridSpan w:val="2"/>
            <w:vMerge w:val="restart"/>
          </w:tcPr>
          <w:p>
            <w:pPr>
              <w:ind w:left="40"/>
              <w:spacing w:after="0"/>
              <w:rPr>
                <w:sz w:val="20"/>
                <w:szCs w:val="20"/>
                <w:color w:val="auto"/>
              </w:rPr>
            </w:pPr>
            <w:r>
              <w:rPr>
                <w:rFonts w:ascii="Arial" w:cs="Arial" w:eastAsia="Arial" w:hAnsi="Arial"/>
                <w:sz w:val="20"/>
                <w:szCs w:val="20"/>
                <w:color w:val="auto"/>
                <w:w w:val="99"/>
              </w:rPr>
              <w:t>Non</w:t>
            </w:r>
            <w:r>
              <w:rPr>
                <w:rFonts w:ascii="Times New Roman" w:cs="Times New Roman" w:eastAsia="Times New Roman" w:hAnsi="Times New Roman"/>
                <w:sz w:val="20"/>
                <w:szCs w:val="20"/>
                <w:color w:val="auto"/>
                <w:w w:val="99"/>
              </w:rPr>
              <w:t>-</w:t>
            </w:r>
            <w:r>
              <w:rPr>
                <w:rFonts w:ascii="Arial" w:cs="Arial" w:eastAsia="Arial" w:hAnsi="Arial"/>
                <w:sz w:val="20"/>
                <w:szCs w:val="20"/>
                <w:color w:val="auto"/>
                <w:w w:val="99"/>
              </w:rPr>
              <w:t>Qualified Stock Options</w:t>
            </w:r>
          </w:p>
        </w:tc>
        <w:tc>
          <w:tcPr>
            <w:tcW w:w="240" w:type="dxa"/>
            <w:vAlign w:val="bottom"/>
          </w:tcPr>
          <w:p>
            <w:pPr>
              <w:spacing w:after="0"/>
              <w:rPr>
                <w:sz w:val="3"/>
                <w:szCs w:val="3"/>
                <w:color w:val="auto"/>
              </w:rPr>
            </w:pPr>
          </w:p>
        </w:tc>
        <w:tc>
          <w:tcPr>
            <w:tcW w:w="4840" w:type="dxa"/>
            <w:vAlign w:val="bottom"/>
            <w:vMerge w:val="restart"/>
          </w:tcPr>
          <w:p>
            <w:pPr>
              <w:jc w:val="center"/>
              <w:ind w:right="141"/>
              <w:spacing w:after="0"/>
              <w:rPr>
                <w:sz w:val="20"/>
                <w:szCs w:val="20"/>
                <w:color w:val="auto"/>
              </w:rPr>
            </w:pPr>
            <w:r>
              <w:rPr>
                <w:rFonts w:ascii="Arial" w:cs="Arial" w:eastAsia="Arial" w:hAnsi="Arial"/>
                <w:sz w:val="20"/>
                <w:szCs w:val="20"/>
                <w:color w:val="auto"/>
              </w:rPr>
              <w:t>Stock Price Appreciation</w:t>
            </w:r>
          </w:p>
        </w:tc>
        <w:tc>
          <w:tcPr>
            <w:tcW w:w="1900" w:type="dxa"/>
            <w:vAlign w:val="bottom"/>
            <w:vMerge w:val="restart"/>
          </w:tcPr>
          <w:p>
            <w:pPr>
              <w:jc w:val="center"/>
              <w:spacing w:after="0"/>
              <w:rPr>
                <w:sz w:val="20"/>
                <w:szCs w:val="20"/>
                <w:color w:val="auto"/>
              </w:rPr>
            </w:pPr>
            <w:r>
              <w:rPr>
                <w:rFonts w:ascii="Arial" w:cs="Arial" w:eastAsia="Arial" w:hAnsi="Arial"/>
                <w:sz w:val="20"/>
                <w:szCs w:val="20"/>
                <w:color w:val="auto"/>
              </w:rPr>
              <w:t>10</w:t>
            </w:r>
            <w:r>
              <w:rPr>
                <w:rFonts w:ascii="Times New Roman" w:cs="Times New Roman" w:eastAsia="Times New Roman" w:hAnsi="Times New Roman"/>
                <w:sz w:val="20"/>
                <w:szCs w:val="20"/>
                <w:color w:val="auto"/>
              </w:rPr>
              <w:t>-</w:t>
            </w:r>
            <w:r>
              <w:rPr>
                <w:rFonts w:ascii="Arial" w:cs="Arial" w:eastAsia="Arial" w:hAnsi="Arial"/>
                <w:sz w:val="20"/>
                <w:szCs w:val="20"/>
                <w:color w:val="auto"/>
              </w:rPr>
              <w:t>year term</w:t>
            </w:r>
          </w:p>
        </w:tc>
        <w:tc>
          <w:tcPr>
            <w:tcW w:w="0" w:type="dxa"/>
            <w:vAlign w:val="bottom"/>
          </w:tcPr>
          <w:p>
            <w:pPr>
              <w:spacing w:after="0"/>
              <w:rPr>
                <w:sz w:val="1"/>
                <w:szCs w:val="1"/>
                <w:color w:val="auto"/>
              </w:rPr>
            </w:pPr>
          </w:p>
        </w:tc>
      </w:tr>
      <w:tr>
        <w:trPr>
          <w:trHeight w:val="232"/>
        </w:trPr>
        <w:tc>
          <w:tcPr>
            <w:tcW w:w="20" w:type="dxa"/>
            <w:vAlign w:val="bottom"/>
            <w:tcBorders>
              <w:bottom w:val="single" w:sz="8" w:color="000039"/>
            </w:tcBorders>
          </w:tcPr>
          <w:p>
            <w:pPr>
              <w:spacing w:after="0"/>
              <w:rPr>
                <w:sz w:val="20"/>
                <w:szCs w:val="20"/>
                <w:color w:val="auto"/>
              </w:rPr>
            </w:pPr>
          </w:p>
        </w:tc>
        <w:tc>
          <w:tcPr>
            <w:tcW w:w="540" w:type="dxa"/>
            <w:vAlign w:val="bottom"/>
            <w:tcBorders>
              <w:bottom w:val="single" w:sz="8" w:color="000039"/>
            </w:tcBorders>
            <w:vMerge w:val="continue"/>
          </w:tcPr>
          <w:p>
            <w:pPr>
              <w:spacing w:after="0"/>
              <w:rPr>
                <w:sz w:val="20"/>
                <w:szCs w:val="20"/>
                <w:color w:val="auto"/>
              </w:rPr>
            </w:pPr>
          </w:p>
        </w:tc>
        <w:tc>
          <w:tcPr>
            <w:tcW w:w="2560" w:type="dxa"/>
            <w:vAlign w:val="bottom"/>
            <w:tcBorders>
              <w:bottom w:val="single" w:sz="8" w:color="000039"/>
            </w:tcBorders>
            <w:gridSpan w:val="2"/>
            <w:vMerge w:val="continue"/>
          </w:tcPr>
          <w:p>
            <w:pPr>
              <w:spacing w:after="0"/>
              <w:rPr>
                <w:sz w:val="20"/>
                <w:szCs w:val="20"/>
                <w:color w:val="auto"/>
              </w:rPr>
            </w:pPr>
          </w:p>
        </w:tc>
        <w:tc>
          <w:tcPr>
            <w:tcW w:w="240" w:type="dxa"/>
            <w:vAlign w:val="bottom"/>
            <w:tcBorders>
              <w:bottom w:val="single" w:sz="8" w:color="000039"/>
            </w:tcBorders>
            <w:shd w:val="clear" w:color="auto" w:fill="D9D9D9"/>
          </w:tcPr>
          <w:p>
            <w:pPr>
              <w:spacing w:after="0"/>
              <w:rPr>
                <w:sz w:val="20"/>
                <w:szCs w:val="20"/>
                <w:color w:val="auto"/>
              </w:rPr>
            </w:pPr>
          </w:p>
        </w:tc>
        <w:tc>
          <w:tcPr>
            <w:tcW w:w="4840" w:type="dxa"/>
            <w:vAlign w:val="bottom"/>
            <w:tcBorders>
              <w:bottom w:val="single" w:sz="8" w:color="000039"/>
            </w:tcBorders>
            <w:vMerge w:val="continue"/>
          </w:tcPr>
          <w:p>
            <w:pPr>
              <w:spacing w:after="0"/>
              <w:rPr>
                <w:sz w:val="20"/>
                <w:szCs w:val="20"/>
                <w:color w:val="auto"/>
              </w:rPr>
            </w:pPr>
          </w:p>
        </w:tc>
        <w:tc>
          <w:tcPr>
            <w:tcW w:w="1900" w:type="dxa"/>
            <w:vAlign w:val="bottom"/>
            <w:tcBorders>
              <w:bottom w:val="single" w:sz="8" w:color="000039"/>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-598805</wp:posOffset>
                </wp:positionV>
                <wp:extent cx="6400800" cy="14986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49860"/>
                        </a:xfrm>
                        <a:prstGeom prst="rect">
                          <a:avLst/>
                        </a:prstGeom>
                        <a:solidFill>
                          <a:srgbClr val="D9D9D9"/>
                        </a:solidFill>
                      </wps:spPr>
                      <wps:bodyPr/>
                    </wps:wsp>
                  </a:graphicData>
                </a:graphic>
              </wp:anchor>
            </w:drawing>
          </mc:Choice>
          <mc:Fallback>
            <w:pict>
              <v:rect id="Shape 499" o:spid="_x0000_s1524" style="position:absolute;margin-left:1pt;margin-top:-47.1499pt;width:504pt;height:1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-154305</wp:posOffset>
                </wp:positionV>
                <wp:extent cx="6400800" cy="14859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48590"/>
                        </a:xfrm>
                        <a:prstGeom prst="rect">
                          <a:avLst/>
                        </a:prstGeom>
                        <a:solidFill>
                          <a:srgbClr val="D9D9D9"/>
                        </a:solidFill>
                      </wps:spPr>
                      <wps:bodyPr/>
                    </wps:wsp>
                  </a:graphicData>
                </a:graphic>
              </wp:anchor>
            </w:drawing>
          </mc:Choice>
          <mc:Fallback>
            <w:pict>
              <v:rect id="Shape 500" o:spid="_x0000_s1525" style="position:absolute;margin-left:1pt;margin-top:-12.1499pt;width:504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71" w:lineRule="exact"/>
        <w:rPr>
          <w:sz w:val="20"/>
          <w:szCs w:val="20"/>
          <w:color w:val="auto"/>
        </w:rPr>
      </w:pPr>
    </w:p>
    <w:p>
      <w:pPr>
        <w:ind w:left="380" w:right="160" w:hanging="360"/>
        <w:spacing w:after="0" w:line="249" w:lineRule="auto"/>
        <w:tabs>
          <w:tab w:leader="none" w:pos="380" w:val="left"/>
        </w:tabs>
        <w:numPr>
          <w:ilvl w:val="0"/>
          <w:numId w:val="110"/>
        </w:numPr>
        <w:rPr>
          <w:rFonts w:ascii="Arial" w:cs="Arial" w:eastAsia="Arial" w:hAnsi="Arial"/>
          <w:sz w:val="20"/>
          <w:szCs w:val="20"/>
          <w:color w:val="000039"/>
        </w:rPr>
      </w:pPr>
      <w:r>
        <w:rPr>
          <w:rFonts w:ascii="Arial" w:cs="Arial" w:eastAsia="Arial" w:hAnsi="Arial"/>
          <w:sz w:val="20"/>
          <w:szCs w:val="20"/>
          <w:b w:val="1"/>
          <w:bCs w:val="1"/>
          <w:color w:val="auto"/>
        </w:rPr>
        <w:t>Performance Shares (40% of total LTI award)</w:t>
      </w:r>
      <w:r>
        <w:rPr>
          <w:rFonts w:ascii="Arial" w:cs="Arial" w:eastAsia="Arial" w:hAnsi="Arial"/>
          <w:sz w:val="20"/>
          <w:szCs w:val="20"/>
          <w:color w:val="auto"/>
        </w:rPr>
        <w:t>—These awards have the potential to vest at 0% to 250% of</w:t>
      </w:r>
      <w:r>
        <w:rPr>
          <w:rFonts w:ascii="Arial" w:cs="Arial" w:eastAsia="Arial" w:hAnsi="Arial"/>
          <w:sz w:val="20"/>
          <w:szCs w:val="20"/>
          <w:b w:val="1"/>
          <w:bCs w:val="1"/>
          <w:color w:val="auto"/>
        </w:rPr>
        <w:t xml:space="preserve"> </w:t>
      </w:r>
      <w:r>
        <w:rPr>
          <w:rFonts w:ascii="Arial" w:cs="Arial" w:eastAsia="Arial" w:hAnsi="Arial"/>
          <w:sz w:val="20"/>
          <w:szCs w:val="20"/>
          <w:color w:val="auto"/>
        </w:rPr>
        <w:t>target after a three-year performance period and are earned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on performance shares accrue during the performance period and are paid at vesting only to the extent that shares are earned.</w:t>
      </w:r>
    </w:p>
    <w:p>
      <w:pPr>
        <w:spacing w:after="0" w:line="162" w:lineRule="exact"/>
        <w:rPr>
          <w:rFonts w:ascii="Arial" w:cs="Arial" w:eastAsia="Arial" w:hAnsi="Arial"/>
          <w:sz w:val="20"/>
          <w:szCs w:val="20"/>
          <w:color w:val="000039"/>
        </w:rPr>
      </w:pPr>
    </w:p>
    <w:p>
      <w:pPr>
        <w:ind w:left="380" w:right="200" w:hanging="360"/>
        <w:spacing w:after="0" w:line="249" w:lineRule="auto"/>
        <w:tabs>
          <w:tab w:leader="none" w:pos="380" w:val="left"/>
        </w:tabs>
        <w:numPr>
          <w:ilvl w:val="0"/>
          <w:numId w:val="110"/>
        </w:numPr>
        <w:rPr>
          <w:rFonts w:ascii="Arial" w:cs="Arial" w:eastAsia="Arial" w:hAnsi="Arial"/>
          <w:sz w:val="20"/>
          <w:szCs w:val="20"/>
          <w:color w:val="000039"/>
        </w:rPr>
      </w:pPr>
      <w:r>
        <w:rPr>
          <w:rFonts w:ascii="Arial" w:cs="Arial" w:eastAsia="Arial" w:hAnsi="Arial"/>
          <w:sz w:val="20"/>
          <w:szCs w:val="20"/>
          <w:b w:val="1"/>
          <w:bCs w:val="1"/>
          <w:color w:val="auto"/>
        </w:rPr>
        <w:t>Performance-Vested Restricted Stock Units (40% of total LTI award)</w:t>
      </w:r>
      <w:r>
        <w:rPr>
          <w:rFonts w:ascii="Arial" w:cs="Arial" w:eastAsia="Arial" w:hAnsi="Arial"/>
          <w:sz w:val="20"/>
          <w:szCs w:val="20"/>
          <w:color w:val="auto"/>
        </w:rPr>
        <w:t>—These awards have the potential</w:t>
      </w:r>
      <w:r>
        <w:rPr>
          <w:rFonts w:ascii="Arial" w:cs="Arial" w:eastAsia="Arial" w:hAnsi="Arial"/>
          <w:sz w:val="20"/>
          <w:szCs w:val="20"/>
          <w:b w:val="1"/>
          <w:bCs w:val="1"/>
          <w:color w:val="auto"/>
        </w:rPr>
        <w:t xml:space="preserve"> </w:t>
      </w:r>
      <w:r>
        <w:rPr>
          <w:rFonts w:ascii="Arial" w:cs="Arial" w:eastAsia="Arial" w:hAnsi="Arial"/>
          <w:sz w:val="20"/>
          <w:szCs w:val="20"/>
          <w:color w:val="auto"/>
        </w:rPr>
        <w:t>to vest at 0% to 200% of target in one-third increments during a three-year performance period and are earned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w:t>
      </w:r>
    </w:p>
    <w:p>
      <w:pPr>
        <w:spacing w:after="0" w:line="162" w:lineRule="exact"/>
        <w:rPr>
          <w:rFonts w:ascii="Arial" w:cs="Arial" w:eastAsia="Arial" w:hAnsi="Arial"/>
          <w:sz w:val="20"/>
          <w:szCs w:val="20"/>
          <w:color w:val="000039"/>
        </w:rPr>
      </w:pPr>
    </w:p>
    <w:p>
      <w:pPr>
        <w:ind w:left="380" w:right="380" w:hanging="360"/>
        <w:spacing w:after="0" w:line="255" w:lineRule="auto"/>
        <w:tabs>
          <w:tab w:leader="none" w:pos="380" w:val="left"/>
        </w:tabs>
        <w:numPr>
          <w:ilvl w:val="0"/>
          <w:numId w:val="110"/>
        </w:numPr>
        <w:rPr>
          <w:rFonts w:ascii="Arial" w:cs="Arial" w:eastAsia="Arial" w:hAnsi="Arial"/>
          <w:sz w:val="20"/>
          <w:szCs w:val="20"/>
          <w:color w:val="000039"/>
        </w:rPr>
      </w:pPr>
      <w:r>
        <w:rPr>
          <w:rFonts w:ascii="Arial" w:cs="Arial" w:eastAsia="Arial" w:hAnsi="Arial"/>
          <w:sz w:val="20"/>
          <w:szCs w:val="20"/>
          <w:b w:val="1"/>
          <w:bCs w:val="1"/>
          <w:color w:val="auto"/>
        </w:rPr>
        <w:t>Non-Qualified Stock Options (20% of total LTI award)</w:t>
      </w:r>
      <w:r>
        <w:rPr>
          <w:rFonts w:ascii="Arial" w:cs="Arial" w:eastAsia="Arial" w:hAnsi="Arial"/>
          <w:sz w:val="20"/>
          <w:szCs w:val="20"/>
          <w:color w:val="auto"/>
        </w:rPr>
        <w:t>—These awards have the potential to vest in</w:t>
      </w:r>
      <w:r>
        <w:rPr>
          <w:rFonts w:ascii="Arial" w:cs="Arial" w:eastAsia="Arial" w:hAnsi="Arial"/>
          <w:sz w:val="20"/>
          <w:szCs w:val="20"/>
          <w:b w:val="1"/>
          <w:bCs w:val="1"/>
          <w:color w:val="auto"/>
        </w:rPr>
        <w:t xml:space="preserve"> </w:t>
      </w:r>
      <w:r>
        <w:rPr>
          <w:rFonts w:ascii="Arial" w:cs="Arial" w:eastAsia="Arial" w:hAnsi="Arial"/>
          <w:sz w:val="20"/>
          <w:szCs w:val="20"/>
          <w:color w:val="auto"/>
        </w:rPr>
        <w:t>one-third increments on each of the first three annual anniversaries of the grant date, subject to continued employment with the company. The option exercise price is set at or above fair market value on the grant date. To the extent that the options vest, the award expires ten years after the grant date.</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Performance Share and Performance-Vested Restricted Stock Unit Targets and Results</w:t>
      </w:r>
    </w:p>
    <w:p>
      <w:pPr>
        <w:spacing w:after="0" w:line="124" w:lineRule="exact"/>
        <w:rPr>
          <w:sz w:val="20"/>
          <w:szCs w:val="20"/>
          <w:color w:val="auto"/>
        </w:rPr>
      </w:pPr>
    </w:p>
    <w:p>
      <w:pPr>
        <w:ind w:left="20" w:right="120"/>
        <w:spacing w:after="0" w:line="254" w:lineRule="auto"/>
        <w:rPr>
          <w:sz w:val="20"/>
          <w:szCs w:val="20"/>
          <w:color w:val="auto"/>
        </w:rPr>
      </w:pPr>
      <w:r>
        <w:rPr>
          <w:rFonts w:ascii="Arial" w:cs="Arial" w:eastAsia="Arial" w:hAnsi="Arial"/>
          <w:sz w:val="20"/>
          <w:szCs w:val="20"/>
          <w:color w:val="auto"/>
        </w:rPr>
        <w:t>Performance targets and results associated with the 2025 awards of performance shares and 2023-2025 awards of performance- vested restricted stock units are shown below. Relative TSR results for the performance shares are in progress; these results and their impact on final payout will be disclosed following the completion of the three-year performance period.</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0039"/>
        </w:rPr>
        <w:t>Performance Objective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-107950</wp:posOffset>
                </wp:positionV>
                <wp:extent cx="6400800"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096">
                          <a:solidFill>
                            <a:srgbClr val="000039"/>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8.4999pt" to="505pt,-8.4999pt" o:allowincell="f" strokecolor="#000039" strokeweight="0.48pt"/>
            </w:pict>
          </mc:Fallback>
        </mc:AlternateContent>
      </w:r>
    </w:p>
    <w:p>
      <w:pPr>
        <w:spacing w:after="0" w:line="4" w:lineRule="exact"/>
        <w:rPr>
          <w:sz w:val="20"/>
          <w:szCs w:val="20"/>
          <w:color w:val="auto"/>
        </w:rPr>
      </w:pPr>
    </w:p>
    <w:p>
      <w:pPr>
        <w:ind w:left="140"/>
        <w:spacing w:after="0"/>
        <w:tabs>
          <w:tab w:leader="none" w:pos="2900" w:val="left"/>
          <w:tab w:leader="none" w:pos="4700" w:val="left"/>
          <w:tab w:leader="none" w:pos="6140" w:val="left"/>
          <w:tab w:leader="none" w:pos="7680" w:val="left"/>
          <w:tab w:leader="none" w:pos="8740" w:val="left"/>
        </w:tabs>
        <w:rPr>
          <w:sz w:val="20"/>
          <w:szCs w:val="20"/>
          <w:color w:val="auto"/>
        </w:rPr>
      </w:pPr>
      <w:r>
        <w:rPr>
          <w:rFonts w:ascii="Arial" w:cs="Arial" w:eastAsia="Arial" w:hAnsi="Arial"/>
          <w:sz w:val="16"/>
          <w:szCs w:val="16"/>
          <w:b w:val="1"/>
          <w:bCs w:val="1"/>
          <w:color w:val="000039"/>
        </w:rPr>
        <w:t>Impact on Payout</w:t>
      </w:r>
      <w:r>
        <w:rPr>
          <w:sz w:val="20"/>
          <w:szCs w:val="20"/>
          <w:color w:val="auto"/>
        </w:rPr>
        <w:tab/>
      </w:r>
      <w:r>
        <w:rPr>
          <w:rFonts w:ascii="Arial" w:cs="Arial" w:eastAsia="Arial" w:hAnsi="Arial"/>
          <w:sz w:val="16"/>
          <w:szCs w:val="16"/>
          <w:b w:val="1"/>
          <w:bCs w:val="1"/>
          <w:color w:val="000039"/>
        </w:rPr>
        <w:t>Threshold</w:t>
      </w:r>
      <w:r>
        <w:rPr>
          <w:sz w:val="20"/>
          <w:szCs w:val="20"/>
          <w:color w:val="auto"/>
        </w:rPr>
        <w:tab/>
      </w:r>
      <w:r>
        <w:rPr>
          <w:rFonts w:ascii="Arial" w:cs="Arial" w:eastAsia="Arial" w:hAnsi="Arial"/>
          <w:sz w:val="16"/>
          <w:szCs w:val="16"/>
          <w:b w:val="1"/>
          <w:bCs w:val="1"/>
          <w:color w:val="000039"/>
        </w:rPr>
        <w:t>Target</w:t>
      </w:r>
      <w:r>
        <w:rPr>
          <w:sz w:val="20"/>
          <w:szCs w:val="20"/>
          <w:color w:val="auto"/>
        </w:rPr>
        <w:tab/>
      </w:r>
      <w:r>
        <w:rPr>
          <w:rFonts w:ascii="Arial" w:cs="Arial" w:eastAsia="Arial" w:hAnsi="Arial"/>
          <w:sz w:val="16"/>
          <w:szCs w:val="16"/>
          <w:b w:val="1"/>
          <w:bCs w:val="1"/>
          <w:color w:val="000039"/>
        </w:rPr>
        <w:t>Maximum</w:t>
      </w:r>
      <w:r>
        <w:rPr>
          <w:sz w:val="20"/>
          <w:szCs w:val="20"/>
          <w:color w:val="auto"/>
        </w:rPr>
        <w:tab/>
      </w:r>
      <w:r>
        <w:rPr>
          <w:rFonts w:ascii="Arial" w:cs="Arial" w:eastAsia="Arial" w:hAnsi="Arial"/>
          <w:sz w:val="16"/>
          <w:szCs w:val="16"/>
          <w:b w:val="1"/>
          <w:bCs w:val="1"/>
          <w:color w:val="000039"/>
        </w:rPr>
        <w:t>Result</w:t>
      </w:r>
      <w:r>
        <w:rPr>
          <w:sz w:val="20"/>
          <w:szCs w:val="20"/>
          <w:color w:val="auto"/>
        </w:rPr>
        <w:tab/>
      </w:r>
      <w:r>
        <w:rPr>
          <w:rFonts w:ascii="Arial" w:cs="Arial" w:eastAsia="Arial" w:hAnsi="Arial"/>
          <w:sz w:val="16"/>
          <w:szCs w:val="16"/>
          <w:b w:val="1"/>
          <w:bCs w:val="1"/>
          <w:color w:val="000039"/>
        </w:rPr>
        <w:t>Impact on Payout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0</wp:posOffset>
                </wp:positionV>
                <wp:extent cx="6400800"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095">
                          <a:solidFill>
                            <a:srgbClr val="000039"/>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pt" to="505pt,0pt" o:allowincell="f" strokecolor="#000039" strokeweight="0.4799pt"/>
            </w:pict>
          </mc:Fallback>
        </mc:AlternateContent>
      </w:r>
    </w:p>
    <w:p>
      <w:pPr>
        <w:sectPr>
          <w:pgSz w:w="11880" w:h="15480" w:orient="portrait"/>
          <w:cols w:equalWidth="0" w:num="1">
            <w:col w:w="10100"/>
          </w:cols>
          <w:pgMar w:left="880" w:top="702" w:right="900" w:bottom="0" w:gutter="0" w:footer="0" w:header="0"/>
        </w:sect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2025 Adjusted Diluted</w:t>
      </w:r>
    </w:p>
    <w:p>
      <w:pPr>
        <w:ind w:left="140"/>
        <w:spacing w:after="0" w:line="184" w:lineRule="auto"/>
        <w:rPr>
          <w:sz w:val="20"/>
          <w:szCs w:val="20"/>
          <w:color w:val="auto"/>
        </w:rPr>
      </w:pPr>
      <w:r>
        <w:rPr>
          <w:rFonts w:ascii="Arial" w:cs="Arial" w:eastAsia="Arial" w:hAnsi="Arial"/>
          <w:sz w:val="29"/>
          <w:szCs w:val="29"/>
          <w:color w:val="auto"/>
          <w:vertAlign w:val="subscript"/>
        </w:rPr>
        <w:t>EPS</w:t>
      </w:r>
      <w:r>
        <w:rPr>
          <w:rFonts w:ascii="Arial" w:cs="Arial" w:eastAsia="Arial" w:hAnsi="Arial"/>
          <w:sz w:val="11"/>
          <w:szCs w:val="11"/>
          <w:color w:val="auto"/>
        </w:rPr>
        <w:t>(1,3)</w:t>
      </w:r>
    </w:p>
    <w:p>
      <w:pPr>
        <w:spacing w:after="0" w:line="1" w:lineRule="exact"/>
        <w:rPr>
          <w:sz w:val="20"/>
          <w:szCs w:val="20"/>
          <w:color w:val="auto"/>
        </w:rPr>
      </w:pPr>
    </w:p>
    <w:p>
      <w:pPr>
        <w:ind w:left="140"/>
        <w:spacing w:after="0" w:line="257" w:lineRule="auto"/>
        <w:rPr>
          <w:sz w:val="20"/>
          <w:szCs w:val="20"/>
          <w:color w:val="auto"/>
        </w:rPr>
      </w:pPr>
      <w:r>
        <w:rPr>
          <w:rFonts w:ascii="Arial" w:cs="Arial" w:eastAsia="Arial" w:hAnsi="Arial"/>
          <w:sz w:val="20"/>
          <w:szCs w:val="20"/>
          <w:color w:val="auto"/>
        </w:rPr>
        <w:t>EPS Impact on Payout 2025-2027 Relative TSR</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2025 Relative ROIC</w:t>
      </w:r>
      <w:r>
        <w:rPr>
          <w:rFonts w:ascii="Arial" w:cs="Arial" w:eastAsia="Arial" w:hAnsi="Arial"/>
          <w:sz w:val="25"/>
          <w:szCs w:val="25"/>
          <w:color w:val="auto"/>
          <w:vertAlign w:val="superscript"/>
        </w:rPr>
        <w:t>(2, 3)</w:t>
      </w:r>
    </w:p>
    <w:p>
      <w:pPr>
        <w:ind w:left="140"/>
        <w:spacing w:after="0" w:line="238" w:lineRule="auto"/>
        <w:rPr>
          <w:sz w:val="20"/>
          <w:szCs w:val="20"/>
          <w:color w:val="auto"/>
        </w:rPr>
      </w:pPr>
      <w:r>
        <w:rPr>
          <w:rFonts w:ascii="Arial" w:cs="Arial" w:eastAsia="Arial" w:hAnsi="Arial"/>
          <w:sz w:val="20"/>
          <w:szCs w:val="20"/>
          <w:color w:val="auto"/>
        </w:rPr>
        <w:t>(2025 Award)</w:t>
      </w:r>
    </w:p>
    <w:p>
      <w:pPr>
        <w:ind w:left="140"/>
        <w:spacing w:after="0" w:line="197" w:lineRule="auto"/>
        <w:rPr>
          <w:sz w:val="20"/>
          <w:szCs w:val="20"/>
          <w:color w:val="auto"/>
        </w:rPr>
      </w:pPr>
      <w:r>
        <w:rPr>
          <w:rFonts w:ascii="Arial" w:cs="Arial" w:eastAsia="Arial" w:hAnsi="Arial"/>
          <w:sz w:val="20"/>
          <w:szCs w:val="20"/>
          <w:color w:val="auto"/>
        </w:rPr>
        <w:t>2025 Relative ROIC</w:t>
      </w:r>
      <w:r>
        <w:rPr>
          <w:rFonts w:ascii="Arial" w:cs="Arial" w:eastAsia="Arial" w:hAnsi="Arial"/>
          <w:sz w:val="25"/>
          <w:szCs w:val="25"/>
          <w:color w:val="auto"/>
          <w:vertAlign w:val="superscript"/>
        </w:rPr>
        <w:t>(2, 3)</w:t>
      </w:r>
    </w:p>
    <w:p>
      <w:pPr>
        <w:ind w:left="140"/>
        <w:spacing w:after="0" w:line="238" w:lineRule="auto"/>
        <w:rPr>
          <w:sz w:val="20"/>
          <w:szCs w:val="20"/>
          <w:color w:val="auto"/>
        </w:rPr>
      </w:pPr>
      <w:r>
        <w:rPr>
          <w:rFonts w:ascii="Arial" w:cs="Arial" w:eastAsia="Arial" w:hAnsi="Arial"/>
          <w:sz w:val="20"/>
          <w:szCs w:val="20"/>
          <w:color w:val="auto"/>
        </w:rPr>
        <w:t>(2024 Award)</w:t>
      </w:r>
    </w:p>
    <w:p>
      <w:pPr>
        <w:ind w:left="140"/>
        <w:spacing w:after="0" w:line="197" w:lineRule="auto"/>
        <w:rPr>
          <w:sz w:val="20"/>
          <w:szCs w:val="20"/>
          <w:color w:val="auto"/>
        </w:rPr>
      </w:pPr>
      <w:r>
        <w:rPr>
          <w:rFonts w:ascii="Arial" w:cs="Arial" w:eastAsia="Arial" w:hAnsi="Arial"/>
          <w:sz w:val="20"/>
          <w:szCs w:val="20"/>
          <w:color w:val="auto"/>
        </w:rPr>
        <w:t>2025 Relative ROIC</w:t>
      </w:r>
      <w:r>
        <w:rPr>
          <w:rFonts w:ascii="Arial" w:cs="Arial" w:eastAsia="Arial" w:hAnsi="Arial"/>
          <w:sz w:val="25"/>
          <w:szCs w:val="25"/>
          <w:color w:val="auto"/>
          <w:vertAlign w:val="superscript"/>
        </w:rPr>
        <w:t>(2, 3)</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(2023 Award)</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ROIC Impact on Payout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108585</wp:posOffset>
                </wp:positionV>
                <wp:extent cx="1600200" cy="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8.55pt" to="126.9pt,8.55pt" o:allowincell="f" strokecolor="#000000" strokeweight="1.0199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1980" w:type="dxa"/>
            <w:vAlign w:val="bottom"/>
            <w:gridSpan w:val="2"/>
          </w:tcPr>
          <w:p>
            <w:pPr>
              <w:spacing w:after="0" w:line="215" w:lineRule="exact"/>
              <w:rPr>
                <w:sz w:val="20"/>
                <w:szCs w:val="20"/>
                <w:color w:val="auto"/>
              </w:rPr>
            </w:pPr>
            <w:r>
              <w:rPr>
                <w:rFonts w:ascii="Arial" w:cs="Arial" w:eastAsia="Arial" w:hAnsi="Arial"/>
                <w:sz w:val="20"/>
                <w:szCs w:val="20"/>
                <w:color w:val="auto"/>
              </w:rPr>
              <w:t>Performance Shares</w:t>
            </w: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700" w:type="dxa"/>
            <w:vAlign w:val="bottom"/>
          </w:tcPr>
          <w:p>
            <w:pPr>
              <w:spacing w:after="0"/>
              <w:rPr>
                <w:sz w:val="9"/>
                <w:szCs w:val="9"/>
                <w:color w:val="auto"/>
              </w:rPr>
            </w:pPr>
          </w:p>
        </w:tc>
        <w:tc>
          <w:tcPr>
            <w:tcW w:w="18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60" w:type="dxa"/>
            <w:vAlign w:val="bottom"/>
            <w:vMerge w:val="restart"/>
            <w:shd w:val="clear" w:color="auto" w:fill="D9D9D9"/>
          </w:tcPr>
          <w:p>
            <w:pPr>
              <w:jc w:val="right"/>
              <w:ind w:right="320"/>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30"/>
        </w:trPr>
        <w:tc>
          <w:tcPr>
            <w:tcW w:w="1700" w:type="dxa"/>
            <w:vAlign w:val="bottom"/>
            <w:shd w:val="clear" w:color="auto" w:fill="D9D9D9"/>
          </w:tcPr>
          <w:p>
            <w:pPr>
              <w:jc w:val="right"/>
              <w:ind w:right="480"/>
              <w:spacing w:after="0"/>
              <w:rPr>
                <w:sz w:val="20"/>
                <w:szCs w:val="20"/>
                <w:color w:val="auto"/>
              </w:rPr>
            </w:pPr>
            <w:r>
              <w:rPr>
                <w:rFonts w:ascii="Arial" w:cs="Arial" w:eastAsia="Arial" w:hAnsi="Arial"/>
                <w:sz w:val="20"/>
                <w:szCs w:val="20"/>
                <w:color w:val="auto"/>
              </w:rPr>
              <w:t>$9.41</w:t>
            </w:r>
          </w:p>
        </w:tc>
        <w:tc>
          <w:tcPr>
            <w:tcW w:w="1840" w:type="dxa"/>
            <w:vAlign w:val="bottom"/>
            <w:shd w:val="clear" w:color="auto" w:fill="D9D9D9"/>
          </w:tcPr>
          <w:p>
            <w:pPr>
              <w:jc w:val="right"/>
              <w:ind w:right="660"/>
              <w:spacing w:after="0"/>
              <w:rPr>
                <w:sz w:val="20"/>
                <w:szCs w:val="20"/>
                <w:color w:val="auto"/>
              </w:rPr>
            </w:pPr>
            <w:r>
              <w:rPr>
                <w:rFonts w:ascii="Arial" w:cs="Arial" w:eastAsia="Arial" w:hAnsi="Arial"/>
                <w:sz w:val="20"/>
                <w:szCs w:val="20"/>
                <w:color w:val="auto"/>
              </w:rPr>
              <w:t>$9.46</w:t>
            </w:r>
          </w:p>
        </w:tc>
        <w:tc>
          <w:tcPr>
            <w:tcW w:w="140" w:type="dxa"/>
            <w:vAlign w:val="bottom"/>
            <w:shd w:val="clear" w:color="auto" w:fill="D9D9D9"/>
          </w:tcPr>
          <w:p>
            <w:pPr>
              <w:spacing w:after="0"/>
              <w:rPr>
                <w:sz w:val="20"/>
                <w:szCs w:val="20"/>
                <w:color w:val="auto"/>
              </w:rPr>
            </w:pPr>
          </w:p>
        </w:tc>
        <w:tc>
          <w:tcPr>
            <w:tcW w:w="1100" w:type="dxa"/>
            <w:vAlign w:val="bottom"/>
            <w:shd w:val="clear" w:color="auto" w:fill="D9D9D9"/>
          </w:tcPr>
          <w:p>
            <w:pPr>
              <w:jc w:val="right"/>
              <w:ind w:right="340"/>
              <w:spacing w:after="0"/>
              <w:rPr>
                <w:sz w:val="20"/>
                <w:szCs w:val="20"/>
                <w:color w:val="auto"/>
              </w:rPr>
            </w:pPr>
            <w:r>
              <w:rPr>
                <w:rFonts w:ascii="Arial" w:cs="Arial" w:eastAsia="Arial" w:hAnsi="Arial"/>
                <w:sz w:val="20"/>
                <w:szCs w:val="20"/>
                <w:color w:val="auto"/>
              </w:rPr>
              <w:t>$9.66</w:t>
            </w:r>
          </w:p>
        </w:tc>
        <w:tc>
          <w:tcPr>
            <w:tcW w:w="1320" w:type="dxa"/>
            <w:vAlign w:val="bottom"/>
            <w:shd w:val="clear" w:color="auto" w:fill="D9D9D9"/>
          </w:tcPr>
          <w:p>
            <w:pPr>
              <w:jc w:val="right"/>
              <w:ind w:right="180"/>
              <w:spacing w:after="0"/>
              <w:rPr>
                <w:sz w:val="20"/>
                <w:szCs w:val="20"/>
                <w:color w:val="auto"/>
              </w:rPr>
            </w:pPr>
            <w:r>
              <w:rPr>
                <w:rFonts w:ascii="Arial" w:cs="Arial" w:eastAsia="Arial" w:hAnsi="Arial"/>
                <w:sz w:val="20"/>
                <w:szCs w:val="20"/>
                <w:color w:val="auto"/>
              </w:rPr>
              <w:t>$10.00</w:t>
            </w:r>
          </w:p>
        </w:tc>
        <w:tc>
          <w:tcPr>
            <w:tcW w:w="1560" w:type="dxa"/>
            <w:vAlign w:val="bottom"/>
            <w:vMerge w:val="continue"/>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700" w:type="dxa"/>
            <w:vAlign w:val="bottom"/>
            <w:vMerge w:val="restart"/>
          </w:tcPr>
          <w:p>
            <w:pPr>
              <w:jc w:val="right"/>
              <w:ind w:right="540"/>
              <w:spacing w:after="0"/>
              <w:rPr>
                <w:sz w:val="20"/>
                <w:szCs w:val="20"/>
                <w:color w:val="auto"/>
              </w:rPr>
            </w:pPr>
            <w:r>
              <w:rPr>
                <w:rFonts w:ascii="Arial" w:cs="Arial" w:eastAsia="Arial" w:hAnsi="Arial"/>
                <w:sz w:val="20"/>
                <w:szCs w:val="20"/>
                <w:color w:val="auto"/>
              </w:rPr>
              <w:t>50%</w:t>
            </w:r>
          </w:p>
        </w:tc>
        <w:tc>
          <w:tcPr>
            <w:tcW w:w="1840" w:type="dxa"/>
            <w:vAlign w:val="bottom"/>
            <w:vMerge w:val="restart"/>
          </w:tcPr>
          <w:p>
            <w:pPr>
              <w:jc w:val="right"/>
              <w:ind w:right="660"/>
              <w:spacing w:after="0"/>
              <w:rPr>
                <w:sz w:val="20"/>
                <w:szCs w:val="20"/>
                <w:color w:val="auto"/>
              </w:rPr>
            </w:pPr>
            <w:r>
              <w:rPr>
                <w:rFonts w:ascii="Arial" w:cs="Arial" w:eastAsia="Arial" w:hAnsi="Arial"/>
                <w:sz w:val="20"/>
                <w:szCs w:val="20"/>
                <w:color w:val="auto"/>
              </w:rPr>
              <w:t>100%</w:t>
            </w:r>
          </w:p>
        </w:tc>
        <w:tc>
          <w:tcPr>
            <w:tcW w:w="140" w:type="dxa"/>
            <w:vAlign w:val="bottom"/>
          </w:tcPr>
          <w:p>
            <w:pPr>
              <w:spacing w:after="0"/>
              <w:rPr>
                <w:sz w:val="10"/>
                <w:szCs w:val="10"/>
                <w:color w:val="auto"/>
              </w:rPr>
            </w:pPr>
          </w:p>
        </w:tc>
        <w:tc>
          <w:tcPr>
            <w:tcW w:w="1100" w:type="dxa"/>
            <w:vAlign w:val="bottom"/>
            <w:vMerge w:val="restart"/>
          </w:tcPr>
          <w:p>
            <w:pPr>
              <w:jc w:val="right"/>
              <w:ind w:right="320"/>
              <w:spacing w:after="0"/>
              <w:rPr>
                <w:sz w:val="20"/>
                <w:szCs w:val="20"/>
                <w:color w:val="auto"/>
              </w:rPr>
            </w:pPr>
            <w:r>
              <w:rPr>
                <w:rFonts w:ascii="Arial" w:cs="Arial" w:eastAsia="Arial" w:hAnsi="Arial"/>
                <w:sz w:val="20"/>
                <w:szCs w:val="20"/>
                <w:color w:val="auto"/>
              </w:rPr>
              <w:t>200%</w:t>
            </w:r>
          </w:p>
        </w:tc>
        <w:tc>
          <w:tcPr>
            <w:tcW w:w="1320" w:type="dxa"/>
            <w:vAlign w:val="bottom"/>
          </w:tcPr>
          <w:p>
            <w:pPr>
              <w:spacing w:after="0"/>
              <w:rPr>
                <w:sz w:val="10"/>
                <w:szCs w:val="10"/>
                <w:color w:val="auto"/>
              </w:rPr>
            </w:pPr>
          </w:p>
        </w:tc>
        <w:tc>
          <w:tcPr>
            <w:tcW w:w="156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1700" w:type="dxa"/>
            <w:vAlign w:val="bottom"/>
            <w:vMerge w:val="continue"/>
          </w:tcPr>
          <w:p>
            <w:pPr>
              <w:spacing w:after="0"/>
              <w:rPr>
                <w:sz w:val="20"/>
                <w:szCs w:val="20"/>
                <w:color w:val="auto"/>
              </w:rPr>
            </w:pPr>
          </w:p>
        </w:tc>
        <w:tc>
          <w:tcPr>
            <w:tcW w:w="1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-1536700</wp:posOffset>
                </wp:positionH>
                <wp:positionV relativeFrom="paragraph">
                  <wp:posOffset>-438785</wp:posOffset>
                </wp:positionV>
                <wp:extent cx="5412105" cy="29210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2105" cy="292100"/>
                        </a:xfrm>
                        <a:prstGeom prst="rect">
                          <a:avLst/>
                        </a:prstGeom>
                        <a:solidFill>
                          <a:srgbClr val="D9D9D9"/>
                        </a:solidFill>
                      </wps:spPr>
                      <wps:bodyPr/>
                    </wps:wsp>
                  </a:graphicData>
                </a:graphic>
              </wp:anchor>
            </w:drawing>
          </mc:Choice>
          <mc:Fallback>
            <w:pict>
              <v:rect id="Shape 504" o:spid="_x0000_s1529" style="position:absolute;margin-left:-121pt;margin-top:-34.5499pt;width:426.15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-1536700</wp:posOffset>
                </wp:positionH>
                <wp:positionV relativeFrom="paragraph">
                  <wp:posOffset>-635</wp:posOffset>
                </wp:positionV>
                <wp:extent cx="6400800" cy="147955"/>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47955"/>
                        </a:xfrm>
                        <a:prstGeom prst="rect">
                          <a:avLst/>
                        </a:prstGeom>
                        <a:solidFill>
                          <a:srgbClr val="D9D9D9"/>
                        </a:solidFill>
                      </wps:spPr>
                      <wps:bodyPr/>
                    </wps:wsp>
                  </a:graphicData>
                </a:graphic>
              </wp:anchor>
            </w:drawing>
          </mc:Choice>
          <mc:Fallback>
            <w:pict>
              <v:rect id="Shape 505" o:spid="_x0000_s1530" style="position:absolute;margin-left:-121pt;margin-top:-0.0499pt;width:504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rPr>
          <w:sz w:val="20"/>
          <w:szCs w:val="20"/>
          <w:color w:val="auto"/>
        </w:rPr>
      </w:pPr>
      <w:r>
        <w:rPr>
          <w:sz w:val="1"/>
          <w:szCs w:val="1"/>
          <w:color w:val="auto"/>
        </w:rPr>
        <w:drawing>
          <wp:inline distT="0" distB="0" distL="0" distR="0">
            <wp:extent cx="120650" cy="123825"/>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20">
                      <a:extLst>
                        <a:ext uri="{28A0092B-C50C-407E-A947-70E740481C1C}"/>
                      </a:extLst>
                    </a:blip>
                    <a:srcRect/>
                    <a:stretch>
                      <a:fillRect/>
                    </a:stretch>
                  </pic:blipFill>
                  <pic:spPr bwMode="auto">
                    <a:xfrm>
                      <a:off x="0" y="0"/>
                      <a:ext cx="120650" cy="123825"/>
                    </a:xfrm>
                    <a:prstGeom prst="rect">
                      <a:avLst/>
                    </a:prstGeom>
                    <a:noFill/>
                    <a:ln>
                      <a:noFill/>
                    </a:ln>
                  </pic:spPr>
                </pic:pic>
              </a:graphicData>
            </a:graphic>
          </wp:inline>
        </w:drawing>
      </w:r>
      <w:r>
        <w:rPr>
          <w:rFonts w:ascii="Arial" w:cs="Arial" w:eastAsia="Arial" w:hAnsi="Arial"/>
          <w:sz w:val="19"/>
          <w:szCs w:val="19"/>
          <w:color w:val="auto"/>
        </w:rPr>
        <w:t xml:space="preserve"> Relative TSR is measured over a 3 year performance period and used as a modifier</w:t>
      </w:r>
    </w:p>
    <w:tbl>
      <w:tblPr>
        <w:tblLayout w:type="fixed"/>
        <w:tblInd w:w="440" w:type="dxa"/>
        <w:tblCellMar>
          <w:top w:w="0" w:type="dxa"/>
          <w:left w:w="0" w:type="dxa"/>
          <w:bottom w:w="0" w:type="dxa"/>
          <w:right w:w="0" w:type="dxa"/>
        </w:tblCellMar>
      </w:tblPr>
      <w:tr>
        <w:trPr>
          <w:trHeight w:val="186"/>
        </w:trPr>
        <w:tc>
          <w:tcPr>
            <w:tcW w:w="4260" w:type="dxa"/>
            <w:vAlign w:val="bottom"/>
            <w:gridSpan w:val="11"/>
          </w:tcPr>
          <w:p>
            <w:pPr>
              <w:ind w:left="260"/>
              <w:spacing w:after="0" w:line="186" w:lineRule="exact"/>
              <w:rPr>
                <w:sz w:val="20"/>
                <w:szCs w:val="20"/>
                <w:color w:val="auto"/>
              </w:rPr>
            </w:pPr>
            <w:r>
              <w:rPr>
                <w:rFonts w:ascii="Arial" w:cs="Arial" w:eastAsia="Arial" w:hAnsi="Arial"/>
                <w:sz w:val="20"/>
                <w:szCs w:val="20"/>
                <w:color w:val="auto"/>
              </w:rPr>
              <w:t>Performance-Vested Restricted Stock Units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jc w:val="right"/>
              <w:ind w:right="115"/>
              <w:spacing w:after="0" w:line="2" w:lineRule="exact"/>
              <w:rPr>
                <w:sz w:val="20"/>
                <w:szCs w:val="20"/>
                <w:color w:val="auto"/>
              </w:rPr>
            </w:pPr>
            <w:r>
              <w:rPr>
                <w:rFonts w:ascii="Times New Roman" w:cs="Times New Roman" w:eastAsia="Times New Roman" w:hAnsi="Times New Roman"/>
                <w:sz w:val="1"/>
                <w:szCs w:val="1"/>
                <w:color w:val="auto"/>
              </w:rPr>
              <w:t>-</w:t>
            </w: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260" w:type="dxa"/>
            <w:vAlign w:val="bottom"/>
            <w:vMerge w:val="restart"/>
          </w:tcPr>
          <w:p>
            <w:pPr>
              <w:spacing w:after="0" w:line="213" w:lineRule="exact"/>
              <w:rPr>
                <w:sz w:val="20"/>
                <w:szCs w:val="20"/>
                <w:color w:val="auto"/>
              </w:rPr>
            </w:pPr>
            <w:r>
              <w:rPr>
                <w:rFonts w:ascii="Arial" w:cs="Arial" w:eastAsia="Arial" w:hAnsi="Arial"/>
                <w:sz w:val="20"/>
                <w:szCs w:val="20"/>
                <w:color w:val="auto"/>
              </w:rPr>
              <w:t>40</w:t>
            </w: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3"/>
                <w:szCs w:val="13"/>
                <w:color w:val="auto"/>
                <w:w w:val="73"/>
              </w:rPr>
              <w:t>th</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ind w:left="40"/>
              <w:spacing w:after="0" w:line="213" w:lineRule="exact"/>
              <w:rPr>
                <w:sz w:val="20"/>
                <w:szCs w:val="20"/>
                <w:color w:val="auto"/>
              </w:rPr>
            </w:pPr>
            <w:r>
              <w:rPr>
                <w:rFonts w:ascii="Arial" w:cs="Arial" w:eastAsia="Arial" w:hAnsi="Arial"/>
                <w:sz w:val="24"/>
                <w:szCs w:val="24"/>
                <w:color w:val="auto"/>
                <w:vertAlign w:val="subscript"/>
              </w:rPr>
              <w:t>50</w:t>
            </w:r>
            <w:r>
              <w:rPr>
                <w:rFonts w:ascii="Arial" w:cs="Arial" w:eastAsia="Arial" w:hAnsi="Arial"/>
                <w:sz w:val="10"/>
                <w:szCs w:val="10"/>
                <w:color w:val="auto"/>
              </w:rPr>
              <w:t>th</w:t>
            </w: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ind w:left="340"/>
              <w:spacing w:after="0" w:line="213" w:lineRule="exact"/>
              <w:rPr>
                <w:sz w:val="20"/>
                <w:szCs w:val="20"/>
                <w:color w:val="auto"/>
              </w:rPr>
            </w:pPr>
            <w:r>
              <w:rPr>
                <w:rFonts w:ascii="Arial" w:cs="Arial" w:eastAsia="Arial" w:hAnsi="Arial"/>
                <w:sz w:val="24"/>
                <w:szCs w:val="24"/>
                <w:color w:val="auto"/>
                <w:vertAlign w:val="subscript"/>
              </w:rPr>
              <w:t>50</w:t>
            </w:r>
            <w:r>
              <w:rPr>
                <w:rFonts w:ascii="Arial" w:cs="Arial" w:eastAsia="Arial" w:hAnsi="Arial"/>
                <w:sz w:val="10"/>
                <w:szCs w:val="10"/>
                <w:color w:val="auto"/>
              </w:rPr>
              <w:t>th</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ind w:left="20"/>
              <w:spacing w:after="0" w:line="213" w:lineRule="exact"/>
              <w:rPr>
                <w:sz w:val="20"/>
                <w:szCs w:val="20"/>
                <w:color w:val="auto"/>
              </w:rPr>
            </w:pPr>
            <w:r>
              <w:rPr>
                <w:rFonts w:ascii="Arial" w:cs="Arial" w:eastAsia="Arial" w:hAnsi="Arial"/>
                <w:sz w:val="24"/>
                <w:szCs w:val="24"/>
                <w:color w:val="auto"/>
                <w:vertAlign w:val="subscript"/>
              </w:rPr>
              <w:t>65</w:t>
            </w:r>
            <w:r>
              <w:rPr>
                <w:rFonts w:ascii="Arial" w:cs="Arial" w:eastAsia="Arial" w:hAnsi="Arial"/>
                <w:sz w:val="10"/>
                <w:szCs w:val="10"/>
                <w:color w:val="auto"/>
              </w:rPr>
              <w:t>th</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center"/>
              <w:ind w:left="61"/>
              <w:spacing w:after="0" w:line="213" w:lineRule="exact"/>
              <w:rPr>
                <w:sz w:val="20"/>
                <w:szCs w:val="20"/>
                <w:color w:val="auto"/>
              </w:rPr>
            </w:pPr>
            <w:r>
              <w:rPr>
                <w:rFonts w:ascii="Arial" w:cs="Arial" w:eastAsia="Arial" w:hAnsi="Arial"/>
                <w:sz w:val="19"/>
                <w:szCs w:val="19"/>
                <w:color w:val="auto"/>
                <w:w w:val="96"/>
              </w:rPr>
              <w:t>&gt;85</w:t>
            </w:r>
            <w:r>
              <w:rPr>
                <w:rFonts w:ascii="Arial" w:cs="Arial" w:eastAsia="Arial" w:hAnsi="Arial"/>
                <w:sz w:val="24"/>
                <w:szCs w:val="24"/>
                <w:color w:val="auto"/>
                <w:w w:val="96"/>
                <w:vertAlign w:val="superscript"/>
              </w:rPr>
              <w:t>th</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vMerge w:val="restart"/>
          </w:tcPr>
          <w:p>
            <w:pPr>
              <w:jc w:val="center"/>
              <w:spacing w:after="0" w:line="213" w:lineRule="exact"/>
              <w:rPr>
                <w:sz w:val="20"/>
                <w:szCs w:val="20"/>
                <w:color w:val="auto"/>
              </w:rPr>
            </w:pPr>
            <w:r>
              <w:rPr>
                <w:rFonts w:ascii="Arial" w:cs="Arial" w:eastAsia="Arial" w:hAnsi="Arial"/>
                <w:sz w:val="24"/>
                <w:szCs w:val="24"/>
                <w:color w:val="auto"/>
                <w:vertAlign w:val="subscript"/>
              </w:rPr>
              <w:t>95</w:t>
            </w:r>
            <w:r>
              <w:rPr>
                <w:rFonts w:ascii="Arial" w:cs="Arial" w:eastAsia="Arial" w:hAnsi="Arial"/>
                <w:sz w:val="10"/>
                <w:szCs w:val="10"/>
                <w:color w:val="auto"/>
              </w:rPr>
              <w:t>th</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1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1180" w:type="dxa"/>
            <w:vAlign w:val="bottom"/>
            <w:vMerge w:val="continue"/>
          </w:tcPr>
          <w:p>
            <w:pPr>
              <w:spacing w:after="0"/>
              <w:rPr>
                <w:sz w:val="8"/>
                <w:szCs w:val="8"/>
                <w:color w:val="auto"/>
              </w:rPr>
            </w:pPr>
          </w:p>
        </w:tc>
        <w:tc>
          <w:tcPr>
            <w:tcW w:w="1560" w:type="dxa"/>
            <w:vAlign w:val="bottom"/>
            <w:vMerge w:val="restart"/>
            <w:shd w:val="clear" w:color="auto" w:fill="D9D9D9"/>
          </w:tcPr>
          <w:p>
            <w:pPr>
              <w:jc w:val="right"/>
              <w:ind w:right="320"/>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134"/>
        </w:trPr>
        <w:tc>
          <w:tcPr>
            <w:tcW w:w="1100" w:type="dxa"/>
            <w:vAlign w:val="bottom"/>
            <w:gridSpan w:val="4"/>
            <w:vMerge w:val="restart"/>
          </w:tcPr>
          <w:p>
            <w:pPr>
              <w:spacing w:after="0" w:line="209" w:lineRule="exact"/>
              <w:rPr>
                <w:sz w:val="20"/>
                <w:szCs w:val="20"/>
                <w:color w:val="auto"/>
              </w:rPr>
            </w:pPr>
            <w:r>
              <w:rPr>
                <w:rFonts w:ascii="Arial" w:cs="Arial" w:eastAsia="Arial" w:hAnsi="Arial"/>
                <w:sz w:val="20"/>
                <w:szCs w:val="20"/>
                <w:color w:val="auto"/>
              </w:rPr>
              <w:t>percentile</w:t>
            </w:r>
          </w:p>
        </w:tc>
        <w:tc>
          <w:tcPr>
            <w:tcW w:w="220" w:type="dxa"/>
            <w:vAlign w:val="bottom"/>
            <w:shd w:val="clear" w:color="auto" w:fill="D9D9D9"/>
          </w:tcPr>
          <w:p>
            <w:pPr>
              <w:spacing w:after="0"/>
              <w:rPr>
                <w:sz w:val="11"/>
                <w:szCs w:val="11"/>
                <w:color w:val="auto"/>
              </w:rPr>
            </w:pPr>
          </w:p>
        </w:tc>
        <w:tc>
          <w:tcPr>
            <w:tcW w:w="1520" w:type="dxa"/>
            <w:vAlign w:val="bottom"/>
            <w:gridSpan w:val="3"/>
            <w:vMerge w:val="restart"/>
          </w:tcPr>
          <w:p>
            <w:pPr>
              <w:ind w:left="320"/>
              <w:spacing w:after="0" w:line="209" w:lineRule="exact"/>
              <w:rPr>
                <w:sz w:val="20"/>
                <w:szCs w:val="20"/>
                <w:color w:val="auto"/>
              </w:rPr>
            </w:pPr>
            <w:r>
              <w:rPr>
                <w:rFonts w:ascii="Arial" w:cs="Arial" w:eastAsia="Arial" w:hAnsi="Arial"/>
                <w:sz w:val="20"/>
                <w:szCs w:val="20"/>
                <w:color w:val="auto"/>
              </w:rPr>
              <w:t>percentile</w:t>
            </w:r>
          </w:p>
        </w:tc>
        <w:tc>
          <w:tcPr>
            <w:tcW w:w="220" w:type="dxa"/>
            <w:vAlign w:val="bottom"/>
            <w:shd w:val="clear" w:color="auto" w:fill="D9D9D9"/>
          </w:tcPr>
          <w:p>
            <w:pPr>
              <w:spacing w:after="0"/>
              <w:rPr>
                <w:sz w:val="11"/>
                <w:szCs w:val="11"/>
                <w:color w:val="auto"/>
              </w:rPr>
            </w:pPr>
          </w:p>
        </w:tc>
        <w:tc>
          <w:tcPr>
            <w:tcW w:w="1200" w:type="dxa"/>
            <w:vAlign w:val="bottom"/>
            <w:gridSpan w:val="2"/>
            <w:vMerge w:val="restart"/>
          </w:tcPr>
          <w:p>
            <w:pPr>
              <w:jc w:val="center"/>
              <w:spacing w:after="0" w:line="209" w:lineRule="exact"/>
              <w:rPr>
                <w:sz w:val="20"/>
                <w:szCs w:val="20"/>
                <w:color w:val="auto"/>
              </w:rPr>
            </w:pPr>
            <w:r>
              <w:rPr>
                <w:rFonts w:ascii="Arial" w:cs="Arial" w:eastAsia="Arial" w:hAnsi="Arial"/>
                <w:sz w:val="20"/>
                <w:szCs w:val="20"/>
                <w:color w:val="auto"/>
              </w:rPr>
              <w:t>percentile</w:t>
            </w:r>
          </w:p>
        </w:tc>
        <w:tc>
          <w:tcPr>
            <w:tcW w:w="220" w:type="dxa"/>
            <w:vAlign w:val="bottom"/>
            <w:shd w:val="clear" w:color="auto" w:fill="D9D9D9"/>
          </w:tcPr>
          <w:p>
            <w:pPr>
              <w:spacing w:after="0"/>
              <w:rPr>
                <w:sz w:val="11"/>
                <w:szCs w:val="11"/>
                <w:color w:val="auto"/>
              </w:rPr>
            </w:pPr>
          </w:p>
        </w:tc>
        <w:tc>
          <w:tcPr>
            <w:tcW w:w="1180" w:type="dxa"/>
            <w:vAlign w:val="bottom"/>
            <w:vMerge w:val="restart"/>
          </w:tcPr>
          <w:p>
            <w:pPr>
              <w:jc w:val="center"/>
              <w:spacing w:after="0" w:line="209" w:lineRule="exact"/>
              <w:rPr>
                <w:sz w:val="20"/>
                <w:szCs w:val="20"/>
                <w:color w:val="auto"/>
              </w:rPr>
            </w:pPr>
            <w:r>
              <w:rPr>
                <w:rFonts w:ascii="Arial" w:cs="Arial" w:eastAsia="Arial" w:hAnsi="Arial"/>
                <w:sz w:val="20"/>
                <w:szCs w:val="20"/>
                <w:color w:val="auto"/>
                <w:w w:val="99"/>
              </w:rPr>
              <w:t>percentile</w:t>
            </w:r>
          </w:p>
        </w:tc>
        <w:tc>
          <w:tcPr>
            <w:tcW w:w="156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360" w:type="dxa"/>
            <w:vAlign w:val="bottom"/>
            <w:gridSpan w:val="2"/>
          </w:tcPr>
          <w:p>
            <w:pPr>
              <w:spacing w:after="0" w:line="255" w:lineRule="exact"/>
              <w:rPr>
                <w:sz w:val="20"/>
                <w:szCs w:val="20"/>
                <w:color w:val="auto"/>
              </w:rPr>
            </w:pPr>
            <w:r>
              <w:rPr>
                <w:rFonts w:ascii="Arial" w:cs="Arial" w:eastAsia="Arial" w:hAnsi="Arial"/>
                <w:sz w:val="29"/>
                <w:szCs w:val="29"/>
                <w:color w:val="auto"/>
                <w:vertAlign w:val="subscript"/>
              </w:rPr>
              <w:t>40</w:t>
            </w:r>
            <w:r>
              <w:rPr>
                <w:rFonts w:ascii="Arial" w:cs="Arial" w:eastAsia="Arial" w:hAnsi="Arial"/>
                <w:sz w:val="11"/>
                <w:szCs w:val="11"/>
                <w:color w:val="auto"/>
              </w:rPr>
              <w:t>th</w:t>
            </w:r>
          </w:p>
        </w:tc>
        <w:tc>
          <w:tcPr>
            <w:tcW w:w="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620" w:type="dxa"/>
            <w:vAlign w:val="bottom"/>
          </w:tcPr>
          <w:p>
            <w:pPr>
              <w:ind w:left="40"/>
              <w:spacing w:after="0" w:line="255" w:lineRule="exact"/>
              <w:rPr>
                <w:sz w:val="20"/>
                <w:szCs w:val="20"/>
                <w:color w:val="auto"/>
              </w:rPr>
            </w:pPr>
            <w:r>
              <w:rPr>
                <w:rFonts w:ascii="Arial" w:cs="Arial" w:eastAsia="Arial" w:hAnsi="Arial"/>
                <w:sz w:val="29"/>
                <w:szCs w:val="29"/>
                <w:color w:val="auto"/>
                <w:vertAlign w:val="subscript"/>
              </w:rPr>
              <w:t>50</w:t>
            </w:r>
            <w:r>
              <w:rPr>
                <w:rFonts w:ascii="Arial" w:cs="Arial" w:eastAsia="Arial" w:hAnsi="Arial"/>
                <w:sz w:val="11"/>
                <w:szCs w:val="11"/>
                <w:color w:val="auto"/>
              </w:rPr>
              <w:t>th</w:t>
            </w:r>
          </w:p>
        </w:tc>
        <w:tc>
          <w:tcPr>
            <w:tcW w:w="220" w:type="dxa"/>
            <w:vAlign w:val="bottom"/>
          </w:tcPr>
          <w:p>
            <w:pPr>
              <w:spacing w:after="0"/>
              <w:rPr>
                <w:sz w:val="22"/>
                <w:szCs w:val="22"/>
                <w:color w:val="auto"/>
              </w:rPr>
            </w:pPr>
          </w:p>
        </w:tc>
        <w:tc>
          <w:tcPr>
            <w:tcW w:w="700" w:type="dxa"/>
            <w:vAlign w:val="bottom"/>
          </w:tcPr>
          <w:p>
            <w:pPr>
              <w:ind w:left="340"/>
              <w:spacing w:after="0" w:line="254" w:lineRule="exact"/>
              <w:rPr>
                <w:sz w:val="20"/>
                <w:szCs w:val="20"/>
                <w:color w:val="auto"/>
              </w:rPr>
            </w:pPr>
            <w:r>
              <w:rPr>
                <w:rFonts w:ascii="Arial" w:cs="Arial" w:eastAsia="Arial" w:hAnsi="Arial"/>
                <w:sz w:val="20"/>
                <w:szCs w:val="20"/>
                <w:color w:val="auto"/>
                <w:w w:val="93"/>
              </w:rPr>
              <w:t>50</w:t>
            </w:r>
            <w:r>
              <w:rPr>
                <w:rFonts w:ascii="Arial" w:cs="Arial" w:eastAsia="Arial" w:hAnsi="Arial"/>
                <w:sz w:val="25"/>
                <w:szCs w:val="25"/>
                <w:color w:val="auto"/>
                <w:w w:val="93"/>
                <w:vertAlign w:val="superscript"/>
              </w:rPr>
              <w:t>th</w:t>
            </w:r>
          </w:p>
        </w:tc>
        <w:tc>
          <w:tcPr>
            <w:tcW w:w="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ind w:left="20"/>
              <w:spacing w:after="0" w:line="255" w:lineRule="exact"/>
              <w:rPr>
                <w:sz w:val="20"/>
                <w:szCs w:val="20"/>
                <w:color w:val="auto"/>
              </w:rPr>
            </w:pPr>
            <w:r>
              <w:rPr>
                <w:rFonts w:ascii="Arial" w:cs="Arial" w:eastAsia="Arial" w:hAnsi="Arial"/>
                <w:sz w:val="29"/>
                <w:szCs w:val="29"/>
                <w:color w:val="auto"/>
                <w:vertAlign w:val="subscript"/>
              </w:rPr>
              <w:t>65</w:t>
            </w:r>
            <w:r>
              <w:rPr>
                <w:rFonts w:ascii="Arial" w:cs="Arial" w:eastAsia="Arial" w:hAnsi="Arial"/>
                <w:sz w:val="11"/>
                <w:szCs w:val="11"/>
                <w:color w:val="auto"/>
              </w:rPr>
              <w:t>th</w:t>
            </w:r>
          </w:p>
        </w:tc>
        <w:tc>
          <w:tcPr>
            <w:tcW w:w="220" w:type="dxa"/>
            <w:vAlign w:val="bottom"/>
          </w:tcPr>
          <w:p>
            <w:pPr>
              <w:spacing w:after="0"/>
              <w:rPr>
                <w:sz w:val="22"/>
                <w:szCs w:val="22"/>
                <w:color w:val="auto"/>
              </w:rPr>
            </w:pPr>
          </w:p>
        </w:tc>
        <w:tc>
          <w:tcPr>
            <w:tcW w:w="1200" w:type="dxa"/>
            <w:vAlign w:val="bottom"/>
            <w:gridSpan w:val="2"/>
          </w:tcPr>
          <w:p>
            <w:pPr>
              <w:jc w:val="center"/>
              <w:spacing w:after="0" w:line="254" w:lineRule="exact"/>
              <w:rPr>
                <w:sz w:val="20"/>
                <w:szCs w:val="20"/>
                <w:color w:val="auto"/>
              </w:rPr>
            </w:pPr>
            <w:r>
              <w:rPr>
                <w:rFonts w:ascii="Arial" w:cs="Arial" w:eastAsia="Arial" w:hAnsi="Arial"/>
                <w:sz w:val="20"/>
                <w:szCs w:val="20"/>
                <w:color w:val="auto"/>
                <w:w w:val="91"/>
              </w:rPr>
              <w:t>&gt;85</w:t>
            </w:r>
            <w:r>
              <w:rPr>
                <w:rFonts w:ascii="Arial" w:cs="Arial" w:eastAsia="Arial" w:hAnsi="Arial"/>
                <w:sz w:val="25"/>
                <w:szCs w:val="25"/>
                <w:color w:val="auto"/>
                <w:w w:val="91"/>
                <w:vertAlign w:val="superscript"/>
              </w:rPr>
              <w:t>th</w:t>
            </w:r>
          </w:p>
        </w:tc>
        <w:tc>
          <w:tcPr>
            <w:tcW w:w="220" w:type="dxa"/>
            <w:vAlign w:val="bottom"/>
          </w:tcPr>
          <w:p>
            <w:pPr>
              <w:spacing w:after="0"/>
              <w:rPr>
                <w:sz w:val="22"/>
                <w:szCs w:val="22"/>
                <w:color w:val="auto"/>
              </w:rPr>
            </w:pPr>
          </w:p>
        </w:tc>
        <w:tc>
          <w:tcPr>
            <w:tcW w:w="1180" w:type="dxa"/>
            <w:vAlign w:val="bottom"/>
          </w:tcPr>
          <w:p>
            <w:pPr>
              <w:jc w:val="center"/>
              <w:spacing w:after="0" w:line="254" w:lineRule="exact"/>
              <w:rPr>
                <w:sz w:val="20"/>
                <w:szCs w:val="20"/>
                <w:color w:val="auto"/>
              </w:rPr>
            </w:pPr>
            <w:r>
              <w:rPr>
                <w:rFonts w:ascii="Arial" w:cs="Arial" w:eastAsia="Arial" w:hAnsi="Arial"/>
                <w:sz w:val="20"/>
                <w:szCs w:val="20"/>
                <w:color w:val="auto"/>
                <w:w w:val="93"/>
              </w:rPr>
              <w:t>95</w:t>
            </w:r>
            <w:r>
              <w:rPr>
                <w:rFonts w:ascii="Arial" w:cs="Arial" w:eastAsia="Arial" w:hAnsi="Arial"/>
                <w:sz w:val="25"/>
                <w:szCs w:val="25"/>
                <w:color w:val="auto"/>
                <w:w w:val="93"/>
                <w:vertAlign w:val="superscript"/>
              </w:rPr>
              <w:t>th</w:t>
            </w:r>
          </w:p>
        </w:tc>
        <w:tc>
          <w:tcPr>
            <w:tcW w:w="1560" w:type="dxa"/>
            <w:vAlign w:val="bottom"/>
            <w:vMerge w:val="restart"/>
          </w:tcPr>
          <w:p>
            <w:pPr>
              <w:jc w:val="right"/>
              <w:ind w:right="320"/>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156"/>
        </w:trPr>
        <w:tc>
          <w:tcPr>
            <w:tcW w:w="1100" w:type="dxa"/>
            <w:vAlign w:val="bottom"/>
            <w:gridSpan w:val="4"/>
            <w:vMerge w:val="restart"/>
          </w:tcPr>
          <w:p>
            <w:pPr>
              <w:spacing w:after="0" w:line="209" w:lineRule="exact"/>
              <w:rPr>
                <w:sz w:val="20"/>
                <w:szCs w:val="20"/>
                <w:color w:val="auto"/>
              </w:rPr>
            </w:pPr>
            <w:r>
              <w:rPr>
                <w:rFonts w:ascii="Arial" w:cs="Arial" w:eastAsia="Arial" w:hAnsi="Arial"/>
                <w:sz w:val="20"/>
                <w:szCs w:val="20"/>
                <w:color w:val="auto"/>
              </w:rPr>
              <w:t>percentile</w:t>
            </w:r>
          </w:p>
        </w:tc>
        <w:tc>
          <w:tcPr>
            <w:tcW w:w="220" w:type="dxa"/>
            <w:vAlign w:val="bottom"/>
          </w:tcPr>
          <w:p>
            <w:pPr>
              <w:spacing w:after="0"/>
              <w:rPr>
                <w:sz w:val="13"/>
                <w:szCs w:val="13"/>
                <w:color w:val="auto"/>
              </w:rPr>
            </w:pPr>
          </w:p>
        </w:tc>
        <w:tc>
          <w:tcPr>
            <w:tcW w:w="1520" w:type="dxa"/>
            <w:vAlign w:val="bottom"/>
            <w:gridSpan w:val="3"/>
            <w:vMerge w:val="restart"/>
          </w:tcPr>
          <w:p>
            <w:pPr>
              <w:ind w:left="320"/>
              <w:spacing w:after="0" w:line="209" w:lineRule="exact"/>
              <w:rPr>
                <w:sz w:val="20"/>
                <w:szCs w:val="20"/>
                <w:color w:val="auto"/>
              </w:rPr>
            </w:pPr>
            <w:r>
              <w:rPr>
                <w:rFonts w:ascii="Arial" w:cs="Arial" w:eastAsia="Arial" w:hAnsi="Arial"/>
                <w:sz w:val="20"/>
                <w:szCs w:val="20"/>
                <w:color w:val="auto"/>
              </w:rPr>
              <w:t>percentile</w:t>
            </w:r>
          </w:p>
        </w:tc>
        <w:tc>
          <w:tcPr>
            <w:tcW w:w="220" w:type="dxa"/>
            <w:vAlign w:val="bottom"/>
          </w:tcPr>
          <w:p>
            <w:pPr>
              <w:spacing w:after="0"/>
              <w:rPr>
                <w:sz w:val="13"/>
                <w:szCs w:val="13"/>
                <w:color w:val="auto"/>
              </w:rPr>
            </w:pPr>
          </w:p>
        </w:tc>
        <w:tc>
          <w:tcPr>
            <w:tcW w:w="1200" w:type="dxa"/>
            <w:vAlign w:val="bottom"/>
            <w:gridSpan w:val="2"/>
            <w:vMerge w:val="restart"/>
          </w:tcPr>
          <w:p>
            <w:pPr>
              <w:jc w:val="center"/>
              <w:spacing w:after="0" w:line="209" w:lineRule="exact"/>
              <w:rPr>
                <w:sz w:val="20"/>
                <w:szCs w:val="20"/>
                <w:color w:val="auto"/>
              </w:rPr>
            </w:pPr>
            <w:r>
              <w:rPr>
                <w:rFonts w:ascii="Arial" w:cs="Arial" w:eastAsia="Arial" w:hAnsi="Arial"/>
                <w:sz w:val="20"/>
                <w:szCs w:val="20"/>
                <w:color w:val="auto"/>
              </w:rPr>
              <w:t>percentile</w:t>
            </w:r>
          </w:p>
        </w:tc>
        <w:tc>
          <w:tcPr>
            <w:tcW w:w="220" w:type="dxa"/>
            <w:vAlign w:val="bottom"/>
          </w:tcPr>
          <w:p>
            <w:pPr>
              <w:spacing w:after="0"/>
              <w:rPr>
                <w:sz w:val="13"/>
                <w:szCs w:val="13"/>
                <w:color w:val="auto"/>
              </w:rPr>
            </w:pPr>
          </w:p>
        </w:tc>
        <w:tc>
          <w:tcPr>
            <w:tcW w:w="1180" w:type="dxa"/>
            <w:vAlign w:val="bottom"/>
            <w:vMerge w:val="restart"/>
          </w:tcPr>
          <w:p>
            <w:pPr>
              <w:jc w:val="center"/>
              <w:spacing w:after="0" w:line="209" w:lineRule="exact"/>
              <w:rPr>
                <w:sz w:val="20"/>
                <w:szCs w:val="20"/>
                <w:color w:val="auto"/>
              </w:rPr>
            </w:pPr>
            <w:r>
              <w:rPr>
                <w:rFonts w:ascii="Arial" w:cs="Arial" w:eastAsia="Arial" w:hAnsi="Arial"/>
                <w:sz w:val="20"/>
                <w:szCs w:val="20"/>
                <w:color w:val="auto"/>
                <w:w w:val="99"/>
              </w:rPr>
              <w:t>percentile</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10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jc w:val="center"/>
              <w:spacing w:after="0" w:line="45" w:lineRule="exact"/>
              <w:rPr>
                <w:sz w:val="20"/>
                <w:szCs w:val="20"/>
                <w:color w:val="auto"/>
              </w:rPr>
            </w:pPr>
            <w:r>
              <w:rPr>
                <w:rFonts w:ascii="Times New Roman" w:cs="Times New Roman" w:eastAsia="Times New Roman" w:hAnsi="Times New Roman"/>
                <w:sz w:val="5"/>
                <w:szCs w:val="5"/>
                <w:color w:val="auto"/>
              </w:rPr>
              <w:t>-</w:t>
            </w: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jc w:val="center"/>
              <w:spacing w:after="0" w:line="45" w:lineRule="exact"/>
              <w:rPr>
                <w:sz w:val="20"/>
                <w:szCs w:val="20"/>
                <w:color w:val="auto"/>
              </w:rPr>
            </w:pPr>
            <w:r>
              <w:rPr>
                <w:rFonts w:ascii="Times New Roman" w:cs="Times New Roman" w:eastAsia="Times New Roman" w:hAnsi="Times New Roman"/>
                <w:sz w:val="5"/>
                <w:szCs w:val="5"/>
                <w:color w:val="auto"/>
              </w:rPr>
              <w:t>-</w:t>
            </w: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360" w:type="dxa"/>
            <w:vAlign w:val="bottom"/>
            <w:gridSpan w:val="2"/>
            <w:vMerge w:val="restart"/>
          </w:tcPr>
          <w:p>
            <w:pPr>
              <w:spacing w:after="0" w:line="210" w:lineRule="exact"/>
              <w:rPr>
                <w:sz w:val="20"/>
                <w:szCs w:val="20"/>
                <w:color w:val="auto"/>
              </w:rPr>
            </w:pPr>
            <w:r>
              <w:rPr>
                <w:rFonts w:ascii="Arial" w:cs="Arial" w:eastAsia="Arial" w:hAnsi="Arial"/>
                <w:sz w:val="19"/>
                <w:szCs w:val="19"/>
                <w:color w:val="auto"/>
                <w:w w:val="98"/>
              </w:rPr>
              <w:t>40</w:t>
            </w:r>
            <w:r>
              <w:rPr>
                <w:rFonts w:ascii="Arial" w:cs="Arial" w:eastAsia="Arial" w:hAnsi="Arial"/>
                <w:sz w:val="24"/>
                <w:szCs w:val="24"/>
                <w:color w:val="auto"/>
                <w:w w:val="98"/>
                <w:vertAlign w:val="superscript"/>
              </w:rPr>
              <w:t>th</w:t>
            </w:r>
          </w:p>
        </w:tc>
        <w:tc>
          <w:tcPr>
            <w:tcW w:w="120" w:type="dxa"/>
            <w:vAlign w:val="bottom"/>
            <w:vMerge w:val="restart"/>
          </w:tcPr>
          <w:p>
            <w:pPr>
              <w:jc w:val="center"/>
              <w:spacing w:after="0" w:line="210" w:lineRule="exact"/>
              <w:rPr>
                <w:sz w:val="20"/>
                <w:szCs w:val="20"/>
                <w:color w:val="auto"/>
              </w:rPr>
            </w:pPr>
            <w:r>
              <w:rPr>
                <w:rFonts w:ascii="Times New Roman" w:cs="Times New Roman" w:eastAsia="Times New Roman" w:hAnsi="Times New Roman"/>
                <w:sz w:val="20"/>
                <w:szCs w:val="20"/>
                <w:color w:val="auto"/>
                <w:w w:val="89"/>
              </w:rPr>
              <w:t>-</w:t>
            </w:r>
          </w:p>
        </w:tc>
        <w:tc>
          <w:tcPr>
            <w:tcW w:w="620" w:type="dxa"/>
            <w:vAlign w:val="bottom"/>
            <w:vMerge w:val="restart"/>
          </w:tcPr>
          <w:p>
            <w:pPr>
              <w:ind w:left="40"/>
              <w:spacing w:after="0" w:line="210" w:lineRule="exact"/>
              <w:rPr>
                <w:sz w:val="20"/>
                <w:szCs w:val="20"/>
                <w:color w:val="auto"/>
              </w:rPr>
            </w:pPr>
            <w:r>
              <w:rPr>
                <w:rFonts w:ascii="Arial" w:cs="Arial" w:eastAsia="Arial" w:hAnsi="Arial"/>
                <w:sz w:val="19"/>
                <w:szCs w:val="19"/>
                <w:color w:val="auto"/>
              </w:rPr>
              <w:t>50</w:t>
            </w:r>
            <w:r>
              <w:rPr>
                <w:rFonts w:ascii="Arial" w:cs="Arial" w:eastAsia="Arial" w:hAnsi="Arial"/>
                <w:sz w:val="24"/>
                <w:szCs w:val="24"/>
                <w:color w:val="auto"/>
                <w:vertAlign w:val="superscript"/>
              </w:rPr>
              <w:t>th</w:t>
            </w:r>
          </w:p>
        </w:tc>
        <w:tc>
          <w:tcPr>
            <w:tcW w:w="220" w:type="dxa"/>
            <w:vAlign w:val="bottom"/>
          </w:tcPr>
          <w:p>
            <w:pPr>
              <w:spacing w:after="0"/>
              <w:rPr>
                <w:sz w:val="9"/>
                <w:szCs w:val="9"/>
                <w:color w:val="auto"/>
              </w:rPr>
            </w:pPr>
          </w:p>
        </w:tc>
        <w:tc>
          <w:tcPr>
            <w:tcW w:w="700" w:type="dxa"/>
            <w:vAlign w:val="bottom"/>
            <w:vMerge w:val="restart"/>
          </w:tcPr>
          <w:p>
            <w:pPr>
              <w:ind w:left="340"/>
              <w:spacing w:after="0" w:line="210" w:lineRule="exact"/>
              <w:rPr>
                <w:sz w:val="20"/>
                <w:szCs w:val="20"/>
                <w:color w:val="auto"/>
              </w:rPr>
            </w:pPr>
            <w:r>
              <w:rPr>
                <w:rFonts w:ascii="Arial" w:cs="Arial" w:eastAsia="Arial" w:hAnsi="Arial"/>
                <w:sz w:val="19"/>
                <w:szCs w:val="19"/>
                <w:color w:val="auto"/>
                <w:w w:val="98"/>
              </w:rPr>
              <w:t>50</w:t>
            </w:r>
            <w:r>
              <w:rPr>
                <w:rFonts w:ascii="Arial" w:cs="Arial" w:eastAsia="Arial" w:hAnsi="Arial"/>
                <w:sz w:val="24"/>
                <w:szCs w:val="24"/>
                <w:color w:val="auto"/>
                <w:w w:val="98"/>
                <w:vertAlign w:val="superscript"/>
              </w:rPr>
              <w:t>th</w:t>
            </w:r>
          </w:p>
        </w:tc>
        <w:tc>
          <w:tcPr>
            <w:tcW w:w="120" w:type="dxa"/>
            <w:vAlign w:val="bottom"/>
            <w:vMerge w:val="restart"/>
          </w:tcPr>
          <w:p>
            <w:pPr>
              <w:jc w:val="center"/>
              <w:spacing w:after="0" w:line="210"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vMerge w:val="restart"/>
          </w:tcPr>
          <w:p>
            <w:pPr>
              <w:ind w:left="20"/>
              <w:spacing w:after="0" w:line="210" w:lineRule="exact"/>
              <w:rPr>
                <w:sz w:val="20"/>
                <w:szCs w:val="20"/>
                <w:color w:val="auto"/>
              </w:rPr>
            </w:pPr>
            <w:r>
              <w:rPr>
                <w:rFonts w:ascii="Arial" w:cs="Arial" w:eastAsia="Arial" w:hAnsi="Arial"/>
                <w:sz w:val="19"/>
                <w:szCs w:val="19"/>
                <w:color w:val="auto"/>
              </w:rPr>
              <w:t>65</w:t>
            </w:r>
            <w:r>
              <w:rPr>
                <w:rFonts w:ascii="Arial" w:cs="Arial" w:eastAsia="Arial" w:hAnsi="Arial"/>
                <w:sz w:val="24"/>
                <w:szCs w:val="24"/>
                <w:color w:val="auto"/>
                <w:vertAlign w:val="superscript"/>
              </w:rPr>
              <w:t>th</w:t>
            </w:r>
          </w:p>
        </w:tc>
        <w:tc>
          <w:tcPr>
            <w:tcW w:w="220" w:type="dxa"/>
            <w:vAlign w:val="bottom"/>
          </w:tcPr>
          <w:p>
            <w:pPr>
              <w:spacing w:after="0"/>
              <w:rPr>
                <w:sz w:val="9"/>
                <w:szCs w:val="9"/>
                <w:color w:val="auto"/>
              </w:rPr>
            </w:pPr>
          </w:p>
        </w:tc>
        <w:tc>
          <w:tcPr>
            <w:tcW w:w="1200" w:type="dxa"/>
            <w:vAlign w:val="bottom"/>
            <w:gridSpan w:val="2"/>
            <w:vMerge w:val="restart"/>
          </w:tcPr>
          <w:p>
            <w:pPr>
              <w:jc w:val="center"/>
              <w:spacing w:after="0" w:line="210" w:lineRule="exact"/>
              <w:rPr>
                <w:sz w:val="20"/>
                <w:szCs w:val="20"/>
                <w:color w:val="auto"/>
              </w:rPr>
            </w:pPr>
            <w:r>
              <w:rPr>
                <w:rFonts w:ascii="Arial" w:cs="Arial" w:eastAsia="Arial" w:hAnsi="Arial"/>
                <w:sz w:val="19"/>
                <w:szCs w:val="19"/>
                <w:color w:val="auto"/>
                <w:w w:val="96"/>
              </w:rPr>
              <w:t>&gt;85</w:t>
            </w:r>
            <w:r>
              <w:rPr>
                <w:rFonts w:ascii="Arial" w:cs="Arial" w:eastAsia="Arial" w:hAnsi="Arial"/>
                <w:sz w:val="24"/>
                <w:szCs w:val="24"/>
                <w:color w:val="auto"/>
                <w:w w:val="96"/>
                <w:vertAlign w:val="superscript"/>
              </w:rPr>
              <w:t>th</w:t>
            </w:r>
          </w:p>
        </w:tc>
        <w:tc>
          <w:tcPr>
            <w:tcW w:w="220" w:type="dxa"/>
            <w:vAlign w:val="bottom"/>
          </w:tcPr>
          <w:p>
            <w:pPr>
              <w:spacing w:after="0"/>
              <w:rPr>
                <w:sz w:val="9"/>
                <w:szCs w:val="9"/>
                <w:color w:val="auto"/>
              </w:rPr>
            </w:pPr>
          </w:p>
        </w:tc>
        <w:tc>
          <w:tcPr>
            <w:tcW w:w="1180" w:type="dxa"/>
            <w:vAlign w:val="bottom"/>
            <w:vMerge w:val="restart"/>
          </w:tcPr>
          <w:p>
            <w:pPr>
              <w:jc w:val="center"/>
              <w:spacing w:after="0" w:line="210" w:lineRule="exact"/>
              <w:rPr>
                <w:sz w:val="20"/>
                <w:szCs w:val="20"/>
                <w:color w:val="auto"/>
              </w:rPr>
            </w:pPr>
            <w:r>
              <w:rPr>
                <w:rFonts w:ascii="Arial" w:cs="Arial" w:eastAsia="Arial" w:hAnsi="Arial"/>
                <w:sz w:val="19"/>
                <w:szCs w:val="19"/>
                <w:color w:val="auto"/>
                <w:w w:val="98"/>
              </w:rPr>
              <w:t>95</w:t>
            </w:r>
            <w:r>
              <w:rPr>
                <w:rFonts w:ascii="Arial" w:cs="Arial" w:eastAsia="Arial" w:hAnsi="Arial"/>
                <w:sz w:val="24"/>
                <w:szCs w:val="24"/>
                <w:color w:val="auto"/>
                <w:w w:val="98"/>
                <w:vertAlign w:val="superscript"/>
              </w:rPr>
              <w:t>th</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6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1180" w:type="dxa"/>
            <w:vAlign w:val="bottom"/>
            <w:vMerge w:val="continue"/>
          </w:tcPr>
          <w:p>
            <w:pPr>
              <w:spacing w:after="0"/>
              <w:rPr>
                <w:sz w:val="8"/>
                <w:szCs w:val="8"/>
                <w:color w:val="auto"/>
              </w:rPr>
            </w:pPr>
          </w:p>
        </w:tc>
        <w:tc>
          <w:tcPr>
            <w:tcW w:w="1560" w:type="dxa"/>
            <w:vAlign w:val="bottom"/>
            <w:vMerge w:val="restart"/>
            <w:shd w:val="clear" w:color="auto" w:fill="D9D9D9"/>
          </w:tcPr>
          <w:p>
            <w:pPr>
              <w:jc w:val="right"/>
              <w:ind w:right="320"/>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134"/>
        </w:trPr>
        <w:tc>
          <w:tcPr>
            <w:tcW w:w="1100" w:type="dxa"/>
            <w:vAlign w:val="bottom"/>
            <w:gridSpan w:val="4"/>
            <w:vMerge w:val="restart"/>
          </w:tcPr>
          <w:p>
            <w:pPr>
              <w:spacing w:after="0"/>
              <w:rPr>
                <w:sz w:val="20"/>
                <w:szCs w:val="20"/>
                <w:color w:val="auto"/>
              </w:rPr>
            </w:pPr>
            <w:r>
              <w:rPr>
                <w:rFonts w:ascii="Arial" w:cs="Arial" w:eastAsia="Arial" w:hAnsi="Arial"/>
                <w:sz w:val="20"/>
                <w:szCs w:val="20"/>
                <w:color w:val="auto"/>
              </w:rPr>
              <w:t>percentile</w:t>
            </w:r>
          </w:p>
        </w:tc>
        <w:tc>
          <w:tcPr>
            <w:tcW w:w="220" w:type="dxa"/>
            <w:vAlign w:val="bottom"/>
            <w:shd w:val="clear" w:color="auto" w:fill="D9D9D9"/>
          </w:tcPr>
          <w:p>
            <w:pPr>
              <w:spacing w:after="0"/>
              <w:rPr>
                <w:sz w:val="11"/>
                <w:szCs w:val="11"/>
                <w:color w:val="auto"/>
              </w:rPr>
            </w:pPr>
          </w:p>
        </w:tc>
        <w:tc>
          <w:tcPr>
            <w:tcW w:w="1520" w:type="dxa"/>
            <w:vAlign w:val="bottom"/>
            <w:gridSpan w:val="3"/>
            <w:vMerge w:val="restart"/>
          </w:tcPr>
          <w:p>
            <w:pPr>
              <w:ind w:left="320"/>
              <w:spacing w:after="0"/>
              <w:rPr>
                <w:sz w:val="20"/>
                <w:szCs w:val="20"/>
                <w:color w:val="auto"/>
              </w:rPr>
            </w:pPr>
            <w:r>
              <w:rPr>
                <w:rFonts w:ascii="Arial" w:cs="Arial" w:eastAsia="Arial" w:hAnsi="Arial"/>
                <w:sz w:val="20"/>
                <w:szCs w:val="20"/>
                <w:color w:val="auto"/>
              </w:rPr>
              <w:t>percentile</w:t>
            </w:r>
          </w:p>
        </w:tc>
        <w:tc>
          <w:tcPr>
            <w:tcW w:w="220" w:type="dxa"/>
            <w:vAlign w:val="bottom"/>
            <w:shd w:val="clear" w:color="auto" w:fill="D9D9D9"/>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20"/>
                <w:szCs w:val="20"/>
                <w:color w:val="auto"/>
              </w:rPr>
              <w:t>percentile</w:t>
            </w:r>
          </w:p>
        </w:tc>
        <w:tc>
          <w:tcPr>
            <w:tcW w:w="220" w:type="dxa"/>
            <w:vAlign w:val="bottom"/>
            <w:shd w:val="clear" w:color="auto" w:fill="D9D9D9"/>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20"/>
                <w:szCs w:val="20"/>
                <w:color w:val="auto"/>
                <w:w w:val="99"/>
              </w:rPr>
              <w:t>percentile</w:t>
            </w:r>
          </w:p>
        </w:tc>
        <w:tc>
          <w:tcPr>
            <w:tcW w:w="156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10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1100" w:type="dxa"/>
            <w:vAlign w:val="bottom"/>
            <w:gridSpan w:val="4"/>
          </w:tcPr>
          <w:p>
            <w:pPr>
              <w:jc w:val="center"/>
              <w:ind w:right="192"/>
              <w:spacing w:after="0"/>
              <w:rPr>
                <w:sz w:val="20"/>
                <w:szCs w:val="20"/>
                <w:color w:val="auto"/>
              </w:rPr>
            </w:pPr>
            <w:r>
              <w:rPr>
                <w:rFonts w:ascii="Arial" w:cs="Arial" w:eastAsia="Arial" w:hAnsi="Arial"/>
                <w:sz w:val="20"/>
                <w:szCs w:val="20"/>
                <w:color w:val="auto"/>
                <w:w w:val="99"/>
              </w:rPr>
              <w:t>50%</w:t>
            </w:r>
          </w:p>
        </w:tc>
        <w:tc>
          <w:tcPr>
            <w:tcW w:w="1740" w:type="dxa"/>
            <w:vAlign w:val="bottom"/>
            <w:gridSpan w:val="4"/>
          </w:tcPr>
          <w:p>
            <w:pPr>
              <w:jc w:val="center"/>
              <w:ind w:left="120"/>
              <w:spacing w:after="0"/>
              <w:rPr>
                <w:sz w:val="20"/>
                <w:szCs w:val="20"/>
                <w:color w:val="auto"/>
              </w:rPr>
            </w:pPr>
            <w:r>
              <w:rPr>
                <w:rFonts w:ascii="Arial" w:cs="Arial" w:eastAsia="Arial" w:hAnsi="Arial"/>
                <w:sz w:val="20"/>
                <w:szCs w:val="20"/>
                <w:color w:val="auto"/>
              </w:rPr>
              <w:t>100%</w:t>
            </w:r>
          </w:p>
        </w:tc>
        <w:tc>
          <w:tcPr>
            <w:tcW w:w="220" w:type="dxa"/>
            <w:vAlign w:val="bottom"/>
          </w:tcPr>
          <w:p>
            <w:pPr>
              <w:spacing w:after="0"/>
              <w:rPr>
                <w:sz w:val="23"/>
                <w:szCs w:val="23"/>
                <w:color w:val="auto"/>
              </w:rPr>
            </w:pPr>
          </w:p>
        </w:tc>
        <w:tc>
          <w:tcPr>
            <w:tcW w:w="1040" w:type="dxa"/>
            <w:vAlign w:val="bottom"/>
          </w:tcPr>
          <w:p>
            <w:pPr>
              <w:jc w:val="center"/>
              <w:ind w:left="61"/>
              <w:spacing w:after="0"/>
              <w:rPr>
                <w:sz w:val="20"/>
                <w:szCs w:val="20"/>
                <w:color w:val="auto"/>
              </w:rPr>
            </w:pPr>
            <w:r>
              <w:rPr>
                <w:rFonts w:ascii="Arial" w:cs="Arial" w:eastAsia="Arial" w:hAnsi="Arial"/>
                <w:sz w:val="20"/>
                <w:szCs w:val="20"/>
                <w:color w:val="auto"/>
              </w:rPr>
              <w:t>200%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-1536700</wp:posOffset>
                </wp:positionH>
                <wp:positionV relativeFrom="paragraph">
                  <wp:posOffset>-1043940</wp:posOffset>
                </wp:positionV>
                <wp:extent cx="6400800" cy="295275"/>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295275"/>
                        </a:xfrm>
                        <a:prstGeom prst="rect">
                          <a:avLst/>
                        </a:prstGeom>
                        <a:solidFill>
                          <a:srgbClr val="D9D9D9"/>
                        </a:solidFill>
                      </wps:spPr>
                      <wps:bodyPr/>
                    </wps:wsp>
                  </a:graphicData>
                </a:graphic>
              </wp:anchor>
            </w:drawing>
          </mc:Choice>
          <mc:Fallback>
            <w:pict>
              <v:rect id="Shape 507" o:spid="_x0000_s1532" style="position:absolute;margin-left:-121pt;margin-top:-82.1999pt;width:504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-970280</wp:posOffset>
                </wp:positionV>
                <wp:extent cx="120650" cy="146685"/>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0" cy="146685"/>
                        </a:xfrm>
                        <a:prstGeom prst="rect">
                          <a:avLst/>
                        </a:prstGeom>
                        <a:solidFill>
                          <a:srgbClr val="D9D9D9"/>
                        </a:solidFill>
                      </wps:spPr>
                      <wps:bodyPr/>
                    </wps:wsp>
                  </a:graphicData>
                </a:graphic>
              </wp:anchor>
            </w:drawing>
          </mc:Choice>
          <mc:Fallback>
            <w:pict>
              <v:rect id="Shape 508" o:spid="_x0000_s1533" style="position:absolute;margin-left:0pt;margin-top:-76.3999pt;width:9.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-1536700</wp:posOffset>
                </wp:positionH>
                <wp:positionV relativeFrom="paragraph">
                  <wp:posOffset>-454025</wp:posOffset>
                </wp:positionV>
                <wp:extent cx="6400800" cy="29464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294640"/>
                        </a:xfrm>
                        <a:prstGeom prst="rect">
                          <a:avLst/>
                        </a:prstGeom>
                        <a:solidFill>
                          <a:srgbClr val="D9D9D9"/>
                        </a:solidFill>
                      </wps:spPr>
                      <wps:bodyPr/>
                    </wps:wsp>
                  </a:graphicData>
                </a:graphic>
              </wp:anchor>
            </w:drawing>
          </mc:Choice>
          <mc:Fallback>
            <w:pict>
              <v:rect id="Shape 509" o:spid="_x0000_s1534" style="position:absolute;margin-left:-121pt;margin-top:-35.7499pt;width:504pt;height:2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-380365</wp:posOffset>
                </wp:positionV>
                <wp:extent cx="120650" cy="146685"/>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0" cy="146685"/>
                        </a:xfrm>
                        <a:prstGeom prst="rect">
                          <a:avLst/>
                        </a:prstGeom>
                        <a:solidFill>
                          <a:srgbClr val="D9D9D9"/>
                        </a:solidFill>
                      </wps:spPr>
                      <wps:bodyPr/>
                    </wps:wsp>
                  </a:graphicData>
                </a:graphic>
              </wp:anchor>
            </w:drawing>
          </mc:Choice>
          <mc:Fallback>
            <w:pict>
              <v:rect id="Shape 510" o:spid="_x0000_s1535" style="position:absolute;margin-left:0pt;margin-top:-29.9499pt;width:9.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-1545590</wp:posOffset>
                </wp:positionH>
                <wp:positionV relativeFrom="paragraph">
                  <wp:posOffset>-9525</wp:posOffset>
                </wp:positionV>
                <wp:extent cx="6409690" cy="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9690" cy="4763"/>
                        </a:xfrm>
                        <a:prstGeom prst="line">
                          <a:avLst/>
                        </a:prstGeom>
                        <a:solidFill>
                          <a:srgbClr val="FFFFFF"/>
                        </a:solidFill>
                        <a:ln w="6096">
                          <a:solidFill>
                            <a:srgbClr val="000039"/>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6999pt,-0.7499pt" to="383pt,-0.7499pt" o:allowincell="f" strokecolor="#000039" strokeweight="0.48pt"/>
            </w:pict>
          </mc:Fallback>
        </mc:AlternateContent>
      </w:r>
    </w:p>
    <w:p>
      <w:pPr>
        <w:spacing w:after="0" w:line="200" w:lineRule="exact"/>
        <w:rPr>
          <w:sz w:val="20"/>
          <w:szCs w:val="20"/>
          <w:color w:val="auto"/>
        </w:rPr>
      </w:pPr>
    </w:p>
    <w:p>
      <w:pPr>
        <w:sectPr>
          <w:pgSz w:w="11880" w:h="15480" w:orient="portrait"/>
          <w:cols w:equalWidth="0" w:num="2">
            <w:col w:w="2340" w:space="100"/>
            <w:col w:w="7660"/>
          </w:cols>
          <w:pgMar w:left="880" w:top="702"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552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-212725</wp:posOffset>
            </wp:positionV>
            <wp:extent cx="991870" cy="2006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221">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100"/>
          </w:cols>
          <w:pgMar w:left="880" w:top="702" w:right="900" w:bottom="0" w:gutter="0" w:footer="0" w:header="0"/>
          <w:type w:val="continuous"/>
        </w:sectPr>
      </w:pPr>
    </w:p>
    <w:bookmarkStart w:id="172" w:name="page173"/>
    <w:bookmarkEnd w:id="172"/>
    <w:p>
      <w:pPr>
        <w:ind w:left="20"/>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left="380" w:right="600" w:hanging="360"/>
        <w:spacing w:after="0" w:line="283" w:lineRule="auto"/>
        <w:tabs>
          <w:tab w:leader="none" w:pos="3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Adjusted diluted earnings per share is a non-GAAP measure that represents diluted earnings per share adjusted to exclude certain specified items, as described in Appendix B.</w:t>
      </w:r>
    </w:p>
    <w:p>
      <w:pPr>
        <w:spacing w:after="0" w:line="157" w:lineRule="exact"/>
        <w:rPr>
          <w:rFonts w:ascii="Arial" w:cs="Arial" w:eastAsia="Arial" w:hAnsi="Arial"/>
          <w:sz w:val="20"/>
          <w:szCs w:val="20"/>
          <w:color w:val="auto"/>
        </w:rPr>
      </w:pPr>
    </w:p>
    <w:p>
      <w:pPr>
        <w:ind w:left="380" w:right="120" w:hanging="360"/>
        <w:spacing w:after="0" w:line="254" w:lineRule="auto"/>
        <w:tabs>
          <w:tab w:leader="none" w:pos="3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ROIC is a non-GAAP measure equal to the quotient of (i) adjusted net earnings, as outlined in Appendix B, divided by (ii) average invested capital. Average invested capital is equal to the average of the following over fiscal years 2024 and 2025: total stockholders’ equity, plus long-term debt (which excludes any long-term lease obligations included as long-term debt on the company’s balance sheet).</w:t>
      </w:r>
    </w:p>
    <w:p>
      <w:pPr>
        <w:spacing w:after="0" w:line="186" w:lineRule="exact"/>
        <w:rPr>
          <w:rFonts w:ascii="Arial" w:cs="Arial" w:eastAsia="Arial" w:hAnsi="Arial"/>
          <w:sz w:val="20"/>
          <w:szCs w:val="20"/>
          <w:color w:val="auto"/>
        </w:rPr>
      </w:pPr>
    </w:p>
    <w:p>
      <w:pPr>
        <w:ind w:left="380" w:right="120" w:hanging="360"/>
        <w:spacing w:after="0" w:line="250" w:lineRule="auto"/>
        <w:tabs>
          <w:tab w:leader="none" w:pos="3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Due to the uncertainty associated with the timing of acquired IPR&amp;D and milestones expense, the financial goals established to evaluate management performance for purposes of incentive compensation exclude the impact of these payments. However, the performance goals shown in this table have been adjusted to account for acquired IPR&amp;D and milestones expense in 2025 and the results include the unfavorable impact of those expenses.</w:t>
      </w:r>
    </w:p>
    <w:p>
      <w:pPr>
        <w:spacing w:after="0" w:line="192" w:lineRule="exact"/>
        <w:rPr>
          <w:sz w:val="20"/>
          <w:szCs w:val="20"/>
          <w:color w:val="auto"/>
        </w:rPr>
      </w:pPr>
    </w:p>
    <w:p>
      <w:pPr>
        <w:ind w:left="20" w:right="540"/>
        <w:spacing w:after="0" w:line="283" w:lineRule="auto"/>
        <w:rPr>
          <w:sz w:val="20"/>
          <w:szCs w:val="20"/>
          <w:color w:val="auto"/>
        </w:rPr>
      </w:pPr>
      <w:r>
        <w:rPr>
          <w:rFonts w:ascii="Arial" w:cs="Arial" w:eastAsia="Arial" w:hAnsi="Arial"/>
          <w:sz w:val="20"/>
          <w:szCs w:val="20"/>
          <w:color w:val="auto"/>
        </w:rPr>
        <w:t>AbbVie granted performance shares in 2023 that were subject to a three-year performance cycle that ended December 31, 2025. The table below shows the performance targets and actual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160020</wp:posOffset>
                </wp:positionV>
                <wp:extent cx="6400800" cy="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2.6pt" to="505pt,12.6pt" o:allowincell="f" strokecolor="#000000" strokeweight="0.48pt"/>
            </w:pict>
          </mc:Fallback>
        </mc:AlternateConten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00" w:type="dxa"/>
            <w:vAlign w:val="bottom"/>
          </w:tcPr>
          <w:p>
            <w:pPr>
              <w:ind w:left="120"/>
              <w:spacing w:after="0"/>
              <w:rPr>
                <w:sz w:val="20"/>
                <w:szCs w:val="20"/>
                <w:color w:val="auto"/>
              </w:rPr>
            </w:pPr>
            <w:r>
              <w:rPr>
                <w:rFonts w:ascii="Arial" w:cs="Arial" w:eastAsia="Arial" w:hAnsi="Arial"/>
                <w:sz w:val="16"/>
                <w:szCs w:val="16"/>
                <w:b w:val="1"/>
                <w:bCs w:val="1"/>
                <w:color w:val="000039"/>
              </w:rPr>
              <w:t>Performance</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10" w:type="dxa"/>
            <w:vAlign w:val="bottom"/>
          </w:tcPr>
          <w:p>
            <w:pPr>
              <w:spacing w:after="0"/>
              <w:rPr>
                <w:sz w:val="16"/>
                <w:szCs w:val="16"/>
                <w:color w:val="auto"/>
              </w:rPr>
            </w:pPr>
          </w:p>
        </w:tc>
        <w:tc>
          <w:tcPr>
            <w:tcW w:w="99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00" w:type="dxa"/>
            <w:vAlign w:val="bottom"/>
          </w:tcPr>
          <w:p>
            <w:pPr>
              <w:ind w:left="120"/>
              <w:spacing w:after="0"/>
              <w:rPr>
                <w:sz w:val="20"/>
                <w:szCs w:val="20"/>
                <w:color w:val="auto"/>
              </w:rPr>
            </w:pPr>
            <w:r>
              <w:rPr>
                <w:rFonts w:ascii="Arial" w:cs="Arial" w:eastAsia="Arial" w:hAnsi="Arial"/>
                <w:sz w:val="16"/>
                <w:szCs w:val="16"/>
                <w:b w:val="1"/>
                <w:bCs w:val="1"/>
                <w:color w:val="000039"/>
              </w:rPr>
              <w:t>Objective &amp; Payout</w:t>
            </w: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00039"/>
              </w:rPr>
              <w:t>Threshold</w:t>
            </w:r>
          </w:p>
        </w:tc>
        <w:tc>
          <w:tcPr>
            <w:tcW w:w="2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000039"/>
              </w:rPr>
              <w:t>Target</w:t>
            </w: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00039"/>
                <w:w w:val="97"/>
              </w:rPr>
              <w:t>Maximum</w:t>
            </w:r>
          </w:p>
        </w:tc>
        <w:tc>
          <w:tcPr>
            <w:tcW w:w="200" w:type="dxa"/>
            <w:vAlign w:val="bottom"/>
          </w:tcPr>
          <w:p>
            <w:pPr>
              <w:spacing w:after="0"/>
              <w:rPr>
                <w:sz w:val="15"/>
                <w:szCs w:val="15"/>
                <w:color w:val="auto"/>
              </w:rPr>
            </w:pPr>
          </w:p>
        </w:tc>
        <w:tc>
          <w:tcPr>
            <w:tcW w:w="270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000039"/>
                <w:w w:val="98"/>
              </w:rPr>
              <w:t>Actual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00" w:type="dxa"/>
            <w:vAlign w:val="bottom"/>
          </w:tcPr>
          <w:p>
            <w:pPr>
              <w:ind w:left="120"/>
              <w:spacing w:after="0"/>
              <w:rPr>
                <w:sz w:val="20"/>
                <w:szCs w:val="20"/>
                <w:color w:val="auto"/>
              </w:rPr>
            </w:pPr>
            <w:r>
              <w:rPr>
                <w:rFonts w:ascii="Arial" w:cs="Arial" w:eastAsia="Arial" w:hAnsi="Arial"/>
                <w:sz w:val="16"/>
                <w:szCs w:val="16"/>
                <w:b w:val="1"/>
                <w:bCs w:val="1"/>
                <w:color w:val="000039"/>
              </w:rPr>
              <w:t>Modification</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10" w:type="dxa"/>
            <w:vAlign w:val="bottom"/>
          </w:tcPr>
          <w:p>
            <w:pPr>
              <w:spacing w:after="0"/>
              <w:rPr>
                <w:sz w:val="19"/>
                <w:szCs w:val="19"/>
                <w:color w:val="auto"/>
              </w:rPr>
            </w:pPr>
          </w:p>
        </w:tc>
        <w:tc>
          <w:tcPr>
            <w:tcW w:w="99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900" w:type="dxa"/>
            <w:vAlign w:val="bottom"/>
            <w:tcBorders>
              <w:bottom w:val="single" w:sz="8" w:color="000039"/>
            </w:tcBorders>
          </w:tcPr>
          <w:p>
            <w:pPr>
              <w:spacing w:after="0"/>
              <w:rPr>
                <w:sz w:val="5"/>
                <w:szCs w:val="5"/>
                <w:color w:val="auto"/>
              </w:rPr>
            </w:pPr>
          </w:p>
        </w:tc>
        <w:tc>
          <w:tcPr>
            <w:tcW w:w="220" w:type="dxa"/>
            <w:vAlign w:val="bottom"/>
            <w:tcBorders>
              <w:bottom w:val="single" w:sz="8" w:color="000039"/>
            </w:tcBorders>
          </w:tcPr>
          <w:p>
            <w:pPr>
              <w:spacing w:after="0"/>
              <w:rPr>
                <w:sz w:val="5"/>
                <w:szCs w:val="5"/>
                <w:color w:val="auto"/>
              </w:rPr>
            </w:pPr>
          </w:p>
        </w:tc>
        <w:tc>
          <w:tcPr>
            <w:tcW w:w="1340" w:type="dxa"/>
            <w:vAlign w:val="bottom"/>
            <w:tcBorders>
              <w:bottom w:val="single" w:sz="8" w:color="000039"/>
            </w:tcBorders>
          </w:tcPr>
          <w:p>
            <w:pPr>
              <w:spacing w:after="0"/>
              <w:rPr>
                <w:sz w:val="5"/>
                <w:szCs w:val="5"/>
                <w:color w:val="auto"/>
              </w:rPr>
            </w:pPr>
          </w:p>
        </w:tc>
        <w:tc>
          <w:tcPr>
            <w:tcW w:w="220" w:type="dxa"/>
            <w:vAlign w:val="bottom"/>
            <w:tcBorders>
              <w:bottom w:val="single" w:sz="8" w:color="000039"/>
            </w:tcBorders>
          </w:tcPr>
          <w:p>
            <w:pPr>
              <w:spacing w:after="0"/>
              <w:rPr>
                <w:sz w:val="5"/>
                <w:szCs w:val="5"/>
                <w:color w:val="auto"/>
              </w:rPr>
            </w:pPr>
          </w:p>
        </w:tc>
        <w:tc>
          <w:tcPr>
            <w:tcW w:w="1940" w:type="dxa"/>
            <w:vAlign w:val="bottom"/>
            <w:tcBorders>
              <w:bottom w:val="single" w:sz="8" w:color="000039"/>
            </w:tcBorders>
          </w:tcPr>
          <w:p>
            <w:pPr>
              <w:spacing w:after="0"/>
              <w:rPr>
                <w:sz w:val="5"/>
                <w:szCs w:val="5"/>
                <w:color w:val="auto"/>
              </w:rPr>
            </w:pPr>
          </w:p>
        </w:tc>
        <w:tc>
          <w:tcPr>
            <w:tcW w:w="200" w:type="dxa"/>
            <w:vAlign w:val="bottom"/>
            <w:tcBorders>
              <w:bottom w:val="single" w:sz="8" w:color="000039"/>
            </w:tcBorders>
          </w:tcPr>
          <w:p>
            <w:pPr>
              <w:spacing w:after="0"/>
              <w:rPr>
                <w:sz w:val="5"/>
                <w:szCs w:val="5"/>
                <w:color w:val="auto"/>
              </w:rPr>
            </w:pPr>
          </w:p>
        </w:tc>
        <w:tc>
          <w:tcPr>
            <w:tcW w:w="1360" w:type="dxa"/>
            <w:vAlign w:val="bottom"/>
            <w:tcBorders>
              <w:bottom w:val="single" w:sz="8" w:color="000039"/>
            </w:tcBorders>
          </w:tcPr>
          <w:p>
            <w:pPr>
              <w:spacing w:after="0"/>
              <w:rPr>
                <w:sz w:val="5"/>
                <w:szCs w:val="5"/>
                <w:color w:val="auto"/>
              </w:rPr>
            </w:pPr>
          </w:p>
        </w:tc>
        <w:tc>
          <w:tcPr>
            <w:tcW w:w="200" w:type="dxa"/>
            <w:vAlign w:val="bottom"/>
            <w:tcBorders>
              <w:bottom w:val="single" w:sz="8" w:color="000039"/>
            </w:tcBorders>
          </w:tcPr>
          <w:p>
            <w:pPr>
              <w:spacing w:after="0"/>
              <w:rPr>
                <w:sz w:val="5"/>
                <w:szCs w:val="5"/>
                <w:color w:val="auto"/>
              </w:rPr>
            </w:pPr>
          </w:p>
        </w:tc>
        <w:tc>
          <w:tcPr>
            <w:tcW w:w="1710" w:type="dxa"/>
            <w:vAlign w:val="bottom"/>
            <w:tcBorders>
              <w:bottom w:val="single" w:sz="8" w:color="000039"/>
            </w:tcBorders>
          </w:tcPr>
          <w:p>
            <w:pPr>
              <w:spacing w:after="0"/>
              <w:rPr>
                <w:sz w:val="5"/>
                <w:szCs w:val="5"/>
                <w:color w:val="auto"/>
              </w:rPr>
            </w:pPr>
          </w:p>
        </w:tc>
        <w:tc>
          <w:tcPr>
            <w:tcW w:w="990" w:type="dxa"/>
            <w:vAlign w:val="bottom"/>
            <w:tcBorders>
              <w:bottom w:val="single" w:sz="8" w:color="000039"/>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vMerge w:val="restart"/>
            <w:shd w:val="clear" w:color="auto" w:fill="D9D9D9"/>
          </w:tcPr>
          <w:p>
            <w:pPr>
              <w:ind w:left="120"/>
              <w:spacing w:after="0"/>
              <w:rPr>
                <w:sz w:val="20"/>
                <w:szCs w:val="20"/>
                <w:color w:val="auto"/>
              </w:rPr>
            </w:pPr>
            <w:r>
              <w:rPr>
                <w:rFonts w:ascii="Arial" w:cs="Arial" w:eastAsia="Arial" w:hAnsi="Arial"/>
                <w:sz w:val="20"/>
                <w:szCs w:val="20"/>
                <w:color w:val="auto"/>
              </w:rPr>
              <w:t>Relative TSR</w:t>
            </w:r>
          </w:p>
        </w:tc>
        <w:tc>
          <w:tcPr>
            <w:tcW w:w="220" w:type="dxa"/>
            <w:vAlign w:val="bottom"/>
            <w:shd w:val="clear" w:color="auto" w:fill="D9D9D9"/>
          </w:tcPr>
          <w:p>
            <w:pPr>
              <w:spacing w:after="0"/>
              <w:rPr>
                <w:sz w:val="17"/>
                <w:szCs w:val="17"/>
                <w:color w:val="auto"/>
              </w:rPr>
            </w:pPr>
          </w:p>
        </w:tc>
        <w:tc>
          <w:tcPr>
            <w:tcW w:w="1340" w:type="dxa"/>
            <w:vAlign w:val="bottom"/>
            <w:shd w:val="clear" w:color="auto" w:fill="D9D9D9"/>
          </w:tcPr>
          <w:p>
            <w:pPr>
              <w:jc w:val="center"/>
              <w:spacing w:after="0" w:line="200" w:lineRule="exact"/>
              <w:rPr>
                <w:sz w:val="20"/>
                <w:szCs w:val="20"/>
                <w:color w:val="auto"/>
              </w:rPr>
            </w:pPr>
            <w:r>
              <w:rPr>
                <w:rFonts w:ascii="Arial" w:cs="Arial" w:eastAsia="Arial" w:hAnsi="Arial"/>
                <w:sz w:val="20"/>
                <w:szCs w:val="20"/>
                <w:color w:val="auto"/>
              </w:rPr>
              <w:t>15 pts below</w:t>
            </w:r>
          </w:p>
        </w:tc>
        <w:tc>
          <w:tcPr>
            <w:tcW w:w="220" w:type="dxa"/>
            <w:vAlign w:val="bottom"/>
            <w:shd w:val="clear" w:color="auto" w:fill="D9D9D9"/>
          </w:tcPr>
          <w:p>
            <w:pPr>
              <w:spacing w:after="0"/>
              <w:rPr>
                <w:sz w:val="17"/>
                <w:szCs w:val="17"/>
                <w:color w:val="auto"/>
              </w:rPr>
            </w:pPr>
          </w:p>
        </w:tc>
        <w:tc>
          <w:tcPr>
            <w:tcW w:w="1940" w:type="dxa"/>
            <w:vAlign w:val="bottom"/>
            <w:shd w:val="clear" w:color="auto" w:fill="D9D9D9"/>
          </w:tcPr>
          <w:p>
            <w:pPr>
              <w:jc w:val="center"/>
              <w:spacing w:after="0" w:line="200" w:lineRule="exact"/>
              <w:rPr>
                <w:sz w:val="20"/>
                <w:szCs w:val="20"/>
                <w:color w:val="auto"/>
              </w:rPr>
            </w:pPr>
            <w:r>
              <w:rPr>
                <w:rFonts w:ascii="Arial" w:cs="Arial" w:eastAsia="Arial" w:hAnsi="Arial"/>
                <w:sz w:val="20"/>
                <w:szCs w:val="20"/>
                <w:color w:val="auto"/>
                <w:w w:val="99"/>
              </w:rPr>
              <w:t>Equal to index</w:t>
            </w:r>
          </w:p>
        </w:tc>
        <w:tc>
          <w:tcPr>
            <w:tcW w:w="200" w:type="dxa"/>
            <w:vAlign w:val="bottom"/>
            <w:shd w:val="clear" w:color="auto" w:fill="D9D9D9"/>
          </w:tcPr>
          <w:p>
            <w:pPr>
              <w:spacing w:after="0"/>
              <w:rPr>
                <w:sz w:val="17"/>
                <w:szCs w:val="17"/>
                <w:color w:val="auto"/>
              </w:rPr>
            </w:pPr>
          </w:p>
        </w:tc>
        <w:tc>
          <w:tcPr>
            <w:tcW w:w="1360" w:type="dxa"/>
            <w:vAlign w:val="bottom"/>
            <w:shd w:val="clear" w:color="auto" w:fill="D9D9D9"/>
          </w:tcPr>
          <w:p>
            <w:pPr>
              <w:jc w:val="center"/>
              <w:spacing w:after="0" w:line="200" w:lineRule="exact"/>
              <w:rPr>
                <w:sz w:val="20"/>
                <w:szCs w:val="20"/>
                <w:color w:val="auto"/>
              </w:rPr>
            </w:pPr>
            <w:r>
              <w:rPr>
                <w:rFonts w:ascii="Arial" w:cs="Arial" w:eastAsia="Arial" w:hAnsi="Arial"/>
                <w:sz w:val="20"/>
                <w:szCs w:val="20"/>
                <w:color w:val="auto"/>
              </w:rPr>
              <w:t>15 pts above</w:t>
            </w:r>
          </w:p>
        </w:tc>
        <w:tc>
          <w:tcPr>
            <w:tcW w:w="200" w:type="dxa"/>
            <w:vAlign w:val="bottom"/>
            <w:shd w:val="clear" w:color="auto" w:fill="D9D9D9"/>
          </w:tcPr>
          <w:p>
            <w:pPr>
              <w:spacing w:after="0"/>
              <w:rPr>
                <w:sz w:val="17"/>
                <w:szCs w:val="17"/>
                <w:color w:val="auto"/>
              </w:rPr>
            </w:pPr>
          </w:p>
        </w:tc>
        <w:tc>
          <w:tcPr>
            <w:tcW w:w="1710" w:type="dxa"/>
            <w:vAlign w:val="bottom"/>
            <w:shd w:val="clear" w:color="auto" w:fill="D9D9D9"/>
          </w:tcPr>
          <w:p>
            <w:pPr>
              <w:jc w:val="center"/>
              <w:spacing w:after="0" w:line="200" w:lineRule="exact"/>
              <w:rPr>
                <w:sz w:val="20"/>
                <w:szCs w:val="20"/>
                <w:color w:val="auto"/>
              </w:rPr>
            </w:pPr>
            <w:r>
              <w:rPr>
                <w:rFonts w:ascii="Arial" w:cs="Arial" w:eastAsia="Arial" w:hAnsi="Arial"/>
                <w:sz w:val="20"/>
                <w:szCs w:val="20"/>
                <w:color w:val="auto"/>
              </w:rPr>
              <w:t>30.7 pts above</w:t>
            </w:r>
          </w:p>
        </w:tc>
        <w:tc>
          <w:tcPr>
            <w:tcW w:w="99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vMerge w:val="continue"/>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1340" w:type="dxa"/>
            <w:vAlign w:val="bottom"/>
            <w:vMerge w:val="restart"/>
            <w:shd w:val="clear" w:color="auto" w:fill="D9D9D9"/>
          </w:tcPr>
          <w:p>
            <w:pPr>
              <w:jc w:val="center"/>
              <w:spacing w:after="0"/>
              <w:rPr>
                <w:sz w:val="20"/>
                <w:szCs w:val="20"/>
                <w:color w:val="auto"/>
              </w:rPr>
            </w:pPr>
            <w:r>
              <w:rPr>
                <w:rFonts w:ascii="Arial" w:cs="Arial" w:eastAsia="Arial" w:hAnsi="Arial"/>
                <w:sz w:val="20"/>
                <w:szCs w:val="20"/>
                <w:color w:val="auto"/>
                <w:w w:val="96"/>
              </w:rPr>
              <w:t>index</w:t>
            </w:r>
          </w:p>
        </w:tc>
        <w:tc>
          <w:tcPr>
            <w:tcW w:w="220" w:type="dxa"/>
            <w:vAlign w:val="bottom"/>
            <w:shd w:val="clear" w:color="auto" w:fill="D9D9D9"/>
          </w:tcPr>
          <w:p>
            <w:pPr>
              <w:spacing w:after="0"/>
              <w:rPr>
                <w:sz w:val="11"/>
                <w:szCs w:val="11"/>
                <w:color w:val="auto"/>
              </w:rPr>
            </w:pPr>
          </w:p>
        </w:tc>
        <w:tc>
          <w:tcPr>
            <w:tcW w:w="1940" w:type="dxa"/>
            <w:vAlign w:val="bottom"/>
            <w:vMerge w:val="restart"/>
            <w:shd w:val="clear" w:color="auto" w:fill="D9D9D9"/>
          </w:tcPr>
          <w:p>
            <w:pPr>
              <w:jc w:val="center"/>
              <w:spacing w:after="0"/>
              <w:rPr>
                <w:sz w:val="20"/>
                <w:szCs w:val="20"/>
                <w:color w:val="auto"/>
              </w:rPr>
            </w:pPr>
            <w:r>
              <w:rPr>
                <w:rFonts w:ascii="Arial" w:cs="Arial" w:eastAsia="Arial" w:hAnsi="Arial"/>
                <w:sz w:val="20"/>
                <w:szCs w:val="20"/>
                <w:color w:val="auto"/>
                <w:w w:val="99"/>
              </w:rPr>
              <w:t>performance</w:t>
            </w:r>
          </w:p>
        </w:tc>
        <w:tc>
          <w:tcPr>
            <w:tcW w:w="200" w:type="dxa"/>
            <w:vAlign w:val="bottom"/>
            <w:shd w:val="clear" w:color="auto" w:fill="D9D9D9"/>
          </w:tcPr>
          <w:p>
            <w:pPr>
              <w:spacing w:after="0"/>
              <w:rPr>
                <w:sz w:val="11"/>
                <w:szCs w:val="11"/>
                <w:color w:val="auto"/>
              </w:rPr>
            </w:pPr>
          </w:p>
        </w:tc>
        <w:tc>
          <w:tcPr>
            <w:tcW w:w="1360" w:type="dxa"/>
            <w:vAlign w:val="bottom"/>
            <w:vMerge w:val="restart"/>
            <w:shd w:val="clear" w:color="auto" w:fill="D9D9D9"/>
          </w:tcPr>
          <w:p>
            <w:pPr>
              <w:jc w:val="center"/>
              <w:spacing w:after="0"/>
              <w:rPr>
                <w:sz w:val="20"/>
                <w:szCs w:val="20"/>
                <w:color w:val="auto"/>
              </w:rPr>
            </w:pPr>
            <w:r>
              <w:rPr>
                <w:rFonts w:ascii="Arial" w:cs="Arial" w:eastAsia="Arial" w:hAnsi="Arial"/>
                <w:sz w:val="20"/>
                <w:szCs w:val="20"/>
                <w:color w:val="auto"/>
              </w:rPr>
              <w:t>index</w:t>
            </w:r>
          </w:p>
        </w:tc>
        <w:tc>
          <w:tcPr>
            <w:tcW w:w="200" w:type="dxa"/>
            <w:vAlign w:val="bottom"/>
            <w:shd w:val="clear" w:color="auto" w:fill="D9D9D9"/>
          </w:tcPr>
          <w:p>
            <w:pPr>
              <w:spacing w:after="0"/>
              <w:rPr>
                <w:sz w:val="11"/>
                <w:szCs w:val="11"/>
                <w:color w:val="auto"/>
              </w:rPr>
            </w:pPr>
          </w:p>
        </w:tc>
        <w:tc>
          <w:tcPr>
            <w:tcW w:w="1710" w:type="dxa"/>
            <w:vAlign w:val="bottom"/>
            <w:vMerge w:val="restart"/>
            <w:shd w:val="clear" w:color="auto" w:fill="D9D9D9"/>
          </w:tcPr>
          <w:p>
            <w:pPr>
              <w:jc w:val="center"/>
              <w:spacing w:after="0"/>
              <w:rPr>
                <w:sz w:val="20"/>
                <w:szCs w:val="20"/>
                <w:color w:val="auto"/>
              </w:rPr>
            </w:pPr>
            <w:r>
              <w:rPr>
                <w:rFonts w:ascii="Arial" w:cs="Arial" w:eastAsia="Arial" w:hAnsi="Arial"/>
                <w:sz w:val="20"/>
                <w:szCs w:val="20"/>
                <w:color w:val="auto"/>
              </w:rPr>
              <w:t>index</w:t>
            </w:r>
          </w:p>
        </w:tc>
        <w:tc>
          <w:tcPr>
            <w:tcW w:w="99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shd w:val="clear" w:color="auto" w:fill="D9D9D9"/>
          </w:tcPr>
          <w:p>
            <w:pPr>
              <w:spacing w:after="0"/>
              <w:rPr>
                <w:sz w:val="10"/>
                <w:szCs w:val="10"/>
                <w:color w:val="auto"/>
              </w:rPr>
            </w:pPr>
          </w:p>
        </w:tc>
        <w:tc>
          <w:tcPr>
            <w:tcW w:w="220" w:type="dxa"/>
            <w:vAlign w:val="bottom"/>
            <w:shd w:val="clear" w:color="auto" w:fill="D9D9D9"/>
          </w:tcPr>
          <w:p>
            <w:pPr>
              <w:spacing w:after="0"/>
              <w:rPr>
                <w:sz w:val="10"/>
                <w:szCs w:val="10"/>
                <w:color w:val="auto"/>
              </w:rPr>
            </w:pPr>
          </w:p>
        </w:tc>
        <w:tc>
          <w:tcPr>
            <w:tcW w:w="1340" w:type="dxa"/>
            <w:vAlign w:val="bottom"/>
            <w:vMerge w:val="continue"/>
            <w:shd w:val="clear" w:color="auto" w:fill="D9D9D9"/>
          </w:tcPr>
          <w:p>
            <w:pPr>
              <w:spacing w:after="0"/>
              <w:rPr>
                <w:sz w:val="10"/>
                <w:szCs w:val="10"/>
                <w:color w:val="auto"/>
              </w:rPr>
            </w:pPr>
          </w:p>
        </w:tc>
        <w:tc>
          <w:tcPr>
            <w:tcW w:w="220" w:type="dxa"/>
            <w:vAlign w:val="bottom"/>
            <w:shd w:val="clear" w:color="auto" w:fill="D9D9D9"/>
          </w:tcPr>
          <w:p>
            <w:pPr>
              <w:spacing w:after="0"/>
              <w:rPr>
                <w:sz w:val="10"/>
                <w:szCs w:val="10"/>
                <w:color w:val="auto"/>
              </w:rPr>
            </w:pPr>
          </w:p>
        </w:tc>
        <w:tc>
          <w:tcPr>
            <w:tcW w:w="1940" w:type="dxa"/>
            <w:vAlign w:val="bottom"/>
            <w:vMerge w:val="continue"/>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1360" w:type="dxa"/>
            <w:vAlign w:val="bottom"/>
            <w:vMerge w:val="continue"/>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1710" w:type="dxa"/>
            <w:vAlign w:val="bottom"/>
            <w:vMerge w:val="continue"/>
            <w:shd w:val="clear" w:color="auto" w:fill="D9D9D9"/>
          </w:tcPr>
          <w:p>
            <w:pPr>
              <w:spacing w:after="0"/>
              <w:rPr>
                <w:sz w:val="10"/>
                <w:szCs w:val="10"/>
                <w:color w:val="auto"/>
              </w:rPr>
            </w:pPr>
          </w:p>
        </w:tc>
        <w:tc>
          <w:tcPr>
            <w:tcW w:w="99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Payout Modification</w:t>
            </w:r>
          </w:p>
        </w:tc>
        <w:tc>
          <w:tcPr>
            <w:tcW w:w="156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20"/>
                <w:szCs w:val="20"/>
                <w:color w:val="auto"/>
                <w:w w:val="98"/>
              </w:rPr>
              <w:t>-25%</w:t>
            </w:r>
          </w:p>
        </w:tc>
        <w:tc>
          <w:tcPr>
            <w:tcW w:w="216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20"/>
                <w:szCs w:val="20"/>
                <w:color w:val="auto"/>
                <w:w w:val="96"/>
              </w:rPr>
              <w:t>0%</w:t>
            </w:r>
          </w:p>
        </w:tc>
        <w:tc>
          <w:tcPr>
            <w:tcW w:w="156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20"/>
                <w:szCs w:val="20"/>
                <w:color w:val="auto"/>
              </w:rPr>
              <w:t>+25%</w:t>
            </w: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center"/>
              <w:ind w:right="980"/>
              <w:spacing w:after="0"/>
              <w:rPr>
                <w:sz w:val="20"/>
                <w:szCs w:val="20"/>
                <w:color w:val="auto"/>
              </w:rPr>
            </w:pPr>
            <w:r>
              <w:rPr>
                <w:rFonts w:ascii="Arial" w:cs="Arial" w:eastAsia="Arial" w:hAnsi="Arial"/>
                <w:sz w:val="20"/>
                <w:szCs w:val="20"/>
                <w:color w:val="auto"/>
                <w:w w:val="99"/>
              </w:rPr>
              <w:t>+25% Modification</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Policies and Practices Related to the Timing of Grants of Certain Equity Awards</w:t>
      </w:r>
    </w:p>
    <w:p>
      <w:pPr>
        <w:spacing w:after="0" w:line="123" w:lineRule="exact"/>
        <w:rPr>
          <w:sz w:val="20"/>
          <w:szCs w:val="20"/>
          <w:color w:val="auto"/>
        </w:rPr>
      </w:pPr>
    </w:p>
    <w:p>
      <w:pPr>
        <w:ind w:left="20" w:right="220"/>
        <w:spacing w:after="0" w:line="254" w:lineRule="auto"/>
        <w:rPr>
          <w:sz w:val="20"/>
          <w:szCs w:val="20"/>
          <w:color w:val="auto"/>
        </w:rPr>
      </w:pPr>
      <w:r>
        <w:rPr>
          <w:rFonts w:ascii="Arial" w:cs="Arial" w:eastAsia="Arial" w:hAnsi="Arial"/>
          <w:sz w:val="20"/>
          <w:szCs w:val="20"/>
          <w:color w:val="auto"/>
        </w:rPr>
        <w:t>AbbVie’s policy with respect to its annual equity award for all eligible employees, including the NEOs, is to grant the award and set the grant price, which is used to calculate the number of shares covered by awards and establish the exercise price for stock options, at the compensation committee’s regularly scheduled February meeting each year.</w:t>
      </w:r>
    </w:p>
    <w:p>
      <w:pPr>
        <w:spacing w:after="0" w:line="187" w:lineRule="exact"/>
        <w:rPr>
          <w:sz w:val="20"/>
          <w:szCs w:val="20"/>
          <w:color w:val="auto"/>
        </w:rPr>
      </w:pPr>
    </w:p>
    <w:p>
      <w:pPr>
        <w:ind w:left="20" w:right="80"/>
        <w:spacing w:after="0" w:line="250" w:lineRule="auto"/>
        <w:rPr>
          <w:sz w:val="20"/>
          <w:szCs w:val="20"/>
          <w:color w:val="auto"/>
        </w:rPr>
      </w:pPr>
      <w:r>
        <w:rPr>
          <w:rFonts w:ascii="Arial" w:cs="Arial" w:eastAsia="Arial" w:hAnsi="Arial"/>
          <w:sz w:val="20"/>
          <w:szCs w:val="20"/>
          <w:color w:val="auto"/>
        </w:rPr>
        <w:t>These meeting dates generally are the third Thursday of February and are scheduled two years in advance. The grant price is the average of the high and low trading prices of a common share on the date of the grant (rounded up to the next even penny). The grant price for the 2025 annual grant was $192.86. The high, low and closing prices of an AbbVie common share on the grant date (February 13, 2025) were $194.28, $191.43, and $193.45 respectively. All LTI awards are subject to a minimum vesting period of 12 months.</w:t>
      </w:r>
    </w:p>
    <w:p>
      <w:pPr>
        <w:spacing w:after="0" w:line="183" w:lineRule="exact"/>
        <w:rPr>
          <w:sz w:val="20"/>
          <w:szCs w:val="20"/>
          <w:color w:val="auto"/>
        </w:rPr>
      </w:pPr>
    </w:p>
    <w:p>
      <w:pPr>
        <w:ind w:left="20" w:right="120"/>
        <w:spacing w:after="0" w:line="250" w:lineRule="auto"/>
        <w:rPr>
          <w:sz w:val="20"/>
          <w:szCs w:val="20"/>
          <w:color w:val="auto"/>
        </w:rPr>
      </w:pPr>
      <w:r>
        <w:rPr>
          <w:rFonts w:ascii="Arial" w:cs="Arial" w:eastAsia="Arial" w:hAnsi="Arial"/>
          <w:sz w:val="20"/>
          <w:szCs w:val="20"/>
          <w:color w:val="auto"/>
        </w:rPr>
        <w:t>The company does not schedule its equity grants in anticipation of the release of material, non-public information (“MNPI”) or time the release of MNPI based on equity grant dates. The following table presents information regarding option awards granted to our NEOs in the fiscal year ended December 31, 2025, during any period beginning four business days before the filing or furnishing of a periodic report or current report disclosing MNPI and ending one business day after the filing or furnishing of such report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tabs>
          <w:tab w:leader="none" w:pos="2600" w:val="left"/>
        </w:tabs>
        <w:rPr>
          <w:sz w:val="20"/>
          <w:szCs w:val="20"/>
          <w:color w:val="auto"/>
        </w:rPr>
      </w:pPr>
      <w:r>
        <w:rPr>
          <w:rFonts w:ascii="Arial" w:cs="Arial" w:eastAsia="Arial" w:hAnsi="Arial"/>
          <w:sz w:val="20"/>
          <w:szCs w:val="20"/>
          <w:color w:val="auto"/>
        </w:rPr>
        <w:t xml:space="preserve">44  </w:t>
      </w:r>
      <w:r>
        <w:rPr>
          <w:sz w:val="1"/>
          <w:szCs w:val="1"/>
          <w:color w:val="auto"/>
        </w:rPr>
        <w:drawing>
          <wp:inline distT="0" distB="0" distL="0" distR="0">
            <wp:extent cx="991870" cy="20066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222">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100"/>
          </w:cols>
          <w:pgMar w:left="880" w:top="702" w:right="900" w:bottom="0" w:gutter="0" w:footer="0" w:header="0"/>
        </w:sectPr>
      </w:pPr>
    </w:p>
    <w:bookmarkStart w:id="173" w:name="page174"/>
    <w:bookmarkEnd w:id="173"/>
    <w:p>
      <w:pPr>
        <w:jc w:val="right"/>
        <w:spacing w:after="0"/>
        <w:rPr>
          <w:sz w:val="20"/>
          <w:szCs w:val="20"/>
          <w:color w:val="auto"/>
        </w:rPr>
      </w:pPr>
      <w:r>
        <w:rPr>
          <w:rFonts w:ascii="Arial" w:cs="Arial" w:eastAsia="Arial" w:hAnsi="Arial"/>
          <w:sz w:val="20"/>
          <w:szCs w:val="20"/>
          <w:color w:val="808080"/>
        </w:rPr>
        <w:t>EXECUTIVE COMPENSATION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Percentage</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change in the</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closing market</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price of the</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securities</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underlying the</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award between</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the trading day</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ending</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immediately</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prior to the</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disclosure of</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material</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nonpublic</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information and</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the trading day</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beginning</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immediately</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vMerge w:val="restart"/>
          </w:tcPr>
          <w:p>
            <w:pPr>
              <w:jc w:val="right"/>
              <w:ind w:right="9"/>
              <w:spacing w:after="0"/>
              <w:rPr>
                <w:sz w:val="20"/>
                <w:szCs w:val="20"/>
                <w:color w:val="auto"/>
              </w:rPr>
            </w:pPr>
            <w:r>
              <w:rPr>
                <w:rFonts w:ascii="Arial" w:cs="Arial" w:eastAsia="Arial" w:hAnsi="Arial"/>
                <w:sz w:val="16"/>
                <w:szCs w:val="16"/>
                <w:b w:val="1"/>
                <w:bCs w:val="1"/>
                <w:color w:val="000039"/>
              </w:rPr>
              <w:t>Number of</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following the</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ind w:left="560"/>
              <w:spacing w:after="0"/>
              <w:rPr>
                <w:sz w:val="20"/>
                <w:szCs w:val="20"/>
                <w:color w:val="auto"/>
              </w:rPr>
            </w:pPr>
            <w:r>
              <w:rPr>
                <w:rFonts w:ascii="Arial" w:cs="Arial" w:eastAsia="Arial" w:hAnsi="Arial"/>
                <w:sz w:val="16"/>
                <w:szCs w:val="16"/>
                <w:b w:val="1"/>
                <w:bCs w:val="1"/>
                <w:color w:val="000039"/>
                <w:w w:val="94"/>
              </w:rPr>
              <w:t>Exercise</w:t>
            </w:r>
          </w:p>
        </w:tc>
        <w:tc>
          <w:tcPr>
            <w:tcW w:w="15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disclosure of</w:t>
            </w: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jc w:val="center"/>
              <w:ind w:left="309"/>
              <w:spacing w:after="0"/>
              <w:rPr>
                <w:sz w:val="20"/>
                <w:szCs w:val="20"/>
                <w:color w:val="auto"/>
              </w:rPr>
            </w:pPr>
            <w:r>
              <w:rPr>
                <w:rFonts w:ascii="Arial" w:cs="Arial" w:eastAsia="Arial" w:hAnsi="Arial"/>
                <w:sz w:val="16"/>
                <w:szCs w:val="16"/>
                <w:b w:val="1"/>
                <w:bCs w:val="1"/>
                <w:color w:val="000039"/>
              </w:rPr>
              <w:t>securities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0039"/>
              </w:rPr>
              <w:t>price of the</w:t>
            </w:r>
          </w:p>
        </w:tc>
        <w:tc>
          <w:tcPr>
            <w:tcW w:w="1520" w:type="dxa"/>
            <w:vAlign w:val="bottom"/>
          </w:tcPr>
          <w:p>
            <w:pPr>
              <w:jc w:val="right"/>
              <w:ind w:right="7"/>
              <w:spacing w:after="0"/>
              <w:rPr>
                <w:sz w:val="20"/>
                <w:szCs w:val="20"/>
                <w:color w:val="auto"/>
              </w:rPr>
            </w:pPr>
            <w:r>
              <w:rPr>
                <w:rFonts w:ascii="Arial" w:cs="Arial" w:eastAsia="Arial" w:hAnsi="Arial"/>
                <w:sz w:val="16"/>
                <w:szCs w:val="16"/>
                <w:b w:val="1"/>
                <w:bCs w:val="1"/>
                <w:color w:val="000039"/>
              </w:rPr>
              <w:t>Grant date fair</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material</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tcPr>
          <w:p>
            <w:pPr>
              <w:jc w:val="right"/>
              <w:ind w:right="9"/>
              <w:spacing w:after="0"/>
              <w:rPr>
                <w:sz w:val="20"/>
                <w:szCs w:val="20"/>
                <w:color w:val="auto"/>
              </w:rPr>
            </w:pPr>
            <w:r>
              <w:rPr>
                <w:rFonts w:ascii="Arial" w:cs="Arial" w:eastAsia="Arial" w:hAnsi="Arial"/>
                <w:sz w:val="16"/>
                <w:szCs w:val="16"/>
                <w:b w:val="1"/>
                <w:bCs w:val="1"/>
                <w:color w:val="000039"/>
              </w:rPr>
              <w:t>underlying the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0039"/>
              </w:rPr>
              <w:t>award</w:t>
            </w:r>
          </w:p>
        </w:tc>
        <w:tc>
          <w:tcPr>
            <w:tcW w:w="1520" w:type="dxa"/>
            <w:vAlign w:val="bottom"/>
          </w:tcPr>
          <w:p>
            <w:pPr>
              <w:jc w:val="right"/>
              <w:ind w:right="7"/>
              <w:spacing w:after="0"/>
              <w:rPr>
                <w:sz w:val="20"/>
                <w:szCs w:val="20"/>
                <w:color w:val="auto"/>
              </w:rPr>
            </w:pPr>
            <w:r>
              <w:rPr>
                <w:rFonts w:ascii="Arial" w:cs="Arial" w:eastAsia="Arial" w:hAnsi="Arial"/>
                <w:sz w:val="16"/>
                <w:szCs w:val="16"/>
                <w:b w:val="1"/>
                <w:bCs w:val="1"/>
                <w:color w:val="000039"/>
              </w:rPr>
              <w:t>value of the</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0039"/>
              </w:rPr>
              <w:t>nonpublic</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Arial" w:cs="Arial" w:eastAsia="Arial" w:hAnsi="Arial"/>
                <w:sz w:val="16"/>
                <w:szCs w:val="16"/>
                <w:b w:val="1"/>
                <w:bCs w:val="1"/>
                <w:color w:val="000039"/>
              </w:rPr>
              <w:t>Name</w:t>
            </w:r>
          </w:p>
        </w:tc>
        <w:tc>
          <w:tcPr>
            <w:tcW w:w="1760" w:type="dxa"/>
            <w:vAlign w:val="bottom"/>
          </w:tcPr>
          <w:p>
            <w:pPr>
              <w:jc w:val="right"/>
              <w:ind w:right="63"/>
              <w:spacing w:after="0"/>
              <w:rPr>
                <w:sz w:val="20"/>
                <w:szCs w:val="20"/>
                <w:color w:val="auto"/>
              </w:rPr>
            </w:pPr>
            <w:r>
              <w:rPr>
                <w:rFonts w:ascii="Arial" w:cs="Arial" w:eastAsia="Arial" w:hAnsi="Arial"/>
                <w:sz w:val="16"/>
                <w:szCs w:val="16"/>
                <w:b w:val="1"/>
                <w:bCs w:val="1"/>
                <w:color w:val="000039"/>
              </w:rPr>
              <w:t>Grant date</w:t>
            </w:r>
          </w:p>
        </w:tc>
        <w:tc>
          <w:tcPr>
            <w:tcW w:w="1360" w:type="dxa"/>
            <w:vAlign w:val="bottom"/>
          </w:tcPr>
          <w:p>
            <w:pPr>
              <w:jc w:val="right"/>
              <w:ind w:right="9"/>
              <w:spacing w:after="0"/>
              <w:rPr>
                <w:sz w:val="20"/>
                <w:szCs w:val="20"/>
                <w:color w:val="auto"/>
              </w:rPr>
            </w:pPr>
            <w:r>
              <w:rPr>
                <w:rFonts w:ascii="Arial" w:cs="Arial" w:eastAsia="Arial" w:hAnsi="Arial"/>
                <w:sz w:val="16"/>
                <w:szCs w:val="16"/>
                <w:b w:val="1"/>
                <w:bCs w:val="1"/>
                <w:color w:val="000039"/>
              </w:rPr>
              <w:t>award</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0039"/>
              </w:rPr>
              <w:t>($/Share)</w:t>
            </w:r>
          </w:p>
        </w:tc>
        <w:tc>
          <w:tcPr>
            <w:tcW w:w="1520" w:type="dxa"/>
            <w:vAlign w:val="bottom"/>
          </w:tcPr>
          <w:p>
            <w:pPr>
              <w:jc w:val="right"/>
              <w:ind w:right="7"/>
              <w:spacing w:after="0"/>
              <w:rPr>
                <w:sz w:val="20"/>
                <w:szCs w:val="20"/>
                <w:color w:val="auto"/>
              </w:rPr>
            </w:pPr>
            <w:r>
              <w:rPr>
                <w:rFonts w:ascii="Arial" w:cs="Arial" w:eastAsia="Arial" w:hAnsi="Arial"/>
                <w:sz w:val="16"/>
                <w:szCs w:val="16"/>
                <w:b w:val="1"/>
                <w:bCs w:val="1"/>
                <w:color w:val="000039"/>
              </w:rPr>
              <w:t>award</w:t>
            </w:r>
          </w:p>
        </w:tc>
        <w:tc>
          <w:tcPr>
            <w:tcW w:w="1500" w:type="dxa"/>
            <w:vAlign w:val="bottom"/>
            <w:gridSpan w:val="2"/>
          </w:tcPr>
          <w:p>
            <w:pPr>
              <w:jc w:val="right"/>
              <w:ind w:right="200"/>
              <w:spacing w:after="0" w:line="214" w:lineRule="exact"/>
              <w:rPr>
                <w:sz w:val="20"/>
                <w:szCs w:val="20"/>
                <w:color w:val="auto"/>
              </w:rPr>
            </w:pPr>
            <w:r>
              <w:rPr>
                <w:rFonts w:ascii="Arial" w:cs="Arial" w:eastAsia="Arial" w:hAnsi="Arial"/>
                <w:sz w:val="16"/>
                <w:szCs w:val="16"/>
                <w:b w:val="1"/>
                <w:bCs w:val="1"/>
                <w:color w:val="000039"/>
              </w:rPr>
              <w:t>Information</w:t>
            </w:r>
            <w:r>
              <w:rPr>
                <w:rFonts w:ascii="Arial" w:cs="Arial" w:eastAsia="Arial" w:hAnsi="Arial"/>
                <w:sz w:val="19"/>
                <w:szCs w:val="19"/>
                <w:b w:val="1"/>
                <w:bCs w:val="1"/>
                <w:color w:val="000039"/>
                <w:vertAlign w:val="superscript"/>
              </w:rPr>
              <w:t>1</w:t>
            </w:r>
          </w:p>
        </w:tc>
        <w:tc>
          <w:tcPr>
            <w:tcW w:w="0" w:type="dxa"/>
            <w:vAlign w:val="bottom"/>
          </w:tcPr>
          <w:p>
            <w:pPr>
              <w:spacing w:after="0"/>
              <w:rPr>
                <w:sz w:val="1"/>
                <w:szCs w:val="1"/>
                <w:color w:val="auto"/>
              </w:rPr>
            </w:pPr>
          </w:p>
        </w:tc>
      </w:tr>
      <w:tr>
        <w:trPr>
          <w:trHeight w:val="220"/>
        </w:trPr>
        <w:tc>
          <w:tcPr>
            <w:tcW w:w="2560" w:type="dxa"/>
            <w:vAlign w:val="bottom"/>
            <w:tcBorders>
              <w:top w:val="single" w:sz="8" w:color="000039"/>
            </w:tcBorders>
            <w:shd w:val="clear" w:color="auto" w:fill="D9D9D9"/>
          </w:tcPr>
          <w:p>
            <w:pPr>
              <w:spacing w:after="0" w:line="220" w:lineRule="exact"/>
              <w:rPr>
                <w:sz w:val="20"/>
                <w:szCs w:val="20"/>
                <w:color w:val="auto"/>
              </w:rPr>
            </w:pPr>
            <w:r>
              <w:rPr>
                <w:rFonts w:ascii="Arial" w:cs="Arial" w:eastAsia="Arial" w:hAnsi="Arial"/>
                <w:sz w:val="20"/>
                <w:szCs w:val="20"/>
                <w:color w:val="auto"/>
              </w:rPr>
              <w:t>Robert A. Michael</w:t>
            </w:r>
          </w:p>
        </w:tc>
        <w:tc>
          <w:tcPr>
            <w:tcW w:w="1760" w:type="dxa"/>
            <w:vAlign w:val="bottom"/>
            <w:tcBorders>
              <w:top w:val="single" w:sz="8" w:color="000039"/>
            </w:tcBorders>
            <w:shd w:val="clear" w:color="auto" w:fill="D9D9D9"/>
          </w:tcPr>
          <w:p>
            <w:pPr>
              <w:jc w:val="right"/>
              <w:ind w:right="103"/>
              <w:spacing w:after="0" w:line="220" w:lineRule="exact"/>
              <w:rPr>
                <w:sz w:val="20"/>
                <w:szCs w:val="20"/>
                <w:color w:val="auto"/>
              </w:rPr>
            </w:pPr>
            <w:r>
              <w:rPr>
                <w:rFonts w:ascii="Arial" w:cs="Arial" w:eastAsia="Arial" w:hAnsi="Arial"/>
                <w:sz w:val="20"/>
                <w:szCs w:val="20"/>
                <w:color w:val="auto"/>
              </w:rPr>
              <w:t>2/13/2025</w:t>
            </w:r>
          </w:p>
        </w:tc>
        <w:tc>
          <w:tcPr>
            <w:tcW w:w="1360" w:type="dxa"/>
            <w:vAlign w:val="bottom"/>
            <w:tcBorders>
              <w:top w:val="single" w:sz="8" w:color="000039"/>
            </w:tcBorders>
            <w:shd w:val="clear" w:color="auto" w:fill="D9D9D9"/>
          </w:tcPr>
          <w:p>
            <w:pPr>
              <w:jc w:val="center"/>
              <w:ind w:left="329"/>
              <w:spacing w:after="0" w:line="220" w:lineRule="exact"/>
              <w:rPr>
                <w:sz w:val="20"/>
                <w:szCs w:val="20"/>
                <w:color w:val="auto"/>
              </w:rPr>
            </w:pPr>
            <w:r>
              <w:rPr>
                <w:rFonts w:ascii="Arial" w:cs="Arial" w:eastAsia="Arial" w:hAnsi="Arial"/>
                <w:sz w:val="20"/>
                <w:szCs w:val="20"/>
                <w:color w:val="auto"/>
              </w:rPr>
              <w:t>83,333</w:t>
            </w:r>
          </w:p>
        </w:tc>
        <w:tc>
          <w:tcPr>
            <w:tcW w:w="200" w:type="dxa"/>
            <w:vAlign w:val="bottom"/>
            <w:tcBorders>
              <w:top w:val="single" w:sz="8" w:color="000039"/>
            </w:tcBorders>
            <w:shd w:val="clear" w:color="auto" w:fill="D9D9D9"/>
          </w:tcPr>
          <w:p>
            <w:pPr>
              <w:jc w:val="right"/>
              <w:spacing w:after="0" w:line="220"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000039"/>
            </w:tcBorders>
          </w:tcPr>
          <w:p>
            <w:pPr>
              <w:ind w:left="540"/>
              <w:spacing w:after="0" w:line="220" w:lineRule="exact"/>
              <w:rPr>
                <w:sz w:val="20"/>
                <w:szCs w:val="20"/>
                <w:color w:val="auto"/>
              </w:rPr>
            </w:pPr>
            <w:r>
              <w:rPr>
                <w:rFonts w:ascii="Arial" w:cs="Arial" w:eastAsia="Arial" w:hAnsi="Arial"/>
                <w:sz w:val="20"/>
                <w:szCs w:val="20"/>
                <w:color w:val="auto"/>
              </w:rPr>
              <w:t>192.86</w:t>
            </w:r>
          </w:p>
        </w:tc>
        <w:tc>
          <w:tcPr>
            <w:tcW w:w="1520" w:type="dxa"/>
            <w:vAlign w:val="bottom"/>
            <w:tcBorders>
              <w:top w:val="single" w:sz="8" w:color="000039"/>
            </w:tcBorders>
            <w:shd w:val="clear" w:color="auto" w:fill="D9D9D9"/>
          </w:tcPr>
          <w:p>
            <w:pPr>
              <w:jc w:val="right"/>
              <w:ind w:right="67"/>
              <w:spacing w:after="0" w:line="220" w:lineRule="exact"/>
              <w:rPr>
                <w:sz w:val="20"/>
                <w:szCs w:val="20"/>
                <w:color w:val="auto"/>
              </w:rPr>
            </w:pPr>
            <w:r>
              <w:rPr>
                <w:rFonts w:ascii="Arial" w:cs="Arial" w:eastAsia="Arial" w:hAnsi="Arial"/>
                <w:sz w:val="20"/>
                <w:szCs w:val="20"/>
                <w:color w:val="auto"/>
              </w:rPr>
              <w:t>$ 3,199,154</w:t>
            </w:r>
          </w:p>
        </w:tc>
        <w:tc>
          <w:tcPr>
            <w:tcW w:w="1480" w:type="dxa"/>
            <w:vAlign w:val="bottom"/>
            <w:tcBorders>
              <w:top w:val="single" w:sz="8" w:color="000039"/>
            </w:tcBorders>
            <w:shd w:val="clear" w:color="auto" w:fill="D9D9D9"/>
          </w:tcPr>
          <w:p>
            <w:pPr>
              <w:jc w:val="right"/>
              <w:spacing w:after="0" w:line="220" w:lineRule="exact"/>
              <w:rPr>
                <w:sz w:val="20"/>
                <w:szCs w:val="20"/>
                <w:color w:val="auto"/>
              </w:rPr>
            </w:pPr>
            <w:r>
              <w:rPr>
                <w:rFonts w:ascii="Arial" w:cs="Arial" w:eastAsia="Arial" w:hAnsi="Arial"/>
                <w:sz w:val="20"/>
                <w:szCs w:val="20"/>
                <w:color w:val="auto"/>
              </w:rPr>
              <w:t>1.45 %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20"/>
                <w:szCs w:val="20"/>
                <w:color w:val="auto"/>
              </w:rPr>
              <w:t>Scott T. Reents</w:t>
            </w:r>
          </w:p>
        </w:tc>
        <w:tc>
          <w:tcPr>
            <w:tcW w:w="1760" w:type="dxa"/>
            <w:vAlign w:val="bottom"/>
          </w:tcPr>
          <w:p>
            <w:pPr>
              <w:jc w:val="right"/>
              <w:ind w:right="103"/>
              <w:spacing w:after="0"/>
              <w:rPr>
                <w:sz w:val="20"/>
                <w:szCs w:val="20"/>
                <w:color w:val="auto"/>
              </w:rPr>
            </w:pPr>
            <w:r>
              <w:rPr>
                <w:rFonts w:ascii="Arial" w:cs="Arial" w:eastAsia="Arial" w:hAnsi="Arial"/>
                <w:sz w:val="20"/>
                <w:szCs w:val="20"/>
                <w:color w:val="auto"/>
              </w:rPr>
              <w:t>2/13/2025</w:t>
            </w:r>
          </w:p>
        </w:tc>
        <w:tc>
          <w:tcPr>
            <w:tcW w:w="1360" w:type="dxa"/>
            <w:vAlign w:val="bottom"/>
          </w:tcPr>
          <w:p>
            <w:pPr>
              <w:jc w:val="center"/>
              <w:ind w:left="329"/>
              <w:spacing w:after="0"/>
              <w:rPr>
                <w:sz w:val="20"/>
                <w:szCs w:val="20"/>
                <w:color w:val="auto"/>
              </w:rPr>
            </w:pPr>
            <w:r>
              <w:rPr>
                <w:rFonts w:ascii="Arial" w:cs="Arial" w:eastAsia="Arial" w:hAnsi="Arial"/>
                <w:sz w:val="20"/>
                <w:szCs w:val="20"/>
                <w:color w:val="auto"/>
              </w:rPr>
              <w:t>27,343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ind w:left="540"/>
              <w:spacing w:after="0"/>
              <w:rPr>
                <w:sz w:val="20"/>
                <w:szCs w:val="20"/>
                <w:color w:val="auto"/>
              </w:rPr>
            </w:pPr>
            <w:r>
              <w:rPr>
                <w:rFonts w:ascii="Arial" w:cs="Arial" w:eastAsia="Arial" w:hAnsi="Arial"/>
                <w:sz w:val="20"/>
                <w:szCs w:val="20"/>
                <w:color w:val="auto"/>
              </w:rPr>
              <w:t>192.86</w:t>
            </w:r>
          </w:p>
        </w:tc>
        <w:tc>
          <w:tcPr>
            <w:tcW w:w="1520" w:type="dxa"/>
            <w:vAlign w:val="bottom"/>
          </w:tcPr>
          <w:p>
            <w:pPr>
              <w:jc w:val="right"/>
              <w:ind w:right="67"/>
              <w:spacing w:after="0"/>
              <w:rPr>
                <w:sz w:val="20"/>
                <w:szCs w:val="20"/>
                <w:color w:val="auto"/>
              </w:rPr>
            </w:pPr>
            <w:r>
              <w:rPr>
                <w:rFonts w:ascii="Arial" w:cs="Arial" w:eastAsia="Arial" w:hAnsi="Arial"/>
                <w:sz w:val="20"/>
                <w:szCs w:val="20"/>
                <w:color w:val="auto"/>
              </w:rPr>
              <w:t>$ 1,049,698</w:t>
            </w:r>
          </w:p>
        </w:tc>
        <w:tc>
          <w:tcPr>
            <w:tcW w:w="1480" w:type="dxa"/>
            <w:vAlign w:val="bottom"/>
          </w:tcPr>
          <w:p>
            <w:pPr>
              <w:jc w:val="right"/>
              <w:spacing w:after="0"/>
              <w:rPr>
                <w:sz w:val="20"/>
                <w:szCs w:val="20"/>
                <w:color w:val="auto"/>
              </w:rPr>
            </w:pPr>
            <w:r>
              <w:rPr>
                <w:rFonts w:ascii="Arial" w:cs="Arial" w:eastAsia="Arial" w:hAnsi="Arial"/>
                <w:sz w:val="20"/>
                <w:szCs w:val="20"/>
                <w:color w:val="auto"/>
              </w:rPr>
              <w:t>1.45 %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D9D9D9"/>
          </w:tcPr>
          <w:p>
            <w:pPr>
              <w:spacing w:after="0"/>
              <w:rPr>
                <w:sz w:val="20"/>
                <w:szCs w:val="20"/>
                <w:color w:val="auto"/>
              </w:rPr>
            </w:pPr>
            <w:r>
              <w:rPr>
                <w:rFonts w:ascii="Arial" w:cs="Arial" w:eastAsia="Arial" w:hAnsi="Arial"/>
                <w:sz w:val="20"/>
                <w:szCs w:val="20"/>
                <w:color w:val="auto"/>
              </w:rPr>
              <w:t>Jeffrey R. Stewart</w:t>
            </w:r>
          </w:p>
        </w:tc>
        <w:tc>
          <w:tcPr>
            <w:tcW w:w="1760" w:type="dxa"/>
            <w:vAlign w:val="bottom"/>
            <w:shd w:val="clear" w:color="auto" w:fill="D9D9D9"/>
          </w:tcPr>
          <w:p>
            <w:pPr>
              <w:jc w:val="right"/>
              <w:ind w:right="103"/>
              <w:spacing w:after="0"/>
              <w:rPr>
                <w:sz w:val="20"/>
                <w:szCs w:val="20"/>
                <w:color w:val="auto"/>
              </w:rPr>
            </w:pPr>
            <w:r>
              <w:rPr>
                <w:rFonts w:ascii="Arial" w:cs="Arial" w:eastAsia="Arial" w:hAnsi="Arial"/>
                <w:sz w:val="20"/>
                <w:szCs w:val="20"/>
                <w:color w:val="auto"/>
              </w:rPr>
              <w:t>2/13/2025</w:t>
            </w:r>
          </w:p>
        </w:tc>
        <w:tc>
          <w:tcPr>
            <w:tcW w:w="1360" w:type="dxa"/>
            <w:vAlign w:val="bottom"/>
            <w:shd w:val="clear" w:color="auto" w:fill="D9D9D9"/>
          </w:tcPr>
          <w:p>
            <w:pPr>
              <w:jc w:val="center"/>
              <w:ind w:left="329"/>
              <w:spacing w:after="0"/>
              <w:rPr>
                <w:sz w:val="20"/>
                <w:szCs w:val="20"/>
                <w:color w:val="auto"/>
              </w:rPr>
            </w:pPr>
            <w:r>
              <w:rPr>
                <w:rFonts w:ascii="Arial" w:cs="Arial" w:eastAsia="Arial" w:hAnsi="Arial"/>
                <w:sz w:val="20"/>
                <w:szCs w:val="20"/>
                <w:color w:val="auto"/>
              </w:rPr>
              <w:t>33,854</w:t>
            </w:r>
          </w:p>
        </w:tc>
        <w:tc>
          <w:tcPr>
            <w:tcW w:w="2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ind w:left="540"/>
              <w:spacing w:after="0"/>
              <w:rPr>
                <w:sz w:val="20"/>
                <w:szCs w:val="20"/>
                <w:color w:val="auto"/>
              </w:rPr>
            </w:pPr>
            <w:r>
              <w:rPr>
                <w:rFonts w:ascii="Arial" w:cs="Arial" w:eastAsia="Arial" w:hAnsi="Arial"/>
                <w:sz w:val="20"/>
                <w:szCs w:val="20"/>
                <w:color w:val="auto"/>
              </w:rPr>
              <w:t>192.86</w:t>
            </w:r>
          </w:p>
        </w:tc>
        <w:tc>
          <w:tcPr>
            <w:tcW w:w="1520" w:type="dxa"/>
            <w:vAlign w:val="bottom"/>
            <w:shd w:val="clear" w:color="auto" w:fill="D9D9D9"/>
          </w:tcPr>
          <w:p>
            <w:pPr>
              <w:jc w:val="right"/>
              <w:ind w:right="67"/>
              <w:spacing w:after="0"/>
              <w:rPr>
                <w:sz w:val="20"/>
                <w:szCs w:val="20"/>
                <w:color w:val="auto"/>
              </w:rPr>
            </w:pPr>
            <w:r>
              <w:rPr>
                <w:rFonts w:ascii="Arial" w:cs="Arial" w:eastAsia="Arial" w:hAnsi="Arial"/>
                <w:sz w:val="20"/>
                <w:szCs w:val="20"/>
                <w:color w:val="auto"/>
              </w:rPr>
              <w:t>$ 1,299,655</w:t>
            </w:r>
          </w:p>
        </w:tc>
        <w:tc>
          <w:tcPr>
            <w:tcW w:w="14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20"/>
                <w:szCs w:val="20"/>
                <w:color w:val="auto"/>
              </w:rPr>
              <w:t>Azita Saleki-Gerhardt</w:t>
            </w:r>
          </w:p>
        </w:tc>
        <w:tc>
          <w:tcPr>
            <w:tcW w:w="1760" w:type="dxa"/>
            <w:vAlign w:val="bottom"/>
          </w:tcPr>
          <w:p>
            <w:pPr>
              <w:jc w:val="right"/>
              <w:ind w:right="103"/>
              <w:spacing w:after="0"/>
              <w:rPr>
                <w:sz w:val="20"/>
                <w:szCs w:val="20"/>
                <w:color w:val="auto"/>
              </w:rPr>
            </w:pPr>
            <w:r>
              <w:rPr>
                <w:rFonts w:ascii="Arial" w:cs="Arial" w:eastAsia="Arial" w:hAnsi="Arial"/>
                <w:sz w:val="20"/>
                <w:szCs w:val="20"/>
                <w:color w:val="auto"/>
              </w:rPr>
              <w:t>2/13/2025</w:t>
            </w:r>
          </w:p>
        </w:tc>
        <w:tc>
          <w:tcPr>
            <w:tcW w:w="1360" w:type="dxa"/>
            <w:vAlign w:val="bottom"/>
          </w:tcPr>
          <w:p>
            <w:pPr>
              <w:jc w:val="center"/>
              <w:ind w:left="329"/>
              <w:spacing w:after="0"/>
              <w:rPr>
                <w:sz w:val="20"/>
                <w:szCs w:val="20"/>
                <w:color w:val="auto"/>
              </w:rPr>
            </w:pPr>
            <w:r>
              <w:rPr>
                <w:rFonts w:ascii="Arial" w:cs="Arial" w:eastAsia="Arial" w:hAnsi="Arial"/>
                <w:sz w:val="20"/>
                <w:szCs w:val="20"/>
                <w:color w:val="auto"/>
              </w:rPr>
              <w:t>25,000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ind w:left="540"/>
              <w:spacing w:after="0"/>
              <w:rPr>
                <w:sz w:val="20"/>
                <w:szCs w:val="20"/>
                <w:color w:val="auto"/>
              </w:rPr>
            </w:pPr>
            <w:r>
              <w:rPr>
                <w:rFonts w:ascii="Arial" w:cs="Arial" w:eastAsia="Arial" w:hAnsi="Arial"/>
                <w:sz w:val="20"/>
                <w:szCs w:val="20"/>
                <w:color w:val="auto"/>
              </w:rPr>
              <w:t>192.86</w:t>
            </w:r>
          </w:p>
        </w:tc>
        <w:tc>
          <w:tcPr>
            <w:tcW w:w="1520" w:type="dxa"/>
            <w:vAlign w:val="bottom"/>
          </w:tcPr>
          <w:p>
            <w:pPr>
              <w:jc w:val="right"/>
              <w:ind w:right="67"/>
              <w:spacing w:after="0"/>
              <w:rPr>
                <w:sz w:val="20"/>
                <w:szCs w:val="20"/>
                <w:color w:val="auto"/>
              </w:rPr>
            </w:pPr>
            <w:r>
              <w:rPr>
                <w:rFonts w:ascii="Arial" w:cs="Arial" w:eastAsia="Arial" w:hAnsi="Arial"/>
                <w:sz w:val="20"/>
                <w:szCs w:val="20"/>
                <w:color w:val="auto"/>
              </w:rPr>
              <w:t>$ 959,750</w:t>
            </w:r>
          </w:p>
        </w:tc>
        <w:tc>
          <w:tcPr>
            <w:tcW w:w="1480" w:type="dxa"/>
            <w:vAlign w:val="bottom"/>
          </w:tcPr>
          <w:p>
            <w:pPr>
              <w:jc w:val="right"/>
              <w:spacing w:after="0"/>
              <w:rPr>
                <w:sz w:val="20"/>
                <w:szCs w:val="20"/>
                <w:color w:val="auto"/>
              </w:rPr>
            </w:pPr>
            <w:r>
              <w:rPr>
                <w:rFonts w:ascii="Arial" w:cs="Arial" w:eastAsia="Arial" w:hAnsi="Arial"/>
                <w:sz w:val="20"/>
                <w:szCs w:val="20"/>
                <w:color w:val="auto"/>
              </w:rPr>
              <w:t>1.45 %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D9D9D9"/>
          </w:tcPr>
          <w:p>
            <w:pPr>
              <w:spacing w:after="0"/>
              <w:rPr>
                <w:sz w:val="20"/>
                <w:szCs w:val="20"/>
                <w:color w:val="auto"/>
              </w:rPr>
            </w:pPr>
            <w:r>
              <w:rPr>
                <w:rFonts w:ascii="Arial" w:cs="Arial" w:eastAsia="Arial" w:hAnsi="Arial"/>
                <w:sz w:val="20"/>
                <w:szCs w:val="20"/>
                <w:color w:val="auto"/>
              </w:rPr>
              <w:t>Roopal B. Thakkar</w:t>
            </w:r>
          </w:p>
        </w:tc>
        <w:tc>
          <w:tcPr>
            <w:tcW w:w="1760" w:type="dxa"/>
            <w:vAlign w:val="bottom"/>
            <w:shd w:val="clear" w:color="auto" w:fill="D9D9D9"/>
          </w:tcPr>
          <w:p>
            <w:pPr>
              <w:jc w:val="right"/>
              <w:ind w:right="103"/>
              <w:spacing w:after="0"/>
              <w:rPr>
                <w:sz w:val="20"/>
                <w:szCs w:val="20"/>
                <w:color w:val="auto"/>
              </w:rPr>
            </w:pPr>
            <w:r>
              <w:rPr>
                <w:rFonts w:ascii="Arial" w:cs="Arial" w:eastAsia="Arial" w:hAnsi="Arial"/>
                <w:sz w:val="20"/>
                <w:szCs w:val="20"/>
                <w:color w:val="auto"/>
              </w:rPr>
              <w:t>2/13/2025</w:t>
            </w:r>
          </w:p>
        </w:tc>
        <w:tc>
          <w:tcPr>
            <w:tcW w:w="1360" w:type="dxa"/>
            <w:vAlign w:val="bottom"/>
            <w:shd w:val="clear" w:color="auto" w:fill="D9D9D9"/>
          </w:tcPr>
          <w:p>
            <w:pPr>
              <w:jc w:val="center"/>
              <w:ind w:left="329"/>
              <w:spacing w:after="0"/>
              <w:rPr>
                <w:sz w:val="20"/>
                <w:szCs w:val="20"/>
                <w:color w:val="auto"/>
              </w:rPr>
            </w:pPr>
            <w:r>
              <w:rPr>
                <w:rFonts w:ascii="Arial" w:cs="Arial" w:eastAsia="Arial" w:hAnsi="Arial"/>
                <w:sz w:val="20"/>
                <w:szCs w:val="20"/>
                <w:color w:val="auto"/>
              </w:rPr>
              <w:t>25,000</w:t>
            </w:r>
          </w:p>
        </w:tc>
        <w:tc>
          <w:tcPr>
            <w:tcW w:w="2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ind w:left="540"/>
              <w:spacing w:after="0"/>
              <w:rPr>
                <w:sz w:val="20"/>
                <w:szCs w:val="20"/>
                <w:color w:val="auto"/>
              </w:rPr>
            </w:pPr>
            <w:r>
              <w:rPr>
                <w:rFonts w:ascii="Arial" w:cs="Arial" w:eastAsia="Arial" w:hAnsi="Arial"/>
                <w:sz w:val="20"/>
                <w:szCs w:val="20"/>
                <w:color w:val="auto"/>
              </w:rPr>
              <w:t>192.86</w:t>
            </w:r>
          </w:p>
        </w:tc>
        <w:tc>
          <w:tcPr>
            <w:tcW w:w="1520" w:type="dxa"/>
            <w:vAlign w:val="bottom"/>
            <w:shd w:val="clear" w:color="auto" w:fill="D9D9D9"/>
          </w:tcPr>
          <w:p>
            <w:pPr>
              <w:jc w:val="right"/>
              <w:ind w:right="67"/>
              <w:spacing w:after="0"/>
              <w:rPr>
                <w:sz w:val="20"/>
                <w:szCs w:val="20"/>
                <w:color w:val="auto"/>
              </w:rPr>
            </w:pPr>
            <w:r>
              <w:rPr>
                <w:rFonts w:ascii="Arial" w:cs="Arial" w:eastAsia="Arial" w:hAnsi="Arial"/>
                <w:sz w:val="20"/>
                <w:szCs w:val="20"/>
                <w:color w:val="auto"/>
              </w:rPr>
              <w:t>$ 959,750</w:t>
            </w:r>
          </w:p>
        </w:tc>
        <w:tc>
          <w:tcPr>
            <w:tcW w:w="14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-742315</wp:posOffset>
            </wp:positionV>
            <wp:extent cx="791210" cy="1714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223">
                      <a:extLst>
                        <a:ext uri="{28A0092B-C50C-407E-A947-70E740481C1C}"/>
                      </a:extLst>
                    </a:blip>
                    <a:srcRect/>
                    <a:stretch>
                      <a:fillRect/>
                    </a:stretch>
                  </pic:blipFill>
                  <pic:spPr bwMode="auto">
                    <a:xfrm>
                      <a:off x="0" y="0"/>
                      <a:ext cx="791210" cy="1714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-449580</wp:posOffset>
            </wp:positionV>
            <wp:extent cx="791210" cy="1708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224">
                      <a:extLst>
                        <a:ext uri="{28A0092B-C50C-407E-A947-70E740481C1C}"/>
                      </a:extLst>
                    </a:blip>
                    <a:srcRect/>
                    <a:stretch>
                      <a:fillRect/>
                    </a:stretch>
                  </pic:blipFill>
                  <pic:spPr bwMode="auto">
                    <a:xfrm>
                      <a:off x="0" y="0"/>
                      <a:ext cx="791210" cy="170815"/>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-157480</wp:posOffset>
            </wp:positionV>
            <wp:extent cx="791210" cy="1708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225">
                      <a:extLst>
                        <a:ext uri="{28A0092B-C50C-407E-A947-70E740481C1C}"/>
                      </a:extLst>
                    </a:blip>
                    <a:srcRect/>
                    <a:stretch>
                      <a:fillRect/>
                    </a:stretch>
                  </pic:blipFill>
                  <pic:spPr bwMode="auto">
                    <a:xfrm>
                      <a:off x="0" y="0"/>
                      <a:ext cx="791210" cy="17081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599565" cy="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25.9pt,8.4pt" o:allowincell="f" strokecolor="#000000" strokeweight="1.0199pt"/>
            </w:pict>
          </mc:Fallback>
        </mc:AlternateContent>
      </w:r>
    </w:p>
    <w:p>
      <w:pPr>
        <w:spacing w:after="0" w:line="191" w:lineRule="exact"/>
        <w:rPr>
          <w:sz w:val="20"/>
          <w:szCs w:val="20"/>
          <w:color w:val="auto"/>
        </w:rPr>
      </w:pPr>
    </w:p>
    <w:p>
      <w:pPr>
        <w:ind w:left="360" w:right="20" w:hanging="360"/>
        <w:spacing w:after="0" w:line="282" w:lineRule="auto"/>
        <w:tabs>
          <w:tab w:leader="none" w:pos="3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On February 14, 2025, the company reported its financial results for the fiscal year ended December 31, 2024 on Form 10-K.</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BENEFITS</w:t>
      </w:r>
    </w:p>
    <w:p>
      <w:pPr>
        <w:spacing w:after="0" w:line="123" w:lineRule="exact"/>
        <w:rPr>
          <w:sz w:val="20"/>
          <w:szCs w:val="20"/>
          <w:color w:val="auto"/>
        </w:rPr>
      </w:pPr>
    </w:p>
    <w:p>
      <w:pPr>
        <w:jc w:val="both"/>
        <w:ind w:right="300"/>
        <w:spacing w:after="0" w:line="262" w:lineRule="auto"/>
        <w:rPr>
          <w:sz w:val="20"/>
          <w:szCs w:val="20"/>
          <w:color w:val="auto"/>
        </w:rPr>
      </w:pPr>
      <w:r>
        <w:rPr>
          <w:rFonts w:ascii="Arial" w:cs="Arial" w:eastAsia="Arial" w:hAnsi="Arial"/>
          <w:sz w:val="20"/>
          <w:szCs w:val="20"/>
          <w:color w:val="auto"/>
        </w:rPr>
        <w:t>Benefits are an important part of retention and capital preservation for all employees, helping to protect against the impact of unexpected catastrophic loss of health and/or earnings potential, as well as providing a means to save and accumulate for retirement or other post-employment needs.</w:t>
      </w:r>
    </w:p>
    <w:p>
      <w:pPr>
        <w:spacing w:after="0" w:line="97"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Each of the benefits described below supports the company’s objective of providing a market competitive total rewards program. Individual benefits do not directly affect decisions regarding other benefits or pay components, except to the extent that all benefits and pay components, in aggregate, are designed to be competitive.</w:t>
      </w:r>
    </w:p>
    <w:p>
      <w:pPr>
        <w:spacing w:after="0" w:line="131"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Retirement Benefits</w:t>
      </w:r>
    </w:p>
    <w:p>
      <w:pPr>
        <w:spacing w:after="0" w:line="129" w:lineRule="exact"/>
        <w:rPr>
          <w:sz w:val="20"/>
          <w:szCs w:val="20"/>
          <w:color w:val="auto"/>
        </w:rPr>
      </w:pPr>
    </w:p>
    <w:p>
      <w:pPr>
        <w:ind w:right="380"/>
        <w:spacing w:after="0" w:line="254" w:lineRule="auto"/>
        <w:rPr>
          <w:sz w:val="20"/>
          <w:szCs w:val="20"/>
          <w:color w:val="auto"/>
        </w:rPr>
      </w:pPr>
      <w:r>
        <w:rPr>
          <w:rFonts w:ascii="Arial" w:cs="Arial" w:eastAsia="Arial" w:hAnsi="Arial"/>
          <w:sz w:val="20"/>
          <w:szCs w:val="20"/>
          <w:color w:val="auto"/>
        </w:rPr>
        <w:t>The NEOs and other eligible U.S. employees participate in the AbbVie Pension Plan, the company’s principal qualified defined benefit plan. NEOs and certain other employees also participate in the AbbVie Supplemental Pension Plan. These plans are described in greater detail in the section of this proxy statement captioned “Pension Benefits.”</w:t>
      </w:r>
    </w:p>
    <w:p>
      <w:pPr>
        <w:spacing w:after="0" w:line="10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Supplemental Pension Plan is a non-qualified defined benefit plan that cannot be secured in a manner similar to a qualified plan, for which assets are held in trust, so eligible executives, including eligible NEOs, receive an annual cash payment equal to the increase in the present value of their Supplemental Pension Plan benefit. Eligible NEOs have the option of depositing the annual payment into an individually established grantor trust, net of maximum tax withholdings. Deposited amounts may be credited with the difference between the eligible NEO’s actual annual trust earnings and the rate used to calculate trust funding (currently 8 percent). Amounts deposited in the individual trusts are not tax-deferred and the NEOs personally pay the taxes on those amounts without gross-ups.</w:t>
      </w:r>
    </w:p>
    <w:p>
      <w:pPr>
        <w:spacing w:after="0" w:line="155" w:lineRule="exact"/>
        <w:rPr>
          <w:sz w:val="20"/>
          <w:szCs w:val="20"/>
          <w:color w:val="auto"/>
        </w:rPr>
      </w:pPr>
    </w:p>
    <w:p>
      <w:pPr>
        <w:ind w:right="380"/>
        <w:spacing w:after="0" w:line="282" w:lineRule="auto"/>
        <w:rPr>
          <w:sz w:val="20"/>
          <w:szCs w:val="20"/>
          <w:color w:val="auto"/>
        </w:rPr>
      </w:pPr>
      <w:r>
        <w:rPr>
          <w:rFonts w:ascii="Arial" w:cs="Arial" w:eastAsia="Arial" w:hAnsi="Arial"/>
          <w:sz w:val="20"/>
          <w:szCs w:val="20"/>
          <w:color w:val="auto"/>
        </w:rPr>
        <w:t>The manner in which the grantor trust assets are to be distributed to an eligible NEO upon retirement from the company generally follows the distribution method elected by the NEO under the AbbVie Pension Plan. If an</w:t>
      </w:r>
    </w:p>
    <w:p>
      <w:pPr>
        <w:spacing w:after="0" w:line="200" w:lineRule="exact"/>
        <w:rPr>
          <w:sz w:val="20"/>
          <w:szCs w:val="20"/>
          <w:color w:val="auto"/>
        </w:rPr>
      </w:pPr>
    </w:p>
    <w:p>
      <w:pPr>
        <w:spacing w:after="0" w:line="386"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226">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74" w:name="page175"/>
    <w:bookmarkEnd w:id="174"/>
    <w:p>
      <w:pPr>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eligible NEO (or the NEO’s surviving spouse, depending on the pension distribution method elected by the NEO under the AbbVie Pension Plan) lives beyond the actuarial life expectancy age used to determine the Supplemental Pension Plan benefit, and therefore exhausts the trust balance, the Supplemental Pension Plan benefit is paid to the NEO (or their surviving spouse) by AbbVie.</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Savings Plans</w:t>
      </w:r>
    </w:p>
    <w:p>
      <w:pPr>
        <w:spacing w:after="0" w:line="1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NEOs and other eligible U.S. employees are permitted to defer a portion of their annual base salary under the AbbVie Savings Plan, the company’s principal qualified defined contribution plan, up to the IRS contribution limits. Eligible executives, including the NEOs, also may defer up to 18 percent of their base salary, less contributions to the AbbVie Savings Plan, to the AbbVie Supplemental Savings Plan, which is a non-qualified defined contribution plan. Eligible executives may defer these amounts to unfunded book accounts or choose to have the amounts paid in cash on a current basis and deposited into individually established grantor trusts, net of maximum tax withholdings. These amounts are credited annually with earnings. Amounts deposited in the individual trusts are not tax-deferred and the NEOs personally pay the taxes on those amounts without gross-ups.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Eligible NEOs elect the manner in which the assets held in their grantor trusts will be distributed to them upon retirement or other separation from the company. These arrangements are described in greater detail in this proxy statement beginning with the section captioned “Summary Compensation Table.”</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Financial Planning</w:t>
      </w:r>
    </w:p>
    <w:p>
      <w:pPr>
        <w:spacing w:after="0" w:line="129" w:lineRule="exact"/>
        <w:rPr>
          <w:sz w:val="20"/>
          <w:szCs w:val="20"/>
          <w:color w:val="auto"/>
        </w:rPr>
      </w:pPr>
    </w:p>
    <w:p>
      <w:pPr>
        <w:jc w:val="both"/>
        <w:ind w:right="400"/>
        <w:spacing w:after="0" w:line="262" w:lineRule="auto"/>
        <w:rPr>
          <w:sz w:val="20"/>
          <w:szCs w:val="20"/>
          <w:color w:val="auto"/>
        </w:rPr>
      </w:pPr>
      <w:r>
        <w:rPr>
          <w:rFonts w:ascii="Arial" w:cs="Arial" w:eastAsia="Arial" w:hAnsi="Arial"/>
          <w:sz w:val="20"/>
          <w:szCs w:val="20"/>
          <w:color w:val="auto"/>
        </w:rPr>
        <w:t>NEOs are paid an annual stipend of $10,000 for estate planning advice, tax preparation and general financial planning fees. The stipend is income to the NEO, who is responsible for payment of all resulting taxes without gross-ups.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Company-Provided Transportation</w:t>
      </w:r>
    </w:p>
    <w:p>
      <w:pPr>
        <w:spacing w:after="0" w:line="129"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NEOs are eligible for transportation perquisites that are designed to improve the effectiveness and efficiency of their work, including the use of a company- leased vehicle and access to company-provided air travel, as appropriate. In some circumstances, these benefits may be used for personal travel, which would then be considered part of the NEO’s total compensation and treated as taxable income to them under applicable tax laws. The NEOs pay the taxes on such income without gross-ups.</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Disability Benefits</w:t>
      </w:r>
    </w:p>
    <w:p>
      <w:pPr>
        <w:spacing w:after="0" w:line="127" w:lineRule="exact"/>
        <w:rPr>
          <w:sz w:val="20"/>
          <w:szCs w:val="20"/>
          <w:color w:val="auto"/>
        </w:rPr>
      </w:pPr>
    </w:p>
    <w:p>
      <w:pPr>
        <w:ind w:right="360"/>
        <w:spacing w:after="0" w:line="262" w:lineRule="auto"/>
        <w:rPr>
          <w:sz w:val="20"/>
          <w:szCs w:val="20"/>
          <w:color w:val="auto"/>
        </w:rPr>
      </w:pPr>
      <w:r>
        <w:rPr>
          <w:rFonts w:ascii="Arial" w:cs="Arial" w:eastAsia="Arial" w:hAnsi="Arial"/>
          <w:sz w:val="20"/>
          <w:szCs w:val="20"/>
          <w:color w:val="auto"/>
        </w:rPr>
        <w:t>In addition to AbbVie’s standard disability benefits, NEOs are eligible for a monthly long-term disability benefit, which is described in the “Potential Payments upon Termination or Change in Control” section of this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AbbVie does not have employment agreements with any of its NEOs.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CONTROL AGREEMENTS</w:t>
      </w:r>
    </w:p>
    <w:p>
      <w:pPr>
        <w:spacing w:after="0" w:line="123" w:lineRule="exact"/>
        <w:rPr>
          <w:sz w:val="20"/>
          <w:szCs w:val="20"/>
          <w:color w:val="auto"/>
        </w:rPr>
      </w:pPr>
    </w:p>
    <w:p>
      <w:pPr>
        <w:ind w:right="340"/>
        <w:spacing w:after="0" w:line="254" w:lineRule="auto"/>
        <w:rPr>
          <w:sz w:val="20"/>
          <w:szCs w:val="20"/>
          <w:color w:val="auto"/>
        </w:rPr>
      </w:pPr>
      <w:r>
        <w:rPr>
          <w:rFonts w:ascii="Arial" w:cs="Arial" w:eastAsia="Arial" w:hAnsi="Arial"/>
          <w:sz w:val="20"/>
          <w:szCs w:val="20"/>
          <w:color w:val="auto"/>
        </w:rPr>
        <w:t>AbbVie has entered into change in control agreements with its NEOs to aid in retention and recruitment, encourage continued attention and dedication to assigned duties during periods involving a possible change in control of the company, and to protect the earned benefits of the NEOs against potential adverse changes resulting from a change in control.</w:t>
      </w:r>
    </w:p>
    <w:p>
      <w:pPr>
        <w:spacing w:after="0" w:line="187"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The change in control agreements contain a double-trigger feature, meaning that if the NEO’s employment is terminated other than for cause or permanent disability, or if the NEO elects to terminate employment for good reason, within two years following a change in control, they are entitled to receive certain pay and benefits as described in the section of this proxy statement captioned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46  </w:t>
      </w:r>
      <w:r>
        <w:rPr>
          <w:sz w:val="1"/>
          <w:szCs w:val="1"/>
          <w:color w:val="auto"/>
        </w:rPr>
        <w:drawing>
          <wp:inline distT="0" distB="0" distL="0" distR="0">
            <wp:extent cx="991870" cy="20066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227">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75" w:name="page176"/>
    <w:bookmarkEnd w:id="175"/>
    <w:p>
      <w:pPr>
        <w:jc w:val="right"/>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EXCISE TAX GROSS-UPS</w:t>
      </w:r>
    </w:p>
    <w:p>
      <w:pPr>
        <w:spacing w:after="0" w:line="123" w:lineRule="exact"/>
        <w:rPr>
          <w:sz w:val="20"/>
          <w:szCs w:val="20"/>
          <w:color w:val="auto"/>
        </w:rPr>
      </w:pPr>
    </w:p>
    <w:p>
      <w:pPr>
        <w:ind w:left="20" w:right="80"/>
        <w:spacing w:after="0" w:line="283" w:lineRule="auto"/>
        <w:rPr>
          <w:sz w:val="20"/>
          <w:szCs w:val="20"/>
          <w:color w:val="auto"/>
        </w:rPr>
      </w:pPr>
      <w:r>
        <w:rPr>
          <w:rFonts w:ascii="Arial" w:cs="Arial" w:eastAsia="Arial" w:hAnsi="Arial"/>
          <w:sz w:val="20"/>
          <w:szCs w:val="20"/>
          <w:color w:val="auto"/>
        </w:rPr>
        <w:t>AbbVie does not provide excise tax gross-ups on NEO severance or other payments in connection with a change in control.</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000039"/>
        </w:rPr>
        <w:t>Other Matters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STOCK OWNERSHIP GUIDELINES</w:t>
      </w:r>
    </w:p>
    <w:p>
      <w:pPr>
        <w:spacing w:after="0" w:line="123" w:lineRule="exact"/>
        <w:rPr>
          <w:sz w:val="20"/>
          <w:szCs w:val="20"/>
          <w:color w:val="auto"/>
        </w:rPr>
      </w:pPr>
    </w:p>
    <w:p>
      <w:pPr>
        <w:ind w:left="20" w:right="80"/>
        <w:spacing w:after="0" w:line="248" w:lineRule="auto"/>
        <w:rPr>
          <w:sz w:val="20"/>
          <w:szCs w:val="20"/>
          <w:color w:val="auto"/>
        </w:rPr>
      </w:pPr>
      <w:r>
        <w:rPr>
          <w:rFonts w:ascii="Arial" w:cs="Arial" w:eastAsia="Arial" w:hAnsi="Arial"/>
          <w:sz w:val="20"/>
          <w:szCs w:val="20"/>
          <w:color w:val="auto"/>
        </w:rPr>
        <w:t>AbbVie’s stock ownership guidelines are designed to further promote sustained stockholder return and to ensure the company’s senior executives, including NEOs, remain focused on both short- and long -term objectives. Each senior executive has five years from the date of election or appointment to their position to achieve the ownership level associated with their position. Senior executives are not allowed to sell stock, except for tax withholding at vesting or exercise, if they do not satisfy the minimum stock ownership requirement. The minimum stock ownership guidelines for the CEO and other NEOs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3540" w:type="dxa"/>
            <w:vAlign w:val="bottom"/>
            <w:tcBorders>
              <w:top w:val="single" w:sz="8" w:color="000039"/>
            </w:tcBorders>
          </w:tcPr>
          <w:p>
            <w:pPr>
              <w:spacing w:after="0"/>
              <w:rPr>
                <w:sz w:val="20"/>
                <w:szCs w:val="20"/>
                <w:color w:val="auto"/>
              </w:rPr>
            </w:pPr>
            <w:r>
              <w:rPr>
                <w:rFonts w:ascii="Arial" w:cs="Arial" w:eastAsia="Arial" w:hAnsi="Arial"/>
                <w:sz w:val="20"/>
                <w:szCs w:val="20"/>
                <w:b w:val="1"/>
                <w:bCs w:val="1"/>
                <w:color w:val="000039"/>
              </w:rPr>
              <w:t>Executive</w:t>
            </w:r>
          </w:p>
        </w:tc>
        <w:tc>
          <w:tcPr>
            <w:tcW w:w="4680" w:type="dxa"/>
            <w:vAlign w:val="bottom"/>
            <w:tcBorders>
              <w:top w:val="single" w:sz="8" w:color="000039"/>
            </w:tcBorders>
          </w:tcPr>
          <w:p>
            <w:pPr>
              <w:jc w:val="center"/>
              <w:ind w:left="1460"/>
              <w:spacing w:after="0"/>
              <w:rPr>
                <w:sz w:val="20"/>
                <w:szCs w:val="20"/>
                <w:color w:val="auto"/>
              </w:rPr>
            </w:pPr>
            <w:r>
              <w:rPr>
                <w:rFonts w:ascii="Arial" w:cs="Arial" w:eastAsia="Arial" w:hAnsi="Arial"/>
                <w:sz w:val="20"/>
                <w:szCs w:val="20"/>
                <w:b w:val="1"/>
                <w:bCs w:val="1"/>
                <w:color w:val="000039"/>
              </w:rPr>
              <w:t>Stock Ownership Requirement</w:t>
            </w:r>
          </w:p>
        </w:tc>
        <w:tc>
          <w:tcPr>
            <w:tcW w:w="1880" w:type="dxa"/>
            <w:vAlign w:val="bottom"/>
            <w:tcBorders>
              <w:top w:val="single" w:sz="8" w:color="000039"/>
            </w:tcBorders>
            <w:gridSpan w:val="2"/>
          </w:tcPr>
          <w:p>
            <w:pPr>
              <w:jc w:val="center"/>
              <w:spacing w:after="0"/>
              <w:rPr>
                <w:sz w:val="20"/>
                <w:szCs w:val="20"/>
                <w:color w:val="auto"/>
              </w:rPr>
            </w:pPr>
            <w:r>
              <w:rPr>
                <w:rFonts w:ascii="Arial" w:cs="Arial" w:eastAsia="Arial" w:hAnsi="Arial"/>
                <w:sz w:val="20"/>
                <w:szCs w:val="20"/>
                <w:b w:val="1"/>
                <w:bCs w:val="1"/>
                <w:color w:val="000039"/>
                <w:w w:val="99"/>
              </w:rPr>
              <w:t>Requirement Met?</w:t>
            </w:r>
          </w:p>
        </w:tc>
      </w:tr>
      <w:tr>
        <w:trPr>
          <w:trHeight w:val="220"/>
        </w:trPr>
        <w:tc>
          <w:tcPr>
            <w:tcW w:w="20" w:type="dxa"/>
            <w:vAlign w:val="bottom"/>
          </w:tcPr>
          <w:p>
            <w:pPr>
              <w:spacing w:after="0"/>
              <w:rPr>
                <w:sz w:val="19"/>
                <w:szCs w:val="19"/>
                <w:color w:val="auto"/>
              </w:rPr>
            </w:pPr>
          </w:p>
        </w:tc>
        <w:tc>
          <w:tcPr>
            <w:tcW w:w="3540" w:type="dxa"/>
            <w:vAlign w:val="bottom"/>
            <w:tcBorders>
              <w:top w:val="single" w:sz="8" w:color="000039"/>
            </w:tcBorders>
            <w:shd w:val="clear" w:color="auto" w:fill="D9D9D9"/>
          </w:tcPr>
          <w:p>
            <w:pPr>
              <w:spacing w:after="0" w:line="220" w:lineRule="exact"/>
              <w:rPr>
                <w:sz w:val="20"/>
                <w:szCs w:val="20"/>
                <w:color w:val="auto"/>
              </w:rPr>
            </w:pPr>
            <w:r>
              <w:rPr>
                <w:rFonts w:ascii="Arial" w:cs="Arial" w:eastAsia="Arial" w:hAnsi="Arial"/>
                <w:sz w:val="20"/>
                <w:szCs w:val="20"/>
                <w:color w:val="auto"/>
              </w:rPr>
              <w:t>Robert A. Michael</w:t>
            </w:r>
          </w:p>
        </w:tc>
        <w:tc>
          <w:tcPr>
            <w:tcW w:w="4680" w:type="dxa"/>
            <w:vAlign w:val="bottom"/>
            <w:tcBorders>
              <w:top w:val="single" w:sz="8" w:color="000039"/>
            </w:tcBorders>
            <w:shd w:val="clear" w:color="auto" w:fill="D9D9D9"/>
          </w:tcPr>
          <w:p>
            <w:pPr>
              <w:jc w:val="center"/>
              <w:ind w:left="1440"/>
              <w:spacing w:after="0" w:line="220" w:lineRule="exact"/>
              <w:rPr>
                <w:sz w:val="20"/>
                <w:szCs w:val="20"/>
                <w:color w:val="auto"/>
              </w:rPr>
            </w:pPr>
            <w:r>
              <w:rPr>
                <w:rFonts w:ascii="Arial" w:cs="Arial" w:eastAsia="Arial" w:hAnsi="Arial"/>
                <w:sz w:val="20"/>
                <w:szCs w:val="20"/>
                <w:color w:val="auto"/>
                <w:w w:val="99"/>
              </w:rPr>
              <w:t>6x Base Salary</w:t>
            </w:r>
          </w:p>
        </w:tc>
        <w:tc>
          <w:tcPr>
            <w:tcW w:w="1860" w:type="dxa"/>
            <w:vAlign w:val="bottom"/>
            <w:tcBorders>
              <w:top w:val="single" w:sz="8" w:color="000039"/>
            </w:tcBorders>
            <w:shd w:val="clear" w:color="auto" w:fill="D9D9D9"/>
          </w:tcPr>
          <w:p>
            <w:pPr>
              <w:jc w:val="center"/>
              <w:ind w:left="20"/>
              <w:spacing w:after="0" w:line="220" w:lineRule="exact"/>
              <w:rPr>
                <w:sz w:val="20"/>
                <w:szCs w:val="20"/>
                <w:color w:val="auto"/>
              </w:rPr>
            </w:pPr>
            <w:r>
              <w:rPr>
                <w:rFonts w:ascii="Arial" w:cs="Arial" w:eastAsia="Arial" w:hAnsi="Arial"/>
                <w:sz w:val="20"/>
                <w:szCs w:val="20"/>
                <w:color w:val="auto"/>
                <w:w w:val="98"/>
              </w:rPr>
              <w:t>Yes</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20"/>
                <w:szCs w:val="20"/>
                <w:color w:val="auto"/>
              </w:rPr>
              <w:t>Scott T. Reents</w:t>
            </w:r>
          </w:p>
        </w:tc>
        <w:tc>
          <w:tcPr>
            <w:tcW w:w="4680" w:type="dxa"/>
            <w:vAlign w:val="bottom"/>
          </w:tcPr>
          <w:p>
            <w:pPr>
              <w:jc w:val="center"/>
              <w:ind w:left="1440"/>
              <w:spacing w:after="0"/>
              <w:rPr>
                <w:sz w:val="20"/>
                <w:szCs w:val="20"/>
                <w:color w:val="auto"/>
              </w:rPr>
            </w:pPr>
            <w:r>
              <w:rPr>
                <w:rFonts w:ascii="Arial" w:cs="Arial" w:eastAsia="Arial" w:hAnsi="Arial"/>
                <w:sz w:val="20"/>
                <w:szCs w:val="20"/>
                <w:color w:val="auto"/>
                <w:w w:val="99"/>
              </w:rPr>
              <w:t>3x Base Salary</w:t>
            </w:r>
          </w:p>
        </w:tc>
        <w:tc>
          <w:tcPr>
            <w:tcW w:w="1860" w:type="dxa"/>
            <w:vAlign w:val="bottom"/>
          </w:tcPr>
          <w:p>
            <w:pPr>
              <w:jc w:val="center"/>
              <w:ind w:left="20"/>
              <w:spacing w:after="0"/>
              <w:rPr>
                <w:sz w:val="20"/>
                <w:szCs w:val="20"/>
                <w:color w:val="auto"/>
              </w:rPr>
            </w:pPr>
            <w:r>
              <w:rPr>
                <w:rFonts w:ascii="Arial" w:cs="Arial" w:eastAsia="Arial" w:hAnsi="Arial"/>
                <w:sz w:val="20"/>
                <w:szCs w:val="20"/>
                <w:color w:val="auto"/>
                <w:w w:val="98"/>
              </w:rPr>
              <w:t>Yes</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D9D9D9"/>
          </w:tcPr>
          <w:p>
            <w:pPr>
              <w:spacing w:after="0"/>
              <w:rPr>
                <w:sz w:val="20"/>
                <w:szCs w:val="20"/>
                <w:color w:val="auto"/>
              </w:rPr>
            </w:pPr>
            <w:r>
              <w:rPr>
                <w:rFonts w:ascii="Arial" w:cs="Arial" w:eastAsia="Arial" w:hAnsi="Arial"/>
                <w:sz w:val="20"/>
                <w:szCs w:val="20"/>
                <w:color w:val="auto"/>
              </w:rPr>
              <w:t>Jeffrey R. Stewart</w:t>
            </w:r>
          </w:p>
        </w:tc>
        <w:tc>
          <w:tcPr>
            <w:tcW w:w="4680" w:type="dxa"/>
            <w:vAlign w:val="bottom"/>
            <w:shd w:val="clear" w:color="auto" w:fill="D9D9D9"/>
          </w:tcPr>
          <w:p>
            <w:pPr>
              <w:jc w:val="center"/>
              <w:ind w:left="1440"/>
              <w:spacing w:after="0"/>
              <w:rPr>
                <w:sz w:val="20"/>
                <w:szCs w:val="20"/>
                <w:color w:val="auto"/>
              </w:rPr>
            </w:pPr>
            <w:r>
              <w:rPr>
                <w:rFonts w:ascii="Arial" w:cs="Arial" w:eastAsia="Arial" w:hAnsi="Arial"/>
                <w:sz w:val="20"/>
                <w:szCs w:val="20"/>
                <w:color w:val="auto"/>
                <w:w w:val="99"/>
              </w:rPr>
              <w:t>3x Base Salary</w:t>
            </w:r>
          </w:p>
        </w:tc>
        <w:tc>
          <w:tcPr>
            <w:tcW w:w="1860" w:type="dxa"/>
            <w:vAlign w:val="bottom"/>
            <w:shd w:val="clear" w:color="auto" w:fill="D9D9D9"/>
          </w:tcPr>
          <w:p>
            <w:pPr>
              <w:jc w:val="center"/>
              <w:ind w:left="20"/>
              <w:spacing w:after="0"/>
              <w:rPr>
                <w:sz w:val="20"/>
                <w:szCs w:val="20"/>
                <w:color w:val="auto"/>
              </w:rPr>
            </w:pPr>
            <w:r>
              <w:rPr>
                <w:rFonts w:ascii="Arial" w:cs="Arial" w:eastAsia="Arial" w:hAnsi="Arial"/>
                <w:sz w:val="20"/>
                <w:szCs w:val="20"/>
                <w:color w:val="auto"/>
                <w:w w:val="98"/>
              </w:rPr>
              <w:t>Yes</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20"/>
                <w:szCs w:val="20"/>
                <w:color w:val="auto"/>
              </w:rPr>
              <w:t>Azita Saleki-Gerhardt</w:t>
            </w:r>
          </w:p>
        </w:tc>
        <w:tc>
          <w:tcPr>
            <w:tcW w:w="4680" w:type="dxa"/>
            <w:vAlign w:val="bottom"/>
          </w:tcPr>
          <w:p>
            <w:pPr>
              <w:jc w:val="center"/>
              <w:ind w:left="1440"/>
              <w:spacing w:after="0"/>
              <w:rPr>
                <w:sz w:val="20"/>
                <w:szCs w:val="20"/>
                <w:color w:val="auto"/>
              </w:rPr>
            </w:pPr>
            <w:r>
              <w:rPr>
                <w:rFonts w:ascii="Arial" w:cs="Arial" w:eastAsia="Arial" w:hAnsi="Arial"/>
                <w:sz w:val="20"/>
                <w:szCs w:val="20"/>
                <w:color w:val="auto"/>
                <w:w w:val="99"/>
              </w:rPr>
              <w:t>3x Base Salary</w:t>
            </w:r>
          </w:p>
        </w:tc>
        <w:tc>
          <w:tcPr>
            <w:tcW w:w="1860" w:type="dxa"/>
            <w:vAlign w:val="bottom"/>
          </w:tcPr>
          <w:p>
            <w:pPr>
              <w:jc w:val="center"/>
              <w:ind w:left="20"/>
              <w:spacing w:after="0"/>
              <w:rPr>
                <w:sz w:val="20"/>
                <w:szCs w:val="20"/>
                <w:color w:val="auto"/>
              </w:rPr>
            </w:pPr>
            <w:r>
              <w:rPr>
                <w:rFonts w:ascii="Arial" w:cs="Arial" w:eastAsia="Arial" w:hAnsi="Arial"/>
                <w:sz w:val="20"/>
                <w:szCs w:val="20"/>
                <w:color w:val="auto"/>
                <w:w w:val="98"/>
              </w:rPr>
              <w:t>Yes</w:t>
            </w:r>
          </w:p>
        </w:tc>
        <w:tc>
          <w:tcPr>
            <w:tcW w:w="20" w:type="dxa"/>
            <w:vAlign w:val="bottom"/>
          </w:tcPr>
          <w:p>
            <w:pPr>
              <w:spacing w:after="0"/>
              <w:rPr>
                <w:sz w:val="20"/>
                <w:szCs w:val="20"/>
                <w:color w:val="auto"/>
              </w:rPr>
            </w:pPr>
          </w:p>
        </w:tc>
      </w:tr>
      <w:tr>
        <w:trPr>
          <w:trHeight w:val="230"/>
        </w:trPr>
        <w:tc>
          <w:tcPr>
            <w:tcW w:w="20" w:type="dxa"/>
            <w:vAlign w:val="bottom"/>
            <w:tcBorders>
              <w:bottom w:val="single" w:sz="8" w:color="000039"/>
            </w:tcBorders>
          </w:tcPr>
          <w:p>
            <w:pPr>
              <w:spacing w:after="0"/>
              <w:rPr>
                <w:sz w:val="19"/>
                <w:szCs w:val="19"/>
                <w:color w:val="auto"/>
              </w:rPr>
            </w:pPr>
          </w:p>
        </w:tc>
        <w:tc>
          <w:tcPr>
            <w:tcW w:w="3540" w:type="dxa"/>
            <w:vAlign w:val="bottom"/>
            <w:tcBorders>
              <w:bottom w:val="single" w:sz="8" w:color="000039"/>
            </w:tcBorders>
            <w:shd w:val="clear" w:color="auto" w:fill="D9D9D9"/>
          </w:tcPr>
          <w:p>
            <w:pPr>
              <w:spacing w:after="0"/>
              <w:rPr>
                <w:sz w:val="20"/>
                <w:szCs w:val="20"/>
                <w:color w:val="auto"/>
              </w:rPr>
            </w:pPr>
            <w:r>
              <w:rPr>
                <w:rFonts w:ascii="Arial" w:cs="Arial" w:eastAsia="Arial" w:hAnsi="Arial"/>
                <w:sz w:val="20"/>
                <w:szCs w:val="20"/>
                <w:color w:val="auto"/>
              </w:rPr>
              <w:t>Roopal B. Thakkar</w:t>
            </w:r>
          </w:p>
        </w:tc>
        <w:tc>
          <w:tcPr>
            <w:tcW w:w="4680" w:type="dxa"/>
            <w:vAlign w:val="bottom"/>
            <w:tcBorders>
              <w:bottom w:val="single" w:sz="8" w:color="000039"/>
            </w:tcBorders>
            <w:shd w:val="clear" w:color="auto" w:fill="D9D9D9"/>
          </w:tcPr>
          <w:p>
            <w:pPr>
              <w:jc w:val="center"/>
              <w:ind w:left="1440"/>
              <w:spacing w:after="0"/>
              <w:rPr>
                <w:sz w:val="20"/>
                <w:szCs w:val="20"/>
                <w:color w:val="auto"/>
              </w:rPr>
            </w:pPr>
            <w:r>
              <w:rPr>
                <w:rFonts w:ascii="Arial" w:cs="Arial" w:eastAsia="Arial" w:hAnsi="Arial"/>
                <w:sz w:val="20"/>
                <w:szCs w:val="20"/>
                <w:color w:val="auto"/>
                <w:w w:val="99"/>
              </w:rPr>
              <w:t>3x Base Salary</w:t>
            </w:r>
          </w:p>
        </w:tc>
        <w:tc>
          <w:tcPr>
            <w:tcW w:w="1860" w:type="dxa"/>
            <w:vAlign w:val="bottom"/>
            <w:tcBorders>
              <w:bottom w:val="single" w:sz="8" w:color="000039"/>
            </w:tcBorders>
            <w:shd w:val="clear" w:color="auto" w:fill="D9D9D9"/>
          </w:tcPr>
          <w:p>
            <w:pPr>
              <w:jc w:val="center"/>
              <w:ind w:left="20"/>
              <w:spacing w:after="0"/>
              <w:rPr>
                <w:sz w:val="20"/>
                <w:szCs w:val="20"/>
                <w:color w:val="auto"/>
              </w:rPr>
            </w:pPr>
            <w:r>
              <w:rPr>
                <w:rFonts w:ascii="Arial" w:cs="Arial" w:eastAsia="Arial" w:hAnsi="Arial"/>
                <w:sz w:val="20"/>
                <w:szCs w:val="20"/>
                <w:color w:val="auto"/>
                <w:w w:val="98"/>
              </w:rPr>
              <w:t>Yes</w:t>
            </w:r>
          </w:p>
        </w:tc>
        <w:tc>
          <w:tcPr>
            <w:tcW w:w="20" w:type="dxa"/>
            <w:vAlign w:val="bottom"/>
          </w:tcPr>
          <w:p>
            <w:pPr>
              <w:spacing w:after="0"/>
              <w:rPr>
                <w:sz w:val="19"/>
                <w:szCs w:val="19"/>
                <w:color w:val="auto"/>
              </w:rPr>
            </w:pPr>
          </w:p>
        </w:tc>
      </w:tr>
    </w:tbl>
    <w:p>
      <w:pPr>
        <w:spacing w:after="0" w:line="220" w:lineRule="exact"/>
        <w:rPr>
          <w:sz w:val="20"/>
          <w:szCs w:val="20"/>
          <w:color w:val="auto"/>
        </w:rPr>
      </w:pPr>
    </w:p>
    <w:p>
      <w:pPr>
        <w:jc w:val="both"/>
        <w:ind w:left="20" w:right="580"/>
        <w:spacing w:after="0" w:line="261" w:lineRule="auto"/>
        <w:rPr>
          <w:sz w:val="20"/>
          <w:szCs w:val="20"/>
          <w:color w:val="auto"/>
        </w:rPr>
      </w:pPr>
      <w:r>
        <w:rPr>
          <w:rFonts w:ascii="Arial" w:cs="Arial" w:eastAsia="Arial" w:hAnsi="Arial"/>
          <w:sz w:val="20"/>
          <w:szCs w:val="20"/>
          <w:color w:val="auto"/>
        </w:rPr>
        <w:t>In addition, AbbVie’s non-employee directors are required to own AbbVie stock valued at five times (5x) the annual fee for service as a director under the AbbVie Non-Employee Directors’ Fee Plan within five years of joining the Board or as soon as practicable thereafter.</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CLAWBACK POLICY</w:t>
      </w:r>
    </w:p>
    <w:p>
      <w:pPr>
        <w:spacing w:after="0" w:line="124" w:lineRule="exact"/>
        <w:rPr>
          <w:sz w:val="20"/>
          <w:szCs w:val="20"/>
          <w:color w:val="auto"/>
        </w:rPr>
      </w:pPr>
    </w:p>
    <w:p>
      <w:pPr>
        <w:ind w:left="20" w:right="20"/>
        <w:spacing w:after="0" w:line="245" w:lineRule="auto"/>
        <w:rPr>
          <w:sz w:val="20"/>
          <w:szCs w:val="20"/>
          <w:color w:val="auto"/>
        </w:rPr>
      </w:pPr>
      <w:r>
        <w:rPr>
          <w:rFonts w:ascii="Arial" w:cs="Arial" w:eastAsia="Arial" w:hAnsi="Arial"/>
          <w:sz w:val="20"/>
          <w:szCs w:val="20"/>
          <w:color w:val="auto"/>
        </w:rPr>
        <w:t>The committee does not anticipate there would ever be circumstances where a restatement of earnings upon which any incentive plan award decisions were based would occur or circumstances where an executive officer engages in misconduct that would constitute a material breach of the AbbVie Code of Business Conduct. Nevertheless, the committee, in evaluating such circumstances, has broad discretion to take all actions necessary to protect the interests of stockholders, up to and including actions to recover incentive awards. This includes a mandatory clawback of excess compensation in the event of a restatement, consistent with SEC rules, as well as broad authority to clawback compensation in the event of a material breach of the AbbVie Code of Business Conduct. For more details, AbbVie’s Code of Business Conduct is available in the corporate governance section of AbbVie’s investor relations website at www.abbvieinvestor.com.</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ANTI-HEDGING AND ANTI-PLEDGING POLICIES</w:t>
      </w:r>
    </w:p>
    <w:p>
      <w:pPr>
        <w:spacing w:after="0" w:line="205" w:lineRule="exact"/>
        <w:rPr>
          <w:sz w:val="20"/>
          <w:szCs w:val="20"/>
          <w:color w:val="auto"/>
        </w:rPr>
      </w:pPr>
    </w:p>
    <w:p>
      <w:pPr>
        <w:ind w:left="20" w:right="200"/>
        <w:spacing w:after="0" w:line="250" w:lineRule="auto"/>
        <w:rPr>
          <w:sz w:val="20"/>
          <w:szCs w:val="20"/>
          <w:color w:val="auto"/>
        </w:rPr>
      </w:pPr>
      <w:r>
        <w:rPr>
          <w:rFonts w:ascii="Arial" w:cs="Arial" w:eastAsia="Arial" w:hAnsi="Arial"/>
          <w:sz w:val="20"/>
          <w:szCs w:val="20"/>
          <w:color w:val="auto"/>
        </w:rPr>
        <w:t>AbbVie has a formal policy that prohibits directors and officers subject to Section 16 of the Exchange Act, including the NEOs, from entering into or engaging in the purchase or sale of financial instruments that are designed to hedge or offset any decrease in the market value of AbbVie equity securities they hold. AbbVie also has a formal policy that prohibits directors and officers subject to Section 16 of the Exchange Act, including the NEOs, from pledging AbbVie common stock as collateral for a loan.</w:t>
      </w:r>
    </w:p>
    <w:p>
      <w:pPr>
        <w:spacing w:after="0" w:line="152" w:lineRule="exact"/>
        <w:rPr>
          <w:sz w:val="20"/>
          <w:szCs w:val="20"/>
          <w:color w:val="auto"/>
        </w:rPr>
      </w:pPr>
    </w:p>
    <w:p>
      <w:pPr>
        <w:ind w:left="20" w:right="260"/>
        <w:spacing w:after="0" w:line="248" w:lineRule="auto"/>
        <w:rPr>
          <w:sz w:val="20"/>
          <w:szCs w:val="20"/>
          <w:color w:val="auto"/>
        </w:rPr>
      </w:pPr>
      <w:r>
        <w:rPr>
          <w:rFonts w:ascii="Arial" w:cs="Arial" w:eastAsia="Arial" w:hAnsi="Arial"/>
          <w:sz w:val="20"/>
          <w:szCs w:val="20"/>
          <w:color w:val="auto"/>
        </w:rPr>
        <w:t>In addition, the AbbVie Amended and Restated 2013 Incentive Stock Program provides that no long-term incentive award may be assigned, alienated, sold or transferred other than by will or by the laws of descent and distribution or as permitted by the compensation committee for estate planning purposes, and no award and no right under any award may be pledged, alienated, attached or otherwise encumbered. All members of senior management, including the NEOs, and certain other employees are required to clear any transaction involving company stock with the Legal department prior to entering into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52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-212725</wp:posOffset>
            </wp:positionV>
            <wp:extent cx="991870" cy="2006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228">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100"/>
          </w:cols>
          <w:pgMar w:left="880" w:top="702" w:right="900" w:bottom="0" w:gutter="0" w:footer="0" w:header="0"/>
        </w:sectPr>
      </w:pPr>
    </w:p>
    <w:bookmarkStart w:id="176" w:name="page177"/>
    <w:bookmarkEnd w:id="176"/>
    <w:p>
      <w:pPr>
        <w:spacing w:after="0"/>
        <w:rPr>
          <w:sz w:val="20"/>
          <w:szCs w:val="20"/>
          <w:color w:val="auto"/>
        </w:rPr>
      </w:pPr>
      <w:r>
        <w:rPr>
          <w:rFonts w:ascii="Arial" w:cs="Arial" w:eastAsia="Arial" w:hAnsi="Arial"/>
          <w:sz w:val="20"/>
          <w:szCs w:val="20"/>
          <w:color w:val="808080"/>
        </w:rPr>
        <w:t>EXECUTIVE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POLICY</w:t>
      </w:r>
    </w:p>
    <w:p>
      <w:pPr>
        <w:spacing w:after="0" w:line="20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AbbVie has adopted a formal insider trading policy applicable to directors, officers, employees and agents of the company, along with third parties who are in a confidential relationship with AbbVie (collectively, “covered persons”), that we believe is reasonably designed to promote compliance with applicable insider trading laws, rules and regulations and applicable listing standards. Among other things, our insider trading policy (i) prohibits trading by covered persons in our securities while in possession of material non-public information (“MNPI”) about AbbVie or AbbVie securities, except under pre-approved Rule 10b5-1 trading plans, or in the securities of any other company with respect to which such covered persons have received MNPI as a result of their relationship with or employment by AbbVie, (ii) prohibits disclosing MNPI to others who may trade in AbbVie securities or in the securities of any other publicly traded company on the basis of such MNPI, and (iii) specifies our blackout periods (and who is subject to such periods), our pre-clearance procedures (and who is subject to such procedures) and requirements regarding pre-approved trading plans that meet the requirements of Rule 10b5-1 under the Exchange Act. A copy of our insider trading policy was filed as Exhibit 19 to our 2025 Annual Report on Form 10-K filed with the SEC on February 20, 2026.</w:t>
      </w:r>
    </w:p>
    <w:p>
      <w:pPr>
        <w:spacing w:after="0" w:line="145" w:lineRule="exact"/>
        <w:rPr>
          <w:sz w:val="20"/>
          <w:szCs w:val="20"/>
          <w:color w:val="auto"/>
        </w:rPr>
      </w:pPr>
    </w:p>
    <w:p>
      <w:pPr>
        <w:spacing w:after="0"/>
        <w:rPr>
          <w:sz w:val="20"/>
          <w:szCs w:val="20"/>
          <w:color w:val="auto"/>
        </w:rPr>
      </w:pPr>
      <w:r>
        <w:rPr>
          <w:rFonts w:ascii="Arial" w:cs="Arial" w:eastAsia="Arial" w:hAnsi="Arial"/>
          <w:sz w:val="36"/>
          <w:szCs w:val="36"/>
          <w:color w:val="auto"/>
        </w:rPr>
        <w:t>Compensation Committee Report</w:t>
      </w:r>
    </w:p>
    <w:p>
      <w:pPr>
        <w:spacing w:after="0" w:line="258"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The compensation committee of the Board of Directors is primarily responsible for reviewing, approving and overseeing AbbVie’s compensation plans and practices, and works with management and the committee’s independent compensation consultant to establish AbbVie’s executive compensation philosophy and programs. The committee reviewed and discussed the Compensation Discussion and Analysis with management and, based on this review and discussion, recommended to the Board of Directors that the Compensation Discussion and Analysis be included in this proxy statement.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Committee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 Hart, Chair, R. Alpern, R. Austin, T. Freyman, and F. Waddell</w:t>
      </w:r>
    </w:p>
    <w:p>
      <w:pPr>
        <w:spacing w:after="0" w:line="183" w:lineRule="exact"/>
        <w:rPr>
          <w:sz w:val="20"/>
          <w:szCs w:val="20"/>
          <w:color w:val="auto"/>
        </w:rPr>
      </w:pPr>
    </w:p>
    <w:p>
      <w:pPr>
        <w:spacing w:after="0"/>
        <w:rPr>
          <w:sz w:val="20"/>
          <w:szCs w:val="20"/>
          <w:color w:val="auto"/>
        </w:rPr>
      </w:pPr>
      <w:r>
        <w:rPr>
          <w:rFonts w:ascii="Arial" w:cs="Arial" w:eastAsia="Arial" w:hAnsi="Arial"/>
          <w:sz w:val="36"/>
          <w:szCs w:val="36"/>
          <w:color w:val="auto"/>
        </w:rPr>
        <w:t>Compensation Risk Assessment</w:t>
      </w:r>
    </w:p>
    <w:p>
      <w:pPr>
        <w:spacing w:after="0" w:line="256"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During 2025, in collaboration with the compensation committee’s independent compensation consultant, AbbVie conducted an in-depth risk assessment of its compensation policies and practices, including those related to executive compensation programs for NEOs. The risk assessment included a quantitative and qualitative analysis of AbbVie’s executive compensation programs and broader employee incentive compensation plans. AbbVie also considered how these programs compare, from a design perspective, to programs maintained by other companies. Based on this assessment, it was determined that AbbVie’s executive compensation programs are balanced and appropriately incent employees, and any risks arising from the compensation policies and practices are not reasonably likely to have a material adverse effect on AbbVie. The following factors were among those considered in making this determination:</w:t>
      </w:r>
    </w:p>
    <w:p>
      <w:pPr>
        <w:spacing w:after="0" w:line="211" w:lineRule="exact"/>
        <w:rPr>
          <w:sz w:val="20"/>
          <w:szCs w:val="20"/>
          <w:color w:val="auto"/>
        </w:rPr>
      </w:pPr>
    </w:p>
    <w:p>
      <w:pPr>
        <w:ind w:left="360" w:hanging="360"/>
        <w:spacing w:after="0"/>
        <w:tabs>
          <w:tab w:leader="none" w:pos="360" w:val="left"/>
        </w:tabs>
        <w:numPr>
          <w:ilvl w:val="0"/>
          <w:numId w:val="113"/>
        </w:numPr>
        <w:rPr>
          <w:rFonts w:ascii="Arial" w:cs="Arial" w:eastAsia="Arial" w:hAnsi="Arial"/>
          <w:sz w:val="20"/>
          <w:szCs w:val="20"/>
          <w:color w:val="000039"/>
        </w:rPr>
      </w:pPr>
      <w:r>
        <w:rPr>
          <w:rFonts w:ascii="Arial" w:cs="Arial" w:eastAsia="Arial" w:hAnsi="Arial"/>
          <w:sz w:val="20"/>
          <w:szCs w:val="20"/>
          <w:color w:val="auto"/>
        </w:rPr>
        <w:t>AbbVie is committed to pay equity and regularly reviews pay to ensure its pay is fair and equitable.</w:t>
      </w:r>
    </w:p>
    <w:p>
      <w:pPr>
        <w:spacing w:after="0" w:line="39" w:lineRule="exact"/>
        <w:rPr>
          <w:rFonts w:ascii="Arial" w:cs="Arial" w:eastAsia="Arial" w:hAnsi="Arial"/>
          <w:sz w:val="20"/>
          <w:szCs w:val="20"/>
          <w:color w:val="000039"/>
        </w:rPr>
      </w:pPr>
    </w:p>
    <w:p>
      <w:pPr>
        <w:ind w:left="360" w:right="20" w:hanging="360"/>
        <w:spacing w:after="0" w:line="243" w:lineRule="auto"/>
        <w:tabs>
          <w:tab w:leader="none" w:pos="360" w:val="left"/>
        </w:tabs>
        <w:numPr>
          <w:ilvl w:val="0"/>
          <w:numId w:val="113"/>
        </w:numPr>
        <w:rPr>
          <w:rFonts w:ascii="Arial" w:cs="Arial" w:eastAsia="Arial" w:hAnsi="Arial"/>
          <w:sz w:val="20"/>
          <w:szCs w:val="20"/>
          <w:color w:val="000039"/>
        </w:rPr>
      </w:pPr>
      <w:r>
        <w:rPr>
          <w:rFonts w:ascii="Arial" w:cs="Arial" w:eastAsia="Arial" w:hAnsi="Arial"/>
          <w:sz w:val="20"/>
          <w:szCs w:val="20"/>
          <w:color w:val="auto"/>
        </w:rPr>
        <w:t>AbbVie’s compensation structure contributes to a corporate culture that encourages our NEOs to regard AbbVie as a long-term employer. For example, equity awards vest over multi-year periods, which encourages NEOs to consider the long-term impact of their decisions and align their interests with those of AbbVie’s stockholders.</w:t>
      </w:r>
    </w:p>
    <w:p>
      <w:pPr>
        <w:spacing w:after="0" w:line="2" w:lineRule="exact"/>
        <w:rPr>
          <w:rFonts w:ascii="Arial" w:cs="Arial" w:eastAsia="Arial" w:hAnsi="Arial"/>
          <w:sz w:val="20"/>
          <w:szCs w:val="20"/>
          <w:color w:val="000039"/>
        </w:rPr>
      </w:pPr>
    </w:p>
    <w:p>
      <w:pPr>
        <w:ind w:left="360" w:right="120" w:hanging="360"/>
        <w:spacing w:after="0" w:line="247" w:lineRule="auto"/>
        <w:tabs>
          <w:tab w:leader="none" w:pos="360" w:val="left"/>
        </w:tabs>
        <w:numPr>
          <w:ilvl w:val="0"/>
          <w:numId w:val="113"/>
        </w:numPr>
        <w:rPr>
          <w:rFonts w:ascii="Arial" w:cs="Arial" w:eastAsia="Arial" w:hAnsi="Arial"/>
          <w:sz w:val="20"/>
          <w:szCs w:val="20"/>
          <w:color w:val="000039"/>
        </w:rPr>
      </w:pPr>
      <w:r>
        <w:rPr>
          <w:rFonts w:ascii="Arial" w:cs="Arial" w:eastAsia="Arial" w:hAnsi="Arial"/>
          <w:sz w:val="20"/>
          <w:szCs w:val="20"/>
          <w:color w:val="auto"/>
        </w:rPr>
        <w:t>AbbVie’s annual incentive program is based on multiple performance measures, balancing earnings achievement with other factors. Since earnings are a key component of stock price performance, this aspect of AbbVie’s compensation plan also promotes alignment with stockholder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48  </w:t>
      </w:r>
      <w:r>
        <w:rPr>
          <w:sz w:val="1"/>
          <w:szCs w:val="1"/>
          <w:color w:val="auto"/>
        </w:rPr>
        <w:drawing>
          <wp:inline distT="0" distB="0" distL="0" distR="0">
            <wp:extent cx="991870" cy="20066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229">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40"/>
          </w:cols>
          <w:pgMar w:left="900" w:top="702" w:right="940" w:bottom="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color w:val="808080"/>
        </w:rPr>
        <w:t>EXECUTIVE COMPENSATION</w:t>
      </w:r>
    </w:p>
    <w:p>
      <w:pPr>
        <w:spacing w:after="0" w:line="244" w:lineRule="exact"/>
        <w:rPr>
          <w:sz w:val="20"/>
          <w:szCs w:val="20"/>
          <w:color w:val="auto"/>
        </w:rPr>
      </w:pPr>
    </w:p>
    <w:p>
      <w:pPr>
        <w:ind w:left="360" w:right="140" w:hanging="360"/>
        <w:spacing w:after="0" w:line="250" w:lineRule="auto"/>
        <w:tabs>
          <w:tab w:leader="none" w:pos="361" w:val="left"/>
        </w:tabs>
        <w:numPr>
          <w:ilvl w:val="0"/>
          <w:numId w:val="114"/>
        </w:numPr>
        <w:rPr>
          <w:rFonts w:ascii="Arial" w:cs="Arial" w:eastAsia="Arial" w:hAnsi="Arial"/>
          <w:sz w:val="20"/>
          <w:szCs w:val="20"/>
          <w:color w:val="000039"/>
        </w:rPr>
      </w:pPr>
      <w:r>
        <w:rPr>
          <w:rFonts w:ascii="Arial" w:cs="Arial" w:eastAsia="Arial" w:hAnsi="Arial"/>
          <w:sz w:val="20"/>
          <w:szCs w:val="20"/>
          <w:color w:val="auto"/>
        </w:rPr>
        <w:t>AbbVie does not include certain pay design features that may have the potential to encourage excessive risk-taking, such as: over-weighting toward annual incentives, highly leveraged payout curves, unreasonable thresholds or dramatic changes in payout opportunity at certain performance levels that may encourage inappropriate short-term business decisions to meet payout thresholds.</w:t>
      </w:r>
    </w:p>
    <w:p>
      <w:pPr>
        <w:spacing w:after="0" w:line="1" w:lineRule="exact"/>
        <w:rPr>
          <w:rFonts w:ascii="Arial" w:cs="Arial" w:eastAsia="Arial" w:hAnsi="Arial"/>
          <w:sz w:val="20"/>
          <w:szCs w:val="20"/>
          <w:color w:val="000039"/>
        </w:rPr>
      </w:pPr>
    </w:p>
    <w:p>
      <w:pPr>
        <w:ind w:left="360" w:hanging="360"/>
        <w:spacing w:after="0" w:line="242" w:lineRule="auto"/>
        <w:tabs>
          <w:tab w:leader="none" w:pos="360" w:val="left"/>
        </w:tabs>
        <w:numPr>
          <w:ilvl w:val="0"/>
          <w:numId w:val="114"/>
        </w:numPr>
        <w:rPr>
          <w:rFonts w:ascii="Arial" w:cs="Arial" w:eastAsia="Arial" w:hAnsi="Arial"/>
          <w:sz w:val="20"/>
          <w:szCs w:val="20"/>
          <w:color w:val="000039"/>
        </w:rPr>
      </w:pPr>
      <w:r>
        <w:rPr>
          <w:rFonts w:ascii="Arial" w:cs="Arial" w:eastAsia="Arial" w:hAnsi="Arial"/>
          <w:sz w:val="20"/>
          <w:szCs w:val="20"/>
          <w:color w:val="auto"/>
        </w:rPr>
        <w:t>AbbVie’s annual long-term incentive program focuses NEOs on longer-term operating performance and aligns NEOs with stockholder interests through the use of multi-year performance periods and multiple performance measures, including relative total stockholder return. AbbVie’s NEOs received roughly two-thirds of their total direct compensation in the form of long-term incentives (20% of which are stock options that may vest over a three-year period and 80% of which are performance-based awards that may vest over a three-year performance period).</w:t>
      </w:r>
    </w:p>
    <w:p>
      <w:pPr>
        <w:spacing w:after="0" w:line="2" w:lineRule="exact"/>
        <w:rPr>
          <w:rFonts w:ascii="Arial" w:cs="Arial" w:eastAsia="Arial" w:hAnsi="Arial"/>
          <w:sz w:val="20"/>
          <w:szCs w:val="20"/>
          <w:color w:val="000039"/>
        </w:rPr>
      </w:pPr>
    </w:p>
    <w:p>
      <w:pPr>
        <w:ind w:left="360" w:right="280" w:hanging="360"/>
        <w:spacing w:after="0" w:line="244" w:lineRule="auto"/>
        <w:tabs>
          <w:tab w:leader="none" w:pos="361" w:val="left"/>
        </w:tabs>
        <w:numPr>
          <w:ilvl w:val="0"/>
          <w:numId w:val="114"/>
        </w:numPr>
        <w:rPr>
          <w:rFonts w:ascii="Arial" w:cs="Arial" w:eastAsia="Arial" w:hAnsi="Arial"/>
          <w:sz w:val="20"/>
          <w:szCs w:val="20"/>
          <w:color w:val="000039"/>
        </w:rPr>
      </w:pPr>
      <w:r>
        <w:rPr>
          <w:rFonts w:ascii="Arial" w:cs="Arial" w:eastAsia="Arial" w:hAnsi="Arial"/>
          <w:sz w:val="20"/>
          <w:szCs w:val="20"/>
          <w:color w:val="auto"/>
        </w:rPr>
        <w:t>AbbVie makes equity awards and sets grant prices at the same time each year, at the compensation committee’s regularly scheduled meeting in February. In addition, AbbVie does not award discounted stock options or immediately vested equity awards to NEOs.</w:t>
      </w:r>
    </w:p>
    <w:p>
      <w:pPr>
        <w:spacing w:after="0" w:line="1" w:lineRule="exact"/>
        <w:rPr>
          <w:rFonts w:ascii="Arial" w:cs="Arial" w:eastAsia="Arial" w:hAnsi="Arial"/>
          <w:sz w:val="20"/>
          <w:szCs w:val="20"/>
          <w:color w:val="000039"/>
        </w:rPr>
      </w:pPr>
    </w:p>
    <w:p>
      <w:pPr>
        <w:ind w:left="360" w:right="400" w:hanging="360"/>
        <w:spacing w:after="0" w:line="244" w:lineRule="auto"/>
        <w:tabs>
          <w:tab w:leader="none" w:pos="360" w:val="left"/>
        </w:tabs>
        <w:numPr>
          <w:ilvl w:val="0"/>
          <w:numId w:val="114"/>
        </w:numPr>
        <w:rPr>
          <w:rFonts w:ascii="Arial" w:cs="Arial" w:eastAsia="Arial" w:hAnsi="Arial"/>
          <w:sz w:val="20"/>
          <w:szCs w:val="20"/>
          <w:color w:val="000039"/>
        </w:rPr>
      </w:pPr>
      <w:r>
        <w:rPr>
          <w:rFonts w:ascii="Arial" w:cs="Arial" w:eastAsia="Arial" w:hAnsi="Arial"/>
          <w:sz w:val="20"/>
          <w:szCs w:val="20"/>
          <w:color w:val="auto"/>
        </w:rPr>
        <w:t>AbbVie has robust stock ownership guidelines for its senior executives, which promotes alignment with stockholder interests, and other good governance equity practices such as anti-hedging and anti-pledging policies.</w:t>
      </w:r>
    </w:p>
    <w:p>
      <w:pPr>
        <w:spacing w:after="0" w:line="1" w:lineRule="exact"/>
        <w:rPr>
          <w:rFonts w:ascii="Arial" w:cs="Arial" w:eastAsia="Arial" w:hAnsi="Arial"/>
          <w:sz w:val="20"/>
          <w:szCs w:val="20"/>
          <w:color w:val="000039"/>
        </w:rPr>
      </w:pPr>
    </w:p>
    <w:p>
      <w:pPr>
        <w:ind w:left="360" w:right="500" w:hanging="360"/>
        <w:spacing w:after="0" w:line="247" w:lineRule="auto"/>
        <w:tabs>
          <w:tab w:leader="none" w:pos="360" w:val="left"/>
        </w:tabs>
        <w:numPr>
          <w:ilvl w:val="0"/>
          <w:numId w:val="114"/>
        </w:numPr>
        <w:rPr>
          <w:rFonts w:ascii="Arial" w:cs="Arial" w:eastAsia="Arial" w:hAnsi="Arial"/>
          <w:sz w:val="20"/>
          <w:szCs w:val="20"/>
          <w:color w:val="000039"/>
        </w:rPr>
      </w:pPr>
      <w:r>
        <w:rPr>
          <w:rFonts w:ascii="Arial" w:cs="Arial" w:eastAsia="Arial" w:hAnsi="Arial"/>
          <w:sz w:val="20"/>
          <w:szCs w:val="20"/>
          <w:color w:val="auto"/>
        </w:rPr>
        <w:t>AbbVie’s compensation committee has the ability to exercise downward discretion in determining annual incentive plan payouts.</w:t>
      </w:r>
    </w:p>
    <w:p>
      <w:pPr>
        <w:ind w:left="360" w:right="180" w:hanging="360"/>
        <w:spacing w:after="0" w:line="244" w:lineRule="auto"/>
        <w:tabs>
          <w:tab w:leader="none" w:pos="360" w:val="left"/>
        </w:tabs>
        <w:numPr>
          <w:ilvl w:val="0"/>
          <w:numId w:val="114"/>
        </w:numPr>
        <w:rPr>
          <w:rFonts w:ascii="Arial" w:cs="Arial" w:eastAsia="Arial" w:hAnsi="Arial"/>
          <w:sz w:val="20"/>
          <w:szCs w:val="20"/>
          <w:color w:val="000039"/>
        </w:rPr>
      </w:pPr>
      <w:r>
        <w:rPr>
          <w:rFonts w:ascii="Arial" w:cs="Arial" w:eastAsia="Arial" w:hAnsi="Arial"/>
          <w:sz w:val="20"/>
          <w:szCs w:val="20"/>
          <w:color w:val="auto"/>
        </w:rPr>
        <w:t>AbbVie’s compensation committee is required to clawback excess compensation in the event of a restatement, plus retains broad discretion to clawback compensation in the event of a material breach of the AbbVie Code of Business Conduct.</w:t>
      </w:r>
    </w:p>
    <w:p>
      <w:pPr>
        <w:spacing w:after="0" w:line="1" w:lineRule="exact"/>
        <w:rPr>
          <w:rFonts w:ascii="Arial" w:cs="Arial" w:eastAsia="Arial" w:hAnsi="Arial"/>
          <w:sz w:val="20"/>
          <w:szCs w:val="20"/>
          <w:color w:val="000039"/>
        </w:rPr>
      </w:pPr>
    </w:p>
    <w:p>
      <w:pPr>
        <w:ind w:left="360" w:right="780" w:hanging="360"/>
        <w:spacing w:after="0" w:line="256" w:lineRule="auto"/>
        <w:tabs>
          <w:tab w:leader="none" w:pos="360" w:val="left"/>
        </w:tabs>
        <w:numPr>
          <w:ilvl w:val="0"/>
          <w:numId w:val="114"/>
        </w:numPr>
        <w:rPr>
          <w:rFonts w:ascii="Arial" w:cs="Arial" w:eastAsia="Arial" w:hAnsi="Arial"/>
          <w:sz w:val="20"/>
          <w:szCs w:val="20"/>
          <w:color w:val="000039"/>
        </w:rPr>
      </w:pPr>
      <w:r>
        <w:rPr>
          <w:rFonts w:ascii="Arial" w:cs="Arial" w:eastAsia="Arial" w:hAnsi="Arial"/>
          <w:sz w:val="20"/>
          <w:szCs w:val="20"/>
          <w:color w:val="auto"/>
        </w:rPr>
        <w:t>AbbVie requires mandatory training on its code of conduct and policies and procedures to educate its employees on appropriate behaviors and the consequences of taking inappropriate actions.</w:t>
      </w:r>
    </w:p>
    <w:p>
      <w:pPr>
        <w:spacing w:after="0" w:line="183" w:lineRule="exact"/>
        <w:rPr>
          <w:sz w:val="20"/>
          <w:szCs w:val="20"/>
          <w:color w:val="auto"/>
        </w:rPr>
      </w:pPr>
    </w:p>
    <w:p>
      <w:pPr>
        <w:ind w:right="360"/>
        <w:spacing w:after="0" w:line="283" w:lineRule="auto"/>
        <w:rPr>
          <w:sz w:val="20"/>
          <w:szCs w:val="20"/>
          <w:color w:val="auto"/>
        </w:rPr>
      </w:pPr>
      <w:r>
        <w:rPr>
          <w:rFonts w:ascii="Arial" w:cs="Arial" w:eastAsia="Arial" w:hAnsi="Arial"/>
          <w:sz w:val="20"/>
          <w:szCs w:val="20"/>
          <w:color w:val="auto"/>
        </w:rPr>
        <w:t>The risk assessment results were presented to the compensation committee by its independent compensation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-212725</wp:posOffset>
            </wp:positionV>
            <wp:extent cx="991870" cy="2006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230">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78" w:name="page179"/>
    <w:bookmarkEnd w:id="178"/>
    <w:p>
      <w:pPr>
        <w:spacing w:after="0"/>
        <w:rPr>
          <w:sz w:val="20"/>
          <w:szCs w:val="20"/>
          <w:color w:val="auto"/>
        </w:rPr>
      </w:pPr>
      <w:r>
        <w:rPr>
          <w:rFonts w:ascii="Arial" w:cs="Arial" w:eastAsia="Arial" w:hAnsi="Arial"/>
          <w:sz w:val="20"/>
          <w:szCs w:val="20"/>
          <w:color w:val="808080"/>
        </w:rPr>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Summary Compensation Table</w:t>
      </w:r>
    </w:p>
    <w:p>
      <w:pPr>
        <w:spacing w:after="0" w:line="258"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This section contains compensation information for AbbVie’s NEOs for the fiscal year ended December 31, 2025. The following table summarizes compensation awarded to, earned by and/or paid to AbbVie’s NEOs in connection with their service to AbbVie during 2025, 2024 and 2023, as applicable. The section of this proxy statement captioned “Compensation Plan Elements” describes in greater detail the information reported in this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b w:val="1"/>
                <w:bCs w:val="1"/>
                <w:color w:val="auto"/>
              </w:rPr>
              <w:t>in Pension</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b w:val="1"/>
                <w:bCs w:val="1"/>
                <w:color w:val="auto"/>
              </w:rPr>
              <w:t>Value and</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jc w:val="right"/>
              <w:ind w:right="33"/>
              <w:spacing w:after="0" w:line="147" w:lineRule="exact"/>
              <w:rPr>
                <w:sz w:val="20"/>
                <w:szCs w:val="20"/>
                <w:color w:val="auto"/>
              </w:rPr>
            </w:pPr>
            <w:r>
              <w:rPr>
                <w:rFonts w:ascii="Arial" w:cs="Arial" w:eastAsia="Arial" w:hAnsi="Arial"/>
                <w:sz w:val="14"/>
                <w:szCs w:val="14"/>
                <w:b w:val="1"/>
                <w:bCs w:val="1"/>
                <w:color w:val="auto"/>
              </w:rPr>
              <w:t>qualified</w:t>
            </w: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b w:val="1"/>
                <w:bCs w:val="1"/>
                <w:color w:val="auto"/>
              </w:rPr>
              <w:t>Non Equity</w:t>
            </w:r>
          </w:p>
        </w:tc>
        <w:tc>
          <w:tcPr>
            <w:tcW w:w="1100" w:type="dxa"/>
            <w:vAlign w:val="bottom"/>
          </w:tcPr>
          <w:p>
            <w:pPr>
              <w:jc w:val="right"/>
              <w:ind w:right="33"/>
              <w:spacing w:after="0" w:line="178" w:lineRule="exact"/>
              <w:rPr>
                <w:sz w:val="20"/>
                <w:szCs w:val="20"/>
                <w:color w:val="auto"/>
              </w:rPr>
            </w:pPr>
            <w:r>
              <w:rPr>
                <w:rFonts w:ascii="Arial" w:cs="Arial" w:eastAsia="Arial" w:hAnsi="Arial"/>
                <w:sz w:val="20"/>
                <w:szCs w:val="20"/>
                <w:b w:val="1"/>
                <w:bCs w:val="1"/>
                <w:color w:val="auto"/>
                <w:vertAlign w:val="superscript"/>
              </w:rPr>
              <w:t>Non</w:t>
            </w:r>
            <w:r>
              <w:rPr>
                <w:rFonts w:ascii="Times New Roman" w:cs="Times New Roman" w:eastAsia="Times New Roman" w:hAnsi="Times New Roman"/>
                <w:sz w:val="20"/>
                <w:szCs w:val="20"/>
                <w:b w:val="1"/>
                <w:bCs w:val="1"/>
                <w:color w:val="auto"/>
                <w:vertAlign w:val="superscript"/>
              </w:rPr>
              <w:t>-</w:t>
            </w:r>
            <w:r>
              <w:rPr>
                <w:rFonts w:ascii="Arial" w:cs="Arial" w:eastAsia="Arial" w:hAnsi="Arial"/>
                <w:sz w:val="11"/>
                <w:szCs w:val="11"/>
                <w:b w:val="1"/>
                <w:bCs w:val="1"/>
                <w:color w:val="auto"/>
              </w:rPr>
              <w:t>Deferred</w:t>
            </w:r>
          </w:p>
        </w:tc>
        <w:tc>
          <w:tcPr>
            <w:tcW w:w="114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Stock</w:t>
            </w: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Option</w:t>
            </w:r>
          </w:p>
        </w:tc>
        <w:tc>
          <w:tcPr>
            <w:tcW w:w="1100" w:type="dxa"/>
            <w:vAlign w:val="bottom"/>
          </w:tcPr>
          <w:p>
            <w:pPr>
              <w:jc w:val="right"/>
              <w:ind w:right="33"/>
              <w:spacing w:after="0" w:line="20" w:lineRule="exact"/>
              <w:rPr>
                <w:sz w:val="20"/>
                <w:szCs w:val="20"/>
                <w:color w:val="auto"/>
              </w:rPr>
            </w:pPr>
            <w:r>
              <w:rPr>
                <w:rFonts w:ascii="Arial" w:cs="Arial" w:eastAsia="Arial" w:hAnsi="Arial"/>
                <w:sz w:val="2"/>
                <w:szCs w:val="2"/>
                <w:b w:val="1"/>
                <w:bCs w:val="1"/>
                <w:color w:val="auto"/>
              </w:rPr>
              <w:t>Incentive Plan</w:t>
            </w:r>
          </w:p>
        </w:tc>
        <w:tc>
          <w:tcPr>
            <w:tcW w:w="1100" w:type="dxa"/>
            <w:vAlign w:val="bottom"/>
          </w:tcPr>
          <w:p>
            <w:pPr>
              <w:jc w:val="right"/>
              <w:ind w:right="33"/>
              <w:spacing w:after="0" w:line="20" w:lineRule="exact"/>
              <w:rPr>
                <w:sz w:val="20"/>
                <w:szCs w:val="20"/>
                <w:color w:val="auto"/>
              </w:rPr>
            </w:pPr>
            <w:r>
              <w:rPr>
                <w:rFonts w:ascii="Arial" w:cs="Arial" w:eastAsia="Arial" w:hAnsi="Arial"/>
                <w:sz w:val="2"/>
                <w:szCs w:val="2"/>
                <w:b w:val="1"/>
                <w:bCs w:val="1"/>
                <w:color w:val="auto"/>
              </w:rPr>
              <w:t>Compensation</w:t>
            </w:r>
          </w:p>
        </w:tc>
        <w:tc>
          <w:tcPr>
            <w:tcW w:w="1140" w:type="dxa"/>
            <w:vAlign w:val="bottom"/>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00" w:type="dxa"/>
            <w:vAlign w:val="bottom"/>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500" w:type="dxa"/>
            <w:vAlign w:val="bottom"/>
          </w:tcPr>
          <w:p>
            <w:pPr>
              <w:spacing w:after="0"/>
              <w:rPr>
                <w:sz w:val="13"/>
                <w:szCs w:val="13"/>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Salary</w:t>
            </w:r>
          </w:p>
        </w:tc>
        <w:tc>
          <w:tcPr>
            <w:tcW w:w="580" w:type="dxa"/>
            <w:vAlign w:val="bottom"/>
          </w:tcPr>
          <w:p>
            <w:pPr>
              <w:jc w:val="right"/>
              <w:ind w:right="10"/>
              <w:spacing w:after="0"/>
              <w:rPr>
                <w:sz w:val="20"/>
                <w:szCs w:val="20"/>
                <w:color w:val="auto"/>
              </w:rPr>
            </w:pPr>
            <w:r>
              <w:rPr>
                <w:rFonts w:ascii="Arial" w:cs="Arial" w:eastAsia="Arial" w:hAnsi="Arial"/>
                <w:sz w:val="14"/>
                <w:szCs w:val="14"/>
                <w:b w:val="1"/>
                <w:bCs w:val="1"/>
                <w:color w:val="auto"/>
              </w:rPr>
              <w:t>Bonus</w:t>
            </w: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Awards</w:t>
            </w:r>
          </w:p>
        </w:tc>
        <w:tc>
          <w:tcPr>
            <w:tcW w:w="780" w:type="dxa"/>
            <w:vAlign w:val="bottom"/>
          </w:tcPr>
          <w:p>
            <w:pPr>
              <w:jc w:val="right"/>
              <w:ind w:right="30"/>
              <w:spacing w:after="0"/>
              <w:rPr>
                <w:sz w:val="20"/>
                <w:szCs w:val="20"/>
                <w:color w:val="auto"/>
              </w:rPr>
            </w:pPr>
            <w:r>
              <w:rPr>
                <w:rFonts w:ascii="Arial" w:cs="Arial" w:eastAsia="Arial" w:hAnsi="Arial"/>
                <w:sz w:val="14"/>
                <w:szCs w:val="14"/>
                <w:b w:val="1"/>
                <w:bCs w:val="1"/>
                <w:color w:val="auto"/>
              </w:rPr>
              <w:t>Awards</w:t>
            </w:r>
          </w:p>
        </w:tc>
        <w:tc>
          <w:tcPr>
            <w:tcW w:w="1100" w:type="dxa"/>
            <w:vAlign w:val="bottom"/>
          </w:tcPr>
          <w:p>
            <w:pPr>
              <w:jc w:val="right"/>
              <w:ind w:right="33"/>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Pr>
          <w:p>
            <w:pPr>
              <w:jc w:val="right"/>
              <w:ind w:right="33"/>
              <w:spacing w:after="0"/>
              <w:rPr>
                <w:sz w:val="20"/>
                <w:szCs w:val="20"/>
                <w:color w:val="auto"/>
              </w:rPr>
            </w:pPr>
            <w:r>
              <w:rPr>
                <w:rFonts w:ascii="Arial" w:cs="Arial" w:eastAsia="Arial" w:hAnsi="Arial"/>
                <w:sz w:val="14"/>
                <w:szCs w:val="14"/>
                <w:b w:val="1"/>
                <w:bCs w:val="1"/>
                <w:color w:val="auto"/>
              </w:rPr>
              <w:t>Earnings</w:t>
            </w:r>
          </w:p>
        </w:tc>
        <w:tc>
          <w:tcPr>
            <w:tcW w:w="1140" w:type="dxa"/>
            <w:vAlign w:val="bottom"/>
          </w:tcPr>
          <w:p>
            <w:pPr>
              <w:jc w:val="right"/>
              <w:ind w:right="70"/>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2300" w:type="dxa"/>
            <w:vAlign w:val="bottom"/>
            <w:tcBorders>
              <w:bottom w:val="single" w:sz="8" w:color="000039"/>
            </w:tcBorders>
            <w:vMerge w:val="continue"/>
          </w:tcPr>
          <w:p>
            <w:pPr>
              <w:spacing w:after="0"/>
              <w:rPr>
                <w:sz w:val="15"/>
                <w:szCs w:val="15"/>
                <w:color w:val="auto"/>
              </w:rPr>
            </w:pPr>
          </w:p>
        </w:tc>
        <w:tc>
          <w:tcPr>
            <w:tcW w:w="50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auto"/>
              </w:rPr>
              <w:t>Year</w:t>
            </w:r>
          </w:p>
        </w:tc>
        <w:tc>
          <w:tcPr>
            <w:tcW w:w="860" w:type="dxa"/>
            <w:vAlign w:val="bottom"/>
            <w:tcBorders>
              <w:bottom w:val="single" w:sz="8" w:color="000039"/>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0039"/>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auto"/>
              </w:rPr>
              <w:t>($)(1)</w:t>
            </w:r>
          </w:p>
        </w:tc>
        <w:tc>
          <w:tcPr>
            <w:tcW w:w="78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auto"/>
              </w:rPr>
              <w:t>($)(2)</w:t>
            </w:r>
          </w:p>
        </w:tc>
        <w:tc>
          <w:tcPr>
            <w:tcW w:w="110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auto"/>
              </w:rPr>
              <w:t>($)(3)</w:t>
            </w:r>
          </w:p>
        </w:tc>
        <w:tc>
          <w:tcPr>
            <w:tcW w:w="110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auto"/>
              </w:rPr>
              <w:t>($)(4)(5)</w:t>
            </w:r>
          </w:p>
        </w:tc>
        <w:tc>
          <w:tcPr>
            <w:tcW w:w="1140" w:type="dxa"/>
            <w:vAlign w:val="bottom"/>
            <w:tcBorders>
              <w:bottom w:val="single" w:sz="8" w:color="000039"/>
            </w:tcBorders>
          </w:tcPr>
          <w:p>
            <w:pPr>
              <w:jc w:val="right"/>
              <w:ind w:right="10"/>
              <w:spacing w:after="0"/>
              <w:rPr>
                <w:sz w:val="20"/>
                <w:szCs w:val="20"/>
                <w:color w:val="auto"/>
              </w:rPr>
            </w:pPr>
            <w:r>
              <w:rPr>
                <w:rFonts w:ascii="Arial" w:cs="Arial" w:eastAsia="Arial" w:hAnsi="Arial"/>
                <w:sz w:val="14"/>
                <w:szCs w:val="14"/>
                <w:b w:val="1"/>
                <w:bCs w:val="1"/>
                <w:color w:val="auto"/>
              </w:rPr>
              <w:t>($)(6)</w:t>
            </w:r>
          </w:p>
        </w:tc>
        <w:tc>
          <w:tcPr>
            <w:tcW w:w="82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0"/>
        </w:trPr>
        <w:tc>
          <w:tcPr>
            <w:tcW w:w="2300" w:type="dxa"/>
            <w:vAlign w:val="bottom"/>
            <w:shd w:val="clear" w:color="auto" w:fill="D9D9D9"/>
          </w:tcPr>
          <w:p>
            <w:pPr>
              <w:spacing w:after="0" w:line="151" w:lineRule="exact"/>
              <w:rPr>
                <w:sz w:val="20"/>
                <w:szCs w:val="20"/>
                <w:color w:val="auto"/>
              </w:rPr>
            </w:pPr>
            <w:r>
              <w:rPr>
                <w:rFonts w:ascii="Arial" w:cs="Arial" w:eastAsia="Arial" w:hAnsi="Arial"/>
                <w:sz w:val="14"/>
                <w:szCs w:val="14"/>
                <w:color w:val="auto"/>
              </w:rPr>
              <w:t>Robert A. Michael</w:t>
            </w:r>
          </w:p>
        </w:tc>
        <w:tc>
          <w:tcPr>
            <w:tcW w:w="50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2025</w:t>
            </w:r>
          </w:p>
        </w:tc>
        <w:tc>
          <w:tcPr>
            <w:tcW w:w="860" w:type="dxa"/>
            <w:vAlign w:val="bottom"/>
            <w:shd w:val="clear" w:color="auto" w:fill="D9D9D9"/>
          </w:tcPr>
          <w:p>
            <w:pPr>
              <w:jc w:val="right"/>
              <w:ind w:right="10"/>
              <w:spacing w:after="0" w:line="151" w:lineRule="exact"/>
              <w:rPr>
                <w:sz w:val="20"/>
                <w:szCs w:val="20"/>
                <w:color w:val="auto"/>
              </w:rPr>
            </w:pPr>
            <w:r>
              <w:rPr>
                <w:rFonts w:ascii="Arial" w:cs="Arial" w:eastAsia="Arial" w:hAnsi="Arial"/>
                <w:sz w:val="14"/>
                <w:szCs w:val="14"/>
                <w:color w:val="auto"/>
              </w:rPr>
              <w:t>1,700,000</w:t>
            </w:r>
          </w:p>
        </w:tc>
        <w:tc>
          <w:tcPr>
            <w:tcW w:w="580" w:type="dxa"/>
            <w:vAlign w:val="bottom"/>
            <w:shd w:val="clear" w:color="auto" w:fill="D9D9D9"/>
          </w:tcPr>
          <w:p>
            <w:pPr>
              <w:jc w:val="right"/>
              <w:ind w:right="30"/>
              <w:spacing w:after="0" w:line="151" w:lineRule="exact"/>
              <w:rPr>
                <w:sz w:val="20"/>
                <w:szCs w:val="20"/>
                <w:color w:val="auto"/>
              </w:rPr>
            </w:pPr>
            <w:r>
              <w:rPr>
                <w:rFonts w:ascii="Arial" w:cs="Arial" w:eastAsia="Arial" w:hAnsi="Arial"/>
                <w:sz w:val="14"/>
                <w:szCs w:val="14"/>
                <w:color w:val="auto"/>
              </w:rPr>
              <w:t>0</w:t>
            </w:r>
          </w:p>
        </w:tc>
        <w:tc>
          <w:tcPr>
            <w:tcW w:w="900" w:type="dxa"/>
            <w:vAlign w:val="bottom"/>
            <w:shd w:val="clear" w:color="auto" w:fill="D9D9D9"/>
          </w:tcPr>
          <w:p>
            <w:pPr>
              <w:jc w:val="right"/>
              <w:ind w:right="50"/>
              <w:spacing w:after="0" w:line="151" w:lineRule="exact"/>
              <w:rPr>
                <w:sz w:val="20"/>
                <w:szCs w:val="20"/>
                <w:color w:val="auto"/>
              </w:rPr>
            </w:pPr>
            <w:r>
              <w:rPr>
                <w:rFonts w:ascii="Arial" w:cs="Arial" w:eastAsia="Arial" w:hAnsi="Arial"/>
                <w:sz w:val="14"/>
                <w:szCs w:val="14"/>
                <w:color w:val="auto"/>
              </w:rPr>
              <w:t>13,268,456</w:t>
            </w:r>
          </w:p>
        </w:tc>
        <w:tc>
          <w:tcPr>
            <w:tcW w:w="780" w:type="dxa"/>
            <w:vAlign w:val="bottom"/>
            <w:shd w:val="clear" w:color="auto" w:fill="D9D9D9"/>
          </w:tcPr>
          <w:p>
            <w:pPr>
              <w:jc w:val="right"/>
              <w:ind w:right="30"/>
              <w:spacing w:after="0" w:line="151" w:lineRule="exact"/>
              <w:rPr>
                <w:sz w:val="20"/>
                <w:szCs w:val="20"/>
                <w:color w:val="auto"/>
              </w:rPr>
            </w:pPr>
            <w:r>
              <w:rPr>
                <w:rFonts w:ascii="Arial" w:cs="Arial" w:eastAsia="Arial" w:hAnsi="Arial"/>
                <w:sz w:val="14"/>
                <w:szCs w:val="14"/>
                <w:color w:val="auto"/>
              </w:rPr>
              <w:t>3,199,154</w:t>
            </w:r>
          </w:p>
        </w:tc>
        <w:tc>
          <w:tcPr>
            <w:tcW w:w="1100" w:type="dxa"/>
            <w:vAlign w:val="bottom"/>
            <w:shd w:val="clear" w:color="auto" w:fill="D9D9D9"/>
          </w:tcPr>
          <w:p>
            <w:pPr>
              <w:jc w:val="right"/>
              <w:ind w:right="33"/>
              <w:spacing w:after="0" w:line="151" w:lineRule="exact"/>
              <w:rPr>
                <w:sz w:val="20"/>
                <w:szCs w:val="20"/>
                <w:color w:val="auto"/>
              </w:rPr>
            </w:pPr>
            <w:r>
              <w:rPr>
                <w:rFonts w:ascii="Arial" w:cs="Arial" w:eastAsia="Arial" w:hAnsi="Arial"/>
                <w:sz w:val="14"/>
                <w:szCs w:val="14"/>
                <w:color w:val="auto"/>
              </w:rPr>
              <w:t>5,200,000</w:t>
            </w:r>
          </w:p>
        </w:tc>
        <w:tc>
          <w:tcPr>
            <w:tcW w:w="1100" w:type="dxa"/>
            <w:vAlign w:val="bottom"/>
            <w:shd w:val="clear" w:color="auto" w:fill="D9D9D9"/>
          </w:tcPr>
          <w:p>
            <w:pPr>
              <w:jc w:val="right"/>
              <w:ind w:right="33"/>
              <w:spacing w:after="0" w:line="151" w:lineRule="exact"/>
              <w:rPr>
                <w:sz w:val="20"/>
                <w:szCs w:val="20"/>
                <w:color w:val="auto"/>
              </w:rPr>
            </w:pPr>
            <w:r>
              <w:rPr>
                <w:rFonts w:ascii="Arial" w:cs="Arial" w:eastAsia="Arial" w:hAnsi="Arial"/>
                <w:sz w:val="14"/>
                <w:szCs w:val="14"/>
                <w:color w:val="auto"/>
              </w:rPr>
              <w:t>8,647,081</w:t>
            </w:r>
          </w:p>
        </w:tc>
        <w:tc>
          <w:tcPr>
            <w:tcW w:w="1140" w:type="dxa"/>
            <w:vAlign w:val="bottom"/>
            <w:shd w:val="clear" w:color="auto" w:fill="D9D9D9"/>
          </w:tcPr>
          <w:p>
            <w:pPr>
              <w:jc w:val="right"/>
              <w:ind w:right="70"/>
              <w:spacing w:after="0" w:line="151" w:lineRule="exact"/>
              <w:rPr>
                <w:sz w:val="20"/>
                <w:szCs w:val="20"/>
                <w:color w:val="auto"/>
              </w:rPr>
            </w:pPr>
            <w:r>
              <w:rPr>
                <w:rFonts w:ascii="Arial" w:cs="Arial" w:eastAsia="Arial" w:hAnsi="Arial"/>
                <w:sz w:val="14"/>
                <w:szCs w:val="14"/>
                <w:color w:val="auto"/>
              </w:rPr>
              <w:t>516,293</w:t>
            </w:r>
          </w:p>
        </w:tc>
        <w:tc>
          <w:tcPr>
            <w:tcW w:w="82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32,530,984</w:t>
            </w:r>
          </w:p>
        </w:tc>
        <w:tc>
          <w:tcPr>
            <w:tcW w:w="0" w:type="dxa"/>
            <w:vAlign w:val="bottom"/>
          </w:tcPr>
          <w:p>
            <w:pPr>
              <w:spacing w:after="0"/>
              <w:rPr>
                <w:sz w:val="1"/>
                <w:szCs w:val="1"/>
                <w:color w:val="auto"/>
              </w:rPr>
            </w:pPr>
          </w:p>
        </w:tc>
      </w:tr>
      <w:tr>
        <w:trPr>
          <w:trHeight w:val="161"/>
        </w:trPr>
        <w:tc>
          <w:tcPr>
            <w:tcW w:w="2300" w:type="dxa"/>
            <w:vAlign w:val="bottom"/>
            <w:shd w:val="clear" w:color="auto" w:fill="D9D9D9"/>
          </w:tcPr>
          <w:p>
            <w:pPr>
              <w:ind w:left="120"/>
              <w:spacing w:after="0"/>
              <w:rPr>
                <w:sz w:val="20"/>
                <w:szCs w:val="20"/>
                <w:color w:val="auto"/>
              </w:rPr>
            </w:pPr>
            <w:r>
              <w:rPr>
                <w:rFonts w:ascii="Arial" w:cs="Arial" w:eastAsia="Arial" w:hAnsi="Arial"/>
                <w:sz w:val="14"/>
                <w:szCs w:val="14"/>
                <w:color w:val="auto"/>
              </w:rPr>
              <w:t>Chairman of the Board and</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2024</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1,607,404</w:t>
            </w:r>
          </w:p>
        </w:tc>
        <w:tc>
          <w:tcPr>
            <w:tcW w:w="5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90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7,915,762</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1,888,269</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4,590,000</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2,008,986</w:t>
            </w:r>
          </w:p>
        </w:tc>
        <w:tc>
          <w:tcPr>
            <w:tcW w:w="1140" w:type="dxa"/>
            <w:vAlign w:val="bottom"/>
            <w:shd w:val="clear" w:color="auto" w:fill="D9D9D9"/>
          </w:tcPr>
          <w:p>
            <w:pPr>
              <w:jc w:val="right"/>
              <w:ind w:right="70"/>
              <w:spacing w:after="0"/>
              <w:rPr>
                <w:sz w:val="20"/>
                <w:szCs w:val="20"/>
                <w:color w:val="auto"/>
              </w:rPr>
            </w:pPr>
            <w:r>
              <w:rPr>
                <w:rFonts w:ascii="Arial" w:cs="Arial" w:eastAsia="Arial" w:hAnsi="Arial"/>
                <w:sz w:val="14"/>
                <w:szCs w:val="14"/>
                <w:color w:val="auto"/>
              </w:rPr>
              <w:t>482,096</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18,492,517</w:t>
            </w:r>
          </w:p>
        </w:tc>
        <w:tc>
          <w:tcPr>
            <w:tcW w:w="0" w:type="dxa"/>
            <w:vAlign w:val="bottom"/>
          </w:tcPr>
          <w:p>
            <w:pPr>
              <w:spacing w:after="0"/>
              <w:rPr>
                <w:sz w:val="1"/>
                <w:szCs w:val="1"/>
                <w:color w:val="auto"/>
              </w:rPr>
            </w:pPr>
          </w:p>
        </w:tc>
      </w:tr>
      <w:tr>
        <w:trPr>
          <w:trHeight w:val="162"/>
        </w:trPr>
        <w:tc>
          <w:tcPr>
            <w:tcW w:w="2300" w:type="dxa"/>
            <w:vAlign w:val="bottom"/>
            <w:shd w:val="clear" w:color="auto" w:fill="D9D9D9"/>
          </w:tcPr>
          <w:p>
            <w:pPr>
              <w:ind w:left="120"/>
              <w:spacing w:after="0"/>
              <w:rPr>
                <w:sz w:val="20"/>
                <w:szCs w:val="20"/>
                <w:color w:val="auto"/>
              </w:rPr>
            </w:pPr>
            <w:r>
              <w:rPr>
                <w:rFonts w:ascii="Arial" w:cs="Arial" w:eastAsia="Arial" w:hAnsi="Arial"/>
                <w:sz w:val="14"/>
                <w:szCs w:val="14"/>
                <w:color w:val="auto"/>
              </w:rPr>
              <w:t>Chief Executive Officer</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2023</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1,427,376</w:t>
            </w:r>
          </w:p>
        </w:tc>
        <w:tc>
          <w:tcPr>
            <w:tcW w:w="5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90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5,440,297</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1,365,031</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3,000,000</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3,019,112</w:t>
            </w:r>
          </w:p>
        </w:tc>
        <w:tc>
          <w:tcPr>
            <w:tcW w:w="1140" w:type="dxa"/>
            <w:vAlign w:val="bottom"/>
            <w:shd w:val="clear" w:color="auto" w:fill="D9D9D9"/>
          </w:tcPr>
          <w:p>
            <w:pPr>
              <w:jc w:val="right"/>
              <w:ind w:right="70"/>
              <w:spacing w:after="0"/>
              <w:rPr>
                <w:sz w:val="20"/>
                <w:szCs w:val="20"/>
                <w:color w:val="auto"/>
              </w:rPr>
            </w:pPr>
            <w:r>
              <w:rPr>
                <w:rFonts w:ascii="Arial" w:cs="Arial" w:eastAsia="Arial" w:hAnsi="Arial"/>
                <w:sz w:val="14"/>
                <w:szCs w:val="14"/>
                <w:color w:val="auto"/>
              </w:rPr>
              <w:t>189,504</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14,441,320</w:t>
            </w:r>
          </w:p>
        </w:tc>
        <w:tc>
          <w:tcPr>
            <w:tcW w:w="0" w:type="dxa"/>
            <w:vAlign w:val="bottom"/>
          </w:tcPr>
          <w:p>
            <w:pPr>
              <w:spacing w:after="0"/>
              <w:rPr>
                <w:sz w:val="1"/>
                <w:szCs w:val="1"/>
                <w:color w:val="auto"/>
              </w:rPr>
            </w:pPr>
          </w:p>
        </w:tc>
      </w:tr>
      <w:tr>
        <w:trPr>
          <w:trHeight w:val="147"/>
        </w:trPr>
        <w:tc>
          <w:tcPr>
            <w:tcW w:w="2300" w:type="dxa"/>
            <w:vAlign w:val="bottom"/>
          </w:tcPr>
          <w:p>
            <w:pPr>
              <w:spacing w:after="0" w:line="147" w:lineRule="exact"/>
              <w:rPr>
                <w:sz w:val="20"/>
                <w:szCs w:val="20"/>
                <w:color w:val="auto"/>
              </w:rPr>
            </w:pPr>
            <w:r>
              <w:rPr>
                <w:rFonts w:ascii="Arial" w:cs="Arial" w:eastAsia="Arial" w:hAnsi="Arial"/>
                <w:sz w:val="14"/>
                <w:szCs w:val="14"/>
                <w:color w:val="auto"/>
              </w:rPr>
              <w:t>Scott T. Reents</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2025</w:t>
            </w:r>
          </w:p>
        </w:tc>
        <w:tc>
          <w:tcPr>
            <w:tcW w:w="860" w:type="dxa"/>
            <w:vAlign w:val="bottom"/>
          </w:tcPr>
          <w:p>
            <w:pPr>
              <w:jc w:val="right"/>
              <w:ind w:right="10"/>
              <w:spacing w:after="0" w:line="147" w:lineRule="exact"/>
              <w:rPr>
                <w:sz w:val="20"/>
                <w:szCs w:val="20"/>
                <w:color w:val="auto"/>
              </w:rPr>
            </w:pPr>
            <w:r>
              <w:rPr>
                <w:rFonts w:ascii="Arial" w:cs="Arial" w:eastAsia="Arial" w:hAnsi="Arial"/>
                <w:sz w:val="14"/>
                <w:szCs w:val="14"/>
                <w:color w:val="auto"/>
              </w:rPr>
              <w:t>1,124,116</w:t>
            </w:r>
          </w:p>
        </w:tc>
        <w:tc>
          <w:tcPr>
            <w:tcW w:w="580" w:type="dxa"/>
            <w:vAlign w:val="bottom"/>
          </w:tcPr>
          <w:p>
            <w:pPr>
              <w:jc w:val="right"/>
              <w:ind w:right="10"/>
              <w:spacing w:after="0" w:line="147" w:lineRule="exact"/>
              <w:rPr>
                <w:sz w:val="20"/>
                <w:szCs w:val="20"/>
                <w:color w:val="auto"/>
              </w:rPr>
            </w:pPr>
            <w:r>
              <w:rPr>
                <w:rFonts w:ascii="Arial" w:cs="Arial" w:eastAsia="Arial" w:hAnsi="Arial"/>
                <w:sz w:val="14"/>
                <w:szCs w:val="14"/>
                <w:color w:val="auto"/>
              </w:rPr>
              <w:t>0</w:t>
            </w:r>
          </w:p>
        </w:tc>
        <w:tc>
          <w:tcPr>
            <w:tcW w:w="900" w:type="dxa"/>
            <w:vAlign w:val="bottom"/>
          </w:tcPr>
          <w:p>
            <w:pPr>
              <w:jc w:val="right"/>
              <w:ind w:right="50"/>
              <w:spacing w:after="0" w:line="147" w:lineRule="exact"/>
              <w:rPr>
                <w:sz w:val="20"/>
                <w:szCs w:val="20"/>
                <w:color w:val="auto"/>
              </w:rPr>
            </w:pPr>
            <w:r>
              <w:rPr>
                <w:rFonts w:ascii="Arial" w:cs="Arial" w:eastAsia="Arial" w:hAnsi="Arial"/>
                <w:sz w:val="14"/>
                <w:szCs w:val="14"/>
                <w:color w:val="auto"/>
              </w:rPr>
              <w:t>4,353,512</w:t>
            </w:r>
          </w:p>
        </w:tc>
        <w:tc>
          <w:tcPr>
            <w:tcW w:w="780" w:type="dxa"/>
            <w:vAlign w:val="bottom"/>
          </w:tcPr>
          <w:p>
            <w:pPr>
              <w:jc w:val="right"/>
              <w:ind w:right="30"/>
              <w:spacing w:after="0" w:line="147" w:lineRule="exact"/>
              <w:rPr>
                <w:sz w:val="20"/>
                <w:szCs w:val="20"/>
                <w:color w:val="auto"/>
              </w:rPr>
            </w:pPr>
            <w:r>
              <w:rPr>
                <w:rFonts w:ascii="Arial" w:cs="Arial" w:eastAsia="Arial" w:hAnsi="Arial"/>
                <w:sz w:val="14"/>
                <w:szCs w:val="14"/>
                <w:color w:val="auto"/>
              </w:rPr>
              <w:t>1,049,698</w:t>
            </w:r>
          </w:p>
        </w:tc>
        <w:tc>
          <w:tcPr>
            <w:tcW w:w="1100" w:type="dxa"/>
            <w:vAlign w:val="bottom"/>
          </w:tcPr>
          <w:p>
            <w:pPr>
              <w:jc w:val="right"/>
              <w:ind w:right="33"/>
              <w:spacing w:after="0" w:line="147" w:lineRule="exact"/>
              <w:rPr>
                <w:sz w:val="20"/>
                <w:szCs w:val="20"/>
                <w:color w:val="auto"/>
              </w:rPr>
            </w:pPr>
            <w:r>
              <w:rPr>
                <w:rFonts w:ascii="Arial" w:cs="Arial" w:eastAsia="Arial" w:hAnsi="Arial"/>
                <w:sz w:val="14"/>
                <w:szCs w:val="14"/>
                <w:color w:val="auto"/>
              </w:rPr>
              <w:t>2,350,000</w:t>
            </w:r>
          </w:p>
        </w:tc>
        <w:tc>
          <w:tcPr>
            <w:tcW w:w="1100" w:type="dxa"/>
            <w:vAlign w:val="bottom"/>
          </w:tcPr>
          <w:p>
            <w:pPr>
              <w:jc w:val="right"/>
              <w:ind w:right="33"/>
              <w:spacing w:after="0" w:line="147" w:lineRule="exact"/>
              <w:rPr>
                <w:sz w:val="20"/>
                <w:szCs w:val="20"/>
                <w:color w:val="auto"/>
              </w:rPr>
            </w:pPr>
            <w:r>
              <w:rPr>
                <w:rFonts w:ascii="Arial" w:cs="Arial" w:eastAsia="Arial" w:hAnsi="Arial"/>
                <w:sz w:val="14"/>
                <w:szCs w:val="14"/>
                <w:color w:val="auto"/>
              </w:rPr>
              <w:t>3,002,879</w:t>
            </w:r>
          </w:p>
        </w:tc>
        <w:tc>
          <w:tcPr>
            <w:tcW w:w="1140" w:type="dxa"/>
            <w:vAlign w:val="bottom"/>
          </w:tcPr>
          <w:p>
            <w:pPr>
              <w:jc w:val="right"/>
              <w:ind w:right="70"/>
              <w:spacing w:after="0" w:line="147" w:lineRule="exact"/>
              <w:rPr>
                <w:sz w:val="20"/>
                <w:szCs w:val="20"/>
                <w:color w:val="auto"/>
              </w:rPr>
            </w:pPr>
            <w:r>
              <w:rPr>
                <w:rFonts w:ascii="Arial" w:cs="Arial" w:eastAsia="Arial" w:hAnsi="Arial"/>
                <w:sz w:val="14"/>
                <w:szCs w:val="14"/>
                <w:color w:val="auto"/>
              </w:rPr>
              <w:t>472,797</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12,353,002</w:t>
            </w:r>
          </w:p>
        </w:tc>
        <w:tc>
          <w:tcPr>
            <w:tcW w:w="0" w:type="dxa"/>
            <w:vAlign w:val="bottom"/>
          </w:tcPr>
          <w:p>
            <w:pPr>
              <w:spacing w:after="0"/>
              <w:rPr>
                <w:sz w:val="1"/>
                <w:szCs w:val="1"/>
                <w:color w:val="auto"/>
              </w:rPr>
            </w:pPr>
          </w:p>
        </w:tc>
      </w:tr>
      <w:tr>
        <w:trPr>
          <w:trHeight w:val="161"/>
        </w:trPr>
        <w:tc>
          <w:tcPr>
            <w:tcW w:w="2300" w:type="dxa"/>
            <w:vAlign w:val="bottom"/>
          </w:tcPr>
          <w:p>
            <w:pPr>
              <w:ind w:left="120"/>
              <w:spacing w:after="0"/>
              <w:rPr>
                <w:sz w:val="20"/>
                <w:szCs w:val="20"/>
                <w:color w:val="auto"/>
              </w:rPr>
            </w:pPr>
            <w:r>
              <w:rPr>
                <w:rFonts w:ascii="Arial" w:cs="Arial" w:eastAsia="Arial" w:hAnsi="Arial"/>
                <w:sz w:val="14"/>
                <w:szCs w:val="14"/>
                <w:color w:val="auto"/>
              </w:rPr>
              <w:t>Executive Vice President, Chief</w:t>
            </w:r>
          </w:p>
        </w:tc>
        <w:tc>
          <w:tcPr>
            <w:tcW w:w="500" w:type="dxa"/>
            <w:vAlign w:val="bottom"/>
          </w:tcPr>
          <w:p>
            <w:pPr>
              <w:jc w:val="right"/>
              <w:spacing w:after="0"/>
              <w:rPr>
                <w:sz w:val="20"/>
                <w:szCs w:val="20"/>
                <w:color w:val="auto"/>
              </w:rPr>
            </w:pPr>
            <w:r>
              <w:rPr>
                <w:rFonts w:ascii="Arial" w:cs="Arial" w:eastAsia="Arial" w:hAnsi="Arial"/>
                <w:sz w:val="14"/>
                <w:szCs w:val="14"/>
                <w:color w:val="auto"/>
              </w:rPr>
              <w:t>2024</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1,073,077</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4,166,190</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993,826</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2,250,000</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2,010,658</w:t>
            </w: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498,603</w:t>
            </w:r>
          </w:p>
        </w:tc>
        <w:tc>
          <w:tcPr>
            <w:tcW w:w="820" w:type="dxa"/>
            <w:vAlign w:val="bottom"/>
          </w:tcPr>
          <w:p>
            <w:pPr>
              <w:jc w:val="right"/>
              <w:spacing w:after="0"/>
              <w:rPr>
                <w:sz w:val="20"/>
                <w:szCs w:val="20"/>
                <w:color w:val="auto"/>
              </w:rPr>
            </w:pPr>
            <w:r>
              <w:rPr>
                <w:rFonts w:ascii="Arial" w:cs="Arial" w:eastAsia="Arial" w:hAnsi="Arial"/>
                <w:sz w:val="14"/>
                <w:szCs w:val="14"/>
                <w:color w:val="auto"/>
              </w:rPr>
              <w:t>10,992,354</w:t>
            </w:r>
          </w:p>
        </w:tc>
        <w:tc>
          <w:tcPr>
            <w:tcW w:w="0" w:type="dxa"/>
            <w:vAlign w:val="bottom"/>
          </w:tcPr>
          <w:p>
            <w:pPr>
              <w:spacing w:after="0"/>
              <w:rPr>
                <w:sz w:val="1"/>
                <w:szCs w:val="1"/>
                <w:color w:val="auto"/>
              </w:rPr>
            </w:pPr>
          </w:p>
        </w:tc>
      </w:tr>
      <w:tr>
        <w:trPr>
          <w:trHeight w:val="175"/>
        </w:trPr>
        <w:tc>
          <w:tcPr>
            <w:tcW w:w="2300" w:type="dxa"/>
            <w:vAlign w:val="bottom"/>
          </w:tcPr>
          <w:p>
            <w:pPr>
              <w:ind w:left="120"/>
              <w:spacing w:after="0"/>
              <w:rPr>
                <w:sz w:val="20"/>
                <w:szCs w:val="20"/>
                <w:color w:val="auto"/>
              </w:rPr>
            </w:pPr>
            <w:r>
              <w:rPr>
                <w:rFonts w:ascii="Arial" w:cs="Arial" w:eastAsia="Arial" w:hAnsi="Arial"/>
                <w:sz w:val="14"/>
                <w:szCs w:val="14"/>
                <w:color w:val="auto"/>
              </w:rPr>
              <w:t>Financial Officer</w:t>
            </w:r>
          </w:p>
        </w:tc>
        <w:tc>
          <w:tcPr>
            <w:tcW w:w="500" w:type="dxa"/>
            <w:vAlign w:val="bottom"/>
          </w:tcPr>
          <w:p>
            <w:pPr>
              <w:jc w:val="right"/>
              <w:spacing w:after="0"/>
              <w:rPr>
                <w:sz w:val="20"/>
                <w:szCs w:val="20"/>
                <w:color w:val="auto"/>
              </w:rPr>
            </w:pPr>
            <w:r>
              <w:rPr>
                <w:rFonts w:ascii="Arial" w:cs="Arial" w:eastAsia="Arial" w:hAnsi="Arial"/>
                <w:sz w:val="14"/>
                <w:szCs w:val="14"/>
                <w:color w:val="auto"/>
              </w:rPr>
              <w:t>2023</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973,077</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4,029,950</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1,011,112</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1,850,000</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2,012,889</w:t>
            </w: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309,684</w:t>
            </w:r>
          </w:p>
        </w:tc>
        <w:tc>
          <w:tcPr>
            <w:tcW w:w="820" w:type="dxa"/>
            <w:vAlign w:val="bottom"/>
          </w:tcPr>
          <w:p>
            <w:pPr>
              <w:jc w:val="right"/>
              <w:spacing w:after="0"/>
              <w:rPr>
                <w:sz w:val="20"/>
                <w:szCs w:val="20"/>
                <w:color w:val="auto"/>
              </w:rPr>
            </w:pPr>
            <w:r>
              <w:rPr>
                <w:rFonts w:ascii="Arial" w:cs="Arial" w:eastAsia="Arial" w:hAnsi="Arial"/>
                <w:sz w:val="14"/>
                <w:szCs w:val="14"/>
                <w:color w:val="auto"/>
              </w:rPr>
              <w:t>10,186,712</w:t>
            </w:r>
          </w:p>
        </w:tc>
        <w:tc>
          <w:tcPr>
            <w:tcW w:w="0" w:type="dxa"/>
            <w:vAlign w:val="bottom"/>
          </w:tcPr>
          <w:p>
            <w:pPr>
              <w:spacing w:after="0"/>
              <w:rPr>
                <w:sz w:val="1"/>
                <w:szCs w:val="1"/>
                <w:color w:val="auto"/>
              </w:rPr>
            </w:pPr>
          </w:p>
        </w:tc>
      </w:tr>
      <w:tr>
        <w:trPr>
          <w:trHeight w:val="161"/>
        </w:trPr>
        <w:tc>
          <w:tcPr>
            <w:tcW w:w="2300" w:type="dxa"/>
            <w:vAlign w:val="bottom"/>
            <w:shd w:val="clear" w:color="auto" w:fill="D9D9D9"/>
          </w:tcPr>
          <w:p>
            <w:pPr>
              <w:spacing w:after="0"/>
              <w:rPr>
                <w:sz w:val="20"/>
                <w:szCs w:val="20"/>
                <w:color w:val="auto"/>
              </w:rPr>
            </w:pPr>
            <w:r>
              <w:rPr>
                <w:rFonts w:ascii="Arial" w:cs="Arial" w:eastAsia="Arial" w:hAnsi="Arial"/>
                <w:sz w:val="14"/>
                <w:szCs w:val="14"/>
                <w:color w:val="auto"/>
              </w:rPr>
              <w:t>Jeffrey R. Stewart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2025</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1,315,726</w:t>
            </w:r>
          </w:p>
        </w:tc>
        <w:tc>
          <w:tcPr>
            <w:tcW w:w="5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90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5,390,310</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1,299,655</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2,950,000</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3,742,237</w:t>
            </w:r>
          </w:p>
        </w:tc>
        <w:tc>
          <w:tcPr>
            <w:tcW w:w="1140" w:type="dxa"/>
            <w:vAlign w:val="bottom"/>
            <w:shd w:val="clear" w:color="auto" w:fill="D9D9D9"/>
          </w:tcPr>
          <w:p>
            <w:pPr>
              <w:jc w:val="right"/>
              <w:ind w:right="70"/>
              <w:spacing w:after="0"/>
              <w:rPr>
                <w:sz w:val="20"/>
                <w:szCs w:val="20"/>
                <w:color w:val="auto"/>
              </w:rPr>
            </w:pPr>
            <w:r>
              <w:rPr>
                <w:rFonts w:ascii="Arial" w:cs="Arial" w:eastAsia="Arial" w:hAnsi="Arial"/>
                <w:sz w:val="14"/>
                <w:szCs w:val="14"/>
                <w:color w:val="auto"/>
              </w:rPr>
              <w:t>737,376</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15,435,304</w:t>
            </w:r>
          </w:p>
        </w:tc>
        <w:tc>
          <w:tcPr>
            <w:tcW w:w="0" w:type="dxa"/>
            <w:vAlign w:val="bottom"/>
          </w:tcPr>
          <w:p>
            <w:pPr>
              <w:spacing w:after="0"/>
              <w:rPr>
                <w:sz w:val="1"/>
                <w:szCs w:val="1"/>
                <w:color w:val="auto"/>
              </w:rPr>
            </w:pPr>
          </w:p>
        </w:tc>
      </w:tr>
      <w:tr>
        <w:trPr>
          <w:trHeight w:val="161"/>
        </w:trPr>
        <w:tc>
          <w:tcPr>
            <w:tcW w:w="2300" w:type="dxa"/>
            <w:vAlign w:val="bottom"/>
            <w:shd w:val="clear" w:color="auto" w:fill="D9D9D9"/>
          </w:tcPr>
          <w:p>
            <w:pPr>
              <w:ind w:left="120"/>
              <w:spacing w:after="0"/>
              <w:rPr>
                <w:sz w:val="20"/>
                <w:szCs w:val="20"/>
                <w:color w:val="auto"/>
              </w:rPr>
            </w:pPr>
            <w:r>
              <w:rPr>
                <w:rFonts w:ascii="Arial" w:cs="Arial" w:eastAsia="Arial" w:hAnsi="Arial"/>
                <w:sz w:val="14"/>
                <w:szCs w:val="14"/>
                <w:color w:val="auto"/>
              </w:rPr>
              <w:t>Executive Vice President, Chief</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2024</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1,277,404</w:t>
            </w:r>
          </w:p>
        </w:tc>
        <w:tc>
          <w:tcPr>
            <w:tcW w:w="5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90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5,165,930</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1,232,350</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2,900,000</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2,645,088</w:t>
            </w:r>
          </w:p>
        </w:tc>
        <w:tc>
          <w:tcPr>
            <w:tcW w:w="1140" w:type="dxa"/>
            <w:vAlign w:val="bottom"/>
            <w:shd w:val="clear" w:color="auto" w:fill="D9D9D9"/>
          </w:tcPr>
          <w:p>
            <w:pPr>
              <w:jc w:val="right"/>
              <w:ind w:right="70"/>
              <w:spacing w:after="0"/>
              <w:rPr>
                <w:sz w:val="20"/>
                <w:szCs w:val="20"/>
                <w:color w:val="auto"/>
              </w:rPr>
            </w:pPr>
            <w:r>
              <w:rPr>
                <w:rFonts w:ascii="Arial" w:cs="Arial" w:eastAsia="Arial" w:hAnsi="Arial"/>
                <w:sz w:val="14"/>
                <w:szCs w:val="14"/>
                <w:color w:val="auto"/>
              </w:rPr>
              <w:t>826,528</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14,047,300</w:t>
            </w:r>
          </w:p>
        </w:tc>
        <w:tc>
          <w:tcPr>
            <w:tcW w:w="0" w:type="dxa"/>
            <w:vAlign w:val="bottom"/>
          </w:tcPr>
          <w:p>
            <w:pPr>
              <w:spacing w:after="0"/>
              <w:rPr>
                <w:sz w:val="1"/>
                <w:szCs w:val="1"/>
                <w:color w:val="auto"/>
              </w:rPr>
            </w:pPr>
          </w:p>
        </w:tc>
      </w:tr>
      <w:tr>
        <w:trPr>
          <w:trHeight w:val="162"/>
        </w:trPr>
        <w:tc>
          <w:tcPr>
            <w:tcW w:w="2300" w:type="dxa"/>
            <w:vAlign w:val="bottom"/>
            <w:shd w:val="clear" w:color="auto" w:fill="D9D9D9"/>
          </w:tcPr>
          <w:p>
            <w:pPr>
              <w:ind w:left="120"/>
              <w:spacing w:after="0"/>
              <w:rPr>
                <w:sz w:val="20"/>
                <w:szCs w:val="20"/>
                <w:color w:val="auto"/>
              </w:rPr>
            </w:pPr>
            <w:r>
              <w:rPr>
                <w:rFonts w:ascii="Arial" w:cs="Arial" w:eastAsia="Arial" w:hAnsi="Arial"/>
                <w:sz w:val="14"/>
                <w:szCs w:val="14"/>
                <w:color w:val="auto"/>
              </w:rPr>
              <w:t>Commercial Officer</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2023</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1,188,500</w:t>
            </w:r>
          </w:p>
        </w:tc>
        <w:tc>
          <w:tcPr>
            <w:tcW w:w="5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90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4,190,943</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1,051,574</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2,525,000</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5,791,678</w:t>
            </w:r>
          </w:p>
        </w:tc>
        <w:tc>
          <w:tcPr>
            <w:tcW w:w="1140" w:type="dxa"/>
            <w:vAlign w:val="bottom"/>
            <w:shd w:val="clear" w:color="auto" w:fill="D9D9D9"/>
          </w:tcPr>
          <w:p>
            <w:pPr>
              <w:jc w:val="right"/>
              <w:ind w:right="70"/>
              <w:spacing w:after="0"/>
              <w:rPr>
                <w:sz w:val="20"/>
                <w:szCs w:val="20"/>
                <w:color w:val="auto"/>
              </w:rPr>
            </w:pPr>
            <w:r>
              <w:rPr>
                <w:rFonts w:ascii="Arial" w:cs="Arial" w:eastAsia="Arial" w:hAnsi="Arial"/>
                <w:sz w:val="14"/>
                <w:szCs w:val="14"/>
                <w:color w:val="auto"/>
              </w:rPr>
              <w:t>601,863</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15,349,558</w:t>
            </w:r>
          </w:p>
        </w:tc>
        <w:tc>
          <w:tcPr>
            <w:tcW w:w="0" w:type="dxa"/>
            <w:vAlign w:val="bottom"/>
          </w:tcPr>
          <w:p>
            <w:pPr>
              <w:spacing w:after="0"/>
              <w:rPr>
                <w:sz w:val="1"/>
                <w:szCs w:val="1"/>
                <w:color w:val="auto"/>
              </w:rPr>
            </w:pPr>
          </w:p>
        </w:tc>
      </w:tr>
      <w:tr>
        <w:trPr>
          <w:trHeight w:val="146"/>
        </w:trPr>
        <w:tc>
          <w:tcPr>
            <w:tcW w:w="2300" w:type="dxa"/>
            <w:vAlign w:val="bottom"/>
          </w:tcPr>
          <w:p>
            <w:pPr>
              <w:spacing w:after="0" w:line="147" w:lineRule="exact"/>
              <w:rPr>
                <w:sz w:val="20"/>
                <w:szCs w:val="20"/>
                <w:color w:val="auto"/>
              </w:rPr>
            </w:pPr>
            <w:r>
              <w:rPr>
                <w:rFonts w:ascii="Arial" w:cs="Arial" w:eastAsia="Arial" w:hAnsi="Arial"/>
                <w:sz w:val="14"/>
                <w:szCs w:val="14"/>
                <w:color w:val="auto"/>
              </w:rPr>
              <w:t>Azita Saleki-Gerhardt</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2025</w:t>
            </w:r>
          </w:p>
        </w:tc>
        <w:tc>
          <w:tcPr>
            <w:tcW w:w="860" w:type="dxa"/>
            <w:vAlign w:val="bottom"/>
          </w:tcPr>
          <w:p>
            <w:pPr>
              <w:jc w:val="right"/>
              <w:ind w:right="10"/>
              <w:spacing w:after="0" w:line="147" w:lineRule="exact"/>
              <w:rPr>
                <w:sz w:val="20"/>
                <w:szCs w:val="20"/>
                <w:color w:val="auto"/>
              </w:rPr>
            </w:pPr>
            <w:r>
              <w:rPr>
                <w:rFonts w:ascii="Arial" w:cs="Arial" w:eastAsia="Arial" w:hAnsi="Arial"/>
                <w:sz w:val="14"/>
                <w:szCs w:val="14"/>
                <w:color w:val="auto"/>
              </w:rPr>
              <w:t>1,052,581</w:t>
            </w:r>
          </w:p>
        </w:tc>
        <w:tc>
          <w:tcPr>
            <w:tcW w:w="580" w:type="dxa"/>
            <w:vAlign w:val="bottom"/>
          </w:tcPr>
          <w:p>
            <w:pPr>
              <w:jc w:val="right"/>
              <w:ind w:right="30"/>
              <w:spacing w:after="0" w:line="147" w:lineRule="exact"/>
              <w:rPr>
                <w:sz w:val="20"/>
                <w:szCs w:val="20"/>
                <w:color w:val="auto"/>
              </w:rPr>
            </w:pPr>
            <w:r>
              <w:rPr>
                <w:rFonts w:ascii="Arial" w:cs="Arial" w:eastAsia="Arial" w:hAnsi="Arial"/>
                <w:sz w:val="14"/>
                <w:szCs w:val="14"/>
                <w:color w:val="auto"/>
              </w:rPr>
              <w:t>0</w:t>
            </w:r>
          </w:p>
        </w:tc>
        <w:tc>
          <w:tcPr>
            <w:tcW w:w="900" w:type="dxa"/>
            <w:vAlign w:val="bottom"/>
          </w:tcPr>
          <w:p>
            <w:pPr>
              <w:jc w:val="right"/>
              <w:ind w:right="50"/>
              <w:spacing w:after="0" w:line="147" w:lineRule="exact"/>
              <w:rPr>
                <w:sz w:val="20"/>
                <w:szCs w:val="20"/>
                <w:color w:val="auto"/>
              </w:rPr>
            </w:pPr>
            <w:r>
              <w:rPr>
                <w:rFonts w:ascii="Arial" w:cs="Arial" w:eastAsia="Arial" w:hAnsi="Arial"/>
                <w:sz w:val="14"/>
                <w:szCs w:val="14"/>
                <w:color w:val="auto"/>
              </w:rPr>
              <w:t>3,980,457</w:t>
            </w:r>
          </w:p>
        </w:tc>
        <w:tc>
          <w:tcPr>
            <w:tcW w:w="780" w:type="dxa"/>
            <w:vAlign w:val="bottom"/>
          </w:tcPr>
          <w:p>
            <w:pPr>
              <w:jc w:val="right"/>
              <w:ind w:right="30"/>
              <w:spacing w:after="0" w:line="147" w:lineRule="exact"/>
              <w:rPr>
                <w:sz w:val="20"/>
                <w:szCs w:val="20"/>
                <w:color w:val="auto"/>
              </w:rPr>
            </w:pPr>
            <w:r>
              <w:rPr>
                <w:rFonts w:ascii="Arial" w:cs="Arial" w:eastAsia="Arial" w:hAnsi="Arial"/>
                <w:sz w:val="14"/>
                <w:szCs w:val="14"/>
                <w:color w:val="auto"/>
              </w:rPr>
              <w:t>959,750</w:t>
            </w:r>
          </w:p>
        </w:tc>
        <w:tc>
          <w:tcPr>
            <w:tcW w:w="1100" w:type="dxa"/>
            <w:vAlign w:val="bottom"/>
          </w:tcPr>
          <w:p>
            <w:pPr>
              <w:jc w:val="right"/>
              <w:ind w:right="33"/>
              <w:spacing w:after="0" w:line="147" w:lineRule="exact"/>
              <w:rPr>
                <w:sz w:val="20"/>
                <w:szCs w:val="20"/>
                <w:color w:val="auto"/>
              </w:rPr>
            </w:pPr>
            <w:r>
              <w:rPr>
                <w:rFonts w:ascii="Arial" w:cs="Arial" w:eastAsia="Arial" w:hAnsi="Arial"/>
                <w:sz w:val="14"/>
                <w:szCs w:val="14"/>
                <w:color w:val="auto"/>
              </w:rPr>
              <w:t>2,200,000</w:t>
            </w:r>
          </w:p>
        </w:tc>
        <w:tc>
          <w:tcPr>
            <w:tcW w:w="1100" w:type="dxa"/>
            <w:vAlign w:val="bottom"/>
          </w:tcPr>
          <w:p>
            <w:pPr>
              <w:jc w:val="right"/>
              <w:ind w:right="33"/>
              <w:spacing w:after="0" w:line="147" w:lineRule="exact"/>
              <w:rPr>
                <w:sz w:val="20"/>
                <w:szCs w:val="20"/>
                <w:color w:val="auto"/>
              </w:rPr>
            </w:pPr>
            <w:r>
              <w:rPr>
                <w:rFonts w:ascii="Arial" w:cs="Arial" w:eastAsia="Arial" w:hAnsi="Arial"/>
                <w:sz w:val="14"/>
                <w:szCs w:val="14"/>
                <w:color w:val="auto"/>
              </w:rPr>
              <w:t>1,778,878</w:t>
            </w:r>
          </w:p>
        </w:tc>
        <w:tc>
          <w:tcPr>
            <w:tcW w:w="1140" w:type="dxa"/>
            <w:vAlign w:val="bottom"/>
          </w:tcPr>
          <w:p>
            <w:pPr>
              <w:jc w:val="right"/>
              <w:ind w:right="70"/>
              <w:spacing w:after="0" w:line="147" w:lineRule="exact"/>
              <w:rPr>
                <w:sz w:val="20"/>
                <w:szCs w:val="20"/>
                <w:color w:val="auto"/>
              </w:rPr>
            </w:pPr>
            <w:r>
              <w:rPr>
                <w:rFonts w:ascii="Arial" w:cs="Arial" w:eastAsia="Arial" w:hAnsi="Arial"/>
                <w:sz w:val="14"/>
                <w:szCs w:val="14"/>
                <w:color w:val="auto"/>
              </w:rPr>
              <w:t>820,310</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10,791,976</w:t>
            </w:r>
          </w:p>
        </w:tc>
        <w:tc>
          <w:tcPr>
            <w:tcW w:w="0" w:type="dxa"/>
            <w:vAlign w:val="bottom"/>
          </w:tcPr>
          <w:p>
            <w:pPr>
              <w:spacing w:after="0"/>
              <w:rPr>
                <w:sz w:val="1"/>
                <w:szCs w:val="1"/>
                <w:color w:val="auto"/>
              </w:rPr>
            </w:pPr>
          </w:p>
        </w:tc>
      </w:tr>
      <w:tr>
        <w:trPr>
          <w:trHeight w:val="161"/>
        </w:trPr>
        <w:tc>
          <w:tcPr>
            <w:tcW w:w="2300" w:type="dxa"/>
            <w:vAlign w:val="bottom"/>
          </w:tcPr>
          <w:p>
            <w:pPr>
              <w:ind w:left="120"/>
              <w:spacing w:after="0"/>
              <w:rPr>
                <w:sz w:val="20"/>
                <w:szCs w:val="20"/>
                <w:color w:val="auto"/>
              </w:rPr>
            </w:pPr>
            <w:r>
              <w:rPr>
                <w:rFonts w:ascii="Arial" w:cs="Arial" w:eastAsia="Arial" w:hAnsi="Arial"/>
                <w:sz w:val="14"/>
                <w:szCs w:val="14"/>
                <w:color w:val="auto"/>
              </w:rPr>
              <w:t>Executive Vice President, Chief</w:t>
            </w:r>
          </w:p>
        </w:tc>
        <w:tc>
          <w:tcPr>
            <w:tcW w:w="500" w:type="dxa"/>
            <w:vAlign w:val="bottom"/>
          </w:tcPr>
          <w:p>
            <w:pPr>
              <w:jc w:val="right"/>
              <w:spacing w:after="0"/>
              <w:rPr>
                <w:sz w:val="20"/>
                <w:szCs w:val="20"/>
                <w:color w:val="auto"/>
              </w:rPr>
            </w:pPr>
            <w:r>
              <w:rPr>
                <w:rFonts w:ascii="Arial" w:cs="Arial" w:eastAsia="Arial" w:hAnsi="Arial"/>
                <w:sz w:val="14"/>
                <w:szCs w:val="14"/>
                <w:color w:val="auto"/>
              </w:rPr>
              <w:t>2024</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1,021,923</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3,874,447</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924,239</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2,100,000</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1,052,397</w:t>
            </w: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943,475</w:t>
            </w:r>
          </w:p>
        </w:tc>
        <w:tc>
          <w:tcPr>
            <w:tcW w:w="820" w:type="dxa"/>
            <w:vAlign w:val="bottom"/>
          </w:tcPr>
          <w:p>
            <w:pPr>
              <w:jc w:val="right"/>
              <w:spacing w:after="0"/>
              <w:rPr>
                <w:sz w:val="20"/>
                <w:szCs w:val="20"/>
                <w:color w:val="auto"/>
              </w:rPr>
            </w:pPr>
            <w:r>
              <w:rPr>
                <w:rFonts w:ascii="Arial" w:cs="Arial" w:eastAsia="Arial" w:hAnsi="Arial"/>
                <w:sz w:val="14"/>
                <w:szCs w:val="14"/>
                <w:color w:val="auto"/>
              </w:rPr>
              <w:t>9,916,481</w:t>
            </w:r>
          </w:p>
        </w:tc>
        <w:tc>
          <w:tcPr>
            <w:tcW w:w="0" w:type="dxa"/>
            <w:vAlign w:val="bottom"/>
          </w:tcPr>
          <w:p>
            <w:pPr>
              <w:spacing w:after="0"/>
              <w:rPr>
                <w:sz w:val="1"/>
                <w:szCs w:val="1"/>
                <w:color w:val="auto"/>
              </w:rPr>
            </w:pPr>
          </w:p>
        </w:tc>
      </w:tr>
      <w:tr>
        <w:trPr>
          <w:trHeight w:val="175"/>
        </w:trPr>
        <w:tc>
          <w:tcPr>
            <w:tcW w:w="2300" w:type="dxa"/>
            <w:vAlign w:val="bottom"/>
          </w:tcPr>
          <w:p>
            <w:pPr>
              <w:ind w:left="120"/>
              <w:spacing w:after="0"/>
              <w:rPr>
                <w:sz w:val="20"/>
                <w:szCs w:val="20"/>
                <w:color w:val="auto"/>
              </w:rPr>
            </w:pPr>
            <w:r>
              <w:rPr>
                <w:rFonts w:ascii="Arial" w:cs="Arial" w:eastAsia="Arial" w:hAnsi="Arial"/>
                <w:sz w:val="14"/>
                <w:szCs w:val="14"/>
                <w:color w:val="auto"/>
              </w:rPr>
              <w:t>Operations Officer</w:t>
            </w:r>
          </w:p>
        </w:tc>
        <w:tc>
          <w:tcPr>
            <w:tcW w:w="500" w:type="dxa"/>
            <w:vAlign w:val="bottom"/>
          </w:tcPr>
          <w:p>
            <w:pPr>
              <w:jc w:val="right"/>
              <w:spacing w:after="0"/>
              <w:rPr>
                <w:sz w:val="20"/>
                <w:szCs w:val="20"/>
                <w:color w:val="auto"/>
              </w:rPr>
            </w:pPr>
            <w:r>
              <w:rPr>
                <w:rFonts w:ascii="Arial" w:cs="Arial" w:eastAsia="Arial" w:hAnsi="Arial"/>
                <w:sz w:val="14"/>
                <w:szCs w:val="14"/>
                <w:color w:val="auto"/>
              </w:rPr>
              <w:t>2023</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941,005</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2,740,197</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687,562</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1,850,000</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2,361,465</w:t>
            </w: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719,423</w:t>
            </w:r>
          </w:p>
        </w:tc>
        <w:tc>
          <w:tcPr>
            <w:tcW w:w="820" w:type="dxa"/>
            <w:vAlign w:val="bottom"/>
          </w:tcPr>
          <w:p>
            <w:pPr>
              <w:jc w:val="right"/>
              <w:spacing w:after="0"/>
              <w:rPr>
                <w:sz w:val="20"/>
                <w:szCs w:val="20"/>
                <w:color w:val="auto"/>
              </w:rPr>
            </w:pPr>
            <w:r>
              <w:rPr>
                <w:rFonts w:ascii="Arial" w:cs="Arial" w:eastAsia="Arial" w:hAnsi="Arial"/>
                <w:sz w:val="14"/>
                <w:szCs w:val="14"/>
                <w:color w:val="auto"/>
              </w:rPr>
              <w:t>9,299,652</w:t>
            </w:r>
          </w:p>
        </w:tc>
        <w:tc>
          <w:tcPr>
            <w:tcW w:w="0" w:type="dxa"/>
            <w:vAlign w:val="bottom"/>
          </w:tcPr>
          <w:p>
            <w:pPr>
              <w:spacing w:after="0"/>
              <w:rPr>
                <w:sz w:val="1"/>
                <w:szCs w:val="1"/>
                <w:color w:val="auto"/>
              </w:rPr>
            </w:pPr>
          </w:p>
        </w:tc>
      </w:tr>
      <w:tr>
        <w:trPr>
          <w:trHeight w:val="161"/>
        </w:trPr>
        <w:tc>
          <w:tcPr>
            <w:tcW w:w="2300" w:type="dxa"/>
            <w:vAlign w:val="bottom"/>
            <w:shd w:val="clear" w:color="auto" w:fill="D9D9D9"/>
          </w:tcPr>
          <w:p>
            <w:pPr>
              <w:spacing w:after="0"/>
              <w:rPr>
                <w:sz w:val="20"/>
                <w:szCs w:val="20"/>
                <w:color w:val="auto"/>
              </w:rPr>
            </w:pPr>
            <w:r>
              <w:rPr>
                <w:rFonts w:ascii="Arial" w:cs="Arial" w:eastAsia="Arial" w:hAnsi="Arial"/>
                <w:sz w:val="14"/>
                <w:szCs w:val="14"/>
                <w:color w:val="auto"/>
              </w:rPr>
              <w:t>Roopal B. Thakkar</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2025</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1,146,154</w:t>
            </w:r>
          </w:p>
        </w:tc>
        <w:tc>
          <w:tcPr>
            <w:tcW w:w="5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90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3,980,457</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959,750</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2,350,000</w:t>
            </w: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1,416,715</w:t>
            </w:r>
          </w:p>
        </w:tc>
        <w:tc>
          <w:tcPr>
            <w:tcW w:w="1140" w:type="dxa"/>
            <w:vAlign w:val="bottom"/>
            <w:shd w:val="clear" w:color="auto" w:fill="D9D9D9"/>
          </w:tcPr>
          <w:p>
            <w:pPr>
              <w:jc w:val="right"/>
              <w:ind w:right="70"/>
              <w:spacing w:after="0"/>
              <w:rPr>
                <w:sz w:val="20"/>
                <w:szCs w:val="20"/>
                <w:color w:val="auto"/>
              </w:rPr>
            </w:pPr>
            <w:r>
              <w:rPr>
                <w:rFonts w:ascii="Arial" w:cs="Arial" w:eastAsia="Arial" w:hAnsi="Arial"/>
                <w:sz w:val="14"/>
                <w:szCs w:val="14"/>
                <w:color w:val="auto"/>
              </w:rPr>
              <w:t>59,767</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9,912,843</w:t>
            </w:r>
          </w:p>
        </w:tc>
        <w:tc>
          <w:tcPr>
            <w:tcW w:w="0" w:type="dxa"/>
            <w:vAlign w:val="bottom"/>
          </w:tcPr>
          <w:p>
            <w:pPr>
              <w:spacing w:after="0"/>
              <w:rPr>
                <w:sz w:val="1"/>
                <w:szCs w:val="1"/>
                <w:color w:val="auto"/>
              </w:rPr>
            </w:pPr>
          </w:p>
        </w:tc>
      </w:tr>
      <w:tr>
        <w:trPr>
          <w:trHeight w:val="161"/>
        </w:trPr>
        <w:tc>
          <w:tcPr>
            <w:tcW w:w="2300" w:type="dxa"/>
            <w:vAlign w:val="bottom"/>
            <w:shd w:val="clear" w:color="auto" w:fill="D9D9D9"/>
          </w:tcPr>
          <w:p>
            <w:pPr>
              <w:ind w:left="120"/>
              <w:spacing w:after="0"/>
              <w:rPr>
                <w:sz w:val="20"/>
                <w:szCs w:val="20"/>
                <w:color w:val="auto"/>
              </w:rPr>
            </w:pPr>
            <w:r>
              <w:rPr>
                <w:rFonts w:ascii="Arial" w:cs="Arial" w:eastAsia="Arial" w:hAnsi="Arial"/>
                <w:sz w:val="14"/>
                <w:szCs w:val="14"/>
                <w:color w:val="auto"/>
              </w:rPr>
              <w:t>Executive Vice President,</w:t>
            </w:r>
          </w:p>
        </w:tc>
        <w:tc>
          <w:tcPr>
            <w:tcW w:w="50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58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1100" w:type="dxa"/>
            <w:vAlign w:val="bottom"/>
            <w:shd w:val="clear" w:color="auto" w:fill="D9D9D9"/>
          </w:tcPr>
          <w:p>
            <w:pPr>
              <w:spacing w:after="0"/>
              <w:rPr>
                <w:sz w:val="13"/>
                <w:szCs w:val="13"/>
                <w:color w:val="auto"/>
              </w:rPr>
            </w:pPr>
          </w:p>
        </w:tc>
        <w:tc>
          <w:tcPr>
            <w:tcW w:w="1100" w:type="dxa"/>
            <w:vAlign w:val="bottom"/>
            <w:shd w:val="clear" w:color="auto" w:fill="D9D9D9"/>
          </w:tcPr>
          <w:p>
            <w:pPr>
              <w:spacing w:after="0"/>
              <w:rPr>
                <w:sz w:val="13"/>
                <w:szCs w:val="13"/>
                <w:color w:val="auto"/>
              </w:rPr>
            </w:pPr>
          </w:p>
        </w:tc>
        <w:tc>
          <w:tcPr>
            <w:tcW w:w="114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300" w:type="dxa"/>
            <w:vAlign w:val="bottom"/>
            <w:shd w:val="clear" w:color="auto" w:fill="D9D9D9"/>
          </w:tcPr>
          <w:p>
            <w:pPr>
              <w:ind w:left="120"/>
              <w:spacing w:after="0"/>
              <w:rPr>
                <w:sz w:val="20"/>
                <w:szCs w:val="20"/>
                <w:color w:val="auto"/>
              </w:rPr>
            </w:pPr>
            <w:r>
              <w:rPr>
                <w:rFonts w:ascii="Arial" w:cs="Arial" w:eastAsia="Arial" w:hAnsi="Arial"/>
                <w:sz w:val="14"/>
                <w:szCs w:val="14"/>
                <w:color w:val="auto"/>
              </w:rPr>
              <w:t>Research &amp; Development and</w:t>
            </w:r>
          </w:p>
        </w:tc>
        <w:tc>
          <w:tcPr>
            <w:tcW w:w="50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58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1100" w:type="dxa"/>
            <w:vAlign w:val="bottom"/>
            <w:shd w:val="clear" w:color="auto" w:fill="D9D9D9"/>
          </w:tcPr>
          <w:p>
            <w:pPr>
              <w:spacing w:after="0"/>
              <w:rPr>
                <w:sz w:val="13"/>
                <w:szCs w:val="13"/>
                <w:color w:val="auto"/>
              </w:rPr>
            </w:pPr>
          </w:p>
        </w:tc>
        <w:tc>
          <w:tcPr>
            <w:tcW w:w="1100" w:type="dxa"/>
            <w:vAlign w:val="bottom"/>
            <w:shd w:val="clear" w:color="auto" w:fill="D9D9D9"/>
          </w:tcPr>
          <w:p>
            <w:pPr>
              <w:spacing w:after="0"/>
              <w:rPr>
                <w:sz w:val="13"/>
                <w:szCs w:val="13"/>
                <w:color w:val="auto"/>
              </w:rPr>
            </w:pPr>
          </w:p>
        </w:tc>
        <w:tc>
          <w:tcPr>
            <w:tcW w:w="114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D9D9D9"/>
          </w:tcPr>
          <w:p>
            <w:pPr>
              <w:ind w:left="120"/>
              <w:spacing w:after="0"/>
              <w:rPr>
                <w:sz w:val="20"/>
                <w:szCs w:val="20"/>
                <w:color w:val="auto"/>
              </w:rPr>
            </w:pPr>
            <w:r>
              <w:rPr>
                <w:rFonts w:ascii="Arial" w:cs="Arial" w:eastAsia="Arial" w:hAnsi="Arial"/>
                <w:sz w:val="14"/>
                <w:szCs w:val="14"/>
                <w:color w:val="auto"/>
              </w:rPr>
              <w:t>Chief Scientific Officer</w:t>
            </w:r>
          </w:p>
        </w:tc>
        <w:tc>
          <w:tcPr>
            <w:tcW w:w="50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90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1100" w:type="dxa"/>
            <w:vAlign w:val="bottom"/>
            <w:shd w:val="clear" w:color="auto" w:fill="D9D9D9"/>
          </w:tcPr>
          <w:p>
            <w:pPr>
              <w:spacing w:after="0"/>
              <w:rPr>
                <w:sz w:val="14"/>
                <w:szCs w:val="14"/>
                <w:color w:val="auto"/>
              </w:rPr>
            </w:pPr>
          </w:p>
        </w:tc>
        <w:tc>
          <w:tcPr>
            <w:tcW w:w="1100" w:type="dxa"/>
            <w:vAlign w:val="bottom"/>
            <w:shd w:val="clear" w:color="auto" w:fill="D9D9D9"/>
          </w:tcPr>
          <w:p>
            <w:pPr>
              <w:spacing w:after="0"/>
              <w:rPr>
                <w:sz w:val="14"/>
                <w:szCs w:val="14"/>
                <w:color w:val="auto"/>
              </w:rPr>
            </w:pPr>
          </w:p>
        </w:tc>
        <w:tc>
          <w:tcPr>
            <w:tcW w:w="114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106045</wp:posOffset>
                </wp:positionV>
                <wp:extent cx="1599565"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35pt" to="125.9pt,8.35pt" o:allowincell="f" strokecolor="#000000" strokeweight="1.0199pt"/>
            </w:pict>
          </mc:Fallback>
        </mc:AlternateContent>
      </w:r>
    </w:p>
    <w:p>
      <w:pPr>
        <w:spacing w:after="0" w:line="190" w:lineRule="exact"/>
        <w:rPr>
          <w:sz w:val="20"/>
          <w:szCs w:val="20"/>
          <w:color w:val="auto"/>
        </w:rPr>
      </w:pPr>
    </w:p>
    <w:p>
      <w:pPr>
        <w:ind w:left="360" w:right="20" w:hanging="360"/>
        <w:spacing w:after="0" w:line="255" w:lineRule="auto"/>
        <w:tabs>
          <w:tab w:leader="none" w:pos="36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 accordance with Securities and Exchange Commission (SEC) rules, the amounts in this column represent the aggregate grant date fair value of the awards determined in accordance with Financial Accounting Standards Board (FASB) Accounting Standards Codification (ASC) Topic 718. AbbVie generally determines the grant date fair value of stock awards by multiplying the number of shares granted by the average of the high and low market prices of one share of AbbVie common stock on the award grant date. The grant date fair value of performance shares and performance-vested restricted stock units is determined assuming target performance (the most probable outcome as of the grant date), and the value of the performance shares with a TSR market condition is determined using the Monte Carlo simulation model. Assuming the maximum level of performance conditions will be achieved for all performance shares and performance-vested restricted stock units, the grant date fair values for Mr. Michael, Mr. Reents, Mr. Stewart, Dr. Saleki-Gerhardt, and</w:t>
      </w:r>
    </w:p>
    <w:p>
      <w:pPr>
        <w:spacing w:after="0" w:line="5" w:lineRule="exact"/>
        <w:rPr>
          <w:rFonts w:ascii="Arial" w:cs="Arial" w:eastAsia="Arial" w:hAnsi="Arial"/>
          <w:sz w:val="19"/>
          <w:szCs w:val="19"/>
          <w:color w:val="auto"/>
        </w:rPr>
      </w:pPr>
    </w:p>
    <w:p>
      <w:pPr>
        <w:ind w:left="360"/>
        <w:spacing w:after="0"/>
        <w:rPr>
          <w:rFonts w:ascii="Arial" w:cs="Arial" w:eastAsia="Arial" w:hAnsi="Arial"/>
          <w:sz w:val="19"/>
          <w:szCs w:val="19"/>
          <w:color w:val="auto"/>
        </w:rPr>
      </w:pPr>
      <w:r>
        <w:rPr>
          <w:rFonts w:ascii="Arial" w:cs="Arial" w:eastAsia="Arial" w:hAnsi="Arial"/>
          <w:sz w:val="20"/>
          <w:szCs w:val="20"/>
          <w:color w:val="auto"/>
        </w:rPr>
        <w:t>Dr. Thakkar, would be $29,971,291, $9,833,878, $12,175,733, $8,991,103, and $8,991,103, respectively.</w:t>
      </w:r>
    </w:p>
    <w:p>
      <w:pPr>
        <w:spacing w:after="0" w:line="213" w:lineRule="exact"/>
        <w:rPr>
          <w:rFonts w:ascii="Arial" w:cs="Arial" w:eastAsia="Arial" w:hAnsi="Arial"/>
          <w:sz w:val="19"/>
          <w:szCs w:val="19"/>
          <w:color w:val="auto"/>
        </w:rPr>
      </w:pPr>
    </w:p>
    <w:p>
      <w:pPr>
        <w:ind w:left="360" w:right="20" w:hanging="360"/>
        <w:spacing w:after="0" w:line="247" w:lineRule="auto"/>
        <w:tabs>
          <w:tab w:leader="none" w:pos="3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In accordance with SEC rules, the amounts in this column represent the aggregate grant date fair value of the awards determined in accordance with FASB ASC Topic 718. These amounts were determined as of the option grant date using a Black-Scholes stock option valuation model. These amounts are being reported solely for the purpose of comparative disclosure in accordance with the SEC rules. There is no certainty that the amount determined using a Black-Scholes stock option valuation model would be the value, if any, eventually realized by the NEO. The weighted-average assumptions used to estimate the grant date fair value of options granted in 2025, along with the weighted-average grant date fair value, are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50  </w:t>
      </w:r>
      <w:r>
        <w:rPr>
          <w:sz w:val="1"/>
          <w:szCs w:val="1"/>
          <w:color w:val="auto"/>
        </w:rPr>
        <w:drawing>
          <wp:inline distT="0" distB="0" distL="0" distR="0">
            <wp:extent cx="991870" cy="20066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231">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color w:val="808080"/>
        </w:rPr>
        <w:t>EXECUTIVE COMPENSATION</w:t>
      </w:r>
    </w:p>
    <w:p>
      <w:pPr>
        <w:spacing w:after="0" w:line="261"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Assumption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640080</wp:posOffset>
                </wp:positionH>
                <wp:positionV relativeFrom="paragraph">
                  <wp:posOffset>-107950</wp:posOffset>
                </wp:positionV>
                <wp:extent cx="5120640" cy="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20640" cy="4763"/>
                        </a:xfrm>
                        <a:prstGeom prst="line">
                          <a:avLst/>
                        </a:prstGeom>
                        <a:solidFill>
                          <a:srgbClr val="FFFFFF"/>
                        </a:solidFill>
                        <a:ln w="6095">
                          <a:solidFill>
                            <a:srgbClr val="000039"/>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pt,-8.4999pt" to="453.6pt,-8.4999pt" o:allowincell="f" strokecolor="#000039" strokeweight="0.4799pt"/>
            </w:pict>
          </mc:Fallback>
        </mc:AlternateContent>
        <mc:AlternateContent>
          <mc:Choice Requires="wps">
            <w:drawing>
              <wp:anchor simplePos="0" relativeHeight="251657728" behindDoc="1" locked="0" layoutInCell="0" allowOverlap="1">
                <wp:simplePos x="0" y="0"/>
                <wp:positionH relativeFrom="column">
                  <wp:posOffset>640080</wp:posOffset>
                </wp:positionH>
                <wp:positionV relativeFrom="paragraph">
                  <wp:posOffset>17780</wp:posOffset>
                </wp:positionV>
                <wp:extent cx="5120640" cy="14859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20640" cy="148590"/>
                        </a:xfrm>
                        <a:prstGeom prst="rect">
                          <a:avLst/>
                        </a:prstGeom>
                        <a:solidFill>
                          <a:srgbClr val="E6E6E6"/>
                        </a:solidFill>
                      </wps:spPr>
                      <wps:bodyPr/>
                    </wps:wsp>
                  </a:graphicData>
                </a:graphic>
              </wp:anchor>
            </w:drawing>
          </mc:Choice>
          <mc:Fallback>
            <w:pict>
              <v:rect id="Shape 527" o:spid="_x0000_s1552" style="position:absolute;margin-left:50.4pt;margin-top:1.4pt;width:403.2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tbl>
      <w:tblPr>
        <w:tblLayout w:type="fixed"/>
        <w:tblInd w:w="1000" w:type="dxa"/>
        <w:tblCellMar>
          <w:top w:w="0" w:type="dxa"/>
          <w:left w:w="0" w:type="dxa"/>
          <w:bottom w:w="0" w:type="dxa"/>
          <w:right w:w="0" w:type="dxa"/>
        </w:tblCellMar>
      </w:tblPr>
      <w:tr>
        <w:trPr>
          <w:trHeight w:val="58"/>
        </w:trPr>
        <w:tc>
          <w:tcPr>
            <w:tcW w:w="140" w:type="dxa"/>
            <w:vAlign w:val="bottom"/>
            <w:shd w:val="clear" w:color="auto" w:fill="000039"/>
          </w:tcPr>
          <w:p>
            <w:pPr>
              <w:spacing w:after="0" w:line="37" w:lineRule="exact"/>
              <w:rPr>
                <w:sz w:val="20"/>
                <w:szCs w:val="20"/>
                <w:color w:val="auto"/>
              </w:rPr>
            </w:pPr>
            <w:r>
              <w:rPr>
                <w:rFonts w:ascii="Arial" w:cs="Arial" w:eastAsia="Arial" w:hAnsi="Arial"/>
                <w:sz w:val="4"/>
                <w:szCs w:val="4"/>
                <w:color w:val="auto"/>
              </w:rPr>
              <w:t>A</w:t>
            </w:r>
          </w:p>
        </w:tc>
        <w:tc>
          <w:tcPr>
            <w:tcW w:w="6600" w:type="dxa"/>
            <w:vAlign w:val="bottom"/>
            <w:shd w:val="clear" w:color="auto" w:fill="000039"/>
          </w:tcPr>
          <w:p>
            <w:pPr>
              <w:jc w:val="right"/>
              <w:ind w:right="6220"/>
              <w:spacing w:after="0" w:line="37" w:lineRule="exact"/>
              <w:rPr>
                <w:sz w:val="20"/>
                <w:szCs w:val="20"/>
                <w:color w:val="auto"/>
              </w:rPr>
            </w:pPr>
            <w:r>
              <w:rPr>
                <w:rFonts w:ascii="Times New Roman" w:cs="Times New Roman" w:eastAsia="Times New Roman" w:hAnsi="Times New Roman"/>
                <w:sz w:val="4"/>
                <w:szCs w:val="4"/>
                <w:color w:val="auto"/>
              </w:rPr>
              <w:t>-</w:t>
            </w:r>
          </w:p>
        </w:tc>
        <w:tc>
          <w:tcPr>
            <w:tcW w:w="1120" w:type="dxa"/>
            <w:vAlign w:val="bottom"/>
            <w:shd w:val="clear" w:color="auto" w:fill="000039"/>
          </w:tcPr>
          <w:p>
            <w:pPr>
              <w:spacing w:after="0"/>
              <w:rPr>
                <w:sz w:val="5"/>
                <w:szCs w:val="5"/>
                <w:color w:val="auto"/>
              </w:rPr>
            </w:pPr>
          </w:p>
        </w:tc>
        <w:tc>
          <w:tcPr>
            <w:tcW w:w="220" w:type="dxa"/>
            <w:vAlign w:val="bottom"/>
            <w:shd w:val="clear" w:color="auto" w:fill="000039"/>
          </w:tcPr>
          <w:p>
            <w:pPr>
              <w:spacing w:after="0"/>
              <w:rPr>
                <w:sz w:val="5"/>
                <w:szCs w:val="5"/>
                <w:color w:val="auto"/>
              </w:rPr>
            </w:pPr>
          </w:p>
        </w:tc>
      </w:tr>
      <w:tr>
        <w:trPr>
          <w:trHeight w:val="205"/>
        </w:trPr>
        <w:tc>
          <w:tcPr>
            <w:tcW w:w="6740" w:type="dxa"/>
            <w:vAlign w:val="bottom"/>
            <w:gridSpan w:val="2"/>
          </w:tcPr>
          <w:p>
            <w:pPr>
              <w:spacing w:after="0" w:line="205" w:lineRule="exact"/>
              <w:rPr>
                <w:sz w:val="20"/>
                <w:szCs w:val="20"/>
                <w:color w:val="auto"/>
              </w:rPr>
            </w:pPr>
            <w:r>
              <w:rPr>
                <w:rFonts w:ascii="Arial" w:cs="Arial" w:eastAsia="Arial" w:hAnsi="Arial"/>
                <w:sz w:val="20"/>
                <w:szCs w:val="20"/>
                <w:color w:val="auto"/>
              </w:rPr>
              <w:t>Risk free interest rate</w:t>
            </w:r>
          </w:p>
        </w:tc>
        <w:tc>
          <w:tcPr>
            <w:tcW w:w="1120" w:type="dxa"/>
            <w:vAlign w:val="bottom"/>
            <w:shd w:val="clear" w:color="auto" w:fill="E6E6E6"/>
          </w:tcPr>
          <w:p>
            <w:pPr>
              <w:jc w:val="right"/>
              <w:spacing w:after="0" w:line="205" w:lineRule="exact"/>
              <w:rPr>
                <w:sz w:val="20"/>
                <w:szCs w:val="20"/>
                <w:color w:val="auto"/>
              </w:rPr>
            </w:pPr>
            <w:r>
              <w:rPr>
                <w:rFonts w:ascii="Arial" w:cs="Arial" w:eastAsia="Arial" w:hAnsi="Arial"/>
                <w:sz w:val="20"/>
                <w:szCs w:val="20"/>
                <w:color w:val="auto"/>
              </w:rPr>
              <w:t>4.32</w:t>
            </w:r>
          </w:p>
        </w:tc>
        <w:tc>
          <w:tcPr>
            <w:tcW w:w="220" w:type="dxa"/>
            <w:vAlign w:val="bottom"/>
            <w:shd w:val="clear" w:color="auto" w:fill="E6E6E6"/>
          </w:tcPr>
          <w:p>
            <w:pPr>
              <w:jc w:val="right"/>
              <w:spacing w:after="0" w:line="205" w:lineRule="exact"/>
              <w:rPr>
                <w:sz w:val="20"/>
                <w:szCs w:val="20"/>
                <w:color w:val="auto"/>
              </w:rPr>
            </w:pPr>
            <w:r>
              <w:rPr>
                <w:rFonts w:ascii="Arial" w:cs="Arial" w:eastAsia="Arial" w:hAnsi="Arial"/>
                <w:sz w:val="20"/>
                <w:szCs w:val="20"/>
                <w:color w:val="auto"/>
              </w:rPr>
              <w:t>%</w:t>
            </w:r>
          </w:p>
        </w:tc>
      </w:tr>
      <w:tr>
        <w:trPr>
          <w:trHeight w:val="230"/>
        </w:trPr>
        <w:tc>
          <w:tcPr>
            <w:tcW w:w="140" w:type="dxa"/>
            <w:vAlign w:val="bottom"/>
          </w:tcPr>
          <w:p>
            <w:pPr>
              <w:spacing w:after="0"/>
              <w:rPr>
                <w:sz w:val="20"/>
                <w:szCs w:val="20"/>
                <w:color w:val="auto"/>
              </w:rPr>
            </w:pPr>
          </w:p>
        </w:tc>
        <w:tc>
          <w:tcPr>
            <w:tcW w:w="6600" w:type="dxa"/>
            <w:vAlign w:val="bottom"/>
          </w:tcPr>
          <w:p>
            <w:pPr>
              <w:jc w:val="right"/>
              <w:ind w:right="4020"/>
              <w:spacing w:after="0"/>
              <w:rPr>
                <w:sz w:val="20"/>
                <w:szCs w:val="20"/>
                <w:color w:val="auto"/>
              </w:rPr>
            </w:pPr>
            <w:r>
              <w:rPr>
                <w:rFonts w:ascii="Arial" w:cs="Arial" w:eastAsia="Arial" w:hAnsi="Arial"/>
                <w:sz w:val="20"/>
                <w:szCs w:val="20"/>
                <w:color w:val="auto"/>
                <w:w w:val="99"/>
              </w:rPr>
              <w:t>verage life of options (years)</w:t>
            </w:r>
          </w:p>
        </w:tc>
        <w:tc>
          <w:tcPr>
            <w:tcW w:w="1120" w:type="dxa"/>
            <w:vAlign w:val="bottom"/>
          </w:tcPr>
          <w:p>
            <w:pPr>
              <w:jc w:val="right"/>
              <w:spacing w:after="0"/>
              <w:rPr>
                <w:sz w:val="20"/>
                <w:szCs w:val="20"/>
                <w:color w:val="auto"/>
              </w:rPr>
            </w:pPr>
            <w:r>
              <w:rPr>
                <w:rFonts w:ascii="Arial" w:cs="Arial" w:eastAsia="Arial" w:hAnsi="Arial"/>
                <w:sz w:val="20"/>
                <w:szCs w:val="20"/>
                <w:color w:val="auto"/>
              </w:rPr>
              <w:t>5.8</w:t>
            </w:r>
          </w:p>
        </w:tc>
        <w:tc>
          <w:tcPr>
            <w:tcW w:w="220" w:type="dxa"/>
            <w:vAlign w:val="bottom"/>
          </w:tcPr>
          <w:p>
            <w:pPr>
              <w:spacing w:after="0"/>
              <w:rPr>
                <w:sz w:val="20"/>
                <w:szCs w:val="20"/>
                <w:color w:val="auto"/>
              </w:rPr>
            </w:pPr>
          </w:p>
        </w:tc>
      </w:tr>
      <w:tr>
        <w:trPr>
          <w:trHeight w:val="229"/>
        </w:trPr>
        <w:tc>
          <w:tcPr>
            <w:tcW w:w="6740" w:type="dxa"/>
            <w:vAlign w:val="bottom"/>
            <w:gridSpan w:val="2"/>
            <w:shd w:val="clear" w:color="auto" w:fill="E6E6E6"/>
          </w:tcPr>
          <w:p>
            <w:pPr>
              <w:spacing w:after="0"/>
              <w:rPr>
                <w:sz w:val="20"/>
                <w:szCs w:val="20"/>
                <w:color w:val="auto"/>
              </w:rPr>
            </w:pPr>
            <w:r>
              <w:rPr>
                <w:rFonts w:ascii="Arial" w:cs="Arial" w:eastAsia="Arial" w:hAnsi="Arial"/>
                <w:sz w:val="20"/>
                <w:szCs w:val="20"/>
                <w:color w:val="auto"/>
              </w:rPr>
              <w:t>Volatility</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24.55</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6740" w:type="dxa"/>
            <w:vAlign w:val="bottom"/>
            <w:gridSpan w:val="2"/>
          </w:tcPr>
          <w:p>
            <w:pPr>
              <w:spacing w:after="0"/>
              <w:rPr>
                <w:sz w:val="20"/>
                <w:szCs w:val="20"/>
                <w:color w:val="auto"/>
              </w:rPr>
            </w:pPr>
            <w:r>
              <w:rPr>
                <w:rFonts w:ascii="Arial" w:cs="Arial" w:eastAsia="Arial" w:hAnsi="Arial"/>
                <w:sz w:val="20"/>
                <w:szCs w:val="20"/>
                <w:color w:val="auto"/>
              </w:rPr>
              <w:t>Dividend yield</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3.69 %</w:t>
            </w:r>
          </w:p>
        </w:tc>
      </w:tr>
      <w:tr>
        <w:trPr>
          <w:trHeight w:val="230"/>
        </w:trPr>
        <w:tc>
          <w:tcPr>
            <w:tcW w:w="6740" w:type="dxa"/>
            <w:vAlign w:val="bottom"/>
            <w:tcBorders>
              <w:bottom w:val="single" w:sz="8" w:color="000039"/>
            </w:tcBorders>
            <w:gridSpan w:val="2"/>
            <w:shd w:val="clear" w:color="auto" w:fill="E6E6E6"/>
          </w:tcPr>
          <w:p>
            <w:pPr>
              <w:spacing w:after="0"/>
              <w:rPr>
                <w:sz w:val="20"/>
                <w:szCs w:val="20"/>
                <w:color w:val="auto"/>
              </w:rPr>
            </w:pPr>
            <w:r>
              <w:rPr>
                <w:rFonts w:ascii="Arial" w:cs="Arial" w:eastAsia="Arial" w:hAnsi="Arial"/>
                <w:sz w:val="20"/>
                <w:szCs w:val="20"/>
                <w:color w:val="auto"/>
              </w:rPr>
              <w:t>Fair value per stock option</w:t>
            </w:r>
          </w:p>
        </w:tc>
        <w:tc>
          <w:tcPr>
            <w:tcW w:w="1120" w:type="dxa"/>
            <w:vAlign w:val="bottom"/>
            <w:tcBorders>
              <w:bottom w:val="single" w:sz="8" w:color="000039"/>
            </w:tcBorders>
            <w:shd w:val="clear" w:color="auto" w:fill="E6E6E6"/>
          </w:tcPr>
          <w:p>
            <w:pPr>
              <w:jc w:val="right"/>
              <w:spacing w:after="0"/>
              <w:rPr>
                <w:sz w:val="20"/>
                <w:szCs w:val="20"/>
                <w:color w:val="auto"/>
              </w:rPr>
            </w:pPr>
            <w:r>
              <w:rPr>
                <w:rFonts w:ascii="Arial" w:cs="Arial" w:eastAsia="Arial" w:hAnsi="Arial"/>
                <w:sz w:val="20"/>
                <w:szCs w:val="20"/>
                <w:color w:val="auto"/>
              </w:rPr>
              <w:t>$   38.39</w:t>
            </w:r>
          </w:p>
        </w:tc>
        <w:tc>
          <w:tcPr>
            <w:tcW w:w="220" w:type="dxa"/>
            <w:vAlign w:val="bottom"/>
            <w:tcBorders>
              <w:bottom w:val="single" w:sz="8" w:color="000039"/>
            </w:tcBorders>
            <w:shd w:val="clear" w:color="auto" w:fill="E6E6E6"/>
          </w:tcPr>
          <w:p>
            <w:pPr>
              <w:spacing w:after="0"/>
              <w:rPr>
                <w:sz w:val="20"/>
                <w:szCs w:val="20"/>
                <w:color w:val="auto"/>
              </w:rPr>
            </w:pPr>
          </w:p>
        </w:tc>
      </w:tr>
    </w:tbl>
    <w:p>
      <w:pPr>
        <w:spacing w:after="0" w:line="221" w:lineRule="exact"/>
        <w:rPr>
          <w:sz w:val="20"/>
          <w:szCs w:val="20"/>
          <w:color w:val="auto"/>
        </w:rPr>
      </w:pPr>
    </w:p>
    <w:p>
      <w:pPr>
        <w:ind w:left="360" w:right="40" w:hanging="360"/>
        <w:spacing w:after="0" w:line="261" w:lineRule="auto"/>
        <w:tabs>
          <w:tab w:leader="none" w:pos="361"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compensation reported in this column for 2025 was earned as a performance-based incentive award pursuant to the AbbVie Performance Incentive Plan. Additional information regarding the plan can be found in the “Compensation Plan Elements” section of this proxy statement.</w:t>
      </w:r>
    </w:p>
    <w:p>
      <w:pPr>
        <w:spacing w:after="0" w:line="179" w:lineRule="exact"/>
        <w:rPr>
          <w:rFonts w:ascii="Arial" w:cs="Arial" w:eastAsia="Arial" w:hAnsi="Arial"/>
          <w:sz w:val="20"/>
          <w:szCs w:val="20"/>
          <w:color w:val="auto"/>
        </w:rPr>
      </w:pPr>
    </w:p>
    <w:p>
      <w:pPr>
        <w:ind w:left="360" w:right="20" w:hanging="360"/>
        <w:spacing w:after="0" w:line="261" w:lineRule="auto"/>
        <w:tabs>
          <w:tab w:leader="none" w:pos="361"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plan amounts shown below are reported in this column, excluding negative amounts under the AbbVie Pension Plan and the AbbVie Supplemental Pension Plan in accordance with SEC rules. The amounts shown below beside each NEO’s name are for 2025, 2024, and 2023, respectively, as applicable.</w:t>
      </w:r>
    </w:p>
    <w:p>
      <w:pPr>
        <w:spacing w:after="0" w:line="187"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20"/>
          <w:szCs w:val="20"/>
          <w:i w:val="1"/>
          <w:iCs w:val="1"/>
          <w:color w:val="auto"/>
        </w:rPr>
        <w:t>AbbVie Pension Plan</w:t>
      </w:r>
    </w:p>
    <w:p>
      <w:pPr>
        <w:spacing w:after="0" w:line="231" w:lineRule="exact"/>
        <w:rPr>
          <w:sz w:val="20"/>
          <w:szCs w:val="20"/>
          <w:color w:val="auto"/>
        </w:rPr>
      </w:pPr>
    </w:p>
    <w:p>
      <w:pPr>
        <w:ind w:left="360" w:right="400"/>
        <w:spacing w:after="0" w:line="283" w:lineRule="auto"/>
        <w:tabs>
          <w:tab w:leader="none" w:pos="61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Michael: $273,824 / $3,402 / $119,233; S. Reents: $95,464 / $31,435 / $90,112; J. Stewart: $152,820 / $23,084 / $277,907; A. Saleki-Gerhardt: $134,069 / $76,048 / $190,794; and R. Thakkar: $66,982.</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AbbVie Supplemental Pension Plan</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 Michael: $7,873,176 / $1,669,967 / $2,776,666; S. Reents: $2,363,834 / $1,479,025 / $1,627,895;</w:t>
      </w:r>
    </w:p>
    <w:p>
      <w:pPr>
        <w:spacing w:after="0" w:line="25" w:lineRule="exact"/>
        <w:rPr>
          <w:sz w:val="20"/>
          <w:szCs w:val="20"/>
          <w:color w:val="auto"/>
        </w:rPr>
      </w:pPr>
    </w:p>
    <w:p>
      <w:pPr>
        <w:ind w:left="360" w:right="320"/>
        <w:spacing w:after="0" w:line="256" w:lineRule="auto"/>
        <w:tabs>
          <w:tab w:leader="none" w:pos="571" w:val="left"/>
        </w:tabs>
        <w:numPr>
          <w:ilvl w:val="0"/>
          <w:numId w:val="118"/>
        </w:numPr>
        <w:rPr>
          <w:rFonts w:ascii="Arial" w:cs="Arial" w:eastAsia="Arial" w:hAnsi="Arial"/>
          <w:sz w:val="20"/>
          <w:szCs w:val="20"/>
          <w:color w:val="auto"/>
        </w:rPr>
      </w:pPr>
      <w:r>
        <w:rPr>
          <w:rFonts w:ascii="Arial" w:cs="Arial" w:eastAsia="Arial" w:hAnsi="Arial"/>
          <w:sz w:val="20"/>
          <w:szCs w:val="20"/>
          <w:color w:val="auto"/>
        </w:rPr>
        <w:t>Stewart: $2,629,286 / $1,682,840 / $4,918,891; A. Saleki-Gerhardt: $620,095 / $(329,624) / $1,462,884; and R. Thakkar: $1,349,733.</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Non-Qualified Defined Contribution Plan Earnings</w:t>
      </w:r>
    </w:p>
    <w:p>
      <w:pPr>
        <w:spacing w:after="0" w:line="231" w:lineRule="exact"/>
        <w:rPr>
          <w:sz w:val="20"/>
          <w:szCs w:val="20"/>
          <w:color w:val="auto"/>
        </w:rPr>
      </w:pPr>
    </w:p>
    <w:p>
      <w:pPr>
        <w:ind w:left="360" w:right="320"/>
        <w:spacing w:after="0" w:line="254" w:lineRule="auto"/>
        <w:rPr>
          <w:sz w:val="20"/>
          <w:szCs w:val="20"/>
          <w:color w:val="auto"/>
        </w:rPr>
      </w:pPr>
      <w:r>
        <w:rPr>
          <w:rFonts w:ascii="Arial" w:cs="Arial" w:eastAsia="Arial" w:hAnsi="Arial"/>
          <w:sz w:val="20"/>
          <w:szCs w:val="20"/>
          <w:color w:val="auto"/>
        </w:rPr>
        <w:t>The totals in this column include reportable interest credited under the AbbVie Performance Incentive Plan and the AbbVie Supplemental Savings Plan grantor trusts, which are described further in footnote (6). The reportable interest amounts shown below beside each NEO’s name are for 2025, 2024, and 2023, respectively, as applicable.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 Michael: $500,081 / $335,617 / $123,213; S. Reents: $543,581 / $500,198 / $294,882; J. Stewart:</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$960,131 / $939,164 / $594,880; and A. Saleki-Gerhardt: $1,024,714 / $1,052,397 / $707,787.</w:t>
      </w:r>
    </w:p>
    <w:p>
      <w:pPr>
        <w:spacing w:after="0" w:line="213" w:lineRule="exact"/>
        <w:rPr>
          <w:sz w:val="20"/>
          <w:szCs w:val="20"/>
          <w:color w:val="auto"/>
        </w:rPr>
      </w:pPr>
    </w:p>
    <w:p>
      <w:pPr>
        <w:jc w:val="both"/>
        <w:ind w:left="360" w:right="320" w:hanging="360"/>
        <w:spacing w:after="0" w:line="254" w:lineRule="auto"/>
        <w:tabs>
          <w:tab w:leader="none" w:pos="361"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change in pension value during the applicable year is attributable to changes in actuarial assumptions (primarily discount rate and mortality tables) and other factors based on plan design (primarily pay, service and age). The actuarial assumptions used for purposes of calculating present value for the 2025 reporting year are described in footnote (1) to the Pension Benefits Table.</w:t>
      </w:r>
    </w:p>
    <w:p>
      <w:pPr>
        <w:spacing w:after="0" w:line="186" w:lineRule="exact"/>
        <w:rPr>
          <w:rFonts w:ascii="Arial" w:cs="Arial" w:eastAsia="Arial" w:hAnsi="Arial"/>
          <w:sz w:val="20"/>
          <w:szCs w:val="20"/>
          <w:color w:val="auto"/>
        </w:rPr>
      </w:pPr>
    </w:p>
    <w:p>
      <w:pPr>
        <w:ind w:left="360" w:right="100"/>
        <w:spacing w:after="0" w:line="248" w:lineRule="auto"/>
        <w:rPr>
          <w:rFonts w:ascii="Arial" w:cs="Arial" w:eastAsia="Arial" w:hAnsi="Arial"/>
          <w:sz w:val="20"/>
          <w:szCs w:val="20"/>
          <w:color w:val="auto"/>
        </w:rPr>
      </w:pPr>
      <w:r>
        <w:rPr>
          <w:rFonts w:ascii="Arial" w:cs="Arial" w:eastAsia="Arial" w:hAnsi="Arial"/>
          <w:sz w:val="20"/>
          <w:szCs w:val="20"/>
          <w:color w:val="auto"/>
        </w:rPr>
        <w:t>In addition to the effect of the changes in actuarial assumptions, the change in pension value reflects the application of the benefit formulas under the Pension Plan and the Supplemental Pension Plan, which are described in the section of this proxy statement captioned “Pension Benefits.” As participants’ pay changes, the formulas yield revised pension values. Furthermore, as a participant ages and service credit accumulates year over year (before the participant is eligible for unreduced pension benefits), the present value of their pension benefits increases, even without changes in pay or actuarial assumptions.</w:t>
      </w:r>
    </w:p>
    <w:p>
      <w:pPr>
        <w:spacing w:after="0" w:line="194" w:lineRule="exact"/>
        <w:rPr>
          <w:rFonts w:ascii="Arial" w:cs="Arial" w:eastAsia="Arial" w:hAnsi="Arial"/>
          <w:sz w:val="20"/>
          <w:szCs w:val="20"/>
          <w:color w:val="auto"/>
        </w:rPr>
      </w:pPr>
    </w:p>
    <w:p>
      <w:pPr>
        <w:ind w:left="360" w:right="200"/>
        <w:spacing w:after="0" w:line="247" w:lineRule="auto"/>
        <w:rPr>
          <w:rFonts w:ascii="Arial" w:cs="Arial" w:eastAsia="Arial" w:hAnsi="Arial"/>
          <w:sz w:val="20"/>
          <w:szCs w:val="20"/>
          <w:color w:val="auto"/>
        </w:rPr>
      </w:pPr>
      <w:r>
        <w:rPr>
          <w:rFonts w:ascii="Arial" w:cs="Arial" w:eastAsia="Arial" w:hAnsi="Arial"/>
          <w:sz w:val="20"/>
          <w:szCs w:val="20"/>
          <w:color w:val="auto"/>
        </w:rPr>
        <w:t>The increase in Mr. Michael’s change in pension value from 2024 to 2025, as shown in footnote (4), is primarily due to the following: (1) Mr. Michael’s pay adjustments in recognition of his new responsibilities as Chairman and CEO, which resulted in an increase in his 5-year final average earnings under the benefit formulas, and (2) Mr. Michael turning age 55 in 2025, which resulted in a one-time increase in the present value of his subsidized early retirement benefits payable for service after 2003, since upon reaching that milestone his benefit is actuarially reduced from age 62 under the Pension Plan and age 60 under the Supplemental Pension Plan (instead of from age 65).</w:t>
      </w:r>
    </w:p>
    <w:p>
      <w:pPr>
        <w:spacing w:after="0" w:line="200" w:lineRule="exact"/>
        <w:rPr>
          <w:sz w:val="20"/>
          <w:szCs w:val="20"/>
          <w:color w:val="auto"/>
        </w:rPr>
      </w:pPr>
    </w:p>
    <w:p>
      <w:pPr>
        <w:spacing w:after="0" w:line="387"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-212725</wp:posOffset>
            </wp:positionV>
            <wp:extent cx="991870" cy="2006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232">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80" w:name="page181"/>
    <w:bookmarkEnd w:id="180"/>
    <w:p>
      <w:pPr>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(6) The amounts shown below are reported in this column for 2025.</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Earnings for Non-Qualified Defined Contribution Plans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 Michael: $169,220; S. Reents: $327,713; J. Stewart: $631,388; and A. Saleki-Gerhardt: $725,085.</w:t>
      </w:r>
    </w:p>
    <w:p>
      <w:pPr>
        <w:spacing w:after="0" w:line="240" w:lineRule="exact"/>
        <w:rPr>
          <w:sz w:val="20"/>
          <w:szCs w:val="20"/>
          <w:color w:val="auto"/>
        </w:rPr>
      </w:pPr>
    </w:p>
    <w:p>
      <w:pPr>
        <w:ind w:left="360" w:right="260"/>
        <w:spacing w:after="0" w:line="250" w:lineRule="auto"/>
        <w:rPr>
          <w:sz w:val="20"/>
          <w:szCs w:val="20"/>
          <w:color w:val="auto"/>
        </w:rPr>
      </w:pPr>
      <w:r>
        <w:rPr>
          <w:rFonts w:ascii="Arial" w:cs="Arial" w:eastAsia="Arial" w:hAnsi="Arial"/>
          <w:sz w:val="20"/>
          <w:szCs w:val="20"/>
          <w:color w:val="auto"/>
        </w:rPr>
        <w:t>Each of the NEOs’ awards under the AbbVie Performance Incentive Plan is paid in cash to the NEO on a current basis and, for eligible NEOs, may be deposited into a grantor trust established by the NEO, net of maximum tax withholdings. Each eligible NEO has also established a grantor trust in connection with the AbbVie Supplemental Savings Plan. These amounts include earnings under those grantor trusts, net of the reportable interest previously included in the 2025 proxy statement.</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Employer Contributions to Defined Contribution Plans</w:t>
      </w:r>
    </w:p>
    <w:p>
      <w:pPr>
        <w:spacing w:after="0" w:line="231" w:lineRule="exact"/>
        <w:rPr>
          <w:sz w:val="20"/>
          <w:szCs w:val="20"/>
          <w:color w:val="auto"/>
        </w:rPr>
      </w:pPr>
    </w:p>
    <w:p>
      <w:pPr>
        <w:ind w:left="360" w:right="140"/>
        <w:spacing w:after="0" w:line="283" w:lineRule="auto"/>
        <w:tabs>
          <w:tab w:leader="none" w:pos="61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Michael: $85,000; S. Reents: $56,206; J. Stewart: $65,786; A. Saleki-Gerhardt: $52,629; and R. Thakkar: $17,500.</w:t>
      </w:r>
    </w:p>
    <w:p>
      <w:pPr>
        <w:spacing w:after="0" w:line="158" w:lineRule="exact"/>
        <w:rPr>
          <w:sz w:val="20"/>
          <w:szCs w:val="20"/>
          <w:color w:val="auto"/>
        </w:rPr>
      </w:pPr>
    </w:p>
    <w:p>
      <w:pPr>
        <w:ind w:left="360" w:right="120"/>
        <w:spacing w:after="0" w:line="247" w:lineRule="auto"/>
        <w:rPr>
          <w:sz w:val="20"/>
          <w:szCs w:val="20"/>
          <w:color w:val="auto"/>
        </w:rPr>
      </w:pPr>
      <w:r>
        <w:rPr>
          <w:rFonts w:ascii="Arial" w:cs="Arial" w:eastAsia="Arial" w:hAnsi="Arial"/>
          <w:sz w:val="20"/>
          <w:szCs w:val="20"/>
          <w:color w:val="auto"/>
        </w:rPr>
        <w:t>These amounts include AbbVie contributions to the AbbVie Savings Plan and the AbbVie Supplemental Savings Plan, as applicable. The Supplemental Savings Plan permits eligible NEOs to contribute amounts in excess of the annual limit set by the Internal Revenue Code for employee contributions to 401(k) plans up to the excess of (i) 18 percent of their base salary over (ii) the amount contributed to the AbbVie Savings Plan. AbbVie matches participant contributions at the rate of 250 percent of the first 2 percent of compensation contributed to the plan. Eligible NEOs may choose to have these amounts paid to them in cash on a current basis and deposited into a grantor trust established by the NEO, net of maximum tax withholdings.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Other 2025 Compensation</w:t>
      </w:r>
    </w:p>
    <w:p>
      <w:pPr>
        <w:spacing w:after="0" w:line="231" w:lineRule="exact"/>
        <w:rPr>
          <w:sz w:val="20"/>
          <w:szCs w:val="20"/>
          <w:color w:val="auto"/>
        </w:rPr>
      </w:pPr>
    </w:p>
    <w:p>
      <w:pPr>
        <w:ind w:left="360"/>
        <w:spacing w:after="0" w:line="254" w:lineRule="auto"/>
        <w:rPr>
          <w:sz w:val="20"/>
          <w:szCs w:val="20"/>
          <w:color w:val="auto"/>
        </w:rPr>
      </w:pPr>
      <w:r>
        <w:rPr>
          <w:rFonts w:ascii="Arial" w:cs="Arial" w:eastAsia="Arial" w:hAnsi="Arial"/>
          <w:sz w:val="20"/>
          <w:szCs w:val="20"/>
          <w:color w:val="auto"/>
        </w:rPr>
        <w:t>The totals shown in the table include the cost of providing a corporate automobile less the amount reimbursed by the NEO: R. Michael: $32,262; S. Reents: $ 35,166; J. Stewart: $23,598; A. Saleki-Gerhardt: $25,992; and R. Thakkar: $5,993. AbbVie imputes income to the NEO, if required, and the NEO pays taxes in accordance with tax regulations without gross-ups.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totals shown in the table include a financial planning services allowance for each NEO: R. Michael:</w:t>
      </w:r>
    </w:p>
    <w:p>
      <w:pPr>
        <w:spacing w:after="0" w:line="25" w:lineRule="exact"/>
        <w:rPr>
          <w:sz w:val="20"/>
          <w:szCs w:val="20"/>
          <w:color w:val="auto"/>
        </w:rPr>
      </w:pPr>
    </w:p>
    <w:p>
      <w:pPr>
        <w:ind w:left="360" w:right="200"/>
        <w:spacing w:after="0" w:line="248" w:lineRule="auto"/>
        <w:rPr>
          <w:sz w:val="20"/>
          <w:szCs w:val="20"/>
          <w:color w:val="auto"/>
        </w:rPr>
      </w:pPr>
      <w:r>
        <w:rPr>
          <w:rFonts w:ascii="Arial" w:cs="Arial" w:eastAsia="Arial" w:hAnsi="Arial"/>
          <w:sz w:val="20"/>
          <w:szCs w:val="20"/>
          <w:color w:val="auto"/>
        </w:rPr>
        <w:t>$10,000; S. Reents: $10,000; J. Stewart: $10,000; A. Saleki-Gerhardt: $10,000; and R. Thakkar: $10,000. AbbVie imputes income to the NEO, if required, and the NEO pays taxes in accordance with tax regulations without gross-ups.</w:t>
      </w:r>
    </w:p>
    <w:p>
      <w:pPr>
        <w:spacing w:after="0" w:line="191" w:lineRule="exact"/>
        <w:rPr>
          <w:sz w:val="20"/>
          <w:szCs w:val="20"/>
          <w:color w:val="auto"/>
        </w:rPr>
      </w:pPr>
    </w:p>
    <w:p>
      <w:pPr>
        <w:ind w:left="360" w:right="160" w:firstLine="1"/>
        <w:spacing w:after="0" w:line="248" w:lineRule="auto"/>
        <w:rPr>
          <w:sz w:val="20"/>
          <w:szCs w:val="20"/>
          <w:color w:val="auto"/>
        </w:rPr>
      </w:pPr>
      <w:r>
        <w:rPr>
          <w:rFonts w:ascii="Arial" w:cs="Arial" w:eastAsia="Arial" w:hAnsi="Arial"/>
          <w:sz w:val="20"/>
          <w:szCs w:val="20"/>
          <w:color w:val="auto"/>
        </w:rPr>
        <w:t>The totals shown in the table include the following costs for non-business-related air travel and services less the amount reimbursed by the NEO: R. Michael: $ 212,609; S. Reents: $41,403; and R. Thakkar: $23,966. AbbVie determines the incremental cost for flights based on the direct cost to AbbVie, including fuel costs, parking, handling and landing fees, catering, travel fees, and other miscellaneous direct costs. AbbVie imputes income to the NEO, if required, and the NEO pays taxes in accordance with tax regulations without gross-ups.</w:t>
      </w:r>
    </w:p>
    <w:p>
      <w:pPr>
        <w:spacing w:after="0" w:line="194" w:lineRule="exact"/>
        <w:rPr>
          <w:sz w:val="20"/>
          <w:szCs w:val="20"/>
          <w:color w:val="auto"/>
        </w:rPr>
      </w:pPr>
    </w:p>
    <w:p>
      <w:pPr>
        <w:ind w:left="360" w:right="220"/>
        <w:spacing w:after="0" w:line="283" w:lineRule="auto"/>
        <w:rPr>
          <w:sz w:val="20"/>
          <w:szCs w:val="20"/>
          <w:color w:val="auto"/>
        </w:rPr>
      </w:pPr>
      <w:r>
        <w:rPr>
          <w:rFonts w:ascii="Arial" w:cs="Arial" w:eastAsia="Arial" w:hAnsi="Arial"/>
          <w:sz w:val="20"/>
          <w:szCs w:val="20"/>
          <w:color w:val="auto"/>
        </w:rPr>
        <w:t>The totals shown in the table also include the cost of seasonal gifts for all NEOs. AbbVie imputes income to the NEO, if required, and the NEO pays taxes in accordance with tax regulations without gross-ups.</w:t>
      </w:r>
    </w:p>
    <w:p>
      <w:pPr>
        <w:spacing w:after="0" w:line="157" w:lineRule="exact"/>
        <w:rPr>
          <w:sz w:val="20"/>
          <w:szCs w:val="20"/>
          <w:color w:val="auto"/>
        </w:rPr>
      </w:pPr>
    </w:p>
    <w:p>
      <w:pPr>
        <w:ind w:left="360" w:right="100"/>
        <w:spacing w:after="0" w:line="262" w:lineRule="auto"/>
        <w:rPr>
          <w:sz w:val="20"/>
          <w:szCs w:val="20"/>
          <w:color w:val="auto"/>
        </w:rPr>
      </w:pPr>
      <w:r>
        <w:rPr>
          <w:rFonts w:ascii="Arial" w:cs="Arial" w:eastAsia="Arial" w:hAnsi="Arial"/>
          <w:sz w:val="20"/>
          <w:szCs w:val="20"/>
          <w:color w:val="auto"/>
        </w:rPr>
        <w:t>The NEOs also are eligible to receive an annual executive physical, as well as participate in an executive disability benefit described in the “Potential Payments upon Termination or Change in Control”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52  </w:t>
      </w:r>
      <w:r>
        <w:rPr>
          <w:sz w:val="1"/>
          <w:szCs w:val="1"/>
          <w:color w:val="auto"/>
        </w:rPr>
        <w:drawing>
          <wp:inline distT="0" distB="0" distL="0" distR="0">
            <wp:extent cx="991870" cy="20066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233">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60"/>
          </w:cols>
          <w:pgMar w:left="900" w:top="702" w:right="920" w:bottom="0" w:gutter="0" w:footer="0" w:header="0"/>
        </w:sectPr>
      </w:pPr>
    </w:p>
    <w:bookmarkStart w:id="181" w:name="page182"/>
    <w:bookmarkEnd w:id="181"/>
    <w:p>
      <w:pPr>
        <w:ind w:left="7260"/>
        <w:spacing w:after="0"/>
        <w:rPr>
          <w:sz w:val="20"/>
          <w:szCs w:val="20"/>
          <w:color w:val="auto"/>
        </w:rPr>
      </w:pPr>
      <w:r>
        <w:rPr>
          <w:rFonts w:ascii="Arial" w:cs="Arial" w:eastAsia="Arial" w:hAnsi="Arial"/>
          <w:sz w:val="20"/>
          <w:szCs w:val="20"/>
          <w:color w:val="808080"/>
        </w:rPr>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2025 Grants of Plan-Based Awards</w:t>
      </w:r>
    </w:p>
    <w:p>
      <w:pPr>
        <w:spacing w:after="0" w:line="258" w:lineRule="exact"/>
        <w:rPr>
          <w:sz w:val="20"/>
          <w:szCs w:val="20"/>
          <w:color w:val="auto"/>
        </w:rPr>
      </w:pPr>
    </w:p>
    <w:p>
      <w:pPr>
        <w:ind w:right="500"/>
        <w:spacing w:after="0" w:line="283" w:lineRule="auto"/>
        <w:rPr>
          <w:sz w:val="20"/>
          <w:szCs w:val="20"/>
          <w:color w:val="auto"/>
        </w:rPr>
      </w:pPr>
      <w:r>
        <w:rPr>
          <w:rFonts w:ascii="Arial" w:cs="Arial" w:eastAsia="Arial" w:hAnsi="Arial"/>
          <w:sz w:val="20"/>
          <w:szCs w:val="20"/>
          <w:color w:val="auto"/>
        </w:rPr>
        <w:t>The following table shows information about non-equity incentive awards and summarizes the equity awards granted under the AbbVie Amended and Restated 2013 Incentive Stock Program to the NEOs during 2025.</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0039"/>
              </w:rPr>
              <w:t>All Other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0039"/>
              </w:rPr>
              <w:t>Option</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0039"/>
              </w:rPr>
              <w:t>Awards:</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000039"/>
              </w:rPr>
              <w:t>Exercise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0039"/>
              </w:rPr>
              <w:t>Grant Date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000039"/>
              </w:rPr>
              <w:t>Estimated Future Payouts</w:t>
            </w:r>
          </w:p>
        </w:tc>
        <w:tc>
          <w:tcPr>
            <w:tcW w:w="80" w:type="dxa"/>
            <w:vAlign w:val="bottom"/>
          </w:tcPr>
          <w:p>
            <w:pPr>
              <w:spacing w:after="0"/>
              <w:rPr>
                <w:sz w:val="13"/>
                <w:szCs w:val="13"/>
                <w:color w:val="auto"/>
              </w:rPr>
            </w:pPr>
          </w:p>
        </w:tc>
        <w:tc>
          <w:tcPr>
            <w:tcW w:w="2360" w:type="dxa"/>
            <w:vAlign w:val="bottom"/>
            <w:gridSpan w:val="4"/>
          </w:tcPr>
          <w:p>
            <w:pPr>
              <w:jc w:val="center"/>
              <w:spacing w:after="0"/>
              <w:rPr>
                <w:sz w:val="20"/>
                <w:szCs w:val="20"/>
                <w:color w:val="auto"/>
              </w:rPr>
            </w:pPr>
            <w:r>
              <w:rPr>
                <w:rFonts w:ascii="Arial" w:cs="Arial" w:eastAsia="Arial" w:hAnsi="Arial"/>
                <w:sz w:val="14"/>
                <w:szCs w:val="14"/>
                <w:b w:val="1"/>
                <w:bCs w:val="1"/>
                <w:color w:val="000039"/>
                <w:w w:val="99"/>
              </w:rPr>
              <w:t>Estimated Future Payouts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000039"/>
              </w:rPr>
              <w:t>Numbers of</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000039"/>
              </w:rPr>
              <w:t>or Base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0039"/>
              </w:rPr>
              <w:t>Fair Value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000039"/>
                <w:w w:val="99"/>
              </w:rPr>
              <w:t>Under Non-Equity</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000039"/>
              </w:rPr>
              <w:t>Under Equity</w:t>
            </w:r>
          </w:p>
        </w:tc>
        <w:tc>
          <w:tcPr>
            <w:tcW w:w="7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0039"/>
              </w:rPr>
              <w:t>Securities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000039"/>
              </w:rPr>
              <w:t>Price of</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0039"/>
              </w:rPr>
              <w:t>of Stock</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Borders>
              <w:bottom w:val="single" w:sz="8" w:color="000039"/>
            </w:tcBorders>
            <w:gridSpan w:val="3"/>
          </w:tcPr>
          <w:p>
            <w:pPr>
              <w:jc w:val="center"/>
              <w:spacing w:after="0" w:line="177" w:lineRule="exact"/>
              <w:rPr>
                <w:sz w:val="20"/>
                <w:szCs w:val="20"/>
                <w:color w:val="auto"/>
              </w:rPr>
            </w:pPr>
            <w:r>
              <w:rPr>
                <w:rFonts w:ascii="Arial" w:cs="Arial" w:eastAsia="Arial" w:hAnsi="Arial"/>
                <w:sz w:val="14"/>
                <w:szCs w:val="14"/>
                <w:b w:val="1"/>
                <w:bCs w:val="1"/>
                <w:color w:val="000039"/>
                <w:w w:val="96"/>
              </w:rPr>
              <w:t>Incentive Plan Awards</w:t>
            </w:r>
            <w:r>
              <w:rPr>
                <w:rFonts w:ascii="Arial" w:cs="Arial" w:eastAsia="Arial" w:hAnsi="Arial"/>
                <w:sz w:val="18"/>
                <w:szCs w:val="18"/>
                <w:b w:val="1"/>
                <w:bCs w:val="1"/>
                <w:color w:val="000039"/>
                <w:w w:val="96"/>
                <w:vertAlign w:val="superscript"/>
              </w:rPr>
              <w:t>(1)</w:t>
            </w:r>
          </w:p>
        </w:tc>
        <w:tc>
          <w:tcPr>
            <w:tcW w:w="80" w:type="dxa"/>
            <w:vAlign w:val="bottom"/>
          </w:tcPr>
          <w:p>
            <w:pPr>
              <w:spacing w:after="0"/>
              <w:rPr>
                <w:sz w:val="15"/>
                <w:szCs w:val="15"/>
                <w:color w:val="auto"/>
              </w:rPr>
            </w:pPr>
          </w:p>
        </w:tc>
        <w:tc>
          <w:tcPr>
            <w:tcW w:w="2360" w:type="dxa"/>
            <w:vAlign w:val="bottom"/>
            <w:tcBorders>
              <w:bottom w:val="single" w:sz="8" w:color="000039"/>
            </w:tcBorders>
            <w:gridSpan w:val="4"/>
          </w:tcPr>
          <w:p>
            <w:pPr>
              <w:jc w:val="center"/>
              <w:spacing w:after="0"/>
              <w:rPr>
                <w:sz w:val="20"/>
                <w:szCs w:val="20"/>
                <w:color w:val="auto"/>
              </w:rPr>
            </w:pPr>
            <w:r>
              <w:rPr>
                <w:rFonts w:ascii="Arial" w:cs="Arial" w:eastAsia="Arial" w:hAnsi="Arial"/>
                <w:sz w:val="14"/>
                <w:szCs w:val="14"/>
                <w:b w:val="1"/>
                <w:bCs w:val="1"/>
                <w:color w:val="000039"/>
                <w:w w:val="99"/>
              </w:rPr>
              <w:t>Incentive Plan Awards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000039"/>
              </w:rPr>
              <w:t>Underlying</w:t>
            </w:r>
          </w:p>
        </w:tc>
        <w:tc>
          <w:tcPr>
            <w:tcW w:w="14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b w:val="1"/>
                <w:bCs w:val="1"/>
                <w:color w:val="000039"/>
              </w:rPr>
              <w:t>Option</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0039"/>
              </w:rPr>
              <w:t>and Option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4" w:lineRule="exact"/>
              <w:rPr>
                <w:sz w:val="20"/>
                <w:szCs w:val="20"/>
                <w:color w:val="auto"/>
              </w:rPr>
            </w:pPr>
            <w:r>
              <w:rPr>
                <w:rFonts w:ascii="Arial" w:cs="Arial" w:eastAsia="Arial" w:hAnsi="Arial"/>
                <w:sz w:val="14"/>
                <w:szCs w:val="14"/>
                <w:b w:val="1"/>
                <w:bCs w:val="1"/>
                <w:color w:val="000039"/>
              </w:rPr>
              <w:t>Grant</w:t>
            </w:r>
          </w:p>
        </w:tc>
        <w:tc>
          <w:tcPr>
            <w:tcW w:w="720" w:type="dxa"/>
            <w:vAlign w:val="bottom"/>
          </w:tcPr>
          <w:p>
            <w:pPr>
              <w:jc w:val="right"/>
              <w:spacing w:after="0" w:line="134" w:lineRule="exact"/>
              <w:rPr>
                <w:sz w:val="20"/>
                <w:szCs w:val="20"/>
                <w:color w:val="auto"/>
              </w:rPr>
            </w:pPr>
            <w:r>
              <w:rPr>
                <w:rFonts w:ascii="Arial" w:cs="Arial" w:eastAsia="Arial" w:hAnsi="Arial"/>
                <w:sz w:val="14"/>
                <w:szCs w:val="14"/>
                <w:b w:val="1"/>
                <w:bCs w:val="1"/>
                <w:color w:val="000039"/>
                <w:w w:val="97"/>
              </w:rPr>
              <w:t>Threshold</w:t>
            </w:r>
          </w:p>
        </w:tc>
        <w:tc>
          <w:tcPr>
            <w:tcW w:w="800" w:type="dxa"/>
            <w:vAlign w:val="bottom"/>
          </w:tcPr>
          <w:p>
            <w:pPr>
              <w:jc w:val="right"/>
              <w:spacing w:after="0" w:line="134" w:lineRule="exact"/>
              <w:rPr>
                <w:sz w:val="20"/>
                <w:szCs w:val="20"/>
                <w:color w:val="auto"/>
              </w:rPr>
            </w:pPr>
            <w:r>
              <w:rPr>
                <w:rFonts w:ascii="Arial" w:cs="Arial" w:eastAsia="Arial" w:hAnsi="Arial"/>
                <w:sz w:val="14"/>
                <w:szCs w:val="14"/>
                <w:b w:val="1"/>
                <w:bCs w:val="1"/>
                <w:color w:val="000039"/>
              </w:rPr>
              <w:t>Target</w:t>
            </w:r>
          </w:p>
        </w:tc>
        <w:tc>
          <w:tcPr>
            <w:tcW w:w="900" w:type="dxa"/>
            <w:vAlign w:val="bottom"/>
          </w:tcPr>
          <w:p>
            <w:pPr>
              <w:jc w:val="right"/>
              <w:ind w:right="50"/>
              <w:spacing w:after="0" w:line="134" w:lineRule="exact"/>
              <w:rPr>
                <w:sz w:val="20"/>
                <w:szCs w:val="20"/>
                <w:color w:val="auto"/>
              </w:rPr>
            </w:pPr>
            <w:r>
              <w:rPr>
                <w:rFonts w:ascii="Arial" w:cs="Arial" w:eastAsia="Arial" w:hAnsi="Arial"/>
                <w:sz w:val="14"/>
                <w:szCs w:val="14"/>
                <w:b w:val="1"/>
                <w:bCs w:val="1"/>
                <w:color w:val="000039"/>
              </w:rPr>
              <w:t>Maximum</w:t>
            </w:r>
          </w:p>
        </w:tc>
        <w:tc>
          <w:tcPr>
            <w:tcW w:w="8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4"/>
                <w:szCs w:val="14"/>
                <w:b w:val="1"/>
                <w:bCs w:val="1"/>
                <w:color w:val="000039"/>
                <w:w w:val="97"/>
              </w:rPr>
              <w:t>Threshold</w:t>
            </w:r>
          </w:p>
        </w:tc>
        <w:tc>
          <w:tcPr>
            <w:tcW w:w="760" w:type="dxa"/>
            <w:vAlign w:val="bottom"/>
          </w:tcPr>
          <w:p>
            <w:pPr>
              <w:jc w:val="right"/>
              <w:spacing w:after="0" w:line="134" w:lineRule="exact"/>
              <w:rPr>
                <w:sz w:val="20"/>
                <w:szCs w:val="20"/>
                <w:color w:val="auto"/>
              </w:rPr>
            </w:pPr>
            <w:r>
              <w:rPr>
                <w:rFonts w:ascii="Arial" w:cs="Arial" w:eastAsia="Arial" w:hAnsi="Arial"/>
                <w:sz w:val="14"/>
                <w:szCs w:val="14"/>
                <w:b w:val="1"/>
                <w:bCs w:val="1"/>
                <w:color w:val="000039"/>
              </w:rPr>
              <w:t>Target</w:t>
            </w:r>
          </w:p>
        </w:tc>
        <w:tc>
          <w:tcPr>
            <w:tcW w:w="16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4"/>
                <w:szCs w:val="14"/>
                <w:b w:val="1"/>
                <w:bCs w:val="1"/>
                <w:color w:val="000039"/>
                <w:w w:val="99"/>
              </w:rPr>
              <w:t>Maximum</w:t>
            </w:r>
          </w:p>
        </w:tc>
        <w:tc>
          <w:tcPr>
            <w:tcW w:w="900" w:type="dxa"/>
            <w:vAlign w:val="bottom"/>
          </w:tcPr>
          <w:p>
            <w:pPr>
              <w:jc w:val="right"/>
              <w:spacing w:after="0" w:line="134" w:lineRule="exact"/>
              <w:rPr>
                <w:sz w:val="20"/>
                <w:szCs w:val="20"/>
                <w:color w:val="auto"/>
              </w:rPr>
            </w:pPr>
            <w:r>
              <w:rPr>
                <w:rFonts w:ascii="Arial" w:cs="Arial" w:eastAsia="Arial" w:hAnsi="Arial"/>
                <w:sz w:val="14"/>
                <w:szCs w:val="14"/>
                <w:b w:val="1"/>
                <w:bCs w:val="1"/>
                <w:color w:val="000039"/>
              </w:rPr>
              <w:t>Options</w:t>
            </w:r>
          </w:p>
        </w:tc>
        <w:tc>
          <w:tcPr>
            <w:tcW w:w="1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4"/>
                <w:szCs w:val="14"/>
                <w:b w:val="1"/>
                <w:bCs w:val="1"/>
                <w:color w:val="000039"/>
              </w:rPr>
              <w:t>Awards</w:t>
            </w:r>
          </w:p>
        </w:tc>
        <w:tc>
          <w:tcPr>
            <w:tcW w:w="1020" w:type="dxa"/>
            <w:vAlign w:val="bottom"/>
          </w:tcPr>
          <w:p>
            <w:pPr>
              <w:jc w:val="right"/>
              <w:spacing w:after="0" w:line="134" w:lineRule="exact"/>
              <w:rPr>
                <w:sz w:val="20"/>
                <w:szCs w:val="20"/>
                <w:color w:val="auto"/>
              </w:rPr>
            </w:pPr>
            <w:r>
              <w:rPr>
                <w:rFonts w:ascii="Arial" w:cs="Arial" w:eastAsia="Arial" w:hAnsi="Arial"/>
                <w:sz w:val="14"/>
                <w:szCs w:val="14"/>
                <w:b w:val="1"/>
                <w:bCs w:val="1"/>
                <w:color w:val="000039"/>
              </w:rPr>
              <w:t>Awards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320" w:type="dxa"/>
            <w:vAlign w:val="bottom"/>
            <w:tcBorders>
              <w:bottom w:val="single" w:sz="8" w:color="000039"/>
            </w:tcBorders>
          </w:tcPr>
          <w:p>
            <w:pPr>
              <w:ind w:left="120"/>
              <w:spacing w:after="0"/>
              <w:rPr>
                <w:sz w:val="20"/>
                <w:szCs w:val="20"/>
                <w:color w:val="auto"/>
              </w:rPr>
            </w:pPr>
            <w:r>
              <w:rPr>
                <w:rFonts w:ascii="Arial" w:cs="Arial" w:eastAsia="Arial" w:hAnsi="Arial"/>
                <w:sz w:val="14"/>
                <w:szCs w:val="14"/>
                <w:b w:val="1"/>
                <w:bCs w:val="1"/>
                <w:color w:val="000039"/>
              </w:rPr>
              <w:t>Name</w:t>
            </w:r>
          </w:p>
        </w:tc>
        <w:tc>
          <w:tcPr>
            <w:tcW w:w="120" w:type="dxa"/>
            <w:vAlign w:val="bottom"/>
            <w:tcBorders>
              <w:bottom w:val="single" w:sz="8" w:color="000039"/>
            </w:tcBorders>
          </w:tcPr>
          <w:p>
            <w:pPr>
              <w:spacing w:after="0"/>
              <w:rPr>
                <w:sz w:val="15"/>
                <w:szCs w:val="15"/>
                <w:color w:val="auto"/>
              </w:rPr>
            </w:pPr>
          </w:p>
        </w:tc>
        <w:tc>
          <w:tcPr>
            <w:tcW w:w="860" w:type="dxa"/>
            <w:vAlign w:val="bottom"/>
            <w:tcBorders>
              <w:bottom w:val="single" w:sz="8" w:color="000039"/>
            </w:tcBorders>
            <w:gridSpan w:val="2"/>
          </w:tcPr>
          <w:p>
            <w:pPr>
              <w:jc w:val="right"/>
              <w:ind w:right="120"/>
              <w:spacing w:after="0"/>
              <w:rPr>
                <w:sz w:val="20"/>
                <w:szCs w:val="20"/>
                <w:color w:val="auto"/>
              </w:rPr>
            </w:pPr>
            <w:r>
              <w:rPr>
                <w:rFonts w:ascii="Arial" w:cs="Arial" w:eastAsia="Arial" w:hAnsi="Arial"/>
                <w:sz w:val="14"/>
                <w:szCs w:val="14"/>
                <w:b w:val="1"/>
                <w:bCs w:val="1"/>
                <w:color w:val="000039"/>
              </w:rPr>
              <w:t>Date</w:t>
            </w:r>
          </w:p>
        </w:tc>
        <w:tc>
          <w:tcPr>
            <w:tcW w:w="72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w:t>
            </w:r>
          </w:p>
        </w:tc>
        <w:tc>
          <w:tcPr>
            <w:tcW w:w="80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w:t>
            </w:r>
          </w:p>
        </w:tc>
        <w:tc>
          <w:tcPr>
            <w:tcW w:w="900" w:type="dxa"/>
            <w:vAlign w:val="bottom"/>
            <w:tcBorders>
              <w:bottom w:val="single" w:sz="8" w:color="000039"/>
            </w:tcBorders>
          </w:tcPr>
          <w:p>
            <w:pPr>
              <w:jc w:val="right"/>
              <w:ind w:right="50"/>
              <w:spacing w:after="0"/>
              <w:rPr>
                <w:sz w:val="20"/>
                <w:szCs w:val="20"/>
                <w:color w:val="auto"/>
              </w:rPr>
            </w:pPr>
            <w:r>
              <w:rPr>
                <w:rFonts w:ascii="Arial" w:cs="Arial" w:eastAsia="Arial" w:hAnsi="Arial"/>
                <w:sz w:val="14"/>
                <w:szCs w:val="14"/>
                <w:b w:val="1"/>
                <w:bCs w:val="1"/>
                <w:color w:val="000039"/>
              </w:rPr>
              <w:t>($)</w:t>
            </w:r>
          </w:p>
        </w:tc>
        <w:tc>
          <w:tcPr>
            <w:tcW w:w="800" w:type="dxa"/>
            <w:vAlign w:val="bottom"/>
            <w:tcBorders>
              <w:bottom w:val="single" w:sz="8" w:color="000039"/>
            </w:tcBorders>
            <w:gridSpan w:val="2"/>
          </w:tcPr>
          <w:p>
            <w:pPr>
              <w:jc w:val="right"/>
              <w:spacing w:after="0"/>
              <w:rPr>
                <w:sz w:val="20"/>
                <w:szCs w:val="20"/>
                <w:color w:val="auto"/>
              </w:rPr>
            </w:pPr>
            <w:r>
              <w:rPr>
                <w:rFonts w:ascii="Arial" w:cs="Arial" w:eastAsia="Arial" w:hAnsi="Arial"/>
                <w:sz w:val="14"/>
                <w:szCs w:val="14"/>
                <w:b w:val="1"/>
                <w:bCs w:val="1"/>
                <w:color w:val="000039"/>
              </w:rPr>
              <w:t>(#)</w:t>
            </w:r>
          </w:p>
        </w:tc>
        <w:tc>
          <w:tcPr>
            <w:tcW w:w="76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w:t>
            </w:r>
          </w:p>
        </w:tc>
        <w:tc>
          <w:tcPr>
            <w:tcW w:w="160" w:type="dxa"/>
            <w:vAlign w:val="bottom"/>
            <w:tcBorders>
              <w:bottom w:val="single" w:sz="8" w:color="000039"/>
            </w:tcBorders>
          </w:tcPr>
          <w:p>
            <w:pPr>
              <w:spacing w:after="0"/>
              <w:rPr>
                <w:sz w:val="15"/>
                <w:szCs w:val="15"/>
                <w:color w:val="auto"/>
              </w:rPr>
            </w:pPr>
          </w:p>
        </w:tc>
        <w:tc>
          <w:tcPr>
            <w:tcW w:w="72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w:t>
            </w:r>
          </w:p>
        </w:tc>
        <w:tc>
          <w:tcPr>
            <w:tcW w:w="90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w:t>
            </w:r>
          </w:p>
        </w:tc>
        <w:tc>
          <w:tcPr>
            <w:tcW w:w="140" w:type="dxa"/>
            <w:vAlign w:val="bottom"/>
            <w:tcBorders>
              <w:bottom w:val="single" w:sz="8" w:color="000039"/>
            </w:tcBorders>
          </w:tcPr>
          <w:p>
            <w:pPr>
              <w:spacing w:after="0"/>
              <w:rPr>
                <w:sz w:val="15"/>
                <w:szCs w:val="15"/>
                <w:color w:val="auto"/>
              </w:rPr>
            </w:pPr>
          </w:p>
        </w:tc>
        <w:tc>
          <w:tcPr>
            <w:tcW w:w="68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w:t>
            </w:r>
          </w:p>
        </w:tc>
        <w:tc>
          <w:tcPr>
            <w:tcW w:w="102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w:t>
            </w:r>
          </w:p>
        </w:tc>
        <w:tc>
          <w:tcPr>
            <w:tcW w:w="180" w:type="dxa"/>
            <w:vAlign w:val="bottom"/>
            <w:tcBorders>
              <w:bottom w:val="single" w:sz="8" w:color="000039"/>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320" w:type="dxa"/>
            <w:vAlign w:val="bottom"/>
            <w:shd w:val="clear" w:color="auto" w:fill="D9D9D9"/>
          </w:tcPr>
          <w:p>
            <w:pPr>
              <w:ind w:left="120"/>
              <w:spacing w:after="0" w:line="151" w:lineRule="exact"/>
              <w:rPr>
                <w:sz w:val="20"/>
                <w:szCs w:val="20"/>
                <w:color w:val="auto"/>
              </w:rPr>
            </w:pPr>
            <w:r>
              <w:rPr>
                <w:rFonts w:ascii="Arial" w:cs="Arial" w:eastAsia="Arial" w:hAnsi="Arial"/>
                <w:sz w:val="14"/>
                <w:szCs w:val="14"/>
                <w:color w:val="auto"/>
              </w:rPr>
              <w:t>R. Michael</w:t>
            </w:r>
          </w:p>
        </w:tc>
        <w:tc>
          <w:tcPr>
            <w:tcW w:w="120" w:type="dxa"/>
            <w:vAlign w:val="bottom"/>
            <w:shd w:val="clear" w:color="auto" w:fill="D9D9D9"/>
          </w:tcPr>
          <w:p>
            <w:pPr>
              <w:spacing w:after="0"/>
              <w:rPr>
                <w:sz w:val="13"/>
                <w:szCs w:val="13"/>
                <w:color w:val="auto"/>
              </w:rPr>
            </w:pPr>
          </w:p>
        </w:tc>
        <w:tc>
          <w:tcPr>
            <w:tcW w:w="7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shd w:val="clear" w:color="auto" w:fill="D9D9D9"/>
          </w:tcPr>
          <w:p>
            <w:pPr>
              <w:spacing w:after="0"/>
              <w:rPr>
                <w:sz w:val="13"/>
                <w:szCs w:val="13"/>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9"/>
                <w:szCs w:val="9"/>
                <w:color w:val="auto"/>
              </w:rPr>
              <w:t>(1)</w:t>
            </w:r>
          </w:p>
        </w:tc>
        <w:tc>
          <w:tcPr>
            <w:tcW w:w="80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$ 2,805,000</w:t>
            </w:r>
          </w:p>
        </w:tc>
        <w:tc>
          <w:tcPr>
            <w:tcW w:w="900" w:type="dxa"/>
            <w:vAlign w:val="bottom"/>
            <w:shd w:val="clear" w:color="auto" w:fill="D9D9D9"/>
          </w:tcPr>
          <w:p>
            <w:pPr>
              <w:jc w:val="right"/>
              <w:ind w:right="50"/>
              <w:spacing w:after="0" w:line="151" w:lineRule="exact"/>
              <w:rPr>
                <w:sz w:val="20"/>
                <w:szCs w:val="20"/>
                <w:color w:val="auto"/>
              </w:rPr>
            </w:pPr>
            <w:r>
              <w:rPr>
                <w:rFonts w:ascii="Arial" w:cs="Arial" w:eastAsia="Arial" w:hAnsi="Arial"/>
                <w:sz w:val="14"/>
                <w:szCs w:val="14"/>
                <w:color w:val="auto"/>
              </w:rPr>
              <w:t>$ 5,610,000</w:t>
            </w:r>
          </w:p>
        </w:tc>
        <w:tc>
          <w:tcPr>
            <w:tcW w:w="80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12,444</w:t>
            </w:r>
          </w:p>
        </w:tc>
        <w:tc>
          <w:tcPr>
            <w:tcW w:w="76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33,184</w:t>
            </w:r>
          </w:p>
        </w:tc>
        <w:tc>
          <w:tcPr>
            <w:tcW w:w="160" w:type="dxa"/>
            <w:vAlign w:val="bottom"/>
            <w:vMerge w:val="restart"/>
            <w:shd w:val="clear" w:color="auto" w:fill="D9D9D9"/>
          </w:tcPr>
          <w:p>
            <w:pPr>
              <w:jc w:val="right"/>
              <w:spacing w:after="0"/>
              <w:rPr>
                <w:sz w:val="20"/>
                <w:szCs w:val="20"/>
                <w:color w:val="auto"/>
              </w:rPr>
            </w:pPr>
            <w:r>
              <w:rPr>
                <w:rFonts w:ascii="Arial" w:cs="Arial" w:eastAsia="Arial" w:hAnsi="Arial"/>
                <w:sz w:val="9"/>
                <w:szCs w:val="9"/>
                <w:color w:val="auto"/>
                <w:w w:val="90"/>
              </w:rPr>
              <w:t>(2)</w:t>
            </w:r>
          </w:p>
        </w:tc>
        <w:tc>
          <w:tcPr>
            <w:tcW w:w="72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82,960</w:t>
            </w:r>
          </w:p>
        </w:tc>
        <w:tc>
          <w:tcPr>
            <w:tcW w:w="90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680" w:type="dxa"/>
            <w:vAlign w:val="bottom"/>
            <w:shd w:val="clear" w:color="auto" w:fill="D9D9D9"/>
          </w:tcPr>
          <w:p>
            <w:pPr>
              <w:spacing w:after="0"/>
              <w:rPr>
                <w:sz w:val="13"/>
                <w:szCs w:val="13"/>
                <w:color w:val="auto"/>
              </w:rPr>
            </w:pPr>
          </w:p>
        </w:tc>
        <w:tc>
          <w:tcPr>
            <w:tcW w:w="1200" w:type="dxa"/>
            <w:vAlign w:val="bottom"/>
            <w:gridSpan w:val="2"/>
            <w:vMerge w:val="restart"/>
            <w:shd w:val="clear" w:color="auto" w:fill="D9D9D9"/>
          </w:tcPr>
          <w:p>
            <w:pPr>
              <w:jc w:val="right"/>
              <w:ind w:right="15"/>
              <w:spacing w:after="0"/>
              <w:rPr>
                <w:sz w:val="20"/>
                <w:szCs w:val="20"/>
                <w:color w:val="auto"/>
              </w:rPr>
            </w:pPr>
            <w:r>
              <w:rPr>
                <w:rFonts w:ascii="Arial" w:cs="Arial" w:eastAsia="Arial" w:hAnsi="Arial"/>
                <w:sz w:val="14"/>
                <w:szCs w:val="14"/>
                <w:color w:val="auto"/>
              </w:rPr>
              <w:t xml:space="preserve">$   6,868,756 </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147"/>
        </w:trPr>
        <w:tc>
          <w:tcPr>
            <w:tcW w:w="13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80" w:type="dxa"/>
            <w:vAlign w:val="bottom"/>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800" w:type="dxa"/>
            <w:vAlign w:val="bottom"/>
            <w:gridSpan w:val="2"/>
            <w:vMerge w:val="continue"/>
            <w:shd w:val="clear" w:color="auto" w:fill="D9D9D9"/>
          </w:tcPr>
          <w:p>
            <w:pPr>
              <w:spacing w:after="0"/>
              <w:rPr>
                <w:sz w:val="12"/>
                <w:szCs w:val="12"/>
                <w:color w:val="auto"/>
              </w:rPr>
            </w:pPr>
          </w:p>
        </w:tc>
        <w:tc>
          <w:tcPr>
            <w:tcW w:w="760" w:type="dxa"/>
            <w:vAlign w:val="bottom"/>
            <w:vMerge w:val="continue"/>
            <w:shd w:val="clear" w:color="auto" w:fill="D9D9D9"/>
          </w:tcPr>
          <w:p>
            <w:pPr>
              <w:spacing w:after="0"/>
              <w:rPr>
                <w:sz w:val="12"/>
                <w:szCs w:val="12"/>
                <w:color w:val="auto"/>
              </w:rPr>
            </w:pPr>
          </w:p>
        </w:tc>
        <w:tc>
          <w:tcPr>
            <w:tcW w:w="160" w:type="dxa"/>
            <w:vAlign w:val="bottom"/>
            <w:vMerge w:val="continue"/>
            <w:shd w:val="clear" w:color="auto" w:fill="D9D9D9"/>
          </w:tcPr>
          <w:p>
            <w:pPr>
              <w:spacing w:after="0"/>
              <w:rPr>
                <w:sz w:val="12"/>
                <w:szCs w:val="12"/>
                <w:color w:val="auto"/>
              </w:rPr>
            </w:pPr>
          </w:p>
        </w:tc>
        <w:tc>
          <w:tcPr>
            <w:tcW w:w="720" w:type="dxa"/>
            <w:vAlign w:val="bottom"/>
            <w:vMerge w:val="continue"/>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1200" w:type="dxa"/>
            <w:vAlign w:val="bottom"/>
            <w:gridSpan w:val="2"/>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2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shd w:val="clear" w:color="auto" w:fill="D9D9D9"/>
          </w:tcPr>
          <w:p>
            <w:pPr>
              <w:spacing w:after="0"/>
              <w:rPr>
                <w:sz w:val="13"/>
                <w:szCs w:val="13"/>
                <w:color w:val="auto"/>
              </w:rPr>
            </w:pPr>
          </w:p>
        </w:tc>
        <w:tc>
          <w:tcPr>
            <w:tcW w:w="72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8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16,592</w:t>
            </w: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33,184</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w w:val="90"/>
              </w:rPr>
              <w:t>(3)</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66,368</w:t>
            </w:r>
          </w:p>
        </w:tc>
        <w:tc>
          <w:tcPr>
            <w:tcW w:w="90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68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6,399,700</w:t>
            </w:r>
          </w:p>
        </w:tc>
        <w:tc>
          <w:tcPr>
            <w:tcW w:w="18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75"/>
        </w:trPr>
        <w:tc>
          <w:tcPr>
            <w:tcW w:w="132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800" w:type="dxa"/>
            <w:vAlign w:val="bottom"/>
            <w:shd w:val="clear" w:color="auto" w:fill="D9D9D9"/>
          </w:tcPr>
          <w:p>
            <w:pPr>
              <w:spacing w:after="0"/>
              <w:rPr>
                <w:sz w:val="15"/>
                <w:szCs w:val="15"/>
                <w:color w:val="auto"/>
              </w:rPr>
            </w:pPr>
          </w:p>
        </w:tc>
        <w:tc>
          <w:tcPr>
            <w:tcW w:w="90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83,333</w:t>
            </w: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w w:val="90"/>
              </w:rPr>
              <w:t>(5)</w:t>
            </w: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$ 192.86</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3,199,154</w:t>
            </w:r>
          </w:p>
        </w:tc>
        <w:tc>
          <w:tcPr>
            <w:tcW w:w="18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r>
        <w:trPr>
          <w:trHeight w:val="121"/>
        </w:trPr>
        <w:tc>
          <w:tcPr>
            <w:tcW w:w="1320" w:type="dxa"/>
            <w:vAlign w:val="bottom"/>
            <w:vMerge w:val="restart"/>
          </w:tcPr>
          <w:p>
            <w:pPr>
              <w:ind w:left="120"/>
              <w:spacing w:after="0"/>
              <w:rPr>
                <w:sz w:val="20"/>
                <w:szCs w:val="20"/>
                <w:color w:val="auto"/>
              </w:rPr>
            </w:pPr>
            <w:r>
              <w:rPr>
                <w:rFonts w:ascii="Arial" w:cs="Arial" w:eastAsia="Arial" w:hAnsi="Arial"/>
                <w:sz w:val="14"/>
                <w:szCs w:val="14"/>
                <w:color w:val="auto"/>
              </w:rPr>
              <w:t>S. Reents</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1,359,600</w:t>
            </w: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2,719,200</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4,083</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10,888</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w w:val="90"/>
              </w:rPr>
              <w:t>(2)</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27,220</w:t>
            </w: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2,253,707</w:t>
            </w:r>
          </w:p>
        </w:tc>
        <w:tc>
          <w:tcPr>
            <w:tcW w:w="180" w:type="dxa"/>
            <w:vAlign w:val="bottom"/>
            <w:vMerge w:val="restart"/>
          </w:tcPr>
          <w:p>
            <w:pPr>
              <w:jc w:val="right"/>
              <w:ind w:right="15"/>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5,444</w:t>
            </w:r>
          </w:p>
        </w:tc>
        <w:tc>
          <w:tcPr>
            <w:tcW w:w="760" w:type="dxa"/>
            <w:vAlign w:val="bottom"/>
          </w:tcPr>
          <w:p>
            <w:pPr>
              <w:jc w:val="right"/>
              <w:spacing w:after="0"/>
              <w:rPr>
                <w:sz w:val="20"/>
                <w:szCs w:val="20"/>
                <w:color w:val="auto"/>
              </w:rPr>
            </w:pPr>
            <w:r>
              <w:rPr>
                <w:rFonts w:ascii="Arial" w:cs="Arial" w:eastAsia="Arial" w:hAnsi="Arial"/>
                <w:sz w:val="14"/>
                <w:szCs w:val="14"/>
                <w:color w:val="auto"/>
              </w:rPr>
              <w:t>10,888</w:t>
            </w:r>
          </w:p>
        </w:tc>
        <w:tc>
          <w:tcPr>
            <w:tcW w:w="160" w:type="dxa"/>
            <w:vAlign w:val="bottom"/>
          </w:tcPr>
          <w:p>
            <w:pPr>
              <w:jc w:val="right"/>
              <w:spacing w:after="0"/>
              <w:rPr>
                <w:sz w:val="20"/>
                <w:szCs w:val="20"/>
                <w:color w:val="auto"/>
              </w:rPr>
            </w:pPr>
            <w:r>
              <w:rPr>
                <w:rFonts w:ascii="Arial" w:cs="Arial" w:eastAsia="Arial" w:hAnsi="Arial"/>
                <w:sz w:val="9"/>
                <w:szCs w:val="9"/>
                <w:color w:val="auto"/>
                <w:w w:val="90"/>
              </w:rPr>
              <w:t>(3)</w:t>
            </w:r>
          </w:p>
        </w:tc>
        <w:tc>
          <w:tcPr>
            <w:tcW w:w="720" w:type="dxa"/>
            <w:vAlign w:val="bottom"/>
          </w:tcPr>
          <w:p>
            <w:pPr>
              <w:jc w:val="right"/>
              <w:spacing w:after="0"/>
              <w:rPr>
                <w:sz w:val="20"/>
                <w:szCs w:val="20"/>
                <w:color w:val="auto"/>
              </w:rPr>
            </w:pPr>
            <w:r>
              <w:rPr>
                <w:rFonts w:ascii="Arial" w:cs="Arial" w:eastAsia="Arial" w:hAnsi="Arial"/>
                <w:sz w:val="14"/>
                <w:szCs w:val="14"/>
                <w:color w:val="auto"/>
              </w:rPr>
              <w:t>21,776</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2,099,805</w:t>
            </w:r>
          </w:p>
        </w:tc>
        <w:tc>
          <w:tcPr>
            <w:tcW w:w="180" w:type="dxa"/>
            <w:vAlign w:val="bottom"/>
          </w:tcPr>
          <w:p>
            <w:pPr>
              <w:jc w:val="right"/>
              <w:ind w:right="15"/>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27,343</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680" w:type="dxa"/>
            <w:vAlign w:val="bottom"/>
          </w:tcPr>
          <w:p>
            <w:pPr>
              <w:jc w:val="right"/>
              <w:spacing w:after="0"/>
              <w:rPr>
                <w:sz w:val="20"/>
                <w:szCs w:val="20"/>
                <w:color w:val="auto"/>
              </w:rPr>
            </w:pPr>
            <w:r>
              <w:rPr>
                <w:rFonts w:ascii="Arial" w:cs="Arial" w:eastAsia="Arial" w:hAnsi="Arial"/>
                <w:sz w:val="14"/>
                <w:szCs w:val="14"/>
                <w:color w:val="auto"/>
              </w:rPr>
              <w:t>192.86</w:t>
            </w:r>
          </w:p>
        </w:tc>
        <w:tc>
          <w:tcPr>
            <w:tcW w:w="1020" w:type="dxa"/>
            <w:vAlign w:val="bottom"/>
          </w:tcPr>
          <w:p>
            <w:pPr>
              <w:jc w:val="right"/>
              <w:spacing w:after="0"/>
              <w:rPr>
                <w:sz w:val="20"/>
                <w:szCs w:val="20"/>
                <w:color w:val="auto"/>
              </w:rPr>
            </w:pPr>
            <w:r>
              <w:rPr>
                <w:rFonts w:ascii="Arial" w:cs="Arial" w:eastAsia="Arial" w:hAnsi="Arial"/>
                <w:sz w:val="14"/>
                <w:szCs w:val="14"/>
                <w:color w:val="auto"/>
              </w:rPr>
              <w:t>1,049,698</w:t>
            </w:r>
          </w:p>
        </w:tc>
        <w:tc>
          <w:tcPr>
            <w:tcW w:w="180" w:type="dxa"/>
            <w:vAlign w:val="bottom"/>
          </w:tcPr>
          <w:p>
            <w:pPr>
              <w:jc w:val="right"/>
              <w:ind w:right="15"/>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r>
        <w:trPr>
          <w:trHeight w:val="121"/>
        </w:trPr>
        <w:tc>
          <w:tcPr>
            <w:tcW w:w="1320" w:type="dxa"/>
            <w:vAlign w:val="bottom"/>
            <w:vMerge w:val="restart"/>
            <w:shd w:val="clear" w:color="auto" w:fill="D9D9D9"/>
          </w:tcPr>
          <w:p>
            <w:pPr>
              <w:ind w:left="120"/>
              <w:spacing w:after="0"/>
              <w:rPr>
                <w:sz w:val="20"/>
                <w:szCs w:val="20"/>
                <w:color w:val="auto"/>
              </w:rPr>
            </w:pPr>
            <w:r>
              <w:rPr>
                <w:rFonts w:ascii="Arial" w:cs="Arial" w:eastAsia="Arial" w:hAnsi="Arial"/>
                <w:sz w:val="14"/>
                <w:szCs w:val="14"/>
                <w:color w:val="auto"/>
              </w:rPr>
              <w:t>J. Stewart</w:t>
            </w:r>
          </w:p>
        </w:tc>
        <w:tc>
          <w:tcPr>
            <w:tcW w:w="120" w:type="dxa"/>
            <w:vAlign w:val="bottom"/>
            <w:shd w:val="clear" w:color="auto" w:fill="D9D9D9"/>
          </w:tcPr>
          <w:p>
            <w:pPr>
              <w:spacing w:after="0"/>
              <w:rPr>
                <w:sz w:val="10"/>
                <w:szCs w:val="10"/>
                <w:color w:val="auto"/>
              </w:rPr>
            </w:pPr>
          </w:p>
        </w:tc>
        <w:tc>
          <w:tcPr>
            <w:tcW w:w="7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9"/>
                <w:szCs w:val="9"/>
                <w:color w:val="auto"/>
              </w:rPr>
              <w:t>(1)</w:t>
            </w:r>
          </w:p>
        </w:tc>
        <w:tc>
          <w:tcPr>
            <w:tcW w:w="80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1,591,350</w:t>
            </w:r>
          </w:p>
        </w:tc>
        <w:tc>
          <w:tcPr>
            <w:tcW w:w="900" w:type="dxa"/>
            <w:vAlign w:val="bottom"/>
            <w:vMerge w:val="restart"/>
            <w:shd w:val="clear" w:color="auto" w:fill="D9D9D9"/>
          </w:tcPr>
          <w:p>
            <w:pPr>
              <w:jc w:val="right"/>
              <w:ind w:right="50"/>
              <w:spacing w:after="0"/>
              <w:rPr>
                <w:sz w:val="20"/>
                <w:szCs w:val="20"/>
                <w:color w:val="auto"/>
              </w:rPr>
            </w:pPr>
            <w:r>
              <w:rPr>
                <w:rFonts w:ascii="Arial" w:cs="Arial" w:eastAsia="Arial" w:hAnsi="Arial"/>
                <w:sz w:val="14"/>
                <w:szCs w:val="14"/>
                <w:color w:val="auto"/>
              </w:rPr>
              <w:t>3,182,700</w:t>
            </w:r>
          </w:p>
        </w:tc>
        <w:tc>
          <w:tcPr>
            <w:tcW w:w="8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7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9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102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320" w:type="dxa"/>
            <w:vAlign w:val="bottom"/>
            <w:vMerge w:val="continue"/>
            <w:shd w:val="clear" w:color="auto" w:fill="D9D9D9"/>
          </w:tcPr>
          <w:p>
            <w:pPr>
              <w:spacing w:after="0"/>
              <w:rPr>
                <w:sz w:val="3"/>
                <w:szCs w:val="3"/>
                <w:color w:val="auto"/>
              </w:rPr>
            </w:pPr>
          </w:p>
        </w:tc>
        <w:tc>
          <w:tcPr>
            <w:tcW w:w="120" w:type="dxa"/>
            <w:vAlign w:val="bottom"/>
            <w:shd w:val="clear" w:color="auto" w:fill="D9D9D9"/>
          </w:tcPr>
          <w:p>
            <w:pPr>
              <w:spacing w:after="0"/>
              <w:rPr>
                <w:sz w:val="3"/>
                <w:szCs w:val="3"/>
                <w:color w:val="auto"/>
              </w:rPr>
            </w:pPr>
          </w:p>
        </w:tc>
        <w:tc>
          <w:tcPr>
            <w:tcW w:w="78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720" w:type="dxa"/>
            <w:vAlign w:val="bottom"/>
            <w:shd w:val="clear" w:color="auto" w:fill="D9D9D9"/>
          </w:tcPr>
          <w:p>
            <w:pPr>
              <w:spacing w:after="0"/>
              <w:rPr>
                <w:sz w:val="3"/>
                <w:szCs w:val="3"/>
                <w:color w:val="auto"/>
              </w:rPr>
            </w:pPr>
          </w:p>
        </w:tc>
        <w:tc>
          <w:tcPr>
            <w:tcW w:w="800" w:type="dxa"/>
            <w:vAlign w:val="bottom"/>
            <w:vMerge w:val="continue"/>
            <w:shd w:val="clear" w:color="auto" w:fill="D9D9D9"/>
          </w:tcPr>
          <w:p>
            <w:pPr>
              <w:spacing w:after="0"/>
              <w:rPr>
                <w:sz w:val="3"/>
                <w:szCs w:val="3"/>
                <w:color w:val="auto"/>
              </w:rPr>
            </w:pPr>
          </w:p>
        </w:tc>
        <w:tc>
          <w:tcPr>
            <w:tcW w:w="900" w:type="dxa"/>
            <w:vAlign w:val="bottom"/>
            <w:vMerge w:val="continue"/>
            <w:shd w:val="clear" w:color="auto" w:fill="D9D9D9"/>
          </w:tcPr>
          <w:p>
            <w:pPr>
              <w:spacing w:after="0"/>
              <w:rPr>
                <w:sz w:val="3"/>
                <w:szCs w:val="3"/>
                <w:color w:val="auto"/>
              </w:rPr>
            </w:pPr>
          </w:p>
        </w:tc>
        <w:tc>
          <w:tcPr>
            <w:tcW w:w="80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5,055</w:t>
            </w:r>
          </w:p>
        </w:tc>
        <w:tc>
          <w:tcPr>
            <w:tcW w:w="76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13,481</w:t>
            </w:r>
          </w:p>
        </w:tc>
        <w:tc>
          <w:tcPr>
            <w:tcW w:w="160" w:type="dxa"/>
            <w:vAlign w:val="bottom"/>
            <w:vMerge w:val="restart"/>
            <w:shd w:val="clear" w:color="auto" w:fill="D9D9D9"/>
          </w:tcPr>
          <w:p>
            <w:pPr>
              <w:jc w:val="right"/>
              <w:spacing w:after="0"/>
              <w:rPr>
                <w:sz w:val="20"/>
                <w:szCs w:val="20"/>
                <w:color w:val="auto"/>
              </w:rPr>
            </w:pPr>
            <w:r>
              <w:rPr>
                <w:rFonts w:ascii="Arial" w:cs="Arial" w:eastAsia="Arial" w:hAnsi="Arial"/>
                <w:sz w:val="9"/>
                <w:szCs w:val="9"/>
                <w:color w:val="auto"/>
                <w:w w:val="90"/>
              </w:rPr>
              <w:t>(2)</w:t>
            </w:r>
          </w:p>
        </w:tc>
        <w:tc>
          <w:tcPr>
            <w:tcW w:w="72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33,702</w:t>
            </w:r>
          </w:p>
        </w:tc>
        <w:tc>
          <w:tcPr>
            <w:tcW w:w="900" w:type="dxa"/>
            <w:vAlign w:val="bottom"/>
            <w:shd w:val="clear" w:color="auto" w:fill="D9D9D9"/>
          </w:tcPr>
          <w:p>
            <w:pPr>
              <w:spacing w:after="0"/>
              <w:rPr>
                <w:sz w:val="3"/>
                <w:szCs w:val="3"/>
                <w:color w:val="auto"/>
              </w:rPr>
            </w:pPr>
          </w:p>
        </w:tc>
        <w:tc>
          <w:tcPr>
            <w:tcW w:w="140" w:type="dxa"/>
            <w:vAlign w:val="bottom"/>
            <w:shd w:val="clear" w:color="auto" w:fill="D9D9D9"/>
          </w:tcPr>
          <w:p>
            <w:pPr>
              <w:spacing w:after="0"/>
              <w:rPr>
                <w:sz w:val="3"/>
                <w:szCs w:val="3"/>
                <w:color w:val="auto"/>
              </w:rPr>
            </w:pPr>
          </w:p>
        </w:tc>
        <w:tc>
          <w:tcPr>
            <w:tcW w:w="680" w:type="dxa"/>
            <w:vAlign w:val="bottom"/>
            <w:shd w:val="clear" w:color="auto" w:fill="D9D9D9"/>
          </w:tcPr>
          <w:p>
            <w:pPr>
              <w:spacing w:after="0"/>
              <w:rPr>
                <w:sz w:val="3"/>
                <w:szCs w:val="3"/>
                <w:color w:val="auto"/>
              </w:rPr>
            </w:pPr>
          </w:p>
        </w:tc>
        <w:tc>
          <w:tcPr>
            <w:tcW w:w="102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2,790,432</w:t>
            </w:r>
          </w:p>
        </w:tc>
        <w:tc>
          <w:tcPr>
            <w:tcW w:w="180" w:type="dxa"/>
            <w:vAlign w:val="bottom"/>
            <w:vMerge w:val="restart"/>
            <w:shd w:val="clear" w:color="auto" w:fill="D9D9D9"/>
          </w:tcPr>
          <w:p>
            <w:pPr>
              <w:jc w:val="right"/>
              <w:ind w:right="15"/>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line="20" w:lineRule="exact"/>
              <w:rPr>
                <w:sz w:val="1"/>
                <w:szCs w:val="1"/>
                <w:color w:val="auto"/>
              </w:rPr>
            </w:pPr>
          </w:p>
        </w:tc>
      </w:tr>
      <w:tr>
        <w:trPr>
          <w:trHeight w:val="147"/>
        </w:trPr>
        <w:tc>
          <w:tcPr>
            <w:tcW w:w="13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80" w:type="dxa"/>
            <w:vAlign w:val="bottom"/>
            <w:shd w:val="clear" w:color="auto" w:fill="D9D9D9"/>
          </w:tcPr>
          <w:p>
            <w:pPr>
              <w:jc w:val="right"/>
              <w:spacing w:after="0" w:line="147" w:lineRule="exact"/>
              <w:rPr>
                <w:sz w:val="20"/>
                <w:szCs w:val="20"/>
                <w:color w:val="auto"/>
              </w:rPr>
            </w:pPr>
            <w:r>
              <w:rPr>
                <w:rFonts w:ascii="Arial" w:cs="Arial" w:eastAsia="Arial" w:hAnsi="Arial"/>
                <w:sz w:val="14"/>
                <w:szCs w:val="14"/>
                <w:color w:val="auto"/>
              </w:rPr>
              <w:t>2/13/2025</w:t>
            </w:r>
          </w:p>
        </w:tc>
        <w:tc>
          <w:tcPr>
            <w:tcW w:w="8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800" w:type="dxa"/>
            <w:vAlign w:val="bottom"/>
            <w:gridSpan w:val="2"/>
            <w:vMerge w:val="continue"/>
            <w:shd w:val="clear" w:color="auto" w:fill="D9D9D9"/>
          </w:tcPr>
          <w:p>
            <w:pPr>
              <w:spacing w:after="0"/>
              <w:rPr>
                <w:sz w:val="12"/>
                <w:szCs w:val="12"/>
                <w:color w:val="auto"/>
              </w:rPr>
            </w:pPr>
          </w:p>
        </w:tc>
        <w:tc>
          <w:tcPr>
            <w:tcW w:w="760" w:type="dxa"/>
            <w:vAlign w:val="bottom"/>
            <w:vMerge w:val="continue"/>
            <w:shd w:val="clear" w:color="auto" w:fill="D9D9D9"/>
          </w:tcPr>
          <w:p>
            <w:pPr>
              <w:spacing w:after="0"/>
              <w:rPr>
                <w:sz w:val="12"/>
                <w:szCs w:val="12"/>
                <w:color w:val="auto"/>
              </w:rPr>
            </w:pPr>
          </w:p>
        </w:tc>
        <w:tc>
          <w:tcPr>
            <w:tcW w:w="160" w:type="dxa"/>
            <w:vAlign w:val="bottom"/>
            <w:vMerge w:val="continue"/>
            <w:shd w:val="clear" w:color="auto" w:fill="D9D9D9"/>
          </w:tcPr>
          <w:p>
            <w:pPr>
              <w:spacing w:after="0"/>
              <w:rPr>
                <w:sz w:val="12"/>
                <w:szCs w:val="12"/>
                <w:color w:val="auto"/>
              </w:rPr>
            </w:pPr>
          </w:p>
        </w:tc>
        <w:tc>
          <w:tcPr>
            <w:tcW w:w="720" w:type="dxa"/>
            <w:vAlign w:val="bottom"/>
            <w:vMerge w:val="continue"/>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1020" w:type="dxa"/>
            <w:vAlign w:val="bottom"/>
            <w:vMerge w:val="continue"/>
            <w:shd w:val="clear" w:color="auto" w:fill="D9D9D9"/>
          </w:tcPr>
          <w:p>
            <w:pPr>
              <w:spacing w:after="0"/>
              <w:rPr>
                <w:sz w:val="12"/>
                <w:szCs w:val="12"/>
                <w:color w:val="auto"/>
              </w:rPr>
            </w:pPr>
          </w:p>
        </w:tc>
        <w:tc>
          <w:tcPr>
            <w:tcW w:w="18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2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shd w:val="clear" w:color="auto" w:fill="D9D9D9"/>
          </w:tcPr>
          <w:p>
            <w:pPr>
              <w:spacing w:after="0"/>
              <w:rPr>
                <w:sz w:val="13"/>
                <w:szCs w:val="13"/>
                <w:color w:val="auto"/>
              </w:rPr>
            </w:pPr>
          </w:p>
        </w:tc>
        <w:tc>
          <w:tcPr>
            <w:tcW w:w="72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8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6,740</w:t>
            </w: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13,481</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w w:val="90"/>
              </w:rPr>
              <w:t>(3)</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26,962</w:t>
            </w:r>
          </w:p>
        </w:tc>
        <w:tc>
          <w:tcPr>
            <w:tcW w:w="90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68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2,599,878</w:t>
            </w:r>
          </w:p>
        </w:tc>
        <w:tc>
          <w:tcPr>
            <w:tcW w:w="18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76"/>
        </w:trPr>
        <w:tc>
          <w:tcPr>
            <w:tcW w:w="132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800" w:type="dxa"/>
            <w:vAlign w:val="bottom"/>
            <w:shd w:val="clear" w:color="auto" w:fill="D9D9D9"/>
          </w:tcPr>
          <w:p>
            <w:pPr>
              <w:spacing w:after="0"/>
              <w:rPr>
                <w:sz w:val="15"/>
                <w:szCs w:val="15"/>
                <w:color w:val="auto"/>
              </w:rPr>
            </w:pPr>
          </w:p>
        </w:tc>
        <w:tc>
          <w:tcPr>
            <w:tcW w:w="90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33,854</w:t>
            </w: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w w:val="90"/>
              </w:rPr>
              <w:t>(5)</w:t>
            </w: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192.86</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1,299,655</w:t>
            </w:r>
          </w:p>
        </w:tc>
        <w:tc>
          <w:tcPr>
            <w:tcW w:w="18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r>
        <w:trPr>
          <w:trHeight w:val="121"/>
        </w:trPr>
        <w:tc>
          <w:tcPr>
            <w:tcW w:w="1320" w:type="dxa"/>
            <w:vAlign w:val="bottom"/>
            <w:vMerge w:val="restart"/>
          </w:tcPr>
          <w:p>
            <w:pPr>
              <w:ind w:left="120"/>
              <w:spacing w:after="0"/>
              <w:rPr>
                <w:sz w:val="20"/>
                <w:szCs w:val="20"/>
                <w:color w:val="auto"/>
              </w:rPr>
            </w:pPr>
            <w:r>
              <w:rPr>
                <w:rFonts w:ascii="Arial" w:cs="Arial" w:eastAsia="Arial" w:hAnsi="Arial"/>
                <w:sz w:val="14"/>
                <w:szCs w:val="14"/>
                <w:color w:val="auto"/>
              </w:rPr>
              <w:t>A. Saleki-Gerhardt</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1,273,080</w:t>
            </w: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2,546,160</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3,733</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9,955</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w w:val="90"/>
              </w:rPr>
              <w:t>(2)</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24,887</w:t>
            </w: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2,060,585</w:t>
            </w:r>
          </w:p>
        </w:tc>
        <w:tc>
          <w:tcPr>
            <w:tcW w:w="180" w:type="dxa"/>
            <w:vAlign w:val="bottom"/>
            <w:vMerge w:val="restart"/>
          </w:tcPr>
          <w:p>
            <w:pPr>
              <w:jc w:val="right"/>
              <w:ind w:right="15"/>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18"/>
        </w:trPr>
        <w:tc>
          <w:tcPr>
            <w:tcW w:w="13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4,977</w:t>
            </w:r>
          </w:p>
        </w:tc>
        <w:tc>
          <w:tcPr>
            <w:tcW w:w="760" w:type="dxa"/>
            <w:vAlign w:val="bottom"/>
          </w:tcPr>
          <w:p>
            <w:pPr>
              <w:jc w:val="right"/>
              <w:spacing w:after="0"/>
              <w:rPr>
                <w:sz w:val="20"/>
                <w:szCs w:val="20"/>
                <w:color w:val="auto"/>
              </w:rPr>
            </w:pPr>
            <w:r>
              <w:rPr>
                <w:rFonts w:ascii="Arial" w:cs="Arial" w:eastAsia="Arial" w:hAnsi="Arial"/>
                <w:sz w:val="14"/>
                <w:szCs w:val="14"/>
                <w:color w:val="auto"/>
              </w:rPr>
              <w:t>9,955</w:t>
            </w:r>
          </w:p>
        </w:tc>
        <w:tc>
          <w:tcPr>
            <w:tcW w:w="160" w:type="dxa"/>
            <w:vAlign w:val="bottom"/>
          </w:tcPr>
          <w:p>
            <w:pPr>
              <w:jc w:val="right"/>
              <w:spacing w:after="0"/>
              <w:rPr>
                <w:sz w:val="20"/>
                <w:szCs w:val="20"/>
                <w:color w:val="auto"/>
              </w:rPr>
            </w:pPr>
            <w:r>
              <w:rPr>
                <w:rFonts w:ascii="Arial" w:cs="Arial" w:eastAsia="Arial" w:hAnsi="Arial"/>
                <w:sz w:val="9"/>
                <w:szCs w:val="9"/>
                <w:color w:val="auto"/>
                <w:w w:val="90"/>
              </w:rPr>
              <w:t>(3)</w:t>
            </w:r>
          </w:p>
        </w:tc>
        <w:tc>
          <w:tcPr>
            <w:tcW w:w="720" w:type="dxa"/>
            <w:vAlign w:val="bottom"/>
          </w:tcPr>
          <w:p>
            <w:pPr>
              <w:jc w:val="right"/>
              <w:spacing w:after="0"/>
              <w:rPr>
                <w:sz w:val="20"/>
                <w:szCs w:val="20"/>
                <w:color w:val="auto"/>
              </w:rPr>
            </w:pPr>
            <w:r>
              <w:rPr>
                <w:rFonts w:ascii="Arial" w:cs="Arial" w:eastAsia="Arial" w:hAnsi="Arial"/>
                <w:sz w:val="14"/>
                <w:szCs w:val="14"/>
                <w:color w:val="auto"/>
              </w:rPr>
              <w:t>19,910</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1,919,872</w:t>
            </w:r>
          </w:p>
        </w:tc>
        <w:tc>
          <w:tcPr>
            <w:tcW w:w="180" w:type="dxa"/>
            <w:vAlign w:val="bottom"/>
          </w:tcPr>
          <w:p>
            <w:pPr>
              <w:jc w:val="right"/>
              <w:ind w:right="15"/>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680" w:type="dxa"/>
            <w:vAlign w:val="bottom"/>
          </w:tcPr>
          <w:p>
            <w:pPr>
              <w:jc w:val="right"/>
              <w:spacing w:after="0"/>
              <w:rPr>
                <w:sz w:val="20"/>
                <w:szCs w:val="20"/>
                <w:color w:val="auto"/>
              </w:rPr>
            </w:pPr>
            <w:r>
              <w:rPr>
                <w:rFonts w:ascii="Arial" w:cs="Arial" w:eastAsia="Arial" w:hAnsi="Arial"/>
                <w:sz w:val="14"/>
                <w:szCs w:val="14"/>
                <w:color w:val="auto"/>
              </w:rPr>
              <w:t>192.86</w:t>
            </w:r>
          </w:p>
        </w:tc>
        <w:tc>
          <w:tcPr>
            <w:tcW w:w="1020" w:type="dxa"/>
            <w:vAlign w:val="bottom"/>
          </w:tcPr>
          <w:p>
            <w:pPr>
              <w:jc w:val="right"/>
              <w:spacing w:after="0"/>
              <w:rPr>
                <w:sz w:val="20"/>
                <w:szCs w:val="20"/>
                <w:color w:val="auto"/>
              </w:rPr>
            </w:pPr>
            <w:r>
              <w:rPr>
                <w:rFonts w:ascii="Arial" w:cs="Arial" w:eastAsia="Arial" w:hAnsi="Arial"/>
                <w:sz w:val="14"/>
                <w:szCs w:val="14"/>
                <w:color w:val="auto"/>
              </w:rPr>
              <w:t>959,750</w:t>
            </w:r>
          </w:p>
        </w:tc>
        <w:tc>
          <w:tcPr>
            <w:tcW w:w="180" w:type="dxa"/>
            <w:vAlign w:val="bottom"/>
          </w:tcPr>
          <w:p>
            <w:pPr>
              <w:jc w:val="right"/>
              <w:ind w:right="15"/>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r>
        <w:trPr>
          <w:trHeight w:val="121"/>
        </w:trPr>
        <w:tc>
          <w:tcPr>
            <w:tcW w:w="1320" w:type="dxa"/>
            <w:vAlign w:val="bottom"/>
            <w:vMerge w:val="restart"/>
            <w:shd w:val="clear" w:color="auto" w:fill="D9D9D9"/>
          </w:tcPr>
          <w:p>
            <w:pPr>
              <w:ind w:left="120"/>
              <w:spacing w:after="0"/>
              <w:rPr>
                <w:sz w:val="20"/>
                <w:szCs w:val="20"/>
                <w:color w:val="auto"/>
              </w:rPr>
            </w:pPr>
            <w:r>
              <w:rPr>
                <w:rFonts w:ascii="Arial" w:cs="Arial" w:eastAsia="Arial" w:hAnsi="Arial"/>
                <w:sz w:val="14"/>
                <w:szCs w:val="14"/>
                <w:color w:val="auto"/>
              </w:rPr>
              <w:t>R. Thakkar</w:t>
            </w:r>
          </w:p>
        </w:tc>
        <w:tc>
          <w:tcPr>
            <w:tcW w:w="120" w:type="dxa"/>
            <w:vAlign w:val="bottom"/>
            <w:shd w:val="clear" w:color="auto" w:fill="D9D9D9"/>
          </w:tcPr>
          <w:p>
            <w:pPr>
              <w:spacing w:after="0"/>
              <w:rPr>
                <w:sz w:val="10"/>
                <w:szCs w:val="10"/>
                <w:color w:val="auto"/>
              </w:rPr>
            </w:pPr>
          </w:p>
        </w:tc>
        <w:tc>
          <w:tcPr>
            <w:tcW w:w="7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rPr>
                <w:sz w:val="20"/>
                <w:szCs w:val="20"/>
                <w:color w:val="auto"/>
              </w:rPr>
            </w:pPr>
            <w:r>
              <w:rPr>
                <w:rFonts w:ascii="Arial" w:cs="Arial" w:eastAsia="Arial" w:hAnsi="Arial"/>
                <w:sz w:val="9"/>
                <w:szCs w:val="9"/>
                <w:color w:val="auto"/>
              </w:rPr>
              <w:t>(1)</w:t>
            </w:r>
          </w:p>
        </w:tc>
        <w:tc>
          <w:tcPr>
            <w:tcW w:w="80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1,320,000</w:t>
            </w:r>
          </w:p>
        </w:tc>
        <w:tc>
          <w:tcPr>
            <w:tcW w:w="900" w:type="dxa"/>
            <w:vAlign w:val="bottom"/>
            <w:vMerge w:val="restart"/>
            <w:shd w:val="clear" w:color="auto" w:fill="D9D9D9"/>
          </w:tcPr>
          <w:p>
            <w:pPr>
              <w:jc w:val="right"/>
              <w:ind w:right="50"/>
              <w:spacing w:after="0"/>
              <w:rPr>
                <w:sz w:val="20"/>
                <w:szCs w:val="20"/>
                <w:color w:val="auto"/>
              </w:rPr>
            </w:pPr>
            <w:r>
              <w:rPr>
                <w:rFonts w:ascii="Arial" w:cs="Arial" w:eastAsia="Arial" w:hAnsi="Arial"/>
                <w:sz w:val="14"/>
                <w:szCs w:val="14"/>
                <w:color w:val="auto"/>
              </w:rPr>
              <w:t>2,640,000</w:t>
            </w:r>
          </w:p>
        </w:tc>
        <w:tc>
          <w:tcPr>
            <w:tcW w:w="8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7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9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102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320" w:type="dxa"/>
            <w:vAlign w:val="bottom"/>
            <w:vMerge w:val="continue"/>
            <w:shd w:val="clear" w:color="auto" w:fill="D9D9D9"/>
          </w:tcPr>
          <w:p>
            <w:pPr>
              <w:spacing w:after="0"/>
              <w:rPr>
                <w:sz w:val="3"/>
                <w:szCs w:val="3"/>
                <w:color w:val="auto"/>
              </w:rPr>
            </w:pPr>
          </w:p>
        </w:tc>
        <w:tc>
          <w:tcPr>
            <w:tcW w:w="120" w:type="dxa"/>
            <w:vAlign w:val="bottom"/>
            <w:shd w:val="clear" w:color="auto" w:fill="D9D9D9"/>
          </w:tcPr>
          <w:p>
            <w:pPr>
              <w:spacing w:after="0"/>
              <w:rPr>
                <w:sz w:val="3"/>
                <w:szCs w:val="3"/>
                <w:color w:val="auto"/>
              </w:rPr>
            </w:pPr>
          </w:p>
        </w:tc>
        <w:tc>
          <w:tcPr>
            <w:tcW w:w="7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shd w:val="clear" w:color="auto" w:fill="D9D9D9"/>
          </w:tcPr>
          <w:p>
            <w:pPr>
              <w:spacing w:after="0"/>
              <w:rPr>
                <w:sz w:val="3"/>
                <w:szCs w:val="3"/>
                <w:color w:val="auto"/>
              </w:rPr>
            </w:pPr>
          </w:p>
        </w:tc>
        <w:tc>
          <w:tcPr>
            <w:tcW w:w="720" w:type="dxa"/>
            <w:vAlign w:val="bottom"/>
            <w:shd w:val="clear" w:color="auto" w:fill="D9D9D9"/>
          </w:tcPr>
          <w:p>
            <w:pPr>
              <w:spacing w:after="0"/>
              <w:rPr>
                <w:sz w:val="3"/>
                <w:szCs w:val="3"/>
                <w:color w:val="auto"/>
              </w:rPr>
            </w:pPr>
          </w:p>
        </w:tc>
        <w:tc>
          <w:tcPr>
            <w:tcW w:w="800" w:type="dxa"/>
            <w:vAlign w:val="bottom"/>
            <w:vMerge w:val="continue"/>
            <w:shd w:val="clear" w:color="auto" w:fill="D9D9D9"/>
          </w:tcPr>
          <w:p>
            <w:pPr>
              <w:spacing w:after="0"/>
              <w:rPr>
                <w:sz w:val="3"/>
                <w:szCs w:val="3"/>
                <w:color w:val="auto"/>
              </w:rPr>
            </w:pPr>
          </w:p>
        </w:tc>
        <w:tc>
          <w:tcPr>
            <w:tcW w:w="900" w:type="dxa"/>
            <w:vAlign w:val="bottom"/>
            <w:vMerge w:val="continue"/>
            <w:shd w:val="clear" w:color="auto" w:fill="D9D9D9"/>
          </w:tcPr>
          <w:p>
            <w:pPr>
              <w:spacing w:after="0"/>
              <w:rPr>
                <w:sz w:val="3"/>
                <w:szCs w:val="3"/>
                <w:color w:val="auto"/>
              </w:rPr>
            </w:pPr>
          </w:p>
        </w:tc>
        <w:tc>
          <w:tcPr>
            <w:tcW w:w="80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3,733</w:t>
            </w:r>
          </w:p>
        </w:tc>
        <w:tc>
          <w:tcPr>
            <w:tcW w:w="76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9,955</w:t>
            </w:r>
          </w:p>
        </w:tc>
        <w:tc>
          <w:tcPr>
            <w:tcW w:w="160" w:type="dxa"/>
            <w:vAlign w:val="bottom"/>
            <w:vMerge w:val="restart"/>
            <w:shd w:val="clear" w:color="auto" w:fill="D9D9D9"/>
          </w:tcPr>
          <w:p>
            <w:pPr>
              <w:jc w:val="right"/>
              <w:spacing w:after="0"/>
              <w:rPr>
                <w:sz w:val="20"/>
                <w:szCs w:val="20"/>
                <w:color w:val="auto"/>
              </w:rPr>
            </w:pPr>
            <w:r>
              <w:rPr>
                <w:rFonts w:ascii="Arial" w:cs="Arial" w:eastAsia="Arial" w:hAnsi="Arial"/>
                <w:sz w:val="9"/>
                <w:szCs w:val="9"/>
                <w:color w:val="auto"/>
                <w:w w:val="90"/>
              </w:rPr>
              <w:t>(2)</w:t>
            </w:r>
          </w:p>
        </w:tc>
        <w:tc>
          <w:tcPr>
            <w:tcW w:w="72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24,887</w:t>
            </w:r>
          </w:p>
        </w:tc>
        <w:tc>
          <w:tcPr>
            <w:tcW w:w="900" w:type="dxa"/>
            <w:vAlign w:val="bottom"/>
            <w:shd w:val="clear" w:color="auto" w:fill="D9D9D9"/>
          </w:tcPr>
          <w:p>
            <w:pPr>
              <w:spacing w:after="0"/>
              <w:rPr>
                <w:sz w:val="3"/>
                <w:szCs w:val="3"/>
                <w:color w:val="auto"/>
              </w:rPr>
            </w:pPr>
          </w:p>
        </w:tc>
        <w:tc>
          <w:tcPr>
            <w:tcW w:w="140" w:type="dxa"/>
            <w:vAlign w:val="bottom"/>
            <w:shd w:val="clear" w:color="auto" w:fill="D9D9D9"/>
          </w:tcPr>
          <w:p>
            <w:pPr>
              <w:spacing w:after="0"/>
              <w:rPr>
                <w:sz w:val="3"/>
                <w:szCs w:val="3"/>
                <w:color w:val="auto"/>
              </w:rPr>
            </w:pPr>
          </w:p>
        </w:tc>
        <w:tc>
          <w:tcPr>
            <w:tcW w:w="680" w:type="dxa"/>
            <w:vAlign w:val="bottom"/>
            <w:shd w:val="clear" w:color="auto" w:fill="D9D9D9"/>
          </w:tcPr>
          <w:p>
            <w:pPr>
              <w:spacing w:after="0"/>
              <w:rPr>
                <w:sz w:val="3"/>
                <w:szCs w:val="3"/>
                <w:color w:val="auto"/>
              </w:rPr>
            </w:pPr>
          </w:p>
        </w:tc>
        <w:tc>
          <w:tcPr>
            <w:tcW w:w="102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2,060,585</w:t>
            </w:r>
          </w:p>
        </w:tc>
        <w:tc>
          <w:tcPr>
            <w:tcW w:w="180" w:type="dxa"/>
            <w:vAlign w:val="bottom"/>
            <w:vMerge w:val="restart"/>
            <w:shd w:val="clear" w:color="auto" w:fill="D9D9D9"/>
          </w:tcPr>
          <w:p>
            <w:pPr>
              <w:jc w:val="right"/>
              <w:ind w:right="15"/>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line="20" w:lineRule="exact"/>
              <w:rPr>
                <w:sz w:val="1"/>
                <w:szCs w:val="1"/>
                <w:color w:val="auto"/>
              </w:rPr>
            </w:pPr>
          </w:p>
        </w:tc>
      </w:tr>
      <w:tr>
        <w:trPr>
          <w:trHeight w:val="147"/>
        </w:trPr>
        <w:tc>
          <w:tcPr>
            <w:tcW w:w="13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80" w:type="dxa"/>
            <w:vAlign w:val="bottom"/>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800" w:type="dxa"/>
            <w:vAlign w:val="bottom"/>
            <w:gridSpan w:val="2"/>
            <w:vMerge w:val="continue"/>
            <w:shd w:val="clear" w:color="auto" w:fill="D9D9D9"/>
          </w:tcPr>
          <w:p>
            <w:pPr>
              <w:spacing w:after="0"/>
              <w:rPr>
                <w:sz w:val="12"/>
                <w:szCs w:val="12"/>
                <w:color w:val="auto"/>
              </w:rPr>
            </w:pPr>
          </w:p>
        </w:tc>
        <w:tc>
          <w:tcPr>
            <w:tcW w:w="760" w:type="dxa"/>
            <w:vAlign w:val="bottom"/>
            <w:vMerge w:val="continue"/>
            <w:shd w:val="clear" w:color="auto" w:fill="D9D9D9"/>
          </w:tcPr>
          <w:p>
            <w:pPr>
              <w:spacing w:after="0"/>
              <w:rPr>
                <w:sz w:val="12"/>
                <w:szCs w:val="12"/>
                <w:color w:val="auto"/>
              </w:rPr>
            </w:pPr>
          </w:p>
        </w:tc>
        <w:tc>
          <w:tcPr>
            <w:tcW w:w="160" w:type="dxa"/>
            <w:vAlign w:val="bottom"/>
            <w:vMerge w:val="continue"/>
            <w:shd w:val="clear" w:color="auto" w:fill="D9D9D9"/>
          </w:tcPr>
          <w:p>
            <w:pPr>
              <w:spacing w:after="0"/>
              <w:rPr>
                <w:sz w:val="12"/>
                <w:szCs w:val="12"/>
                <w:color w:val="auto"/>
              </w:rPr>
            </w:pPr>
          </w:p>
        </w:tc>
        <w:tc>
          <w:tcPr>
            <w:tcW w:w="720" w:type="dxa"/>
            <w:vAlign w:val="bottom"/>
            <w:vMerge w:val="continue"/>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1020" w:type="dxa"/>
            <w:vAlign w:val="bottom"/>
            <w:vMerge w:val="continue"/>
            <w:shd w:val="clear" w:color="auto" w:fill="D9D9D9"/>
          </w:tcPr>
          <w:p>
            <w:pPr>
              <w:spacing w:after="0"/>
              <w:rPr>
                <w:sz w:val="12"/>
                <w:szCs w:val="12"/>
                <w:color w:val="auto"/>
              </w:rPr>
            </w:pPr>
          </w:p>
        </w:tc>
        <w:tc>
          <w:tcPr>
            <w:tcW w:w="18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shd w:val="clear" w:color="auto" w:fill="D9D9D9"/>
          </w:tcPr>
          <w:p>
            <w:pPr>
              <w:spacing w:after="0"/>
              <w:rPr>
                <w:sz w:val="14"/>
                <w:szCs w:val="14"/>
                <w:color w:val="auto"/>
              </w:rPr>
            </w:pPr>
          </w:p>
        </w:tc>
        <w:tc>
          <w:tcPr>
            <w:tcW w:w="72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900" w:type="dxa"/>
            <w:vAlign w:val="bottom"/>
            <w:shd w:val="clear" w:color="auto" w:fill="D9D9D9"/>
          </w:tcPr>
          <w:p>
            <w:pPr>
              <w:spacing w:after="0"/>
              <w:rPr>
                <w:sz w:val="14"/>
                <w:szCs w:val="14"/>
                <w:color w:val="auto"/>
              </w:rPr>
            </w:pPr>
          </w:p>
        </w:tc>
        <w:tc>
          <w:tcPr>
            <w:tcW w:w="8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4,977</w:t>
            </w: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9,955</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w w:val="90"/>
              </w:rPr>
              <w:t>(3)</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19,910</w:t>
            </w:r>
          </w:p>
        </w:tc>
        <w:tc>
          <w:tcPr>
            <w:tcW w:w="9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680" w:type="dxa"/>
            <w:vAlign w:val="bottom"/>
            <w:shd w:val="clear" w:color="auto" w:fill="D9D9D9"/>
          </w:tcPr>
          <w:p>
            <w:pPr>
              <w:spacing w:after="0"/>
              <w:rPr>
                <w:sz w:val="14"/>
                <w:szCs w:val="1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1,919,872</w:t>
            </w:r>
          </w:p>
        </w:tc>
        <w:tc>
          <w:tcPr>
            <w:tcW w:w="18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75"/>
        </w:trPr>
        <w:tc>
          <w:tcPr>
            <w:tcW w:w="132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2/13/2025</w:t>
            </w:r>
          </w:p>
        </w:tc>
        <w:tc>
          <w:tcPr>
            <w:tcW w:w="8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800" w:type="dxa"/>
            <w:vAlign w:val="bottom"/>
            <w:shd w:val="clear" w:color="auto" w:fill="D9D9D9"/>
          </w:tcPr>
          <w:p>
            <w:pPr>
              <w:spacing w:after="0"/>
              <w:rPr>
                <w:sz w:val="15"/>
                <w:szCs w:val="15"/>
                <w:color w:val="auto"/>
              </w:rPr>
            </w:pPr>
          </w:p>
        </w:tc>
        <w:tc>
          <w:tcPr>
            <w:tcW w:w="90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w w:val="90"/>
              </w:rPr>
              <w:t>(5)</w:t>
            </w: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192.86</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959,750</w:t>
            </w:r>
          </w:p>
        </w:tc>
        <w:tc>
          <w:tcPr>
            <w:tcW w:w="18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w w:val="90"/>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106045</wp:posOffset>
                </wp:positionV>
                <wp:extent cx="1599565" cy="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5pt" to="125.95pt,8.35pt" o:allowincell="f" strokecolor="#000000" strokeweight="1.0199pt"/>
            </w:pict>
          </mc:Fallback>
        </mc:AlternateContent>
      </w:r>
    </w:p>
    <w:p>
      <w:pPr>
        <w:spacing w:after="0" w:line="190" w:lineRule="exact"/>
        <w:rPr>
          <w:sz w:val="20"/>
          <w:szCs w:val="20"/>
          <w:color w:val="auto"/>
        </w:rPr>
      </w:pPr>
    </w:p>
    <w:p>
      <w:pPr>
        <w:ind w:left="360" w:right="120" w:hanging="360"/>
        <w:spacing w:after="0" w:line="245" w:lineRule="auto"/>
        <w:tabs>
          <w:tab w:leader="none" w:pos="361" w:val="left"/>
        </w:tabs>
        <w:numPr>
          <w:ilvl w:val="0"/>
          <w:numId w:val="121"/>
        </w:numPr>
        <w:rPr>
          <w:rFonts w:ascii="Arial" w:cs="Arial" w:eastAsia="Arial" w:hAnsi="Arial"/>
          <w:sz w:val="20"/>
          <w:szCs w:val="20"/>
          <w:color w:val="auto"/>
        </w:rPr>
      </w:pPr>
      <w:r>
        <w:rPr>
          <w:rFonts w:ascii="Arial" w:cs="Arial" w:eastAsia="Arial" w:hAnsi="Arial"/>
          <w:sz w:val="20"/>
          <w:szCs w:val="20"/>
          <w:color w:val="auto"/>
        </w:rPr>
        <w:t>During 2025, each of the NEOs participated in the AbbVie Performance Incentive Plan (PIP). The awards shown represent the potential value of annual cash incentive awards that could be earned under the PIP assuming target performance (100% of target PIP opportunity) and maximum performance (200% of target PIP opportunity). The PIP does not include a threshold payout level. The PIP provides the compensation committee with discretion to reduce an executive’s award, including no payout. The actual annual cash incentive award earned by the NEO in 2025 under the plan is shown in the Summary Compensation Table in the column captioned “Non-Equity Incentive Plan Compensation.” The plan is described in greater detail in the section of this proxy statement captioned “Compensation Discussion and Analysis—Compensation Plan Elements—Short-Term Incentives and 2025 Results.”</w:t>
      </w:r>
    </w:p>
    <w:p>
      <w:pPr>
        <w:spacing w:after="0" w:line="97" w:lineRule="exact"/>
        <w:rPr>
          <w:rFonts w:ascii="Arial" w:cs="Arial" w:eastAsia="Arial" w:hAnsi="Arial"/>
          <w:sz w:val="20"/>
          <w:szCs w:val="20"/>
          <w:color w:val="auto"/>
        </w:rPr>
      </w:pPr>
    </w:p>
    <w:p>
      <w:pPr>
        <w:ind w:left="360" w:hanging="360"/>
        <w:spacing w:after="0" w:line="243" w:lineRule="auto"/>
        <w:tabs>
          <w:tab w:leader="none" w:pos="361"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This is a performance share award that has the potential to vest at 0% to 250% of target after a three-year performance period and is earned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The threshold amounts shown represent 37.5% of the target performance shares that could have been earned based on threshold adjusted diluted EPS performance of $9.41 (50% payout), adjusted by -25% for threshold relative TSR performance of 15 points below the index. No performance shares would be earned for adjusted diluted EPS performance below threshold. In 2025, AbbVie’s actual adjusted diluted EPS performance resulted in the banking of the award on February 27, 2026 at 200% of target, with vesting to be determined based on the company’s relative TSR performance following the three-year performance period that ends December 31, 2027. The performance metrics are described in the section of this proxy statement captioned “Compensation Discussion and Analysis—Compensation Plan Elements—Long-Term Incentives and 2025 Results.”</w:t>
      </w:r>
    </w:p>
    <w:p>
      <w:pPr>
        <w:spacing w:after="0" w:line="99" w:lineRule="exact"/>
        <w:rPr>
          <w:rFonts w:ascii="Arial" w:cs="Arial" w:eastAsia="Arial" w:hAnsi="Arial"/>
          <w:sz w:val="20"/>
          <w:szCs w:val="20"/>
          <w:color w:val="auto"/>
        </w:rPr>
      </w:pPr>
    </w:p>
    <w:p>
      <w:pPr>
        <w:ind w:left="360" w:right="60" w:hanging="360"/>
        <w:spacing w:after="0" w:line="282" w:lineRule="auto"/>
        <w:tabs>
          <w:tab w:leader="none" w:pos="36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This is a performance-vested restricted stock unit award that has the potential to vest at 0% to 200% of target in one-third increments during a three-year performance period and is earned based on AbbVie’s return on invested capital (ROIC) relative to a group made up of companies that are constituents in either the S&amp;P</w:t>
      </w:r>
    </w:p>
    <w:p>
      <w:pPr>
        <w:spacing w:after="0" w:line="200" w:lineRule="exact"/>
        <w:rPr>
          <w:sz w:val="20"/>
          <w:szCs w:val="20"/>
          <w:color w:val="auto"/>
        </w:rPr>
      </w:pPr>
    </w:p>
    <w:p>
      <w:pPr>
        <w:spacing w:after="0" w:line="397"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-212725</wp:posOffset>
            </wp:positionV>
            <wp:extent cx="991870" cy="2006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234">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82" w:name="page183"/>
    <w:bookmarkEnd w:id="182"/>
    <w:p>
      <w:pPr>
        <w:ind w:left="1"/>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left="361" w:right="40"/>
        <w:spacing w:after="0" w:line="238" w:lineRule="auto"/>
        <w:rPr>
          <w:sz w:val="20"/>
          <w:szCs w:val="20"/>
          <w:color w:val="auto"/>
        </w:rPr>
      </w:pPr>
      <w:r>
        <w:rPr>
          <w:rFonts w:ascii="Arial" w:cs="Arial" w:eastAsia="Arial" w:hAnsi="Arial"/>
          <w:sz w:val="20"/>
          <w:szCs w:val="20"/>
          <w:color w:val="auto"/>
        </w:rPr>
        <w:t>Pharmaceutical, Biotech, and Life Science Index or the NYSE Arca Pharmaceutical Index. Dividends accrue during the performance period and are paid in cash at vesting only to the extent that shares are earned. The threshold amounts shown represent 50% of the target performance-vested restricted stock units that may be earned at threshold ROIC performance of 40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to 50 </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during the three-year performance period. No performance-vested restricted stock units would be earned for ROIC performance below threshold. In 2025, AbbVie’s relative ROIC performance resulted in the vesting on February 27, 2026 of one-third of the award at 200% of target. The performance metrics are described in the section of this proxy statement captioned “Compensation Discussion and Analysis—Compensation Plan Elements—Long-Term Incentives and 2025 Results.”</w:t>
      </w:r>
    </w:p>
    <w:p>
      <w:pPr>
        <w:spacing w:after="0" w:line="100" w:lineRule="exact"/>
        <w:rPr>
          <w:sz w:val="20"/>
          <w:szCs w:val="20"/>
          <w:color w:val="auto"/>
        </w:rPr>
      </w:pPr>
    </w:p>
    <w:p>
      <w:pPr>
        <w:ind w:left="361" w:right="20" w:hanging="360"/>
        <w:spacing w:after="0" w:line="244" w:lineRule="auto"/>
        <w:tabs>
          <w:tab w:leader="none" w:pos="36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grant date fair value of stock awards is generally determined by multiplying the number of shares granted (at target, for the performance shares and performance-vested restricted stock unit awards) by the average of the high and low market prices of one share of AbbVie common stock on the award grant date. The grant date fair value of performance shares with a TSR market condition is determined using the Monte Carlo simulation model. See footnote (1) of the Summary Compensation Table for more information. In the event of a grantee’s death or termination due to disability, these awards will be deemed earned either based on actual performance through the date of death or disability or at target, depending on which is greater and/or the timing of the death or disability, as set forth in the award agreements. Upon a change in control, the treatment of these awards is determined as described in the section of this proxy statement captioned “Potential Payments upon Termination or Change in Control—Equity Awards.”</w:t>
      </w:r>
    </w:p>
    <w:p>
      <w:pPr>
        <w:spacing w:after="0" w:line="202" w:lineRule="exact"/>
        <w:rPr>
          <w:rFonts w:ascii="Arial" w:cs="Arial" w:eastAsia="Arial" w:hAnsi="Arial"/>
          <w:sz w:val="20"/>
          <w:szCs w:val="20"/>
          <w:color w:val="auto"/>
        </w:rPr>
      </w:pPr>
    </w:p>
    <w:p>
      <w:pPr>
        <w:ind w:left="361" w:hanging="360"/>
        <w:spacing w:after="0" w:line="246" w:lineRule="auto"/>
        <w:tabs>
          <w:tab w:leader="none" w:pos="36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One-third of the shares of common stock covered by these options are exercisable after one year, two-thirds after two years, and all after three years, subject to satisfaction of the service requirements set forth in the award agreements. The options vest in the event of the grantee’s death or termination due to disability. Upon a change in control, the treatment of these awards is determined as described in the section of this proxy statement captioned “Potential Payments upon Termination or Change in Control—Equity Awards.” Under the AbbVie Amended and Restated 2013 Incentive Stock Program, these options have an exercise price equal to the average of the high and low market prices (rounded up to the next even penny) of one share of AbbVie common stock on the date of grant.</w:t>
      </w:r>
    </w:p>
    <w:p>
      <w:pPr>
        <w:spacing w:after="0" w:line="194" w:lineRule="exact"/>
        <w:rPr>
          <w:rFonts w:ascii="Arial" w:cs="Arial" w:eastAsia="Arial" w:hAnsi="Arial"/>
          <w:sz w:val="20"/>
          <w:szCs w:val="20"/>
          <w:color w:val="auto"/>
        </w:rPr>
      </w:pPr>
    </w:p>
    <w:p>
      <w:pPr>
        <w:ind w:left="361" w:right="260" w:hanging="361"/>
        <w:spacing w:after="0" w:line="261" w:lineRule="auto"/>
        <w:tabs>
          <w:tab w:leader="none" w:pos="361"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grant date fair value of option awards is determined as of the option grant date using a Black-Scholes stock option valuation model. The assumptions used to determine the grant date fair value are described in footnote (2) to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
        <w:spacing w:after="0"/>
        <w:tabs>
          <w:tab w:leader="none" w:pos="2581" w:val="left"/>
        </w:tabs>
        <w:rPr>
          <w:sz w:val="20"/>
          <w:szCs w:val="20"/>
          <w:color w:val="auto"/>
        </w:rPr>
      </w:pPr>
      <w:r>
        <w:rPr>
          <w:rFonts w:ascii="Arial" w:cs="Arial" w:eastAsia="Arial" w:hAnsi="Arial"/>
          <w:sz w:val="20"/>
          <w:szCs w:val="20"/>
          <w:color w:val="auto"/>
        </w:rPr>
        <w:t xml:space="preserve">54  </w:t>
      </w:r>
      <w:r>
        <w:rPr>
          <w:sz w:val="1"/>
          <w:szCs w:val="1"/>
          <w:color w:val="auto"/>
        </w:rPr>
        <w:drawing>
          <wp:inline distT="0" distB="0" distL="0" distR="0">
            <wp:extent cx="991870" cy="20066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235">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61"/>
          </w:cols>
          <w:pgMar w:left="899" w:top="702" w:right="920" w:bottom="0" w:gutter="0" w:footer="0" w:header="0"/>
        </w:sectPr>
      </w:pPr>
    </w:p>
    <w:bookmarkStart w:id="183" w:name="page184"/>
    <w:bookmarkEnd w:id="183"/>
    <w:p>
      <w:pPr>
        <w:ind w:left="7260"/>
        <w:spacing w:after="0"/>
        <w:rPr>
          <w:sz w:val="20"/>
          <w:szCs w:val="20"/>
          <w:color w:val="auto"/>
        </w:rPr>
      </w:pPr>
      <w:r>
        <w:rPr>
          <w:rFonts w:ascii="Arial" w:cs="Arial" w:eastAsia="Arial" w:hAnsi="Arial"/>
          <w:sz w:val="20"/>
          <w:szCs w:val="20"/>
          <w:color w:val="808080"/>
        </w:rPr>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2025 Outstanding Equity Awards at Fiscal Year End</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outstanding AbbVie equity awards held by the NEOs at year end.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60" w:type="dxa"/>
            <w:vAlign w:val="bottom"/>
          </w:tcPr>
          <w:p>
            <w:pPr>
              <w:spacing w:after="0"/>
              <w:rPr>
                <w:sz w:val="15"/>
                <w:szCs w:val="15"/>
                <w:color w:val="auto"/>
              </w:rPr>
            </w:pPr>
          </w:p>
        </w:tc>
        <w:tc>
          <w:tcPr>
            <w:tcW w:w="880" w:type="dxa"/>
            <w:vAlign w:val="bottom"/>
            <w:tcBorders>
              <w:bottom w:val="single" w:sz="8" w:color="000039"/>
            </w:tcBorders>
          </w:tcPr>
          <w:p>
            <w:pPr>
              <w:spacing w:after="0"/>
              <w:rPr>
                <w:sz w:val="15"/>
                <w:szCs w:val="15"/>
                <w:color w:val="auto"/>
              </w:rPr>
            </w:pPr>
          </w:p>
        </w:tc>
        <w:tc>
          <w:tcPr>
            <w:tcW w:w="2320" w:type="dxa"/>
            <w:vAlign w:val="bottom"/>
            <w:tcBorders>
              <w:bottom w:val="single" w:sz="8" w:color="000039"/>
            </w:tcBorders>
            <w:gridSpan w:val="4"/>
          </w:tcPr>
          <w:p>
            <w:pPr>
              <w:jc w:val="center"/>
              <w:ind w:left="33"/>
              <w:spacing w:after="0"/>
              <w:rPr>
                <w:sz w:val="20"/>
                <w:szCs w:val="20"/>
                <w:color w:val="auto"/>
              </w:rPr>
            </w:pPr>
            <w:r>
              <w:rPr>
                <w:rFonts w:ascii="Arial" w:cs="Arial" w:eastAsia="Arial" w:hAnsi="Arial"/>
                <w:sz w:val="14"/>
                <w:szCs w:val="14"/>
                <w:b w:val="1"/>
                <w:bCs w:val="1"/>
                <w:color w:val="000039"/>
                <w:w w:val="99"/>
              </w:rPr>
              <w:t>Option Awards(1)</w:t>
            </w:r>
          </w:p>
        </w:tc>
        <w:tc>
          <w:tcPr>
            <w:tcW w:w="1020" w:type="dxa"/>
            <w:vAlign w:val="bottom"/>
            <w:tcBorders>
              <w:bottom w:val="single" w:sz="8" w:color="000039"/>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bottom w:val="single" w:sz="8" w:color="000039"/>
            </w:tcBorders>
          </w:tcPr>
          <w:p>
            <w:pPr>
              <w:spacing w:after="0"/>
              <w:rPr>
                <w:sz w:val="15"/>
                <w:szCs w:val="15"/>
                <w:color w:val="auto"/>
              </w:rPr>
            </w:pPr>
          </w:p>
        </w:tc>
        <w:tc>
          <w:tcPr>
            <w:tcW w:w="1920" w:type="dxa"/>
            <w:vAlign w:val="bottom"/>
            <w:tcBorders>
              <w:bottom w:val="single" w:sz="8" w:color="000039"/>
            </w:tcBorders>
            <w:gridSpan w:val="2"/>
          </w:tcPr>
          <w:p>
            <w:pPr>
              <w:jc w:val="right"/>
              <w:ind w:right="194"/>
              <w:spacing w:after="0"/>
              <w:rPr>
                <w:sz w:val="20"/>
                <w:szCs w:val="20"/>
                <w:color w:val="auto"/>
              </w:rPr>
            </w:pPr>
            <w:r>
              <w:rPr>
                <w:rFonts w:ascii="Arial" w:cs="Arial" w:eastAsia="Arial" w:hAnsi="Arial"/>
                <w:sz w:val="14"/>
                <w:szCs w:val="14"/>
                <w:b w:val="1"/>
                <w:bCs w:val="1"/>
                <w:color w:val="000039"/>
              </w:rPr>
              <w:t>Stock Awards</w:t>
            </w:r>
          </w:p>
        </w:tc>
        <w:tc>
          <w:tcPr>
            <w:tcW w:w="180" w:type="dxa"/>
            <w:vAlign w:val="bottom"/>
            <w:tcBorders>
              <w:bottom w:val="single" w:sz="8" w:color="000039"/>
            </w:tcBorders>
          </w:tcPr>
          <w:p>
            <w:pPr>
              <w:spacing w:after="0"/>
              <w:rPr>
                <w:sz w:val="15"/>
                <w:szCs w:val="15"/>
                <w:color w:val="auto"/>
              </w:rPr>
            </w:pPr>
          </w:p>
        </w:tc>
        <w:tc>
          <w:tcPr>
            <w:tcW w:w="1100" w:type="dxa"/>
            <w:vAlign w:val="bottom"/>
            <w:tcBorders>
              <w:bottom w:val="single" w:sz="8" w:color="000039"/>
            </w:tcBorders>
          </w:tcPr>
          <w:p>
            <w:pPr>
              <w:spacing w:after="0"/>
              <w:rPr>
                <w:sz w:val="15"/>
                <w:szCs w:val="15"/>
                <w:color w:val="auto"/>
              </w:rPr>
            </w:pPr>
          </w:p>
        </w:tc>
      </w:tr>
      <w:tr>
        <w:trPr>
          <w:trHeight w:val="135"/>
        </w:trPr>
        <w:tc>
          <w:tcPr>
            <w:tcW w:w="1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000039"/>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b w:val="1"/>
                <w:bCs w:val="1"/>
                <w:color w:val="000039"/>
              </w:rPr>
              <w:t>Equity</w:t>
            </w:r>
          </w:p>
        </w:tc>
      </w:tr>
      <w:tr>
        <w:trPr>
          <w:trHeight w:val="161"/>
        </w:trPr>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right w:val="single" w:sz="8" w:color="000039"/>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Equity</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Incentive</w:t>
            </w:r>
          </w:p>
        </w:tc>
      </w:tr>
      <w:tr>
        <w:trPr>
          <w:trHeight w:val="161"/>
        </w:trPr>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right w:val="single" w:sz="8" w:color="000039"/>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Incentive</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Plan Awards:</w:t>
            </w:r>
          </w:p>
        </w:tc>
      </w:tr>
      <w:tr>
        <w:trPr>
          <w:trHeight w:val="161"/>
        </w:trPr>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right w:val="single" w:sz="8" w:color="000039"/>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Plan Awards:</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Market or</w:t>
            </w:r>
          </w:p>
        </w:tc>
      </w:tr>
      <w:tr>
        <w:trPr>
          <w:trHeight w:val="162"/>
        </w:trPr>
        <w:tc>
          <w:tcPr>
            <w:tcW w:w="1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right w:val="single" w:sz="8" w:color="000039"/>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Number of</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Payout Value</w:t>
            </w:r>
          </w:p>
        </w:tc>
      </w:tr>
      <w:tr>
        <w:trPr>
          <w:trHeight w:val="161"/>
        </w:trPr>
        <w:tc>
          <w:tcPr>
            <w:tcW w:w="1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0039"/>
              </w:rPr>
              <w:t>Number of</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0039"/>
              </w:rPr>
              <w:t>Number of</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right w:val="single" w:sz="8" w:color="000039"/>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000039"/>
              </w:rPr>
              <w:t>Market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Unearned</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of Unearned</w:t>
            </w:r>
          </w:p>
        </w:tc>
      </w:tr>
      <w:tr>
        <w:trPr>
          <w:trHeight w:val="161"/>
        </w:trPr>
        <w:tc>
          <w:tcPr>
            <w:tcW w:w="1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0039"/>
              </w:rPr>
              <w:t>Securities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0039"/>
              </w:rPr>
              <w:t>Securities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right w:val="single" w:sz="8" w:color="000039"/>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000039"/>
                <w:w w:val="99"/>
              </w:rPr>
              <w:t>Number of</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000039"/>
              </w:rPr>
              <w:t>Value of</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Shares</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Shares</w:t>
            </w:r>
          </w:p>
        </w:tc>
      </w:tr>
      <w:tr>
        <w:trPr>
          <w:trHeight w:val="161"/>
        </w:trPr>
        <w:tc>
          <w:tcPr>
            <w:tcW w:w="1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0039"/>
              </w:rPr>
              <w:t>Underlying</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0039"/>
              </w:rPr>
              <w:t>Underlying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right w:val="single" w:sz="8" w:color="000039"/>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000039"/>
              </w:rPr>
              <w:t>Shares of</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000039"/>
              </w:rPr>
              <w:t>Shares of</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or Other</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or Other</w:t>
            </w:r>
          </w:p>
        </w:tc>
      </w:tr>
      <w:tr>
        <w:trPr>
          <w:trHeight w:val="161"/>
        </w:trPr>
        <w:tc>
          <w:tcPr>
            <w:tcW w:w="1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0039"/>
                <w:w w:val="96"/>
              </w:rPr>
              <w:t>Unexercised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0039"/>
              </w:rPr>
              <w:t>Unexercised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000039"/>
              </w:rPr>
              <w:t>Option</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0039"/>
              </w:rPr>
              <w:t>Option</w:t>
            </w:r>
          </w:p>
        </w:tc>
        <w:tc>
          <w:tcPr>
            <w:tcW w:w="100" w:type="dxa"/>
            <w:vAlign w:val="bottom"/>
            <w:tcBorders>
              <w:right w:val="single" w:sz="8" w:color="000039"/>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000039"/>
                <w:w w:val="97"/>
              </w:rPr>
              <w:t>Stock That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000039"/>
              </w:rPr>
              <w:t>Stock That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Rights That</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Rights That</w:t>
            </w:r>
          </w:p>
        </w:tc>
      </w:tr>
      <w:tr>
        <w:trPr>
          <w:trHeight w:val="161"/>
        </w:trPr>
        <w:tc>
          <w:tcPr>
            <w:tcW w:w="1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0039"/>
              </w:rPr>
              <w:t>Options -(#)</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0039"/>
              </w:rPr>
              <w:t>Options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000039"/>
              </w:rPr>
              <w:t>Exercise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0039"/>
              </w:rPr>
              <w:t>Expiration</w:t>
            </w:r>
          </w:p>
        </w:tc>
        <w:tc>
          <w:tcPr>
            <w:tcW w:w="100" w:type="dxa"/>
            <w:vAlign w:val="bottom"/>
            <w:tcBorders>
              <w:right w:val="single" w:sz="8" w:color="000039"/>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000039"/>
              </w:rPr>
              <w:t>Have Not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000039"/>
              </w:rPr>
              <w:t>Have Not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Have Not</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Have Not</w:t>
            </w:r>
          </w:p>
        </w:tc>
      </w:tr>
      <w:tr>
        <w:trPr>
          <w:trHeight w:val="177"/>
        </w:trPr>
        <w:tc>
          <w:tcPr>
            <w:tcW w:w="1660" w:type="dxa"/>
            <w:vAlign w:val="bottom"/>
            <w:tcBorders>
              <w:bottom w:val="single" w:sz="8" w:color="000039"/>
            </w:tcBorders>
          </w:tcPr>
          <w:p>
            <w:pPr>
              <w:spacing w:after="0"/>
              <w:rPr>
                <w:sz w:val="20"/>
                <w:szCs w:val="20"/>
                <w:color w:val="auto"/>
              </w:rPr>
            </w:pPr>
            <w:r>
              <w:rPr>
                <w:rFonts w:ascii="Arial" w:cs="Arial" w:eastAsia="Arial" w:hAnsi="Arial"/>
                <w:sz w:val="14"/>
                <w:szCs w:val="14"/>
                <w:b w:val="1"/>
                <w:bCs w:val="1"/>
                <w:color w:val="000039"/>
              </w:rPr>
              <w:t>Name</w:t>
            </w:r>
          </w:p>
        </w:tc>
        <w:tc>
          <w:tcPr>
            <w:tcW w:w="88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Exercisable</w:t>
            </w:r>
          </w:p>
        </w:tc>
        <w:tc>
          <w:tcPr>
            <w:tcW w:w="114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Unexercisable</w:t>
            </w:r>
          </w:p>
        </w:tc>
        <w:tc>
          <w:tcPr>
            <w:tcW w:w="220" w:type="dxa"/>
            <w:vAlign w:val="bottom"/>
            <w:tcBorders>
              <w:bottom w:val="single" w:sz="8" w:color="000039"/>
            </w:tcBorders>
          </w:tcPr>
          <w:p>
            <w:pPr>
              <w:spacing w:after="0"/>
              <w:rPr>
                <w:sz w:val="15"/>
                <w:szCs w:val="15"/>
                <w:color w:val="auto"/>
              </w:rPr>
            </w:pPr>
          </w:p>
        </w:tc>
        <w:tc>
          <w:tcPr>
            <w:tcW w:w="100" w:type="dxa"/>
            <w:vAlign w:val="bottom"/>
            <w:tcBorders>
              <w:bottom w:val="single" w:sz="8" w:color="000039"/>
            </w:tcBorders>
          </w:tcPr>
          <w:p>
            <w:pPr>
              <w:spacing w:after="0"/>
              <w:rPr>
                <w:sz w:val="15"/>
                <w:szCs w:val="15"/>
                <w:color w:val="auto"/>
              </w:rPr>
            </w:pPr>
          </w:p>
        </w:tc>
        <w:tc>
          <w:tcPr>
            <w:tcW w:w="86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Price -($)</w:t>
            </w:r>
          </w:p>
        </w:tc>
        <w:tc>
          <w:tcPr>
            <w:tcW w:w="102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Date</w:t>
            </w:r>
          </w:p>
        </w:tc>
        <w:tc>
          <w:tcPr>
            <w:tcW w:w="100" w:type="dxa"/>
            <w:vAlign w:val="bottom"/>
            <w:tcBorders>
              <w:bottom w:val="single" w:sz="8" w:color="000039"/>
              <w:right w:val="single" w:sz="8" w:color="000039"/>
            </w:tcBorders>
          </w:tcPr>
          <w:p>
            <w:pPr>
              <w:spacing w:after="0"/>
              <w:rPr>
                <w:sz w:val="15"/>
                <w:szCs w:val="15"/>
                <w:color w:val="auto"/>
              </w:rPr>
            </w:pPr>
          </w:p>
        </w:tc>
        <w:tc>
          <w:tcPr>
            <w:tcW w:w="60" w:type="dxa"/>
            <w:vAlign w:val="bottom"/>
            <w:tcBorders>
              <w:bottom w:val="single" w:sz="8" w:color="000039"/>
            </w:tcBorders>
          </w:tcPr>
          <w:p>
            <w:pPr>
              <w:spacing w:after="0"/>
              <w:rPr>
                <w:sz w:val="15"/>
                <w:szCs w:val="15"/>
                <w:color w:val="auto"/>
              </w:rPr>
            </w:pPr>
          </w:p>
        </w:tc>
        <w:tc>
          <w:tcPr>
            <w:tcW w:w="840" w:type="dxa"/>
            <w:vAlign w:val="bottom"/>
            <w:tcBorders>
              <w:bottom w:val="single" w:sz="8" w:color="000039"/>
            </w:tcBorders>
          </w:tcPr>
          <w:p>
            <w:pPr>
              <w:jc w:val="right"/>
              <w:ind w:right="50"/>
              <w:spacing w:after="0"/>
              <w:rPr>
                <w:sz w:val="20"/>
                <w:szCs w:val="20"/>
                <w:color w:val="auto"/>
              </w:rPr>
            </w:pPr>
            <w:r>
              <w:rPr>
                <w:rFonts w:ascii="Arial" w:cs="Arial" w:eastAsia="Arial" w:hAnsi="Arial"/>
                <w:sz w:val="14"/>
                <w:szCs w:val="14"/>
                <w:b w:val="1"/>
                <w:bCs w:val="1"/>
                <w:color w:val="000039"/>
                <w:w w:val="97"/>
              </w:rPr>
              <w:t>Vested -(#)</w:t>
            </w:r>
          </w:p>
        </w:tc>
        <w:tc>
          <w:tcPr>
            <w:tcW w:w="84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Vested -($)</w:t>
            </w:r>
          </w:p>
        </w:tc>
        <w:tc>
          <w:tcPr>
            <w:tcW w:w="108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Vested -(#)</w:t>
            </w:r>
          </w:p>
        </w:tc>
        <w:tc>
          <w:tcPr>
            <w:tcW w:w="180" w:type="dxa"/>
            <w:vAlign w:val="bottom"/>
            <w:tcBorders>
              <w:bottom w:val="single" w:sz="8" w:color="000039"/>
            </w:tcBorders>
          </w:tcPr>
          <w:p>
            <w:pPr>
              <w:spacing w:after="0"/>
              <w:rPr>
                <w:sz w:val="15"/>
                <w:szCs w:val="15"/>
                <w:color w:val="auto"/>
              </w:rPr>
            </w:pPr>
          </w:p>
        </w:tc>
        <w:tc>
          <w:tcPr>
            <w:tcW w:w="110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Vested -($)</w:t>
            </w:r>
          </w:p>
        </w:tc>
      </w:tr>
      <w:tr>
        <w:trPr>
          <w:trHeight w:val="178"/>
        </w:trPr>
        <w:tc>
          <w:tcPr>
            <w:tcW w:w="1660" w:type="dxa"/>
            <w:vAlign w:val="bottom"/>
            <w:shd w:val="clear" w:color="auto" w:fill="D9D9D9"/>
          </w:tcPr>
          <w:p>
            <w:pPr>
              <w:spacing w:after="0" w:line="178" w:lineRule="exact"/>
              <w:rPr>
                <w:sz w:val="20"/>
                <w:szCs w:val="20"/>
                <w:color w:val="auto"/>
              </w:rPr>
            </w:pPr>
            <w:r>
              <w:rPr>
                <w:rFonts w:ascii="Arial" w:cs="Arial" w:eastAsia="Arial" w:hAnsi="Arial"/>
                <w:sz w:val="18"/>
                <w:szCs w:val="18"/>
                <w:color w:val="auto"/>
              </w:rPr>
              <w:t>R. Michael</w:t>
            </w:r>
          </w:p>
        </w:tc>
        <w:tc>
          <w:tcPr>
            <w:tcW w:w="880" w:type="dxa"/>
            <w:vAlign w:val="bottom"/>
            <w:shd w:val="clear" w:color="auto" w:fill="D9D9D9"/>
          </w:tcPr>
          <w:p>
            <w:pPr>
              <w:jc w:val="right"/>
              <w:spacing w:after="0" w:line="178" w:lineRule="exact"/>
              <w:rPr>
                <w:sz w:val="20"/>
                <w:szCs w:val="20"/>
                <w:color w:val="auto"/>
              </w:rPr>
            </w:pPr>
            <w:r>
              <w:rPr>
                <w:rFonts w:ascii="Arial" w:cs="Arial" w:eastAsia="Arial" w:hAnsi="Arial"/>
                <w:sz w:val="18"/>
                <w:szCs w:val="18"/>
                <w:color w:val="auto"/>
              </w:rPr>
              <w:t>8,030</w:t>
            </w:r>
          </w:p>
        </w:tc>
        <w:tc>
          <w:tcPr>
            <w:tcW w:w="1140" w:type="dxa"/>
            <w:vAlign w:val="bottom"/>
            <w:shd w:val="clear" w:color="auto" w:fill="D9D9D9"/>
          </w:tcPr>
          <w:p>
            <w:pPr>
              <w:jc w:val="right"/>
              <w:spacing w:after="0" w:line="178" w:lineRule="exact"/>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jc w:val="right"/>
              <w:spacing w:after="0" w:line="178" w:lineRule="exact"/>
              <w:rPr>
                <w:sz w:val="20"/>
                <w:szCs w:val="20"/>
                <w:color w:val="auto"/>
              </w:rPr>
            </w:pPr>
            <w:r>
              <w:rPr>
                <w:rFonts w:ascii="Arial" w:cs="Arial" w:eastAsia="Arial" w:hAnsi="Arial"/>
                <w:sz w:val="18"/>
                <w:szCs w:val="18"/>
                <w:color w:val="auto"/>
                <w:highlight w:val="lightGray"/>
                <w:w w:val="79"/>
              </w:rPr>
              <w:t>$</w:t>
            </w:r>
          </w:p>
        </w:tc>
        <w:tc>
          <w:tcPr>
            <w:tcW w:w="860" w:type="dxa"/>
            <w:vAlign w:val="bottom"/>
            <w:shd w:val="clear" w:color="auto" w:fill="D9D9D9"/>
          </w:tcPr>
          <w:p>
            <w:pPr>
              <w:jc w:val="right"/>
              <w:spacing w:after="0" w:line="178" w:lineRule="exact"/>
              <w:rPr>
                <w:sz w:val="20"/>
                <w:szCs w:val="20"/>
                <w:color w:val="auto"/>
              </w:rPr>
            </w:pPr>
            <w:r>
              <w:rPr>
                <w:rFonts w:ascii="Arial" w:cs="Arial" w:eastAsia="Arial" w:hAnsi="Arial"/>
                <w:sz w:val="18"/>
                <w:szCs w:val="18"/>
                <w:color w:val="auto"/>
                <w:highlight w:val="lightGray"/>
              </w:rPr>
              <w:t>114.3600</w:t>
            </w:r>
          </w:p>
        </w:tc>
        <w:tc>
          <w:tcPr>
            <w:tcW w:w="1020" w:type="dxa"/>
            <w:vAlign w:val="bottom"/>
            <w:shd w:val="clear" w:color="auto" w:fill="D9D9D9"/>
          </w:tcPr>
          <w:p>
            <w:pPr>
              <w:jc w:val="right"/>
              <w:spacing w:after="0" w:line="178" w:lineRule="exact"/>
              <w:rPr>
                <w:sz w:val="20"/>
                <w:szCs w:val="20"/>
                <w:color w:val="auto"/>
              </w:rPr>
            </w:pPr>
            <w:r>
              <w:rPr>
                <w:rFonts w:ascii="Arial" w:cs="Arial" w:eastAsia="Arial" w:hAnsi="Arial"/>
                <w:sz w:val="18"/>
                <w:szCs w:val="18"/>
                <w:color w:val="auto"/>
                <w:highlight w:val="lightGray"/>
              </w:rPr>
              <w:t>2/14/2028</w:t>
            </w:r>
          </w:p>
        </w:tc>
        <w:tc>
          <w:tcPr>
            <w:tcW w:w="100" w:type="dxa"/>
            <w:vAlign w:val="bottom"/>
            <w:tcBorders>
              <w:right w:val="single" w:sz="8" w:color="000039"/>
            </w:tcBorders>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840" w:type="dxa"/>
            <w:vAlign w:val="bottom"/>
            <w:shd w:val="clear" w:color="auto" w:fill="D9D9D9"/>
          </w:tcPr>
          <w:p>
            <w:pPr>
              <w:spacing w:after="0"/>
              <w:rPr>
                <w:sz w:val="15"/>
                <w:szCs w:val="15"/>
                <w:color w:val="auto"/>
              </w:rPr>
            </w:pPr>
          </w:p>
        </w:tc>
        <w:tc>
          <w:tcPr>
            <w:tcW w:w="84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line="178" w:lineRule="exact"/>
              <w:rPr>
                <w:sz w:val="20"/>
                <w:szCs w:val="20"/>
                <w:color w:val="auto"/>
              </w:rPr>
            </w:pPr>
            <w:r>
              <w:rPr>
                <w:rFonts w:ascii="Arial" w:cs="Arial" w:eastAsia="Arial" w:hAnsi="Arial"/>
                <w:sz w:val="18"/>
                <w:szCs w:val="18"/>
                <w:color w:val="auto"/>
              </w:rPr>
              <w:t>24,060</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shd w:val="clear" w:color="auto" w:fill="D9D9D9"/>
          </w:tcPr>
          <w:p>
            <w:pPr>
              <w:jc w:val="right"/>
              <w:spacing w:after="0" w:line="178" w:lineRule="exact"/>
              <w:rPr>
                <w:sz w:val="20"/>
                <w:szCs w:val="20"/>
                <w:color w:val="auto"/>
              </w:rPr>
            </w:pPr>
            <w:r>
              <w:rPr>
                <w:rFonts w:ascii="Arial" w:cs="Arial" w:eastAsia="Arial" w:hAnsi="Arial"/>
                <w:sz w:val="18"/>
                <w:szCs w:val="18"/>
                <w:color w:val="auto"/>
              </w:rPr>
              <w:t>$ 5,497,469</w:t>
            </w:r>
          </w:p>
        </w:tc>
      </w:tr>
      <w:tr>
        <w:trPr>
          <w:trHeight w:val="208"/>
        </w:trPr>
        <w:tc>
          <w:tcPr>
            <w:tcW w:w="1660" w:type="dxa"/>
            <w:vAlign w:val="bottom"/>
            <w:shd w:val="clear" w:color="auto" w:fill="D9D9D9"/>
          </w:tcPr>
          <w:p>
            <w:pPr>
              <w:spacing w:after="0"/>
              <w:rPr>
                <w:sz w:val="18"/>
                <w:szCs w:val="18"/>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54,517</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79.0200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2/20/2029</w:t>
            </w:r>
          </w:p>
        </w:tc>
        <w:tc>
          <w:tcPr>
            <w:tcW w:w="100" w:type="dxa"/>
            <w:vAlign w:val="bottom"/>
            <w:tcBorders>
              <w:right w:val="single" w:sz="8" w:color="000039"/>
            </w:tcBorders>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36,131</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8,255,572</w:t>
            </w:r>
          </w:p>
        </w:tc>
      </w:tr>
      <w:tr>
        <w:trPr>
          <w:trHeight w:val="225"/>
        </w:trPr>
        <w:tc>
          <w:tcPr>
            <w:tcW w:w="166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106,382</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93.5000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2/19/2030</w:t>
            </w:r>
          </w:p>
        </w:tc>
        <w:tc>
          <w:tcPr>
            <w:tcW w:w="100" w:type="dxa"/>
            <w:vAlign w:val="bottom"/>
            <w:tcBorders>
              <w:right w:val="single" w:sz="8" w:color="000039"/>
            </w:tcBorders>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66,368</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15,164,424</w:t>
            </w:r>
          </w:p>
        </w:tc>
      </w:tr>
      <w:tr>
        <w:trPr>
          <w:trHeight w:val="208"/>
        </w:trPr>
        <w:tc>
          <w:tcPr>
            <w:tcW w:w="1660" w:type="dxa"/>
            <w:vAlign w:val="bottom"/>
            <w:shd w:val="clear" w:color="auto" w:fill="D9D9D9"/>
          </w:tcPr>
          <w:p>
            <w:pPr>
              <w:spacing w:after="0"/>
              <w:rPr>
                <w:sz w:val="18"/>
                <w:szCs w:val="18"/>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65,217</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105.9200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2/17/2031</w:t>
            </w:r>
          </w:p>
        </w:tc>
        <w:tc>
          <w:tcPr>
            <w:tcW w:w="100" w:type="dxa"/>
            <w:vAlign w:val="bottom"/>
            <w:tcBorders>
              <w:right w:val="single" w:sz="8" w:color="000039"/>
            </w:tcBorders>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8"/>
                <w:szCs w:val="18"/>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1660" w:type="dxa"/>
            <w:vAlign w:val="bottom"/>
            <w:shd w:val="clear" w:color="auto" w:fill="D9D9D9"/>
          </w:tcPr>
          <w:p>
            <w:pPr>
              <w:spacing w:after="0"/>
              <w:rPr>
                <w:sz w:val="16"/>
                <w:szCs w:val="16"/>
                <w:color w:val="auto"/>
              </w:rPr>
            </w:pPr>
          </w:p>
        </w:tc>
        <w:tc>
          <w:tcPr>
            <w:tcW w:w="88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48,161</w:t>
            </w:r>
          </w:p>
        </w:tc>
        <w:tc>
          <w:tcPr>
            <w:tcW w:w="114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144.5400</w:t>
            </w:r>
          </w:p>
        </w:tc>
        <w:tc>
          <w:tcPr>
            <w:tcW w:w="102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highlight w:val="lightGray"/>
              </w:rPr>
              <w:t>2/16/2032</w:t>
            </w:r>
          </w:p>
        </w:tc>
        <w:tc>
          <w:tcPr>
            <w:tcW w:w="100" w:type="dxa"/>
            <w:vAlign w:val="bottom"/>
            <w:tcBorders>
              <w:right w:val="single" w:sz="8" w:color="000039"/>
            </w:tcBorders>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6"/>
                <w:szCs w:val="16"/>
                <w:color w:val="auto"/>
              </w:rPr>
            </w:pPr>
          </w:p>
        </w:tc>
        <w:tc>
          <w:tcPr>
            <w:tcW w:w="110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w:t>
            </w:r>
          </w:p>
        </w:tc>
      </w:tr>
      <w:tr>
        <w:trPr>
          <w:trHeight w:val="208"/>
        </w:trPr>
        <w:tc>
          <w:tcPr>
            <w:tcW w:w="1660" w:type="dxa"/>
            <w:vAlign w:val="bottom"/>
            <w:shd w:val="clear" w:color="auto" w:fill="D9D9D9"/>
          </w:tcPr>
          <w:p>
            <w:pPr>
              <w:spacing w:after="0"/>
              <w:rPr>
                <w:sz w:val="18"/>
                <w:szCs w:val="18"/>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30,385</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15,192</w:t>
            </w:r>
          </w:p>
        </w:tc>
        <w:tc>
          <w:tcPr>
            <w:tcW w:w="22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D9D9D9"/>
          </w:tcPr>
          <w:p>
            <w:pPr>
              <w:spacing w:after="0"/>
              <w:rPr>
                <w:sz w:val="18"/>
                <w:szCs w:val="18"/>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149.6200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2/15/2033</w:t>
            </w:r>
          </w:p>
        </w:tc>
        <w:tc>
          <w:tcPr>
            <w:tcW w:w="100" w:type="dxa"/>
            <w:vAlign w:val="bottom"/>
            <w:tcBorders>
              <w:right w:val="single" w:sz="8" w:color="000039"/>
            </w:tcBorders>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8"/>
                <w:szCs w:val="18"/>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166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19,963</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39,925</w:t>
            </w:r>
          </w:p>
        </w:tc>
        <w:tc>
          <w:tcPr>
            <w:tcW w:w="22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175.2800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2/14/2034</w:t>
            </w:r>
          </w:p>
        </w:tc>
        <w:tc>
          <w:tcPr>
            <w:tcW w:w="100" w:type="dxa"/>
            <w:vAlign w:val="bottom"/>
            <w:tcBorders>
              <w:right w:val="single" w:sz="8" w:color="000039"/>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166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83,333</w:t>
            </w:r>
          </w:p>
        </w:tc>
        <w:tc>
          <w:tcPr>
            <w:tcW w:w="22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192.8600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2/12/2035</w:t>
            </w:r>
          </w:p>
        </w:tc>
        <w:tc>
          <w:tcPr>
            <w:tcW w:w="100" w:type="dxa"/>
            <w:vAlign w:val="bottom"/>
            <w:tcBorders>
              <w:right w:val="single" w:sz="8" w:color="000039"/>
            </w:tcBorders>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1660" w:type="dxa"/>
            <w:vAlign w:val="bottom"/>
          </w:tcPr>
          <w:p>
            <w:pPr>
              <w:spacing w:after="0" w:line="188" w:lineRule="exact"/>
              <w:rPr>
                <w:sz w:val="20"/>
                <w:szCs w:val="20"/>
                <w:color w:val="auto"/>
              </w:rPr>
            </w:pPr>
            <w:r>
              <w:rPr>
                <w:rFonts w:ascii="Arial" w:cs="Arial" w:eastAsia="Arial" w:hAnsi="Arial"/>
                <w:sz w:val="18"/>
                <w:szCs w:val="18"/>
                <w:color w:val="auto"/>
              </w:rPr>
              <w:t>S. Reents</w:t>
            </w: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11,810</w:t>
            </w:r>
          </w:p>
        </w:tc>
        <w:tc>
          <w:tcPr>
            <w:tcW w:w="114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Arial" w:cs="Arial" w:eastAsia="Arial" w:hAnsi="Arial"/>
                <w:sz w:val="18"/>
                <w:szCs w:val="18"/>
                <w:color w:val="auto"/>
              </w:rPr>
              <w:t>114.3600</w:t>
            </w: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2/14/2028</w:t>
            </w:r>
          </w:p>
        </w:tc>
        <w:tc>
          <w:tcPr>
            <w:tcW w:w="100" w:type="dxa"/>
            <w:vAlign w:val="bottom"/>
            <w:tcBorders>
              <w:right w:val="single" w:sz="8" w:color="000039"/>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Arial" w:cs="Arial" w:eastAsia="Arial" w:hAnsi="Arial"/>
                <w:sz w:val="18"/>
                <w:szCs w:val="18"/>
                <w:color w:val="auto"/>
              </w:rPr>
              <w:t>17,822</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tcPr>
          <w:p>
            <w:pPr>
              <w:jc w:val="right"/>
              <w:spacing w:after="0" w:line="188" w:lineRule="exact"/>
              <w:rPr>
                <w:sz w:val="20"/>
                <w:szCs w:val="20"/>
                <w:color w:val="auto"/>
              </w:rPr>
            </w:pPr>
            <w:r>
              <w:rPr>
                <w:rFonts w:ascii="Arial" w:cs="Arial" w:eastAsia="Arial" w:hAnsi="Arial"/>
                <w:sz w:val="18"/>
                <w:szCs w:val="18"/>
                <w:color w:val="auto"/>
              </w:rPr>
              <w:t>4,072,149</w:t>
            </w:r>
          </w:p>
        </w:tc>
      </w:tr>
      <w:tr>
        <w:trPr>
          <w:trHeight w:val="208"/>
        </w:trPr>
        <w:tc>
          <w:tcPr>
            <w:tcW w:w="1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19,470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79.0200</w:t>
            </w:r>
          </w:p>
        </w:tc>
        <w:tc>
          <w:tcPr>
            <w:tcW w:w="1020" w:type="dxa"/>
            <w:vAlign w:val="bottom"/>
          </w:tcPr>
          <w:p>
            <w:pPr>
              <w:jc w:val="right"/>
              <w:spacing w:after="0"/>
              <w:rPr>
                <w:sz w:val="20"/>
                <w:szCs w:val="20"/>
                <w:color w:val="auto"/>
              </w:rPr>
            </w:pPr>
            <w:r>
              <w:rPr>
                <w:rFonts w:ascii="Arial" w:cs="Arial" w:eastAsia="Arial" w:hAnsi="Arial"/>
                <w:sz w:val="18"/>
                <w:szCs w:val="18"/>
                <w:color w:val="auto"/>
              </w:rPr>
              <w:t>2/20/2029</w:t>
            </w:r>
          </w:p>
        </w:tc>
        <w:tc>
          <w:tcPr>
            <w:tcW w:w="100" w:type="dxa"/>
            <w:vAlign w:val="bottom"/>
            <w:tcBorders>
              <w:right w:val="single" w:sz="8" w:color="000039"/>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19,016</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4,344,966</w:t>
            </w:r>
          </w:p>
        </w:tc>
      </w:tr>
      <w:tr>
        <w:trPr>
          <w:trHeight w:val="206"/>
        </w:trPr>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28,641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93.5000</w:t>
            </w:r>
          </w:p>
        </w:tc>
        <w:tc>
          <w:tcPr>
            <w:tcW w:w="1020" w:type="dxa"/>
            <w:vAlign w:val="bottom"/>
          </w:tcPr>
          <w:p>
            <w:pPr>
              <w:jc w:val="right"/>
              <w:spacing w:after="0"/>
              <w:rPr>
                <w:sz w:val="20"/>
                <w:szCs w:val="20"/>
                <w:color w:val="auto"/>
              </w:rPr>
            </w:pPr>
            <w:r>
              <w:rPr>
                <w:rFonts w:ascii="Arial" w:cs="Arial" w:eastAsia="Arial" w:hAnsi="Arial"/>
                <w:sz w:val="18"/>
                <w:szCs w:val="18"/>
                <w:color w:val="auto"/>
              </w:rPr>
              <w:t>2/19/2030</w:t>
            </w:r>
          </w:p>
        </w:tc>
        <w:tc>
          <w:tcPr>
            <w:tcW w:w="100" w:type="dxa"/>
            <w:vAlign w:val="bottom"/>
            <w:tcBorders>
              <w:right w:val="single" w:sz="8" w:color="000039"/>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21,776</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4,975,598</w:t>
            </w:r>
          </w:p>
        </w:tc>
      </w:tr>
      <w:tr>
        <w:trPr>
          <w:trHeight w:val="208"/>
        </w:trPr>
        <w:tc>
          <w:tcPr>
            <w:tcW w:w="1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105.9200</w:t>
            </w:r>
          </w:p>
        </w:tc>
        <w:tc>
          <w:tcPr>
            <w:tcW w:w="1020" w:type="dxa"/>
            <w:vAlign w:val="bottom"/>
          </w:tcPr>
          <w:p>
            <w:pPr>
              <w:jc w:val="right"/>
              <w:spacing w:after="0"/>
              <w:rPr>
                <w:sz w:val="20"/>
                <w:szCs w:val="20"/>
                <w:color w:val="auto"/>
              </w:rPr>
            </w:pPr>
            <w:r>
              <w:rPr>
                <w:rFonts w:ascii="Arial" w:cs="Arial" w:eastAsia="Arial" w:hAnsi="Arial"/>
                <w:sz w:val="18"/>
                <w:szCs w:val="18"/>
                <w:color w:val="auto"/>
              </w:rPr>
              <w:t>2/17/2031</w:t>
            </w:r>
          </w:p>
        </w:tc>
        <w:tc>
          <w:tcPr>
            <w:tcW w:w="100" w:type="dxa"/>
            <w:vAlign w:val="bottom"/>
            <w:tcBorders>
              <w:right w:val="single" w:sz="8" w:color="000039"/>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144.5400</w:t>
            </w:r>
          </w:p>
        </w:tc>
        <w:tc>
          <w:tcPr>
            <w:tcW w:w="1020" w:type="dxa"/>
            <w:vAlign w:val="bottom"/>
          </w:tcPr>
          <w:p>
            <w:pPr>
              <w:jc w:val="right"/>
              <w:spacing w:after="0"/>
              <w:rPr>
                <w:sz w:val="20"/>
                <w:szCs w:val="20"/>
                <w:color w:val="auto"/>
              </w:rPr>
            </w:pPr>
            <w:r>
              <w:rPr>
                <w:rFonts w:ascii="Arial" w:cs="Arial" w:eastAsia="Arial" w:hAnsi="Arial"/>
                <w:sz w:val="18"/>
                <w:szCs w:val="18"/>
                <w:color w:val="auto"/>
              </w:rPr>
              <w:t>2/16/2032</w:t>
            </w:r>
          </w:p>
        </w:tc>
        <w:tc>
          <w:tcPr>
            <w:tcW w:w="100" w:type="dxa"/>
            <w:vAlign w:val="bottom"/>
            <w:tcBorders>
              <w:right w:val="single" w:sz="8" w:color="000039"/>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1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22,507</w:t>
            </w:r>
          </w:p>
        </w:tc>
        <w:tc>
          <w:tcPr>
            <w:tcW w:w="1140" w:type="dxa"/>
            <w:vAlign w:val="bottom"/>
          </w:tcPr>
          <w:p>
            <w:pPr>
              <w:jc w:val="right"/>
              <w:spacing w:after="0"/>
              <w:rPr>
                <w:sz w:val="20"/>
                <w:szCs w:val="20"/>
                <w:color w:val="auto"/>
              </w:rPr>
            </w:pPr>
            <w:r>
              <w:rPr>
                <w:rFonts w:ascii="Arial" w:cs="Arial" w:eastAsia="Arial" w:hAnsi="Arial"/>
                <w:sz w:val="18"/>
                <w:szCs w:val="18"/>
                <w:color w:val="auto"/>
              </w:rPr>
              <w:t>11,253</w:t>
            </w:r>
          </w:p>
        </w:tc>
        <w:tc>
          <w:tcPr>
            <w:tcW w:w="220" w:type="dxa"/>
            <w:vAlign w:val="bottom"/>
          </w:tcPr>
          <w:p>
            <w:pPr>
              <w:jc w:val="center"/>
              <w:ind w:right="20"/>
              <w:spacing w:after="0"/>
              <w:rPr>
                <w:sz w:val="20"/>
                <w:szCs w:val="20"/>
                <w:color w:val="auto"/>
              </w:rPr>
            </w:pPr>
            <w:r>
              <w:rPr>
                <w:rFonts w:ascii="Arial" w:cs="Arial" w:eastAsia="Arial" w:hAnsi="Arial"/>
                <w:sz w:val="12"/>
                <w:szCs w:val="12"/>
                <w:color w:val="auto"/>
                <w:w w:val="95"/>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149.6200</w:t>
            </w:r>
          </w:p>
        </w:tc>
        <w:tc>
          <w:tcPr>
            <w:tcW w:w="1020" w:type="dxa"/>
            <w:vAlign w:val="bottom"/>
          </w:tcPr>
          <w:p>
            <w:pPr>
              <w:jc w:val="right"/>
              <w:spacing w:after="0"/>
              <w:rPr>
                <w:sz w:val="20"/>
                <w:szCs w:val="20"/>
                <w:color w:val="auto"/>
              </w:rPr>
            </w:pPr>
            <w:r>
              <w:rPr>
                <w:rFonts w:ascii="Arial" w:cs="Arial" w:eastAsia="Arial" w:hAnsi="Arial"/>
                <w:sz w:val="18"/>
                <w:szCs w:val="18"/>
                <w:color w:val="auto"/>
              </w:rPr>
              <w:t>2/15/2033</w:t>
            </w:r>
          </w:p>
        </w:tc>
        <w:tc>
          <w:tcPr>
            <w:tcW w:w="100" w:type="dxa"/>
            <w:vAlign w:val="bottom"/>
            <w:tcBorders>
              <w:right w:val="single" w:sz="8" w:color="000039"/>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10,507</w:t>
            </w:r>
          </w:p>
        </w:tc>
        <w:tc>
          <w:tcPr>
            <w:tcW w:w="1140" w:type="dxa"/>
            <w:vAlign w:val="bottom"/>
          </w:tcPr>
          <w:p>
            <w:pPr>
              <w:jc w:val="right"/>
              <w:spacing w:after="0"/>
              <w:rPr>
                <w:sz w:val="20"/>
                <w:szCs w:val="20"/>
                <w:color w:val="auto"/>
              </w:rPr>
            </w:pPr>
            <w:r>
              <w:rPr>
                <w:rFonts w:ascii="Arial" w:cs="Arial" w:eastAsia="Arial" w:hAnsi="Arial"/>
                <w:sz w:val="18"/>
                <w:szCs w:val="18"/>
                <w:color w:val="auto"/>
              </w:rPr>
              <w:t>21,013</w:t>
            </w:r>
          </w:p>
        </w:tc>
        <w:tc>
          <w:tcPr>
            <w:tcW w:w="220" w:type="dxa"/>
            <w:vAlign w:val="bottom"/>
          </w:tcPr>
          <w:p>
            <w:pPr>
              <w:jc w:val="center"/>
              <w:ind w:right="20"/>
              <w:spacing w:after="0"/>
              <w:rPr>
                <w:sz w:val="20"/>
                <w:szCs w:val="20"/>
                <w:color w:val="auto"/>
              </w:rPr>
            </w:pPr>
            <w:r>
              <w:rPr>
                <w:rFonts w:ascii="Arial" w:cs="Arial" w:eastAsia="Arial" w:hAnsi="Arial"/>
                <w:sz w:val="12"/>
                <w:szCs w:val="12"/>
                <w:color w:val="auto"/>
                <w:w w:val="95"/>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175.2800</w:t>
            </w:r>
          </w:p>
        </w:tc>
        <w:tc>
          <w:tcPr>
            <w:tcW w:w="1020" w:type="dxa"/>
            <w:vAlign w:val="bottom"/>
          </w:tcPr>
          <w:p>
            <w:pPr>
              <w:jc w:val="right"/>
              <w:spacing w:after="0"/>
              <w:rPr>
                <w:sz w:val="20"/>
                <w:szCs w:val="20"/>
                <w:color w:val="auto"/>
              </w:rPr>
            </w:pPr>
            <w:r>
              <w:rPr>
                <w:rFonts w:ascii="Arial" w:cs="Arial" w:eastAsia="Arial" w:hAnsi="Arial"/>
                <w:sz w:val="18"/>
                <w:szCs w:val="18"/>
                <w:color w:val="auto"/>
              </w:rPr>
              <w:t>2/14/2034</w:t>
            </w:r>
          </w:p>
        </w:tc>
        <w:tc>
          <w:tcPr>
            <w:tcW w:w="100" w:type="dxa"/>
            <w:vAlign w:val="bottom"/>
            <w:tcBorders>
              <w:right w:val="single" w:sz="8" w:color="000039"/>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1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27,343</w:t>
            </w:r>
          </w:p>
        </w:tc>
        <w:tc>
          <w:tcPr>
            <w:tcW w:w="220" w:type="dxa"/>
            <w:vAlign w:val="bottom"/>
          </w:tcPr>
          <w:p>
            <w:pPr>
              <w:jc w:val="center"/>
              <w:ind w:right="20"/>
              <w:spacing w:after="0"/>
              <w:rPr>
                <w:sz w:val="20"/>
                <w:szCs w:val="20"/>
                <w:color w:val="auto"/>
              </w:rPr>
            </w:pPr>
            <w:r>
              <w:rPr>
                <w:rFonts w:ascii="Arial" w:cs="Arial" w:eastAsia="Arial" w:hAnsi="Arial"/>
                <w:sz w:val="12"/>
                <w:szCs w:val="12"/>
                <w:color w:val="auto"/>
                <w:w w:val="95"/>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192.8600</w:t>
            </w:r>
          </w:p>
        </w:tc>
        <w:tc>
          <w:tcPr>
            <w:tcW w:w="1020" w:type="dxa"/>
            <w:vAlign w:val="bottom"/>
          </w:tcPr>
          <w:p>
            <w:pPr>
              <w:jc w:val="right"/>
              <w:spacing w:after="0"/>
              <w:rPr>
                <w:sz w:val="20"/>
                <w:szCs w:val="20"/>
                <w:color w:val="auto"/>
              </w:rPr>
            </w:pPr>
            <w:r>
              <w:rPr>
                <w:rFonts w:ascii="Arial" w:cs="Arial" w:eastAsia="Arial" w:hAnsi="Arial"/>
                <w:sz w:val="18"/>
                <w:szCs w:val="18"/>
                <w:color w:val="auto"/>
              </w:rPr>
              <w:t>2/12/2035</w:t>
            </w:r>
          </w:p>
        </w:tc>
        <w:tc>
          <w:tcPr>
            <w:tcW w:w="100" w:type="dxa"/>
            <w:vAlign w:val="bottom"/>
            <w:tcBorders>
              <w:right w:val="single" w:sz="8" w:color="000039"/>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1660" w:type="dxa"/>
            <w:vAlign w:val="bottom"/>
            <w:shd w:val="clear" w:color="auto" w:fill="D9D9D9"/>
          </w:tcPr>
          <w:p>
            <w:pPr>
              <w:spacing w:after="0" w:line="188" w:lineRule="exact"/>
              <w:rPr>
                <w:sz w:val="20"/>
                <w:szCs w:val="20"/>
                <w:color w:val="auto"/>
              </w:rPr>
            </w:pPr>
            <w:r>
              <w:rPr>
                <w:rFonts w:ascii="Arial" w:cs="Arial" w:eastAsia="Arial" w:hAnsi="Arial"/>
                <w:sz w:val="18"/>
                <w:szCs w:val="18"/>
                <w:color w:val="auto"/>
              </w:rPr>
              <w:t>J. Stewart</w:t>
            </w:r>
          </w:p>
        </w:tc>
        <w:tc>
          <w:tcPr>
            <w:tcW w:w="88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16,070</w:t>
            </w:r>
          </w:p>
        </w:tc>
        <w:tc>
          <w:tcPr>
            <w:tcW w:w="114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114.3600</w:t>
            </w:r>
          </w:p>
        </w:tc>
        <w:tc>
          <w:tcPr>
            <w:tcW w:w="102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2/14/2028</w:t>
            </w:r>
          </w:p>
        </w:tc>
        <w:tc>
          <w:tcPr>
            <w:tcW w:w="100" w:type="dxa"/>
            <w:vAlign w:val="bottom"/>
            <w:tcBorders>
              <w:right w:val="single" w:sz="8" w:color="000039"/>
            </w:tcBorders>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18,534</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4,234,834</w:t>
            </w:r>
          </w:p>
        </w:tc>
      </w:tr>
      <w:tr>
        <w:trPr>
          <w:trHeight w:val="208"/>
        </w:trPr>
        <w:tc>
          <w:tcPr>
            <w:tcW w:w="1660" w:type="dxa"/>
            <w:vAlign w:val="bottom"/>
            <w:shd w:val="clear" w:color="auto" w:fill="D9D9D9"/>
          </w:tcPr>
          <w:p>
            <w:pPr>
              <w:spacing w:after="0"/>
              <w:rPr>
                <w:sz w:val="18"/>
                <w:szCs w:val="18"/>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49,099</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93.5000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2/19/2030</w:t>
            </w:r>
          </w:p>
        </w:tc>
        <w:tc>
          <w:tcPr>
            <w:tcW w:w="100" w:type="dxa"/>
            <w:vAlign w:val="bottom"/>
            <w:tcBorders>
              <w:right w:val="single" w:sz="8" w:color="000039"/>
            </w:tcBorders>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23,580</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5,387,794</w:t>
            </w:r>
          </w:p>
        </w:tc>
      </w:tr>
      <w:tr>
        <w:trPr>
          <w:trHeight w:val="225"/>
        </w:trPr>
        <w:tc>
          <w:tcPr>
            <w:tcW w:w="166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43,478</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105.9200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2/17/2031</w:t>
            </w:r>
          </w:p>
        </w:tc>
        <w:tc>
          <w:tcPr>
            <w:tcW w:w="100" w:type="dxa"/>
            <w:vAlign w:val="bottom"/>
            <w:tcBorders>
              <w:right w:val="single" w:sz="8" w:color="000039"/>
            </w:tcBorders>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26,962</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6,160,547</w:t>
            </w:r>
          </w:p>
        </w:tc>
      </w:tr>
      <w:tr>
        <w:trPr>
          <w:trHeight w:val="188"/>
        </w:trPr>
        <w:tc>
          <w:tcPr>
            <w:tcW w:w="1660" w:type="dxa"/>
            <w:vAlign w:val="bottom"/>
            <w:shd w:val="clear" w:color="auto" w:fill="D9D9D9"/>
          </w:tcPr>
          <w:p>
            <w:pPr>
              <w:spacing w:after="0"/>
              <w:rPr>
                <w:sz w:val="16"/>
                <w:szCs w:val="16"/>
                <w:color w:val="auto"/>
              </w:rPr>
            </w:pPr>
          </w:p>
        </w:tc>
        <w:tc>
          <w:tcPr>
            <w:tcW w:w="88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37,215</w:t>
            </w:r>
          </w:p>
        </w:tc>
        <w:tc>
          <w:tcPr>
            <w:tcW w:w="114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144.5400</w:t>
            </w:r>
          </w:p>
        </w:tc>
        <w:tc>
          <w:tcPr>
            <w:tcW w:w="102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2/16/2032</w:t>
            </w:r>
          </w:p>
        </w:tc>
        <w:tc>
          <w:tcPr>
            <w:tcW w:w="100" w:type="dxa"/>
            <w:vAlign w:val="bottom"/>
            <w:tcBorders>
              <w:right w:val="single" w:sz="8" w:color="000039"/>
            </w:tcBorders>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6"/>
                <w:szCs w:val="16"/>
                <w:color w:val="auto"/>
              </w:rPr>
            </w:pPr>
          </w:p>
        </w:tc>
        <w:tc>
          <w:tcPr>
            <w:tcW w:w="1100" w:type="dxa"/>
            <w:vAlign w:val="bottom"/>
            <w:shd w:val="clear" w:color="auto" w:fill="D9D9D9"/>
          </w:tcPr>
          <w:p>
            <w:pPr>
              <w:jc w:val="right"/>
              <w:spacing w:after="0" w:line="188" w:lineRule="exact"/>
              <w:rPr>
                <w:sz w:val="20"/>
                <w:szCs w:val="20"/>
                <w:color w:val="auto"/>
              </w:rPr>
            </w:pPr>
            <w:r>
              <w:rPr>
                <w:rFonts w:ascii="Arial" w:cs="Arial" w:eastAsia="Arial" w:hAnsi="Arial"/>
                <w:sz w:val="18"/>
                <w:szCs w:val="18"/>
                <w:color w:val="auto"/>
              </w:rPr>
              <w:t>—</w:t>
            </w:r>
          </w:p>
        </w:tc>
      </w:tr>
      <w:tr>
        <w:trPr>
          <w:trHeight w:val="208"/>
        </w:trPr>
        <w:tc>
          <w:tcPr>
            <w:tcW w:w="1660" w:type="dxa"/>
            <w:vAlign w:val="bottom"/>
            <w:shd w:val="clear" w:color="auto" w:fill="D9D9D9"/>
          </w:tcPr>
          <w:p>
            <w:pPr>
              <w:spacing w:after="0"/>
              <w:rPr>
                <w:sz w:val="18"/>
                <w:szCs w:val="18"/>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23,408</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11,703</w:t>
            </w:r>
          </w:p>
        </w:tc>
        <w:tc>
          <w:tcPr>
            <w:tcW w:w="22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D9D9D9"/>
          </w:tcPr>
          <w:p>
            <w:pPr>
              <w:spacing w:after="0"/>
              <w:rPr>
                <w:sz w:val="18"/>
                <w:szCs w:val="18"/>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149.6200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highlight w:val="lightGray"/>
              </w:rPr>
              <w:t>2/15/2033</w:t>
            </w:r>
          </w:p>
        </w:tc>
        <w:tc>
          <w:tcPr>
            <w:tcW w:w="100" w:type="dxa"/>
            <w:vAlign w:val="bottom"/>
            <w:tcBorders>
              <w:right w:val="single" w:sz="8" w:color="000039"/>
            </w:tcBorders>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8"/>
                <w:szCs w:val="18"/>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166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13,029</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26,056</w:t>
            </w:r>
          </w:p>
        </w:tc>
        <w:tc>
          <w:tcPr>
            <w:tcW w:w="22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175.2800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2/14/2034</w:t>
            </w:r>
          </w:p>
        </w:tc>
        <w:tc>
          <w:tcPr>
            <w:tcW w:w="100" w:type="dxa"/>
            <w:vAlign w:val="bottom"/>
            <w:tcBorders>
              <w:right w:val="single" w:sz="8" w:color="000039"/>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166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33,854</w:t>
            </w:r>
          </w:p>
        </w:tc>
        <w:tc>
          <w:tcPr>
            <w:tcW w:w="22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192.8600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2/12/2035</w:t>
            </w:r>
          </w:p>
        </w:tc>
        <w:tc>
          <w:tcPr>
            <w:tcW w:w="100" w:type="dxa"/>
            <w:vAlign w:val="bottom"/>
            <w:tcBorders>
              <w:right w:val="single" w:sz="8" w:color="000039"/>
            </w:tcBorders>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1660" w:type="dxa"/>
            <w:vAlign w:val="bottom"/>
          </w:tcPr>
          <w:p>
            <w:pPr>
              <w:spacing w:after="0" w:line="188" w:lineRule="exact"/>
              <w:rPr>
                <w:sz w:val="20"/>
                <w:szCs w:val="20"/>
                <w:color w:val="auto"/>
              </w:rPr>
            </w:pPr>
            <w:r>
              <w:rPr>
                <w:rFonts w:ascii="Arial" w:cs="Arial" w:eastAsia="Arial" w:hAnsi="Arial"/>
                <w:sz w:val="18"/>
                <w:szCs w:val="18"/>
                <w:color w:val="auto"/>
              </w:rPr>
              <w:t>A. Saleki-Gerhardt</w:t>
            </w: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47,870</w:t>
            </w:r>
          </w:p>
        </w:tc>
        <w:tc>
          <w:tcPr>
            <w:tcW w:w="114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Arial" w:cs="Arial" w:eastAsia="Arial" w:hAnsi="Arial"/>
                <w:sz w:val="18"/>
                <w:szCs w:val="18"/>
                <w:color w:val="auto"/>
              </w:rPr>
              <w:t>61.3600</w:t>
            </w: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2/15/2027</w:t>
            </w:r>
          </w:p>
        </w:tc>
        <w:tc>
          <w:tcPr>
            <w:tcW w:w="100" w:type="dxa"/>
            <w:vAlign w:val="bottom"/>
            <w:tcBorders>
              <w:right w:val="single" w:sz="8" w:color="000039"/>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Arial" w:cs="Arial" w:eastAsia="Arial" w:hAnsi="Arial"/>
                <w:sz w:val="18"/>
                <w:szCs w:val="18"/>
                <w:color w:val="auto"/>
              </w:rPr>
              <w:t>12,118</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tcPr>
          <w:p>
            <w:pPr>
              <w:jc w:val="right"/>
              <w:spacing w:after="0" w:line="188" w:lineRule="exact"/>
              <w:rPr>
                <w:sz w:val="20"/>
                <w:szCs w:val="20"/>
                <w:color w:val="auto"/>
              </w:rPr>
            </w:pPr>
            <w:r>
              <w:rPr>
                <w:rFonts w:ascii="Arial" w:cs="Arial" w:eastAsia="Arial" w:hAnsi="Arial"/>
                <w:sz w:val="18"/>
                <w:szCs w:val="18"/>
                <w:color w:val="auto"/>
              </w:rPr>
              <w:t>2,768,842</w:t>
            </w:r>
          </w:p>
        </w:tc>
      </w:tr>
      <w:tr>
        <w:trPr>
          <w:trHeight w:val="208"/>
        </w:trPr>
        <w:tc>
          <w:tcPr>
            <w:tcW w:w="1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23,160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114.3600</w:t>
            </w:r>
          </w:p>
        </w:tc>
        <w:tc>
          <w:tcPr>
            <w:tcW w:w="1020" w:type="dxa"/>
            <w:vAlign w:val="bottom"/>
          </w:tcPr>
          <w:p>
            <w:pPr>
              <w:jc w:val="right"/>
              <w:spacing w:after="0"/>
              <w:rPr>
                <w:sz w:val="20"/>
                <w:szCs w:val="20"/>
                <w:color w:val="auto"/>
              </w:rPr>
            </w:pPr>
            <w:r>
              <w:rPr>
                <w:rFonts w:ascii="Arial" w:cs="Arial" w:eastAsia="Arial" w:hAnsi="Arial"/>
                <w:sz w:val="18"/>
                <w:szCs w:val="18"/>
                <w:color w:val="auto"/>
              </w:rPr>
              <w:t>2/14/2028</w:t>
            </w:r>
          </w:p>
        </w:tc>
        <w:tc>
          <w:tcPr>
            <w:tcW w:w="100" w:type="dxa"/>
            <w:vAlign w:val="bottom"/>
            <w:tcBorders>
              <w:right w:val="single" w:sz="8" w:color="000039"/>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17,685</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4,040,846</w:t>
            </w:r>
          </w:p>
        </w:tc>
      </w:tr>
      <w:tr>
        <w:trPr>
          <w:trHeight w:val="206"/>
        </w:trPr>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34,267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79.0200</w:t>
            </w:r>
          </w:p>
        </w:tc>
        <w:tc>
          <w:tcPr>
            <w:tcW w:w="1020" w:type="dxa"/>
            <w:vAlign w:val="bottom"/>
          </w:tcPr>
          <w:p>
            <w:pPr>
              <w:jc w:val="right"/>
              <w:spacing w:after="0"/>
              <w:rPr>
                <w:sz w:val="20"/>
                <w:szCs w:val="20"/>
                <w:color w:val="auto"/>
              </w:rPr>
            </w:pPr>
            <w:r>
              <w:rPr>
                <w:rFonts w:ascii="Arial" w:cs="Arial" w:eastAsia="Arial" w:hAnsi="Arial"/>
                <w:sz w:val="18"/>
                <w:szCs w:val="18"/>
                <w:color w:val="auto"/>
              </w:rPr>
              <w:t>2/20/2029</w:t>
            </w:r>
          </w:p>
        </w:tc>
        <w:tc>
          <w:tcPr>
            <w:tcW w:w="100" w:type="dxa"/>
            <w:vAlign w:val="bottom"/>
            <w:tcBorders>
              <w:right w:val="single" w:sz="8" w:color="000039"/>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19,910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4,549,236</w:t>
            </w:r>
          </w:p>
        </w:tc>
      </w:tr>
      <w:tr>
        <w:trPr>
          <w:trHeight w:val="208"/>
        </w:trPr>
        <w:tc>
          <w:tcPr>
            <w:tcW w:w="1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73,649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93.5000</w:t>
            </w:r>
          </w:p>
        </w:tc>
        <w:tc>
          <w:tcPr>
            <w:tcW w:w="1020" w:type="dxa"/>
            <w:vAlign w:val="bottom"/>
          </w:tcPr>
          <w:p>
            <w:pPr>
              <w:jc w:val="right"/>
              <w:spacing w:after="0"/>
              <w:rPr>
                <w:sz w:val="20"/>
                <w:szCs w:val="20"/>
                <w:color w:val="auto"/>
              </w:rPr>
            </w:pPr>
            <w:r>
              <w:rPr>
                <w:rFonts w:ascii="Arial" w:cs="Arial" w:eastAsia="Arial" w:hAnsi="Arial"/>
                <w:sz w:val="18"/>
                <w:szCs w:val="18"/>
                <w:color w:val="auto"/>
              </w:rPr>
              <w:t>2/19/2030</w:t>
            </w:r>
          </w:p>
        </w:tc>
        <w:tc>
          <w:tcPr>
            <w:tcW w:w="100" w:type="dxa"/>
            <w:vAlign w:val="bottom"/>
            <w:tcBorders>
              <w:right w:val="single" w:sz="8" w:color="000039"/>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42,236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105.9200</w:t>
            </w:r>
          </w:p>
        </w:tc>
        <w:tc>
          <w:tcPr>
            <w:tcW w:w="1020" w:type="dxa"/>
            <w:vAlign w:val="bottom"/>
          </w:tcPr>
          <w:p>
            <w:pPr>
              <w:jc w:val="right"/>
              <w:spacing w:after="0"/>
              <w:rPr>
                <w:sz w:val="20"/>
                <w:szCs w:val="20"/>
                <w:color w:val="auto"/>
              </w:rPr>
            </w:pPr>
            <w:r>
              <w:rPr>
                <w:rFonts w:ascii="Arial" w:cs="Arial" w:eastAsia="Arial" w:hAnsi="Arial"/>
                <w:sz w:val="18"/>
                <w:szCs w:val="18"/>
                <w:color w:val="auto"/>
              </w:rPr>
              <w:t>2/17/2031</w:t>
            </w:r>
          </w:p>
        </w:tc>
        <w:tc>
          <w:tcPr>
            <w:tcW w:w="100" w:type="dxa"/>
            <w:vAlign w:val="bottom"/>
            <w:tcBorders>
              <w:right w:val="single" w:sz="8" w:color="000039"/>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1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35,026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144.5400</w:t>
            </w:r>
          </w:p>
        </w:tc>
        <w:tc>
          <w:tcPr>
            <w:tcW w:w="1020" w:type="dxa"/>
            <w:vAlign w:val="bottom"/>
          </w:tcPr>
          <w:p>
            <w:pPr>
              <w:jc w:val="right"/>
              <w:spacing w:after="0"/>
              <w:rPr>
                <w:sz w:val="20"/>
                <w:szCs w:val="20"/>
                <w:color w:val="auto"/>
              </w:rPr>
            </w:pPr>
            <w:r>
              <w:rPr>
                <w:rFonts w:ascii="Arial" w:cs="Arial" w:eastAsia="Arial" w:hAnsi="Arial"/>
                <w:sz w:val="18"/>
                <w:szCs w:val="18"/>
                <w:color w:val="auto"/>
              </w:rPr>
              <w:t>2/16/2032</w:t>
            </w:r>
          </w:p>
        </w:tc>
        <w:tc>
          <w:tcPr>
            <w:tcW w:w="100" w:type="dxa"/>
            <w:vAlign w:val="bottom"/>
            <w:tcBorders>
              <w:right w:val="single" w:sz="8" w:color="000039"/>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15,305</w:t>
            </w:r>
          </w:p>
        </w:tc>
        <w:tc>
          <w:tcPr>
            <w:tcW w:w="1140" w:type="dxa"/>
            <w:vAlign w:val="bottom"/>
          </w:tcPr>
          <w:p>
            <w:pPr>
              <w:jc w:val="right"/>
              <w:spacing w:after="0"/>
              <w:rPr>
                <w:sz w:val="20"/>
                <w:szCs w:val="20"/>
                <w:color w:val="auto"/>
              </w:rPr>
            </w:pPr>
            <w:r>
              <w:rPr>
                <w:rFonts w:ascii="Arial" w:cs="Arial" w:eastAsia="Arial" w:hAnsi="Arial"/>
                <w:sz w:val="18"/>
                <w:szCs w:val="18"/>
                <w:color w:val="auto"/>
              </w:rPr>
              <w:t>7,652</w:t>
            </w:r>
          </w:p>
        </w:tc>
        <w:tc>
          <w:tcPr>
            <w:tcW w:w="220" w:type="dxa"/>
            <w:vAlign w:val="bottom"/>
          </w:tcPr>
          <w:p>
            <w:pPr>
              <w:jc w:val="center"/>
              <w:ind w:right="20"/>
              <w:spacing w:after="0"/>
              <w:rPr>
                <w:sz w:val="20"/>
                <w:szCs w:val="20"/>
                <w:color w:val="auto"/>
              </w:rPr>
            </w:pPr>
            <w:r>
              <w:rPr>
                <w:rFonts w:ascii="Arial" w:cs="Arial" w:eastAsia="Arial" w:hAnsi="Arial"/>
                <w:sz w:val="12"/>
                <w:szCs w:val="12"/>
                <w:color w:val="auto"/>
                <w:w w:val="95"/>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149.6200</w:t>
            </w:r>
          </w:p>
        </w:tc>
        <w:tc>
          <w:tcPr>
            <w:tcW w:w="1020" w:type="dxa"/>
            <w:vAlign w:val="bottom"/>
          </w:tcPr>
          <w:p>
            <w:pPr>
              <w:jc w:val="right"/>
              <w:spacing w:after="0"/>
              <w:rPr>
                <w:sz w:val="20"/>
                <w:szCs w:val="20"/>
                <w:color w:val="auto"/>
              </w:rPr>
            </w:pPr>
            <w:r>
              <w:rPr>
                <w:rFonts w:ascii="Arial" w:cs="Arial" w:eastAsia="Arial" w:hAnsi="Arial"/>
                <w:sz w:val="18"/>
                <w:szCs w:val="18"/>
                <w:color w:val="auto"/>
              </w:rPr>
              <w:t>2/15/2033</w:t>
            </w:r>
          </w:p>
        </w:tc>
        <w:tc>
          <w:tcPr>
            <w:tcW w:w="100" w:type="dxa"/>
            <w:vAlign w:val="bottom"/>
            <w:tcBorders>
              <w:right w:val="single" w:sz="8" w:color="000039"/>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1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9,771</w:t>
            </w:r>
          </w:p>
        </w:tc>
        <w:tc>
          <w:tcPr>
            <w:tcW w:w="1140" w:type="dxa"/>
            <w:vAlign w:val="bottom"/>
          </w:tcPr>
          <w:p>
            <w:pPr>
              <w:jc w:val="right"/>
              <w:spacing w:after="0"/>
              <w:rPr>
                <w:sz w:val="20"/>
                <w:szCs w:val="20"/>
                <w:color w:val="auto"/>
              </w:rPr>
            </w:pPr>
            <w:r>
              <w:rPr>
                <w:rFonts w:ascii="Arial" w:cs="Arial" w:eastAsia="Arial" w:hAnsi="Arial"/>
                <w:sz w:val="18"/>
                <w:szCs w:val="18"/>
                <w:color w:val="auto"/>
              </w:rPr>
              <w:t>19,542</w:t>
            </w:r>
          </w:p>
        </w:tc>
        <w:tc>
          <w:tcPr>
            <w:tcW w:w="220" w:type="dxa"/>
            <w:vAlign w:val="bottom"/>
          </w:tcPr>
          <w:p>
            <w:pPr>
              <w:jc w:val="center"/>
              <w:ind w:right="20"/>
              <w:spacing w:after="0"/>
              <w:rPr>
                <w:sz w:val="20"/>
                <w:szCs w:val="20"/>
                <w:color w:val="auto"/>
              </w:rPr>
            </w:pPr>
            <w:r>
              <w:rPr>
                <w:rFonts w:ascii="Arial" w:cs="Arial" w:eastAsia="Arial" w:hAnsi="Arial"/>
                <w:sz w:val="12"/>
                <w:szCs w:val="12"/>
                <w:color w:val="auto"/>
                <w:w w:val="95"/>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175.2800</w:t>
            </w:r>
          </w:p>
        </w:tc>
        <w:tc>
          <w:tcPr>
            <w:tcW w:w="1020" w:type="dxa"/>
            <w:vAlign w:val="bottom"/>
          </w:tcPr>
          <w:p>
            <w:pPr>
              <w:jc w:val="right"/>
              <w:spacing w:after="0"/>
              <w:rPr>
                <w:sz w:val="20"/>
                <w:szCs w:val="20"/>
                <w:color w:val="auto"/>
              </w:rPr>
            </w:pPr>
            <w:r>
              <w:rPr>
                <w:rFonts w:ascii="Arial" w:cs="Arial" w:eastAsia="Arial" w:hAnsi="Arial"/>
                <w:sz w:val="18"/>
                <w:szCs w:val="18"/>
                <w:color w:val="auto"/>
              </w:rPr>
              <w:t>2/14/2034</w:t>
            </w:r>
          </w:p>
        </w:tc>
        <w:tc>
          <w:tcPr>
            <w:tcW w:w="100" w:type="dxa"/>
            <w:vAlign w:val="bottom"/>
            <w:tcBorders>
              <w:right w:val="single" w:sz="8" w:color="000039"/>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1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jc w:val="center"/>
              <w:ind w:right="20"/>
              <w:spacing w:after="0"/>
              <w:rPr>
                <w:sz w:val="20"/>
                <w:szCs w:val="20"/>
                <w:color w:val="auto"/>
              </w:rPr>
            </w:pPr>
            <w:r>
              <w:rPr>
                <w:rFonts w:ascii="Arial" w:cs="Arial" w:eastAsia="Arial" w:hAnsi="Arial"/>
                <w:sz w:val="12"/>
                <w:szCs w:val="12"/>
                <w:color w:val="auto"/>
                <w:w w:val="95"/>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192.8600</w:t>
            </w:r>
          </w:p>
        </w:tc>
        <w:tc>
          <w:tcPr>
            <w:tcW w:w="1020" w:type="dxa"/>
            <w:vAlign w:val="bottom"/>
          </w:tcPr>
          <w:p>
            <w:pPr>
              <w:jc w:val="right"/>
              <w:spacing w:after="0"/>
              <w:rPr>
                <w:sz w:val="20"/>
                <w:szCs w:val="20"/>
                <w:color w:val="auto"/>
              </w:rPr>
            </w:pPr>
            <w:r>
              <w:rPr>
                <w:rFonts w:ascii="Arial" w:cs="Arial" w:eastAsia="Arial" w:hAnsi="Arial"/>
                <w:sz w:val="18"/>
                <w:szCs w:val="18"/>
                <w:color w:val="auto"/>
              </w:rPr>
              <w:t>2/12/2035</w:t>
            </w:r>
          </w:p>
        </w:tc>
        <w:tc>
          <w:tcPr>
            <w:tcW w:w="100" w:type="dxa"/>
            <w:vAlign w:val="bottom"/>
            <w:tcBorders>
              <w:right w:val="single" w:sz="8" w:color="000039"/>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1660" w:type="dxa"/>
            <w:vAlign w:val="bottom"/>
            <w:shd w:val="clear" w:color="auto" w:fill="D9D9D9"/>
          </w:tcPr>
          <w:p>
            <w:pPr>
              <w:spacing w:after="0" w:line="189" w:lineRule="exact"/>
              <w:rPr>
                <w:sz w:val="20"/>
                <w:szCs w:val="20"/>
                <w:color w:val="auto"/>
              </w:rPr>
            </w:pPr>
            <w:r>
              <w:rPr>
                <w:rFonts w:ascii="Arial" w:cs="Arial" w:eastAsia="Arial" w:hAnsi="Arial"/>
                <w:sz w:val="18"/>
                <w:szCs w:val="18"/>
                <w:color w:val="auto"/>
              </w:rPr>
              <w:t>R. Thakkar</w:t>
            </w:r>
          </w:p>
        </w:tc>
        <w:tc>
          <w:tcPr>
            <w:tcW w:w="88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color w:val="auto"/>
              </w:rPr>
              <w:t>18,003</w:t>
            </w:r>
          </w:p>
        </w:tc>
        <w:tc>
          <w:tcPr>
            <w:tcW w:w="114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color w:val="auto"/>
                <w:highlight w:val="lightGray"/>
              </w:rPr>
              <w:t>93.5000</w:t>
            </w:r>
          </w:p>
        </w:tc>
        <w:tc>
          <w:tcPr>
            <w:tcW w:w="102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color w:val="auto"/>
                <w:highlight w:val="lightGray"/>
              </w:rPr>
              <w:t>2/19/2030</w:t>
            </w:r>
          </w:p>
        </w:tc>
        <w:tc>
          <w:tcPr>
            <w:tcW w:w="100" w:type="dxa"/>
            <w:vAlign w:val="bottom"/>
            <w:tcBorders>
              <w:right w:val="single" w:sz="8" w:color="000039"/>
            </w:tcBorders>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color w:val="auto"/>
              </w:rPr>
              <w:t>4,277</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color w:val="auto"/>
              </w:rPr>
              <w:t>977,252</w:t>
            </w:r>
          </w:p>
        </w:tc>
      </w:tr>
      <w:tr>
        <w:trPr>
          <w:trHeight w:val="206"/>
        </w:trPr>
        <w:tc>
          <w:tcPr>
            <w:tcW w:w="166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7,763</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105.9200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2/17/2031</w:t>
            </w:r>
          </w:p>
        </w:tc>
        <w:tc>
          <w:tcPr>
            <w:tcW w:w="100" w:type="dxa"/>
            <w:vAlign w:val="bottom"/>
            <w:tcBorders>
              <w:right w:val="single" w:sz="8" w:color="000039"/>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8,366</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1,911,547</w:t>
            </w:r>
          </w:p>
        </w:tc>
      </w:tr>
      <w:tr>
        <w:trPr>
          <w:trHeight w:val="208"/>
        </w:trPr>
        <w:tc>
          <w:tcPr>
            <w:tcW w:w="1660" w:type="dxa"/>
            <w:vAlign w:val="bottom"/>
            <w:shd w:val="clear" w:color="auto" w:fill="D9D9D9"/>
          </w:tcPr>
          <w:p>
            <w:pPr>
              <w:spacing w:after="0"/>
              <w:rPr>
                <w:sz w:val="18"/>
                <w:szCs w:val="18"/>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7,005</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144.5400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2/16/2032</w:t>
            </w:r>
          </w:p>
        </w:tc>
        <w:tc>
          <w:tcPr>
            <w:tcW w:w="100" w:type="dxa"/>
            <w:vAlign w:val="bottom"/>
            <w:tcBorders>
              <w:right w:val="single" w:sz="8" w:color="000039"/>
            </w:tcBorders>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19,910</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4,549,236</w:t>
            </w:r>
          </w:p>
        </w:tc>
      </w:tr>
      <w:tr>
        <w:trPr>
          <w:trHeight w:val="206"/>
        </w:trPr>
        <w:tc>
          <w:tcPr>
            <w:tcW w:w="166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5,402</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2,700</w:t>
            </w:r>
          </w:p>
        </w:tc>
        <w:tc>
          <w:tcPr>
            <w:tcW w:w="22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149.6200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2/15/2033</w:t>
            </w:r>
          </w:p>
        </w:tc>
        <w:tc>
          <w:tcPr>
            <w:tcW w:w="100" w:type="dxa"/>
            <w:vAlign w:val="bottom"/>
            <w:tcBorders>
              <w:right w:val="single" w:sz="8" w:color="000039"/>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7"/>
                <w:szCs w:val="17"/>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1660" w:type="dxa"/>
            <w:vAlign w:val="bottom"/>
            <w:shd w:val="clear" w:color="auto" w:fill="D9D9D9"/>
          </w:tcPr>
          <w:p>
            <w:pPr>
              <w:spacing w:after="0"/>
              <w:rPr>
                <w:sz w:val="18"/>
                <w:szCs w:val="18"/>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4,623</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9,245</w:t>
            </w:r>
          </w:p>
        </w:tc>
        <w:tc>
          <w:tcPr>
            <w:tcW w:w="22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D9D9D9"/>
          </w:tcPr>
          <w:p>
            <w:pPr>
              <w:spacing w:after="0"/>
              <w:rPr>
                <w:sz w:val="18"/>
                <w:szCs w:val="18"/>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175.2800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highlight w:val="lightGray"/>
              </w:rPr>
              <w:t>2/14/2034</w:t>
            </w:r>
          </w:p>
        </w:tc>
        <w:tc>
          <w:tcPr>
            <w:tcW w:w="100" w:type="dxa"/>
            <w:vAlign w:val="bottom"/>
            <w:tcBorders>
              <w:right w:val="single" w:sz="8" w:color="000039"/>
            </w:tcBorders>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8"/>
                <w:szCs w:val="18"/>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166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D9D9D9"/>
          </w:tcPr>
          <w:p>
            <w:pPr>
              <w:jc w:val="center"/>
              <w:ind w:right="20"/>
              <w:spacing w:after="0"/>
              <w:rPr>
                <w:sz w:val="20"/>
                <w:szCs w:val="20"/>
                <w:color w:val="auto"/>
              </w:rPr>
            </w:pPr>
            <w:r>
              <w:rPr>
                <w:rFonts w:ascii="Arial" w:cs="Arial" w:eastAsia="Arial" w:hAnsi="Arial"/>
                <w:sz w:val="12"/>
                <w:szCs w:val="12"/>
                <w:color w:val="auto"/>
                <w:w w:val="95"/>
              </w:rPr>
              <w:t>(2)</w:t>
            </w:r>
          </w:p>
        </w:tc>
        <w:tc>
          <w:tcPr>
            <w:tcW w:w="10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192.8600</w:t>
            </w: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2/12/2035</w:t>
            </w:r>
          </w:p>
        </w:tc>
        <w:tc>
          <w:tcPr>
            <w:tcW w:w="100" w:type="dxa"/>
            <w:vAlign w:val="bottom"/>
            <w:tcBorders>
              <w:right w:val="single" w:sz="8" w:color="000039"/>
            </w:tcBorders>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599565" cy="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533" o:spid="_x0000_s15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25.9pt,8.4pt" o:allowincell="f" strokecolor="#000000" strokeweight="1.02pt"/>
            </w:pict>
          </mc:Fallback>
        </mc:AlternateConten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(1) Except as noted, the stock options are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236">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84" w:name="page185"/>
    <w:bookmarkEnd w:id="184"/>
    <w:p>
      <w:pPr>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left="360" w:right="80" w:hanging="360"/>
        <w:spacing w:after="0" w:line="283" w:lineRule="auto"/>
        <w:tabs>
          <w:tab w:leader="none" w:pos="361"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vesting dates of AbbVie unexercisable stock options and unvested performance share and performance-vested restricted stock unit awards outstanding at December 31, 2025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80" w:type="dxa"/>
            <w:vAlign w:val="bottom"/>
          </w:tcPr>
          <w:p>
            <w:pPr>
              <w:spacing w:after="0"/>
              <w:rPr>
                <w:sz w:val="15"/>
                <w:szCs w:val="15"/>
                <w:color w:val="auto"/>
              </w:rPr>
            </w:pPr>
          </w:p>
        </w:tc>
        <w:tc>
          <w:tcPr>
            <w:tcW w:w="1080" w:type="dxa"/>
            <w:vAlign w:val="bottom"/>
            <w:tcBorders>
              <w:bottom w:val="single" w:sz="8" w:color="000039"/>
            </w:tcBorders>
          </w:tcPr>
          <w:p>
            <w:pPr>
              <w:spacing w:after="0"/>
              <w:rPr>
                <w:sz w:val="15"/>
                <w:szCs w:val="15"/>
                <w:color w:val="auto"/>
              </w:rPr>
            </w:pPr>
          </w:p>
        </w:tc>
        <w:tc>
          <w:tcPr>
            <w:tcW w:w="760" w:type="dxa"/>
            <w:vAlign w:val="bottom"/>
            <w:tcBorders>
              <w:bottom w:val="single" w:sz="8" w:color="000039"/>
            </w:tcBorders>
          </w:tcPr>
          <w:p>
            <w:pPr>
              <w:spacing w:after="0"/>
              <w:rPr>
                <w:sz w:val="15"/>
                <w:szCs w:val="15"/>
                <w:color w:val="auto"/>
              </w:rPr>
            </w:pPr>
          </w:p>
        </w:tc>
        <w:tc>
          <w:tcPr>
            <w:tcW w:w="1220" w:type="dxa"/>
            <w:vAlign w:val="bottom"/>
            <w:tcBorders>
              <w:bottom w:val="single" w:sz="8" w:color="000039"/>
            </w:tcBorders>
            <w:gridSpan w:val="2"/>
          </w:tcPr>
          <w:p>
            <w:pPr>
              <w:jc w:val="right"/>
              <w:ind w:right="127"/>
              <w:spacing w:after="0"/>
              <w:rPr>
                <w:sz w:val="20"/>
                <w:szCs w:val="20"/>
                <w:color w:val="auto"/>
              </w:rPr>
            </w:pPr>
            <w:r>
              <w:rPr>
                <w:rFonts w:ascii="Arial" w:cs="Arial" w:eastAsia="Arial" w:hAnsi="Arial"/>
                <w:sz w:val="14"/>
                <w:szCs w:val="14"/>
                <w:b w:val="1"/>
                <w:bCs w:val="1"/>
                <w:color w:val="000039"/>
              </w:rPr>
              <w:t>Option Awards</w:t>
            </w:r>
          </w:p>
        </w:tc>
        <w:tc>
          <w:tcPr>
            <w:tcW w:w="460" w:type="dxa"/>
            <w:vAlign w:val="bottom"/>
            <w:tcBorders>
              <w:bottom w:val="single" w:sz="8" w:color="000039"/>
            </w:tcBorders>
          </w:tcPr>
          <w:p>
            <w:pPr>
              <w:spacing w:after="0"/>
              <w:rPr>
                <w:sz w:val="15"/>
                <w:szCs w:val="15"/>
                <w:color w:val="auto"/>
              </w:rPr>
            </w:pPr>
          </w:p>
        </w:tc>
        <w:tc>
          <w:tcPr>
            <w:tcW w:w="1220" w:type="dxa"/>
            <w:vAlign w:val="bottom"/>
            <w:tcBorders>
              <w:bottom w:val="single" w:sz="8" w:color="000039"/>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000039"/>
            </w:tcBorders>
            <w:gridSpan w:val="2"/>
          </w:tcPr>
          <w:p>
            <w:pPr>
              <w:jc w:val="right"/>
              <w:ind w:right="367"/>
              <w:spacing w:after="0"/>
              <w:rPr>
                <w:sz w:val="20"/>
                <w:szCs w:val="20"/>
                <w:color w:val="auto"/>
              </w:rPr>
            </w:pPr>
            <w:r>
              <w:rPr>
                <w:rFonts w:ascii="Arial" w:cs="Arial" w:eastAsia="Arial" w:hAnsi="Arial"/>
                <w:sz w:val="14"/>
                <w:szCs w:val="14"/>
                <w:b w:val="1"/>
                <w:bCs w:val="1"/>
                <w:color w:val="000039"/>
              </w:rPr>
              <w:t>Stock or Unit Awards</w:t>
            </w:r>
          </w:p>
        </w:tc>
      </w:tr>
      <w:tr>
        <w:trPr>
          <w:trHeight w:val="135"/>
        </w:trPr>
        <w:tc>
          <w:tcPr>
            <w:tcW w:w="278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4"/>
                <w:szCs w:val="14"/>
                <w:b w:val="1"/>
                <w:bCs w:val="1"/>
                <w:color w:val="000039"/>
              </w:rPr>
              <w:t>Number 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Borders>
              <w:right w:val="single" w:sz="8" w:color="000039"/>
            </w:tcBorders>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61"/>
        </w:trPr>
        <w:tc>
          <w:tcPr>
            <w:tcW w:w="27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Unexercised</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0039"/>
              </w:rPr>
              <w:t>Number of</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0039"/>
              </w:rPr>
              <w:t>Number of</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0039"/>
              </w:rPr>
              <w:t>Number of</w:t>
            </w:r>
          </w:p>
        </w:tc>
        <w:tc>
          <w:tcPr>
            <w:tcW w:w="160" w:type="dxa"/>
            <w:vAlign w:val="bottom"/>
            <w:tcBorders>
              <w:right w:val="single" w:sz="8" w:color="000039"/>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1"/>
        </w:trPr>
        <w:tc>
          <w:tcPr>
            <w:tcW w:w="27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Shares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0039"/>
              </w:rPr>
              <w:t>Option</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0039"/>
              </w:rPr>
              <w:t>Option</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0039"/>
              </w:rPr>
              <w:t>Option</w:t>
            </w:r>
          </w:p>
        </w:tc>
        <w:tc>
          <w:tcPr>
            <w:tcW w:w="160" w:type="dxa"/>
            <w:vAlign w:val="bottom"/>
            <w:tcBorders>
              <w:right w:val="single" w:sz="8" w:color="000039"/>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90"/>
              <w:spacing w:after="0"/>
              <w:rPr>
                <w:sz w:val="20"/>
                <w:szCs w:val="20"/>
                <w:color w:val="auto"/>
              </w:rPr>
            </w:pPr>
            <w:r>
              <w:rPr>
                <w:rFonts w:ascii="Arial" w:cs="Arial" w:eastAsia="Arial" w:hAnsi="Arial"/>
                <w:sz w:val="14"/>
                <w:szCs w:val="14"/>
                <w:b w:val="1"/>
                <w:bCs w:val="1"/>
                <w:color w:val="000039"/>
              </w:rPr>
              <w:t>Number of</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Number of</w:t>
            </w:r>
          </w:p>
        </w:tc>
      </w:tr>
      <w:tr>
        <w:trPr>
          <w:trHeight w:val="161"/>
        </w:trPr>
        <w:tc>
          <w:tcPr>
            <w:tcW w:w="27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Remaining</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0039"/>
              </w:rPr>
              <w:t>Shares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0039"/>
              </w:rPr>
              <w:t>Shares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0039"/>
              </w:rPr>
              <w:t>Shares</w:t>
            </w:r>
          </w:p>
        </w:tc>
        <w:tc>
          <w:tcPr>
            <w:tcW w:w="160" w:type="dxa"/>
            <w:vAlign w:val="bottom"/>
            <w:tcBorders>
              <w:right w:val="single" w:sz="8" w:color="000039"/>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90"/>
              <w:spacing w:after="0"/>
              <w:rPr>
                <w:sz w:val="20"/>
                <w:szCs w:val="20"/>
                <w:color w:val="auto"/>
              </w:rPr>
            </w:pPr>
            <w:r>
              <w:rPr>
                <w:rFonts w:ascii="Arial" w:cs="Arial" w:eastAsia="Arial" w:hAnsi="Arial"/>
                <w:sz w:val="14"/>
                <w:szCs w:val="14"/>
                <w:b w:val="1"/>
                <w:bCs w:val="1"/>
                <w:color w:val="000039"/>
              </w:rPr>
              <w:t>Shares of</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Shares of</w:t>
            </w:r>
          </w:p>
        </w:tc>
      </w:tr>
      <w:tr>
        <w:trPr>
          <w:trHeight w:val="161"/>
        </w:trPr>
        <w:tc>
          <w:tcPr>
            <w:tcW w:w="27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from</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0039"/>
              </w:rPr>
              <w:t>Vesting—</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0039"/>
              </w:rPr>
              <w:t>Vesting—</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0039"/>
              </w:rPr>
              <w:t>Vesting—</w:t>
            </w:r>
          </w:p>
        </w:tc>
        <w:tc>
          <w:tcPr>
            <w:tcW w:w="160" w:type="dxa"/>
            <w:vAlign w:val="bottom"/>
            <w:tcBorders>
              <w:right w:val="single" w:sz="8" w:color="000039"/>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90"/>
              <w:spacing w:after="0"/>
              <w:rPr>
                <w:sz w:val="20"/>
                <w:szCs w:val="20"/>
                <w:color w:val="auto"/>
              </w:rPr>
            </w:pPr>
            <w:r>
              <w:rPr>
                <w:rFonts w:ascii="Arial" w:cs="Arial" w:eastAsia="Arial" w:hAnsi="Arial"/>
                <w:sz w:val="14"/>
                <w:szCs w:val="14"/>
                <w:b w:val="1"/>
                <w:bCs w:val="1"/>
                <w:color w:val="000039"/>
              </w:rPr>
              <w:t>Restricted</w:t>
            </w:r>
          </w:p>
        </w:tc>
        <w:tc>
          <w:tcPr>
            <w:tcW w:w="1100" w:type="dxa"/>
            <w:vAlign w:val="bottom"/>
          </w:tcPr>
          <w:p>
            <w:pPr>
              <w:jc w:val="right"/>
              <w:ind w:right="7"/>
              <w:spacing w:after="0"/>
              <w:rPr>
                <w:sz w:val="20"/>
                <w:szCs w:val="20"/>
                <w:color w:val="auto"/>
              </w:rPr>
            </w:pPr>
            <w:r>
              <w:rPr>
                <w:rFonts w:ascii="Arial" w:cs="Arial" w:eastAsia="Arial" w:hAnsi="Arial"/>
                <w:sz w:val="14"/>
                <w:szCs w:val="14"/>
                <w:b w:val="1"/>
                <w:bCs w:val="1"/>
                <w:color w:val="000039"/>
              </w:rPr>
              <w:t>Restricted</w:t>
            </w:r>
          </w:p>
        </w:tc>
      </w:tr>
      <w:tr>
        <w:trPr>
          <w:trHeight w:val="161"/>
        </w:trPr>
        <w:tc>
          <w:tcPr>
            <w:tcW w:w="27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0039"/>
              </w:rPr>
              <w:t>Original</w:t>
            </w: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000039"/>
              </w:rPr>
              <w:t>Date</w:t>
            </w: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000039"/>
              </w:rPr>
              <w:t>Date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0039"/>
              </w:rPr>
              <w:t>Date</w:t>
            </w:r>
          </w:p>
        </w:tc>
        <w:tc>
          <w:tcPr>
            <w:tcW w:w="160" w:type="dxa"/>
            <w:vAlign w:val="bottom"/>
            <w:tcBorders>
              <w:right w:val="single" w:sz="8" w:color="000039"/>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90"/>
              <w:spacing w:after="0"/>
              <w:rPr>
                <w:sz w:val="20"/>
                <w:szCs w:val="20"/>
                <w:color w:val="auto"/>
              </w:rPr>
            </w:pPr>
            <w:r>
              <w:rPr>
                <w:rFonts w:ascii="Arial" w:cs="Arial" w:eastAsia="Arial" w:hAnsi="Arial"/>
                <w:sz w:val="14"/>
                <w:szCs w:val="14"/>
                <w:b w:val="1"/>
                <w:bCs w:val="1"/>
                <w:color w:val="000039"/>
              </w:rPr>
              <w:t>Stock or</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0039"/>
              </w:rPr>
              <w:t>Stock or</w:t>
            </w:r>
          </w:p>
        </w:tc>
      </w:tr>
      <w:tr>
        <w:trPr>
          <w:trHeight w:val="177"/>
        </w:trPr>
        <w:tc>
          <w:tcPr>
            <w:tcW w:w="2780" w:type="dxa"/>
            <w:vAlign w:val="bottom"/>
            <w:tcBorders>
              <w:bottom w:val="single" w:sz="8" w:color="000039"/>
            </w:tcBorders>
          </w:tcPr>
          <w:p>
            <w:pPr>
              <w:spacing w:after="0"/>
              <w:rPr>
                <w:sz w:val="20"/>
                <w:szCs w:val="20"/>
                <w:color w:val="auto"/>
              </w:rPr>
            </w:pPr>
            <w:r>
              <w:rPr>
                <w:rFonts w:ascii="Arial" w:cs="Arial" w:eastAsia="Arial" w:hAnsi="Arial"/>
                <w:sz w:val="14"/>
                <w:szCs w:val="14"/>
                <w:b w:val="1"/>
                <w:bCs w:val="1"/>
                <w:color w:val="000039"/>
              </w:rPr>
              <w:t>Name</w:t>
            </w:r>
          </w:p>
        </w:tc>
        <w:tc>
          <w:tcPr>
            <w:tcW w:w="108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Grant</w:t>
            </w:r>
          </w:p>
        </w:tc>
        <w:tc>
          <w:tcPr>
            <w:tcW w:w="1220" w:type="dxa"/>
            <w:vAlign w:val="bottom"/>
            <w:tcBorders>
              <w:bottom w:val="single" w:sz="8" w:color="000039"/>
            </w:tcBorders>
            <w:gridSpan w:val="2"/>
          </w:tcPr>
          <w:p>
            <w:pPr>
              <w:jc w:val="right"/>
              <w:spacing w:after="0"/>
              <w:rPr>
                <w:sz w:val="20"/>
                <w:szCs w:val="20"/>
                <w:color w:val="auto"/>
              </w:rPr>
            </w:pPr>
            <w:r>
              <w:rPr>
                <w:rFonts w:ascii="Arial" w:cs="Arial" w:eastAsia="Arial" w:hAnsi="Arial"/>
                <w:sz w:val="14"/>
                <w:szCs w:val="14"/>
                <w:b w:val="1"/>
                <w:bCs w:val="1"/>
                <w:color w:val="000039"/>
              </w:rPr>
              <w:t>Vested 2026</w:t>
            </w:r>
          </w:p>
        </w:tc>
        <w:tc>
          <w:tcPr>
            <w:tcW w:w="1220" w:type="dxa"/>
            <w:vAlign w:val="bottom"/>
            <w:tcBorders>
              <w:bottom w:val="single" w:sz="8" w:color="000039"/>
            </w:tcBorders>
            <w:gridSpan w:val="2"/>
          </w:tcPr>
          <w:p>
            <w:pPr>
              <w:jc w:val="right"/>
              <w:spacing w:after="0"/>
              <w:rPr>
                <w:sz w:val="20"/>
                <w:szCs w:val="20"/>
                <w:color w:val="auto"/>
              </w:rPr>
            </w:pPr>
            <w:r>
              <w:rPr>
                <w:rFonts w:ascii="Arial" w:cs="Arial" w:eastAsia="Arial" w:hAnsi="Arial"/>
                <w:sz w:val="14"/>
                <w:szCs w:val="14"/>
                <w:b w:val="1"/>
                <w:bCs w:val="1"/>
                <w:color w:val="000039"/>
              </w:rPr>
              <w:t>Vested 2027</w:t>
            </w:r>
          </w:p>
        </w:tc>
        <w:tc>
          <w:tcPr>
            <w:tcW w:w="122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Vested 2028</w:t>
            </w:r>
          </w:p>
        </w:tc>
        <w:tc>
          <w:tcPr>
            <w:tcW w:w="160" w:type="dxa"/>
            <w:vAlign w:val="bottom"/>
            <w:tcBorders>
              <w:bottom w:val="single" w:sz="8" w:color="000039"/>
              <w:right w:val="single" w:sz="8" w:color="000039"/>
            </w:tcBorders>
          </w:tcPr>
          <w:p>
            <w:pPr>
              <w:spacing w:after="0"/>
              <w:rPr>
                <w:sz w:val="15"/>
                <w:szCs w:val="15"/>
                <w:color w:val="auto"/>
              </w:rPr>
            </w:pPr>
          </w:p>
        </w:tc>
        <w:tc>
          <w:tcPr>
            <w:tcW w:w="120" w:type="dxa"/>
            <w:vAlign w:val="bottom"/>
            <w:tcBorders>
              <w:bottom w:val="single" w:sz="8" w:color="000039"/>
            </w:tcBorders>
          </w:tcPr>
          <w:p>
            <w:pPr>
              <w:spacing w:after="0"/>
              <w:rPr>
                <w:sz w:val="15"/>
                <w:szCs w:val="15"/>
                <w:color w:val="auto"/>
              </w:rPr>
            </w:pPr>
          </w:p>
        </w:tc>
        <w:tc>
          <w:tcPr>
            <w:tcW w:w="1180" w:type="dxa"/>
            <w:vAlign w:val="bottom"/>
            <w:tcBorders>
              <w:bottom w:val="single" w:sz="8" w:color="000039"/>
            </w:tcBorders>
          </w:tcPr>
          <w:p>
            <w:pPr>
              <w:jc w:val="right"/>
              <w:ind w:right="90"/>
              <w:spacing w:after="0"/>
              <w:rPr>
                <w:sz w:val="20"/>
                <w:szCs w:val="20"/>
                <w:color w:val="auto"/>
              </w:rPr>
            </w:pPr>
            <w:r>
              <w:rPr>
                <w:rFonts w:ascii="Arial" w:cs="Arial" w:eastAsia="Arial" w:hAnsi="Arial"/>
                <w:sz w:val="14"/>
                <w:szCs w:val="14"/>
                <w:b w:val="1"/>
                <w:bCs w:val="1"/>
                <w:color w:val="000039"/>
              </w:rPr>
              <w:t>Units</w:t>
            </w:r>
          </w:p>
        </w:tc>
        <w:tc>
          <w:tcPr>
            <w:tcW w:w="1100" w:type="dxa"/>
            <w:vAlign w:val="bottom"/>
            <w:tcBorders>
              <w:bottom w:val="single" w:sz="8" w:color="000039"/>
            </w:tcBorders>
          </w:tcPr>
          <w:p>
            <w:pPr>
              <w:jc w:val="right"/>
              <w:spacing w:after="0"/>
              <w:rPr>
                <w:sz w:val="20"/>
                <w:szCs w:val="20"/>
                <w:color w:val="auto"/>
              </w:rPr>
            </w:pPr>
            <w:r>
              <w:rPr>
                <w:rFonts w:ascii="Arial" w:cs="Arial" w:eastAsia="Arial" w:hAnsi="Arial"/>
                <w:sz w:val="14"/>
                <w:szCs w:val="14"/>
                <w:b w:val="1"/>
                <w:bCs w:val="1"/>
                <w:color w:val="000039"/>
              </w:rPr>
              <w:t>Units Vesting</w:t>
            </w:r>
          </w:p>
        </w:tc>
      </w:tr>
      <w:tr>
        <w:trPr>
          <w:trHeight w:val="148"/>
        </w:trPr>
        <w:tc>
          <w:tcPr>
            <w:tcW w:w="2780" w:type="dxa"/>
            <w:vAlign w:val="bottom"/>
            <w:shd w:val="clear" w:color="auto" w:fill="D9D9D9"/>
          </w:tcPr>
          <w:p>
            <w:pPr>
              <w:spacing w:after="0" w:line="149" w:lineRule="exact"/>
              <w:rPr>
                <w:sz w:val="20"/>
                <w:szCs w:val="20"/>
                <w:color w:val="auto"/>
              </w:rPr>
            </w:pPr>
            <w:r>
              <w:rPr>
                <w:rFonts w:ascii="Arial" w:cs="Arial" w:eastAsia="Arial" w:hAnsi="Arial"/>
                <w:sz w:val="15"/>
                <w:szCs w:val="15"/>
                <w:color w:val="auto"/>
              </w:rPr>
              <w:t>R. Michael</w:t>
            </w:r>
          </w:p>
        </w:tc>
        <w:tc>
          <w:tcPr>
            <w:tcW w:w="108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15,192</w:t>
            </w: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rPr>
              <w:t>15,192</w:t>
            </w:r>
          </w:p>
        </w:tc>
        <w:tc>
          <w:tcPr>
            <w:tcW w:w="460" w:type="dxa"/>
            <w:vAlign w:val="bottom"/>
            <w:shd w:val="clear" w:color="auto" w:fill="D9D9D9"/>
          </w:tcPr>
          <w:p>
            <w:pPr>
              <w:jc w:val="right"/>
              <w:spacing w:after="0" w:line="149" w:lineRule="exact"/>
              <w:rPr>
                <w:sz w:val="20"/>
                <w:szCs w:val="20"/>
                <w:color w:val="auto"/>
              </w:rPr>
            </w:pPr>
            <w:r>
              <w:rPr>
                <w:rFonts w:ascii="Arial" w:cs="Arial" w:eastAsia="Arial" w:hAnsi="Arial"/>
                <w:sz w:val="15"/>
                <w:szCs w:val="15"/>
                <w:color w:val="auto"/>
                <w:w w:val="98"/>
              </w:rPr>
              <w:t>- 2/16</w:t>
            </w:r>
          </w:p>
        </w:tc>
        <w:tc>
          <w:tcPr>
            <w:tcW w:w="760" w:type="dxa"/>
            <w:vAlign w:val="bottom"/>
            <w:shd w:val="clear" w:color="auto" w:fill="D9D9D9"/>
          </w:tcPr>
          <w:p>
            <w:pPr>
              <w:spacing w:after="0"/>
              <w:rPr>
                <w:sz w:val="12"/>
                <w:szCs w:val="12"/>
                <w:color w:val="auto"/>
              </w:rPr>
            </w:pPr>
          </w:p>
        </w:tc>
        <w:tc>
          <w:tcPr>
            <w:tcW w:w="460" w:type="dxa"/>
            <w:vAlign w:val="bottom"/>
            <w:shd w:val="clear" w:color="auto" w:fill="D9D9D9"/>
          </w:tcPr>
          <w:p>
            <w:pPr>
              <w:spacing w:after="0"/>
              <w:rPr>
                <w:sz w:val="12"/>
                <w:szCs w:val="12"/>
                <w:color w:val="auto"/>
              </w:rPr>
            </w:pPr>
          </w:p>
        </w:tc>
        <w:tc>
          <w:tcPr>
            <w:tcW w:w="1220" w:type="dxa"/>
            <w:vAlign w:val="bottom"/>
            <w:shd w:val="clear" w:color="auto" w:fill="D9D9D9"/>
          </w:tcPr>
          <w:p>
            <w:pPr>
              <w:spacing w:after="0"/>
              <w:rPr>
                <w:sz w:val="12"/>
                <w:szCs w:val="12"/>
                <w:color w:val="auto"/>
              </w:rPr>
            </w:pPr>
          </w:p>
        </w:tc>
        <w:tc>
          <w:tcPr>
            <w:tcW w:w="160" w:type="dxa"/>
            <w:vAlign w:val="bottom"/>
            <w:tcBorders>
              <w:right w:val="single" w:sz="8" w:color="000039"/>
            </w:tcBorders>
            <w:shd w:val="clear" w:color="auto" w:fill="D9D9D9"/>
          </w:tcPr>
          <w:p>
            <w:pPr>
              <w:spacing w:after="0"/>
              <w:rPr>
                <w:sz w:val="12"/>
                <w:szCs w:val="12"/>
                <w:color w:val="auto"/>
              </w:rPr>
            </w:pPr>
          </w:p>
        </w:tc>
        <w:tc>
          <w:tcPr>
            <w:tcW w:w="1300" w:type="dxa"/>
            <w:vAlign w:val="bottom"/>
            <w:gridSpan w:val="2"/>
            <w:shd w:val="clear" w:color="auto" w:fill="D9D9D9"/>
          </w:tcPr>
          <w:p>
            <w:pPr>
              <w:jc w:val="right"/>
              <w:ind w:right="90"/>
              <w:spacing w:after="0" w:line="149" w:lineRule="exact"/>
              <w:rPr>
                <w:sz w:val="20"/>
                <w:szCs w:val="20"/>
                <w:color w:val="auto"/>
              </w:rPr>
            </w:pPr>
            <w:r>
              <w:rPr>
                <w:rFonts w:ascii="Arial" w:cs="Arial" w:eastAsia="Arial" w:hAnsi="Arial"/>
                <w:sz w:val="15"/>
                <w:szCs w:val="15"/>
                <w:color w:val="auto"/>
              </w:rPr>
              <w:t>18,045</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(a)</w:t>
            </w:r>
          </w:p>
        </w:tc>
      </w:tr>
      <w:tr>
        <w:trPr>
          <w:trHeight w:val="187"/>
        </w:trPr>
        <w:tc>
          <w:tcPr>
            <w:tcW w:w="278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39,925</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19,963</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- 2/15</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19,962</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- 2/15</w:t>
            </w:r>
          </w:p>
        </w:tc>
        <w:tc>
          <w:tcPr>
            <w:tcW w:w="1220" w:type="dxa"/>
            <w:vAlign w:val="bottom"/>
            <w:shd w:val="clear" w:color="auto" w:fill="D9D9D9"/>
          </w:tcPr>
          <w:p>
            <w:pPr>
              <w:spacing w:after="0"/>
              <w:rPr>
                <w:sz w:val="16"/>
                <w:szCs w:val="16"/>
                <w:color w:val="auto"/>
              </w:rPr>
            </w:pPr>
          </w:p>
        </w:tc>
        <w:tc>
          <w:tcPr>
            <w:tcW w:w="160" w:type="dxa"/>
            <w:vAlign w:val="bottom"/>
            <w:tcBorders>
              <w:right w:val="single" w:sz="8" w:color="000039"/>
            </w:tcBorders>
            <w:shd w:val="clear" w:color="auto" w:fill="D9D9D9"/>
          </w:tcPr>
          <w:p>
            <w:pPr>
              <w:spacing w:after="0"/>
              <w:rPr>
                <w:sz w:val="16"/>
                <w:szCs w:val="16"/>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6,015</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(b)</w:t>
            </w:r>
          </w:p>
        </w:tc>
      </w:tr>
      <w:tr>
        <w:trPr>
          <w:trHeight w:val="173"/>
        </w:trPr>
        <w:tc>
          <w:tcPr>
            <w:tcW w:w="27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83,333</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27,778</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- 2/13</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27,778</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- 2/13</w:t>
            </w:r>
          </w:p>
        </w:tc>
        <w:tc>
          <w:tcPr>
            <w:tcW w:w="12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27,777 - 2/13</w:t>
            </w:r>
          </w:p>
        </w:tc>
        <w:tc>
          <w:tcPr>
            <w:tcW w:w="160" w:type="dxa"/>
            <w:vAlign w:val="bottom"/>
            <w:tcBorders>
              <w:right w:val="single" w:sz="8" w:color="000039"/>
            </w:tcBorders>
            <w:shd w:val="clear" w:color="auto" w:fill="D9D9D9"/>
          </w:tcPr>
          <w:p>
            <w:pPr>
              <w:spacing w:after="0"/>
              <w:rPr>
                <w:sz w:val="15"/>
                <w:szCs w:val="15"/>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21,679</w:t>
            </w:r>
          </w:p>
        </w:tc>
        <w:tc>
          <w:tcPr>
            <w:tcW w:w="11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(c)</w:t>
            </w:r>
          </w:p>
        </w:tc>
      </w:tr>
      <w:tr>
        <w:trPr>
          <w:trHeight w:val="173"/>
        </w:trPr>
        <w:tc>
          <w:tcPr>
            <w:tcW w:w="27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46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46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160" w:type="dxa"/>
            <w:vAlign w:val="bottom"/>
            <w:tcBorders>
              <w:right w:val="single" w:sz="8" w:color="000039"/>
            </w:tcBorders>
            <w:shd w:val="clear" w:color="auto" w:fill="D9D9D9"/>
          </w:tcPr>
          <w:p>
            <w:pPr>
              <w:spacing w:after="0"/>
              <w:rPr>
                <w:sz w:val="15"/>
                <w:szCs w:val="15"/>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14,452</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(d)</w:t>
            </w:r>
          </w:p>
        </w:tc>
      </w:tr>
      <w:tr>
        <w:trPr>
          <w:trHeight w:val="157"/>
        </w:trPr>
        <w:tc>
          <w:tcPr>
            <w:tcW w:w="278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46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46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60" w:type="dxa"/>
            <w:vAlign w:val="bottom"/>
            <w:tcBorders>
              <w:right w:val="single" w:sz="8" w:color="000039"/>
            </w:tcBorders>
            <w:shd w:val="clear" w:color="auto" w:fill="D9D9D9"/>
          </w:tcPr>
          <w:p>
            <w:pPr>
              <w:spacing w:after="0"/>
              <w:rPr>
                <w:sz w:val="13"/>
                <w:szCs w:val="13"/>
                <w:color w:val="auto"/>
              </w:rPr>
            </w:pPr>
          </w:p>
        </w:tc>
        <w:tc>
          <w:tcPr>
            <w:tcW w:w="1300" w:type="dxa"/>
            <w:vAlign w:val="bottom"/>
            <w:gridSpan w:val="2"/>
            <w:shd w:val="clear" w:color="auto" w:fill="D9D9D9"/>
          </w:tcPr>
          <w:p>
            <w:pPr>
              <w:jc w:val="right"/>
              <w:ind w:right="90"/>
              <w:spacing w:after="0" w:line="158" w:lineRule="exact"/>
              <w:rPr>
                <w:sz w:val="20"/>
                <w:szCs w:val="20"/>
                <w:color w:val="auto"/>
              </w:rPr>
            </w:pPr>
            <w:r>
              <w:rPr>
                <w:rFonts w:ascii="Arial" w:cs="Arial" w:eastAsia="Arial" w:hAnsi="Arial"/>
                <w:sz w:val="15"/>
                <w:szCs w:val="15"/>
                <w:color w:val="auto"/>
              </w:rPr>
              <w:t>33,184</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(e)</w:t>
            </w:r>
          </w:p>
        </w:tc>
      </w:tr>
      <w:tr>
        <w:trPr>
          <w:trHeight w:val="187"/>
        </w:trPr>
        <w:tc>
          <w:tcPr>
            <w:tcW w:w="2780" w:type="dxa"/>
            <w:vAlign w:val="bottom"/>
            <w:shd w:val="clear" w:color="auto" w:fill="D9D9D9"/>
          </w:tcPr>
          <w:p>
            <w:pPr>
              <w:spacing w:after="0"/>
              <w:rPr>
                <w:sz w:val="16"/>
                <w:szCs w:val="16"/>
                <w:color w:val="auto"/>
              </w:rPr>
            </w:pPr>
          </w:p>
        </w:tc>
        <w:tc>
          <w:tcPr>
            <w:tcW w:w="1080" w:type="dxa"/>
            <w:vAlign w:val="bottom"/>
            <w:shd w:val="clear" w:color="auto" w:fill="D9D9D9"/>
          </w:tcPr>
          <w:p>
            <w:pPr>
              <w:spacing w:after="0"/>
              <w:rPr>
                <w:sz w:val="16"/>
                <w:szCs w:val="16"/>
                <w:color w:val="auto"/>
              </w:rPr>
            </w:pPr>
          </w:p>
        </w:tc>
        <w:tc>
          <w:tcPr>
            <w:tcW w:w="7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7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1220" w:type="dxa"/>
            <w:vAlign w:val="bottom"/>
            <w:shd w:val="clear" w:color="auto" w:fill="D9D9D9"/>
          </w:tcPr>
          <w:p>
            <w:pPr>
              <w:spacing w:after="0"/>
              <w:rPr>
                <w:sz w:val="16"/>
                <w:szCs w:val="16"/>
                <w:color w:val="auto"/>
              </w:rPr>
            </w:pPr>
          </w:p>
        </w:tc>
        <w:tc>
          <w:tcPr>
            <w:tcW w:w="160" w:type="dxa"/>
            <w:vAlign w:val="bottom"/>
            <w:tcBorders>
              <w:right w:val="single" w:sz="8" w:color="000039"/>
            </w:tcBorders>
            <w:shd w:val="clear" w:color="auto" w:fill="D9D9D9"/>
          </w:tcPr>
          <w:p>
            <w:pPr>
              <w:spacing w:after="0"/>
              <w:rPr>
                <w:sz w:val="16"/>
                <w:szCs w:val="16"/>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33,184</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(f)</w:t>
            </w:r>
          </w:p>
        </w:tc>
      </w:tr>
      <w:tr>
        <w:trPr>
          <w:trHeight w:val="159"/>
        </w:trPr>
        <w:tc>
          <w:tcPr>
            <w:tcW w:w="2780" w:type="dxa"/>
            <w:vAlign w:val="bottom"/>
          </w:tcPr>
          <w:p>
            <w:pPr>
              <w:spacing w:after="0" w:line="159" w:lineRule="exact"/>
              <w:rPr>
                <w:sz w:val="20"/>
                <w:szCs w:val="20"/>
                <w:color w:val="auto"/>
              </w:rPr>
            </w:pPr>
            <w:r>
              <w:rPr>
                <w:rFonts w:ascii="Arial" w:cs="Arial" w:eastAsia="Arial" w:hAnsi="Arial"/>
                <w:sz w:val="15"/>
                <w:szCs w:val="15"/>
                <w:color w:val="auto"/>
              </w:rPr>
              <w:t>S. Reents</w:t>
            </w:r>
          </w:p>
        </w:tc>
        <w:tc>
          <w:tcPr>
            <w:tcW w:w="1080" w:type="dxa"/>
            <w:vAlign w:val="bottom"/>
          </w:tcPr>
          <w:p>
            <w:pPr>
              <w:jc w:val="right"/>
              <w:spacing w:after="0" w:line="159" w:lineRule="exact"/>
              <w:rPr>
                <w:sz w:val="20"/>
                <w:szCs w:val="20"/>
                <w:color w:val="auto"/>
              </w:rPr>
            </w:pPr>
            <w:r>
              <w:rPr>
                <w:rFonts w:ascii="Arial" w:cs="Arial" w:eastAsia="Arial" w:hAnsi="Arial"/>
                <w:sz w:val="15"/>
                <w:szCs w:val="15"/>
                <w:color w:val="auto"/>
              </w:rPr>
              <w:t>11,253</w:t>
            </w:r>
          </w:p>
        </w:tc>
        <w:tc>
          <w:tcPr>
            <w:tcW w:w="760" w:type="dxa"/>
            <w:vAlign w:val="bottom"/>
          </w:tcPr>
          <w:p>
            <w:pPr>
              <w:jc w:val="right"/>
              <w:spacing w:after="0" w:line="159" w:lineRule="exact"/>
              <w:rPr>
                <w:sz w:val="20"/>
                <w:szCs w:val="20"/>
                <w:color w:val="auto"/>
              </w:rPr>
            </w:pPr>
            <w:r>
              <w:rPr>
                <w:rFonts w:ascii="Arial" w:cs="Arial" w:eastAsia="Arial" w:hAnsi="Arial"/>
                <w:sz w:val="15"/>
                <w:szCs w:val="15"/>
                <w:color w:val="auto"/>
              </w:rPr>
              <w:t>11,253</w:t>
            </w:r>
          </w:p>
        </w:tc>
        <w:tc>
          <w:tcPr>
            <w:tcW w:w="460" w:type="dxa"/>
            <w:vAlign w:val="bottom"/>
          </w:tcPr>
          <w:p>
            <w:pPr>
              <w:jc w:val="right"/>
              <w:spacing w:after="0" w:line="159" w:lineRule="exact"/>
              <w:rPr>
                <w:sz w:val="20"/>
                <w:szCs w:val="20"/>
                <w:color w:val="auto"/>
              </w:rPr>
            </w:pPr>
            <w:r>
              <w:rPr>
                <w:rFonts w:ascii="Arial" w:cs="Arial" w:eastAsia="Arial" w:hAnsi="Arial"/>
                <w:sz w:val="15"/>
                <w:szCs w:val="15"/>
                <w:color w:val="auto"/>
                <w:w w:val="98"/>
              </w:rPr>
              <w:t>- 2/16</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Borders>
              <w:right w:val="single" w:sz="8" w:color="000039"/>
            </w:tcBorders>
          </w:tcPr>
          <w:p>
            <w:pPr>
              <w:spacing w:after="0"/>
              <w:rPr>
                <w:sz w:val="13"/>
                <w:szCs w:val="13"/>
                <w:color w:val="auto"/>
              </w:rPr>
            </w:pPr>
          </w:p>
        </w:tc>
        <w:tc>
          <w:tcPr>
            <w:tcW w:w="1300" w:type="dxa"/>
            <w:vAlign w:val="bottom"/>
            <w:gridSpan w:val="2"/>
          </w:tcPr>
          <w:p>
            <w:pPr>
              <w:jc w:val="right"/>
              <w:ind w:right="90"/>
              <w:spacing w:after="0" w:line="159" w:lineRule="exact"/>
              <w:rPr>
                <w:sz w:val="20"/>
                <w:szCs w:val="20"/>
                <w:color w:val="auto"/>
              </w:rPr>
            </w:pPr>
            <w:r>
              <w:rPr>
                <w:rFonts w:ascii="Arial" w:cs="Arial" w:eastAsia="Arial" w:hAnsi="Arial"/>
                <w:sz w:val="15"/>
                <w:szCs w:val="15"/>
                <w:color w:val="auto"/>
              </w:rPr>
              <w:t>13,367</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(a)</w:t>
            </w:r>
          </w:p>
        </w:tc>
      </w:tr>
      <w:tr>
        <w:trPr>
          <w:trHeight w:val="172"/>
        </w:trPr>
        <w:tc>
          <w:tcPr>
            <w:tcW w:w="2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21,013</w:t>
            </w:r>
          </w:p>
        </w:tc>
        <w:tc>
          <w:tcPr>
            <w:tcW w:w="760" w:type="dxa"/>
            <w:vAlign w:val="bottom"/>
          </w:tcPr>
          <w:p>
            <w:pPr>
              <w:jc w:val="right"/>
              <w:spacing w:after="0"/>
              <w:rPr>
                <w:sz w:val="20"/>
                <w:szCs w:val="20"/>
                <w:color w:val="auto"/>
              </w:rPr>
            </w:pPr>
            <w:r>
              <w:rPr>
                <w:rFonts w:ascii="Arial" w:cs="Arial" w:eastAsia="Arial" w:hAnsi="Arial"/>
                <w:sz w:val="15"/>
                <w:szCs w:val="15"/>
                <w:color w:val="auto"/>
              </w:rPr>
              <w:t>10,507</w:t>
            </w:r>
          </w:p>
        </w:tc>
        <w:tc>
          <w:tcPr>
            <w:tcW w:w="460" w:type="dxa"/>
            <w:vAlign w:val="bottom"/>
          </w:tcPr>
          <w:p>
            <w:pPr>
              <w:jc w:val="right"/>
              <w:spacing w:after="0"/>
              <w:rPr>
                <w:sz w:val="20"/>
                <w:szCs w:val="20"/>
                <w:color w:val="auto"/>
              </w:rPr>
            </w:pPr>
            <w:r>
              <w:rPr>
                <w:rFonts w:ascii="Arial" w:cs="Arial" w:eastAsia="Arial" w:hAnsi="Arial"/>
                <w:sz w:val="15"/>
                <w:szCs w:val="15"/>
                <w:color w:val="auto"/>
                <w:w w:val="98"/>
              </w:rPr>
              <w:t>- 2/15</w:t>
            </w:r>
          </w:p>
        </w:tc>
        <w:tc>
          <w:tcPr>
            <w:tcW w:w="760" w:type="dxa"/>
            <w:vAlign w:val="bottom"/>
          </w:tcPr>
          <w:p>
            <w:pPr>
              <w:jc w:val="right"/>
              <w:spacing w:after="0"/>
              <w:rPr>
                <w:sz w:val="20"/>
                <w:szCs w:val="20"/>
                <w:color w:val="auto"/>
              </w:rPr>
            </w:pPr>
            <w:r>
              <w:rPr>
                <w:rFonts w:ascii="Arial" w:cs="Arial" w:eastAsia="Arial" w:hAnsi="Arial"/>
                <w:sz w:val="15"/>
                <w:szCs w:val="15"/>
                <w:color w:val="auto"/>
              </w:rPr>
              <w:t>10,506</w:t>
            </w:r>
          </w:p>
        </w:tc>
        <w:tc>
          <w:tcPr>
            <w:tcW w:w="460" w:type="dxa"/>
            <w:vAlign w:val="bottom"/>
          </w:tcPr>
          <w:p>
            <w:pPr>
              <w:jc w:val="right"/>
              <w:spacing w:after="0"/>
              <w:rPr>
                <w:sz w:val="20"/>
                <w:szCs w:val="20"/>
                <w:color w:val="auto"/>
              </w:rPr>
            </w:pPr>
            <w:r>
              <w:rPr>
                <w:rFonts w:ascii="Arial" w:cs="Arial" w:eastAsia="Arial" w:hAnsi="Arial"/>
                <w:sz w:val="15"/>
                <w:szCs w:val="15"/>
                <w:color w:val="auto"/>
                <w:w w:val="98"/>
              </w:rPr>
              <w:t>- 2/15</w:t>
            </w:r>
          </w:p>
        </w:tc>
        <w:tc>
          <w:tcPr>
            <w:tcW w:w="1220" w:type="dxa"/>
            <w:vAlign w:val="bottom"/>
          </w:tcPr>
          <w:p>
            <w:pPr>
              <w:spacing w:after="0"/>
              <w:rPr>
                <w:sz w:val="14"/>
                <w:szCs w:val="14"/>
                <w:color w:val="auto"/>
              </w:rPr>
            </w:pPr>
          </w:p>
        </w:tc>
        <w:tc>
          <w:tcPr>
            <w:tcW w:w="160" w:type="dxa"/>
            <w:vAlign w:val="bottom"/>
            <w:tcBorders>
              <w:right w:val="single" w:sz="8" w:color="000039"/>
            </w:tcBorders>
          </w:tcPr>
          <w:p>
            <w:pPr>
              <w:spacing w:after="0"/>
              <w:rPr>
                <w:sz w:val="14"/>
                <w:szCs w:val="14"/>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4,455</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(b)</w:t>
            </w:r>
          </w:p>
        </w:tc>
      </w:tr>
      <w:tr>
        <w:trPr>
          <w:trHeight w:val="173"/>
        </w:trPr>
        <w:tc>
          <w:tcPr>
            <w:tcW w:w="2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27,343</w:t>
            </w:r>
          </w:p>
        </w:tc>
        <w:tc>
          <w:tcPr>
            <w:tcW w:w="760" w:type="dxa"/>
            <w:vAlign w:val="bottom"/>
          </w:tcPr>
          <w:p>
            <w:pPr>
              <w:jc w:val="right"/>
              <w:spacing w:after="0"/>
              <w:rPr>
                <w:sz w:val="20"/>
                <w:szCs w:val="20"/>
                <w:color w:val="auto"/>
              </w:rPr>
            </w:pPr>
            <w:r>
              <w:rPr>
                <w:rFonts w:ascii="Arial" w:cs="Arial" w:eastAsia="Arial" w:hAnsi="Arial"/>
                <w:sz w:val="15"/>
                <w:szCs w:val="15"/>
                <w:color w:val="auto"/>
              </w:rPr>
              <w:t>9,115</w:t>
            </w:r>
          </w:p>
        </w:tc>
        <w:tc>
          <w:tcPr>
            <w:tcW w:w="460" w:type="dxa"/>
            <w:vAlign w:val="bottom"/>
          </w:tcPr>
          <w:p>
            <w:pPr>
              <w:jc w:val="right"/>
              <w:spacing w:after="0"/>
              <w:rPr>
                <w:sz w:val="20"/>
                <w:szCs w:val="20"/>
                <w:color w:val="auto"/>
              </w:rPr>
            </w:pPr>
            <w:r>
              <w:rPr>
                <w:rFonts w:ascii="Arial" w:cs="Arial" w:eastAsia="Arial" w:hAnsi="Arial"/>
                <w:sz w:val="15"/>
                <w:szCs w:val="15"/>
                <w:color w:val="auto"/>
                <w:w w:val="98"/>
              </w:rPr>
              <w:t>- 2/13</w:t>
            </w:r>
          </w:p>
        </w:tc>
        <w:tc>
          <w:tcPr>
            <w:tcW w:w="760" w:type="dxa"/>
            <w:vAlign w:val="bottom"/>
          </w:tcPr>
          <w:p>
            <w:pPr>
              <w:jc w:val="right"/>
              <w:spacing w:after="0"/>
              <w:rPr>
                <w:sz w:val="20"/>
                <w:szCs w:val="20"/>
                <w:color w:val="auto"/>
              </w:rPr>
            </w:pPr>
            <w:r>
              <w:rPr>
                <w:rFonts w:ascii="Arial" w:cs="Arial" w:eastAsia="Arial" w:hAnsi="Arial"/>
                <w:sz w:val="15"/>
                <w:szCs w:val="15"/>
                <w:color w:val="auto"/>
              </w:rPr>
              <w:t>9,114</w:t>
            </w:r>
          </w:p>
        </w:tc>
        <w:tc>
          <w:tcPr>
            <w:tcW w:w="460" w:type="dxa"/>
            <w:vAlign w:val="bottom"/>
          </w:tcPr>
          <w:p>
            <w:pPr>
              <w:jc w:val="right"/>
              <w:spacing w:after="0"/>
              <w:rPr>
                <w:sz w:val="20"/>
                <w:szCs w:val="20"/>
                <w:color w:val="auto"/>
              </w:rPr>
            </w:pPr>
            <w:r>
              <w:rPr>
                <w:rFonts w:ascii="Arial" w:cs="Arial" w:eastAsia="Arial" w:hAnsi="Arial"/>
                <w:sz w:val="15"/>
                <w:szCs w:val="15"/>
                <w:color w:val="auto"/>
                <w:w w:val="98"/>
              </w:rPr>
              <w:t>- 2/13</w:t>
            </w:r>
          </w:p>
        </w:tc>
        <w:tc>
          <w:tcPr>
            <w:tcW w:w="1220" w:type="dxa"/>
            <w:vAlign w:val="bottom"/>
          </w:tcPr>
          <w:p>
            <w:pPr>
              <w:jc w:val="right"/>
              <w:spacing w:after="0"/>
              <w:rPr>
                <w:sz w:val="20"/>
                <w:szCs w:val="20"/>
                <w:color w:val="auto"/>
              </w:rPr>
            </w:pPr>
            <w:r>
              <w:rPr>
                <w:rFonts w:ascii="Arial" w:cs="Arial" w:eastAsia="Arial" w:hAnsi="Arial"/>
                <w:sz w:val="15"/>
                <w:szCs w:val="15"/>
                <w:color w:val="auto"/>
              </w:rPr>
              <w:t>9,114 - 2/13</w:t>
            </w:r>
          </w:p>
        </w:tc>
        <w:tc>
          <w:tcPr>
            <w:tcW w:w="160" w:type="dxa"/>
            <w:vAlign w:val="bottom"/>
            <w:tcBorders>
              <w:right w:val="single" w:sz="8" w:color="000039"/>
            </w:tcBorders>
          </w:tcPr>
          <w:p>
            <w:pPr>
              <w:spacing w:after="0"/>
              <w:rPr>
                <w:sz w:val="15"/>
                <w:szCs w:val="15"/>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11,410</w:t>
            </w:r>
          </w:p>
        </w:tc>
        <w:tc>
          <w:tcPr>
            <w:tcW w:w="1100" w:type="dxa"/>
            <w:vAlign w:val="bottom"/>
          </w:tcPr>
          <w:p>
            <w:pPr>
              <w:jc w:val="right"/>
              <w:spacing w:after="0"/>
              <w:rPr>
                <w:sz w:val="20"/>
                <w:szCs w:val="20"/>
                <w:color w:val="auto"/>
              </w:rPr>
            </w:pPr>
            <w:r>
              <w:rPr>
                <w:rFonts w:ascii="Arial" w:cs="Arial" w:eastAsia="Arial" w:hAnsi="Arial"/>
                <w:sz w:val="10"/>
                <w:szCs w:val="10"/>
                <w:color w:val="auto"/>
              </w:rPr>
              <w:t>(c)</w:t>
            </w:r>
          </w:p>
        </w:tc>
      </w:tr>
      <w:tr>
        <w:trPr>
          <w:trHeight w:val="173"/>
        </w:trPr>
        <w:tc>
          <w:tcPr>
            <w:tcW w:w="2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right w:val="single" w:sz="8" w:color="000039"/>
            </w:tcBorders>
          </w:tcPr>
          <w:p>
            <w:pPr>
              <w:spacing w:after="0"/>
              <w:rPr>
                <w:sz w:val="15"/>
                <w:szCs w:val="15"/>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7,606</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(d)</w:t>
            </w:r>
          </w:p>
        </w:tc>
      </w:tr>
      <w:tr>
        <w:trPr>
          <w:trHeight w:val="173"/>
        </w:trPr>
        <w:tc>
          <w:tcPr>
            <w:tcW w:w="2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right w:val="single" w:sz="8" w:color="000039"/>
            </w:tcBorders>
          </w:tcPr>
          <w:p>
            <w:pPr>
              <w:spacing w:after="0"/>
              <w:rPr>
                <w:sz w:val="15"/>
                <w:szCs w:val="15"/>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10,888</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(e)</w:t>
            </w:r>
          </w:p>
        </w:tc>
      </w:tr>
      <w:tr>
        <w:trPr>
          <w:trHeight w:val="187"/>
        </w:trPr>
        <w:tc>
          <w:tcPr>
            <w:tcW w:w="2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Borders>
              <w:right w:val="single" w:sz="8" w:color="000039"/>
            </w:tcBorders>
          </w:tcPr>
          <w:p>
            <w:pPr>
              <w:spacing w:after="0"/>
              <w:rPr>
                <w:sz w:val="16"/>
                <w:szCs w:val="16"/>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10,888</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(f)</w:t>
            </w:r>
          </w:p>
        </w:tc>
      </w:tr>
      <w:tr>
        <w:trPr>
          <w:trHeight w:val="172"/>
        </w:trPr>
        <w:tc>
          <w:tcPr>
            <w:tcW w:w="2780" w:type="dxa"/>
            <w:vAlign w:val="bottom"/>
            <w:shd w:val="clear" w:color="auto" w:fill="D9D9D9"/>
          </w:tcPr>
          <w:p>
            <w:pPr>
              <w:spacing w:after="0"/>
              <w:rPr>
                <w:sz w:val="20"/>
                <w:szCs w:val="20"/>
                <w:color w:val="auto"/>
              </w:rPr>
            </w:pPr>
            <w:r>
              <w:rPr>
                <w:rFonts w:ascii="Arial" w:cs="Arial" w:eastAsia="Arial" w:hAnsi="Arial"/>
                <w:sz w:val="15"/>
                <w:szCs w:val="15"/>
                <w:color w:val="auto"/>
              </w:rPr>
              <w:t>J. Stewart</w:t>
            </w: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11,703</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11,703</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- 2/16</w:t>
            </w:r>
          </w:p>
        </w:tc>
        <w:tc>
          <w:tcPr>
            <w:tcW w:w="760" w:type="dxa"/>
            <w:vAlign w:val="bottom"/>
            <w:shd w:val="clear" w:color="auto" w:fill="D9D9D9"/>
          </w:tcPr>
          <w:p>
            <w:pPr>
              <w:spacing w:after="0"/>
              <w:rPr>
                <w:sz w:val="14"/>
                <w:szCs w:val="14"/>
                <w:color w:val="auto"/>
              </w:rPr>
            </w:pPr>
          </w:p>
        </w:tc>
        <w:tc>
          <w:tcPr>
            <w:tcW w:w="46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60" w:type="dxa"/>
            <w:vAlign w:val="bottom"/>
            <w:tcBorders>
              <w:right w:val="single" w:sz="8" w:color="000039"/>
            </w:tcBorders>
            <w:shd w:val="clear" w:color="auto" w:fill="D9D9D9"/>
          </w:tcPr>
          <w:p>
            <w:pPr>
              <w:spacing w:after="0"/>
              <w:rPr>
                <w:sz w:val="14"/>
                <w:szCs w:val="14"/>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13,901</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(a)</w:t>
            </w:r>
          </w:p>
        </w:tc>
      </w:tr>
      <w:tr>
        <w:trPr>
          <w:trHeight w:val="173"/>
        </w:trPr>
        <w:tc>
          <w:tcPr>
            <w:tcW w:w="27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26,056</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13,028</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- 2/15</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13,028</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- 2/15</w:t>
            </w:r>
          </w:p>
        </w:tc>
        <w:tc>
          <w:tcPr>
            <w:tcW w:w="1220" w:type="dxa"/>
            <w:vAlign w:val="bottom"/>
            <w:shd w:val="clear" w:color="auto" w:fill="D9D9D9"/>
          </w:tcPr>
          <w:p>
            <w:pPr>
              <w:spacing w:after="0"/>
              <w:rPr>
                <w:sz w:val="15"/>
                <w:szCs w:val="15"/>
                <w:color w:val="auto"/>
              </w:rPr>
            </w:pPr>
          </w:p>
        </w:tc>
        <w:tc>
          <w:tcPr>
            <w:tcW w:w="160" w:type="dxa"/>
            <w:vAlign w:val="bottom"/>
            <w:tcBorders>
              <w:right w:val="single" w:sz="8" w:color="000039"/>
            </w:tcBorders>
            <w:shd w:val="clear" w:color="auto" w:fill="D9D9D9"/>
          </w:tcPr>
          <w:p>
            <w:pPr>
              <w:spacing w:after="0"/>
              <w:rPr>
                <w:sz w:val="15"/>
                <w:szCs w:val="15"/>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4,633</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(b)</w:t>
            </w:r>
          </w:p>
        </w:tc>
      </w:tr>
      <w:tr>
        <w:trPr>
          <w:trHeight w:val="173"/>
        </w:trPr>
        <w:tc>
          <w:tcPr>
            <w:tcW w:w="27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33,854</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11,285</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- 2/13</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11,285</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- 2/13</w:t>
            </w:r>
          </w:p>
        </w:tc>
        <w:tc>
          <w:tcPr>
            <w:tcW w:w="12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11,284 - 2/13</w:t>
            </w:r>
          </w:p>
        </w:tc>
        <w:tc>
          <w:tcPr>
            <w:tcW w:w="160" w:type="dxa"/>
            <w:vAlign w:val="bottom"/>
            <w:tcBorders>
              <w:right w:val="single" w:sz="8" w:color="000039"/>
            </w:tcBorders>
            <w:shd w:val="clear" w:color="auto" w:fill="D9D9D9"/>
          </w:tcPr>
          <w:p>
            <w:pPr>
              <w:spacing w:after="0"/>
              <w:rPr>
                <w:sz w:val="15"/>
                <w:szCs w:val="15"/>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14,148</w:t>
            </w:r>
          </w:p>
        </w:tc>
        <w:tc>
          <w:tcPr>
            <w:tcW w:w="11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(c)</w:t>
            </w:r>
          </w:p>
        </w:tc>
      </w:tr>
      <w:tr>
        <w:trPr>
          <w:trHeight w:val="157"/>
        </w:trPr>
        <w:tc>
          <w:tcPr>
            <w:tcW w:w="278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46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46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60" w:type="dxa"/>
            <w:vAlign w:val="bottom"/>
            <w:tcBorders>
              <w:right w:val="single" w:sz="8" w:color="000039"/>
            </w:tcBorders>
            <w:shd w:val="clear" w:color="auto" w:fill="D9D9D9"/>
          </w:tcPr>
          <w:p>
            <w:pPr>
              <w:spacing w:after="0"/>
              <w:rPr>
                <w:sz w:val="13"/>
                <w:szCs w:val="13"/>
                <w:color w:val="auto"/>
              </w:rPr>
            </w:pPr>
          </w:p>
        </w:tc>
        <w:tc>
          <w:tcPr>
            <w:tcW w:w="1300" w:type="dxa"/>
            <w:vAlign w:val="bottom"/>
            <w:gridSpan w:val="2"/>
            <w:shd w:val="clear" w:color="auto" w:fill="D9D9D9"/>
          </w:tcPr>
          <w:p>
            <w:pPr>
              <w:jc w:val="right"/>
              <w:ind w:right="90"/>
              <w:spacing w:after="0" w:line="158" w:lineRule="exact"/>
              <w:rPr>
                <w:sz w:val="20"/>
                <w:szCs w:val="20"/>
                <w:color w:val="auto"/>
              </w:rPr>
            </w:pPr>
            <w:r>
              <w:rPr>
                <w:rFonts w:ascii="Arial" w:cs="Arial" w:eastAsia="Arial" w:hAnsi="Arial"/>
                <w:sz w:val="15"/>
                <w:szCs w:val="15"/>
                <w:color w:val="auto"/>
              </w:rPr>
              <w:t>9,432</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(d)</w:t>
            </w:r>
          </w:p>
        </w:tc>
      </w:tr>
      <w:tr>
        <w:trPr>
          <w:trHeight w:val="187"/>
        </w:trPr>
        <w:tc>
          <w:tcPr>
            <w:tcW w:w="2780" w:type="dxa"/>
            <w:vAlign w:val="bottom"/>
            <w:shd w:val="clear" w:color="auto" w:fill="D9D9D9"/>
          </w:tcPr>
          <w:p>
            <w:pPr>
              <w:spacing w:after="0"/>
              <w:rPr>
                <w:sz w:val="16"/>
                <w:szCs w:val="16"/>
                <w:color w:val="auto"/>
              </w:rPr>
            </w:pPr>
          </w:p>
        </w:tc>
        <w:tc>
          <w:tcPr>
            <w:tcW w:w="1080" w:type="dxa"/>
            <w:vAlign w:val="bottom"/>
            <w:shd w:val="clear" w:color="auto" w:fill="D9D9D9"/>
          </w:tcPr>
          <w:p>
            <w:pPr>
              <w:spacing w:after="0"/>
              <w:rPr>
                <w:sz w:val="16"/>
                <w:szCs w:val="16"/>
                <w:color w:val="auto"/>
              </w:rPr>
            </w:pPr>
          </w:p>
        </w:tc>
        <w:tc>
          <w:tcPr>
            <w:tcW w:w="7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7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1220" w:type="dxa"/>
            <w:vAlign w:val="bottom"/>
            <w:shd w:val="clear" w:color="auto" w:fill="D9D9D9"/>
          </w:tcPr>
          <w:p>
            <w:pPr>
              <w:spacing w:after="0"/>
              <w:rPr>
                <w:sz w:val="16"/>
                <w:szCs w:val="16"/>
                <w:color w:val="auto"/>
              </w:rPr>
            </w:pPr>
          </w:p>
        </w:tc>
        <w:tc>
          <w:tcPr>
            <w:tcW w:w="160" w:type="dxa"/>
            <w:vAlign w:val="bottom"/>
            <w:tcBorders>
              <w:right w:val="single" w:sz="8" w:color="000039"/>
            </w:tcBorders>
            <w:shd w:val="clear" w:color="auto" w:fill="D9D9D9"/>
          </w:tcPr>
          <w:p>
            <w:pPr>
              <w:spacing w:after="0"/>
              <w:rPr>
                <w:sz w:val="16"/>
                <w:szCs w:val="16"/>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13,481</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(e)</w:t>
            </w:r>
          </w:p>
        </w:tc>
      </w:tr>
      <w:tr>
        <w:trPr>
          <w:trHeight w:val="173"/>
        </w:trPr>
        <w:tc>
          <w:tcPr>
            <w:tcW w:w="27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46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46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160" w:type="dxa"/>
            <w:vAlign w:val="bottom"/>
            <w:tcBorders>
              <w:right w:val="single" w:sz="8" w:color="000039"/>
            </w:tcBorders>
            <w:shd w:val="clear" w:color="auto" w:fill="D9D9D9"/>
          </w:tcPr>
          <w:p>
            <w:pPr>
              <w:spacing w:after="0"/>
              <w:rPr>
                <w:sz w:val="15"/>
                <w:szCs w:val="15"/>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13,481</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(f)</w:t>
            </w:r>
          </w:p>
        </w:tc>
      </w:tr>
      <w:tr>
        <w:trPr>
          <w:trHeight w:val="159"/>
        </w:trPr>
        <w:tc>
          <w:tcPr>
            <w:tcW w:w="2780" w:type="dxa"/>
            <w:vAlign w:val="bottom"/>
          </w:tcPr>
          <w:p>
            <w:pPr>
              <w:spacing w:after="0" w:line="159" w:lineRule="exact"/>
              <w:rPr>
                <w:sz w:val="20"/>
                <w:szCs w:val="20"/>
                <w:color w:val="auto"/>
              </w:rPr>
            </w:pPr>
            <w:r>
              <w:rPr>
                <w:rFonts w:ascii="Arial" w:cs="Arial" w:eastAsia="Arial" w:hAnsi="Arial"/>
                <w:sz w:val="15"/>
                <w:szCs w:val="15"/>
                <w:color w:val="auto"/>
              </w:rPr>
              <w:t>A. Saleki-Gerhardt</w:t>
            </w:r>
          </w:p>
        </w:tc>
        <w:tc>
          <w:tcPr>
            <w:tcW w:w="1080" w:type="dxa"/>
            <w:vAlign w:val="bottom"/>
          </w:tcPr>
          <w:p>
            <w:pPr>
              <w:jc w:val="right"/>
              <w:spacing w:after="0" w:line="159" w:lineRule="exact"/>
              <w:rPr>
                <w:sz w:val="20"/>
                <w:szCs w:val="20"/>
                <w:color w:val="auto"/>
              </w:rPr>
            </w:pPr>
            <w:r>
              <w:rPr>
                <w:rFonts w:ascii="Arial" w:cs="Arial" w:eastAsia="Arial" w:hAnsi="Arial"/>
                <w:sz w:val="15"/>
                <w:szCs w:val="15"/>
                <w:color w:val="auto"/>
              </w:rPr>
              <w:t>7,652</w:t>
            </w:r>
          </w:p>
        </w:tc>
        <w:tc>
          <w:tcPr>
            <w:tcW w:w="760" w:type="dxa"/>
            <w:vAlign w:val="bottom"/>
          </w:tcPr>
          <w:p>
            <w:pPr>
              <w:jc w:val="right"/>
              <w:spacing w:after="0" w:line="159" w:lineRule="exact"/>
              <w:rPr>
                <w:sz w:val="20"/>
                <w:szCs w:val="20"/>
                <w:color w:val="auto"/>
              </w:rPr>
            </w:pPr>
            <w:r>
              <w:rPr>
                <w:rFonts w:ascii="Arial" w:cs="Arial" w:eastAsia="Arial" w:hAnsi="Arial"/>
                <w:sz w:val="15"/>
                <w:szCs w:val="15"/>
                <w:color w:val="auto"/>
              </w:rPr>
              <w:t>7,652</w:t>
            </w:r>
          </w:p>
        </w:tc>
        <w:tc>
          <w:tcPr>
            <w:tcW w:w="460" w:type="dxa"/>
            <w:vAlign w:val="bottom"/>
          </w:tcPr>
          <w:p>
            <w:pPr>
              <w:jc w:val="right"/>
              <w:spacing w:after="0" w:line="159" w:lineRule="exact"/>
              <w:rPr>
                <w:sz w:val="20"/>
                <w:szCs w:val="20"/>
                <w:color w:val="auto"/>
              </w:rPr>
            </w:pPr>
            <w:r>
              <w:rPr>
                <w:rFonts w:ascii="Arial" w:cs="Arial" w:eastAsia="Arial" w:hAnsi="Arial"/>
                <w:sz w:val="15"/>
                <w:szCs w:val="15"/>
                <w:color w:val="auto"/>
                <w:w w:val="98"/>
              </w:rPr>
              <w:t>- 2/16</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Borders>
              <w:right w:val="single" w:sz="8" w:color="000039"/>
            </w:tcBorders>
          </w:tcPr>
          <w:p>
            <w:pPr>
              <w:spacing w:after="0"/>
              <w:rPr>
                <w:sz w:val="13"/>
                <w:szCs w:val="13"/>
                <w:color w:val="auto"/>
              </w:rPr>
            </w:pPr>
          </w:p>
        </w:tc>
        <w:tc>
          <w:tcPr>
            <w:tcW w:w="1300" w:type="dxa"/>
            <w:vAlign w:val="bottom"/>
            <w:gridSpan w:val="2"/>
          </w:tcPr>
          <w:p>
            <w:pPr>
              <w:jc w:val="right"/>
              <w:ind w:right="90"/>
              <w:spacing w:after="0" w:line="159" w:lineRule="exact"/>
              <w:rPr>
                <w:sz w:val="20"/>
                <w:szCs w:val="20"/>
                <w:color w:val="auto"/>
              </w:rPr>
            </w:pPr>
            <w:r>
              <w:rPr>
                <w:rFonts w:ascii="Arial" w:cs="Arial" w:eastAsia="Arial" w:hAnsi="Arial"/>
                <w:sz w:val="15"/>
                <w:szCs w:val="15"/>
                <w:color w:val="auto"/>
              </w:rPr>
              <w:t>9,089</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(a)</w:t>
            </w:r>
          </w:p>
        </w:tc>
      </w:tr>
      <w:tr>
        <w:trPr>
          <w:trHeight w:val="172"/>
        </w:trPr>
        <w:tc>
          <w:tcPr>
            <w:tcW w:w="2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19,542</w:t>
            </w:r>
          </w:p>
        </w:tc>
        <w:tc>
          <w:tcPr>
            <w:tcW w:w="760" w:type="dxa"/>
            <w:vAlign w:val="bottom"/>
          </w:tcPr>
          <w:p>
            <w:pPr>
              <w:jc w:val="right"/>
              <w:spacing w:after="0"/>
              <w:rPr>
                <w:sz w:val="20"/>
                <w:szCs w:val="20"/>
                <w:color w:val="auto"/>
              </w:rPr>
            </w:pPr>
            <w:r>
              <w:rPr>
                <w:rFonts w:ascii="Arial" w:cs="Arial" w:eastAsia="Arial" w:hAnsi="Arial"/>
                <w:sz w:val="15"/>
                <w:szCs w:val="15"/>
                <w:color w:val="auto"/>
              </w:rPr>
              <w:t>9,771</w:t>
            </w:r>
          </w:p>
        </w:tc>
        <w:tc>
          <w:tcPr>
            <w:tcW w:w="460" w:type="dxa"/>
            <w:vAlign w:val="bottom"/>
          </w:tcPr>
          <w:p>
            <w:pPr>
              <w:jc w:val="right"/>
              <w:spacing w:after="0"/>
              <w:rPr>
                <w:sz w:val="20"/>
                <w:szCs w:val="20"/>
                <w:color w:val="auto"/>
              </w:rPr>
            </w:pPr>
            <w:r>
              <w:rPr>
                <w:rFonts w:ascii="Arial" w:cs="Arial" w:eastAsia="Arial" w:hAnsi="Arial"/>
                <w:sz w:val="15"/>
                <w:szCs w:val="15"/>
                <w:color w:val="auto"/>
                <w:w w:val="98"/>
              </w:rPr>
              <w:t>- 2/15</w:t>
            </w:r>
          </w:p>
        </w:tc>
        <w:tc>
          <w:tcPr>
            <w:tcW w:w="760" w:type="dxa"/>
            <w:vAlign w:val="bottom"/>
          </w:tcPr>
          <w:p>
            <w:pPr>
              <w:jc w:val="right"/>
              <w:spacing w:after="0"/>
              <w:rPr>
                <w:sz w:val="20"/>
                <w:szCs w:val="20"/>
                <w:color w:val="auto"/>
              </w:rPr>
            </w:pPr>
            <w:r>
              <w:rPr>
                <w:rFonts w:ascii="Arial" w:cs="Arial" w:eastAsia="Arial" w:hAnsi="Arial"/>
                <w:sz w:val="15"/>
                <w:szCs w:val="15"/>
                <w:color w:val="auto"/>
              </w:rPr>
              <w:t>9,771</w:t>
            </w:r>
          </w:p>
        </w:tc>
        <w:tc>
          <w:tcPr>
            <w:tcW w:w="460" w:type="dxa"/>
            <w:vAlign w:val="bottom"/>
          </w:tcPr>
          <w:p>
            <w:pPr>
              <w:jc w:val="right"/>
              <w:spacing w:after="0"/>
              <w:rPr>
                <w:sz w:val="20"/>
                <w:szCs w:val="20"/>
                <w:color w:val="auto"/>
              </w:rPr>
            </w:pPr>
            <w:r>
              <w:rPr>
                <w:rFonts w:ascii="Arial" w:cs="Arial" w:eastAsia="Arial" w:hAnsi="Arial"/>
                <w:sz w:val="15"/>
                <w:szCs w:val="15"/>
                <w:color w:val="auto"/>
                <w:w w:val="98"/>
              </w:rPr>
              <w:t>- 2/15</w:t>
            </w:r>
          </w:p>
        </w:tc>
        <w:tc>
          <w:tcPr>
            <w:tcW w:w="1220" w:type="dxa"/>
            <w:vAlign w:val="bottom"/>
          </w:tcPr>
          <w:p>
            <w:pPr>
              <w:spacing w:after="0"/>
              <w:rPr>
                <w:sz w:val="14"/>
                <w:szCs w:val="14"/>
                <w:color w:val="auto"/>
              </w:rPr>
            </w:pPr>
          </w:p>
        </w:tc>
        <w:tc>
          <w:tcPr>
            <w:tcW w:w="160" w:type="dxa"/>
            <w:vAlign w:val="bottom"/>
            <w:tcBorders>
              <w:right w:val="single" w:sz="8" w:color="000039"/>
            </w:tcBorders>
          </w:tcPr>
          <w:p>
            <w:pPr>
              <w:spacing w:after="0"/>
              <w:rPr>
                <w:sz w:val="14"/>
                <w:szCs w:val="14"/>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3,029</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(b)</w:t>
            </w:r>
          </w:p>
        </w:tc>
      </w:tr>
      <w:tr>
        <w:trPr>
          <w:trHeight w:val="173"/>
        </w:trPr>
        <w:tc>
          <w:tcPr>
            <w:tcW w:w="2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25,000</w:t>
            </w:r>
          </w:p>
        </w:tc>
        <w:tc>
          <w:tcPr>
            <w:tcW w:w="760" w:type="dxa"/>
            <w:vAlign w:val="bottom"/>
          </w:tcPr>
          <w:p>
            <w:pPr>
              <w:jc w:val="right"/>
              <w:spacing w:after="0"/>
              <w:rPr>
                <w:sz w:val="20"/>
                <w:szCs w:val="20"/>
                <w:color w:val="auto"/>
              </w:rPr>
            </w:pPr>
            <w:r>
              <w:rPr>
                <w:rFonts w:ascii="Arial" w:cs="Arial" w:eastAsia="Arial" w:hAnsi="Arial"/>
                <w:sz w:val="15"/>
                <w:szCs w:val="15"/>
                <w:color w:val="auto"/>
              </w:rPr>
              <w:t>8,334</w:t>
            </w:r>
          </w:p>
        </w:tc>
        <w:tc>
          <w:tcPr>
            <w:tcW w:w="460" w:type="dxa"/>
            <w:vAlign w:val="bottom"/>
          </w:tcPr>
          <w:p>
            <w:pPr>
              <w:jc w:val="right"/>
              <w:spacing w:after="0"/>
              <w:rPr>
                <w:sz w:val="20"/>
                <w:szCs w:val="20"/>
                <w:color w:val="auto"/>
              </w:rPr>
            </w:pPr>
            <w:r>
              <w:rPr>
                <w:rFonts w:ascii="Arial" w:cs="Arial" w:eastAsia="Arial" w:hAnsi="Arial"/>
                <w:sz w:val="15"/>
                <w:szCs w:val="15"/>
                <w:color w:val="auto"/>
                <w:w w:val="98"/>
              </w:rPr>
              <w:t>- 2/13</w:t>
            </w:r>
          </w:p>
        </w:tc>
        <w:tc>
          <w:tcPr>
            <w:tcW w:w="760" w:type="dxa"/>
            <w:vAlign w:val="bottom"/>
          </w:tcPr>
          <w:p>
            <w:pPr>
              <w:jc w:val="right"/>
              <w:spacing w:after="0"/>
              <w:rPr>
                <w:sz w:val="20"/>
                <w:szCs w:val="20"/>
                <w:color w:val="auto"/>
              </w:rPr>
            </w:pPr>
            <w:r>
              <w:rPr>
                <w:rFonts w:ascii="Arial" w:cs="Arial" w:eastAsia="Arial" w:hAnsi="Arial"/>
                <w:sz w:val="15"/>
                <w:szCs w:val="15"/>
                <w:color w:val="auto"/>
              </w:rPr>
              <w:t>8,333</w:t>
            </w:r>
          </w:p>
        </w:tc>
        <w:tc>
          <w:tcPr>
            <w:tcW w:w="460" w:type="dxa"/>
            <w:vAlign w:val="bottom"/>
          </w:tcPr>
          <w:p>
            <w:pPr>
              <w:jc w:val="right"/>
              <w:spacing w:after="0"/>
              <w:rPr>
                <w:sz w:val="20"/>
                <w:szCs w:val="20"/>
                <w:color w:val="auto"/>
              </w:rPr>
            </w:pPr>
            <w:r>
              <w:rPr>
                <w:rFonts w:ascii="Arial" w:cs="Arial" w:eastAsia="Arial" w:hAnsi="Arial"/>
                <w:sz w:val="15"/>
                <w:szCs w:val="15"/>
                <w:color w:val="auto"/>
                <w:w w:val="98"/>
              </w:rPr>
              <w:t>- 2/13</w:t>
            </w:r>
          </w:p>
        </w:tc>
        <w:tc>
          <w:tcPr>
            <w:tcW w:w="1220" w:type="dxa"/>
            <w:vAlign w:val="bottom"/>
          </w:tcPr>
          <w:p>
            <w:pPr>
              <w:jc w:val="right"/>
              <w:spacing w:after="0"/>
              <w:rPr>
                <w:sz w:val="20"/>
                <w:szCs w:val="20"/>
                <w:color w:val="auto"/>
              </w:rPr>
            </w:pPr>
            <w:r>
              <w:rPr>
                <w:rFonts w:ascii="Arial" w:cs="Arial" w:eastAsia="Arial" w:hAnsi="Arial"/>
                <w:sz w:val="15"/>
                <w:szCs w:val="15"/>
                <w:color w:val="auto"/>
              </w:rPr>
              <w:t>8,333 - 2/13</w:t>
            </w:r>
          </w:p>
        </w:tc>
        <w:tc>
          <w:tcPr>
            <w:tcW w:w="160" w:type="dxa"/>
            <w:vAlign w:val="bottom"/>
            <w:tcBorders>
              <w:right w:val="single" w:sz="8" w:color="000039"/>
            </w:tcBorders>
          </w:tcPr>
          <w:p>
            <w:pPr>
              <w:spacing w:after="0"/>
              <w:rPr>
                <w:sz w:val="15"/>
                <w:szCs w:val="15"/>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10,611</w:t>
            </w:r>
          </w:p>
        </w:tc>
        <w:tc>
          <w:tcPr>
            <w:tcW w:w="1100" w:type="dxa"/>
            <w:vAlign w:val="bottom"/>
          </w:tcPr>
          <w:p>
            <w:pPr>
              <w:jc w:val="right"/>
              <w:spacing w:after="0"/>
              <w:rPr>
                <w:sz w:val="20"/>
                <w:szCs w:val="20"/>
                <w:color w:val="auto"/>
              </w:rPr>
            </w:pPr>
            <w:r>
              <w:rPr>
                <w:rFonts w:ascii="Arial" w:cs="Arial" w:eastAsia="Arial" w:hAnsi="Arial"/>
                <w:sz w:val="10"/>
                <w:szCs w:val="10"/>
                <w:color w:val="auto"/>
              </w:rPr>
              <w:t>(c)</w:t>
            </w:r>
          </w:p>
        </w:tc>
      </w:tr>
      <w:tr>
        <w:trPr>
          <w:trHeight w:val="173"/>
        </w:trPr>
        <w:tc>
          <w:tcPr>
            <w:tcW w:w="2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right w:val="single" w:sz="8" w:color="000039"/>
            </w:tcBorders>
          </w:tcPr>
          <w:p>
            <w:pPr>
              <w:spacing w:after="0"/>
              <w:rPr>
                <w:sz w:val="15"/>
                <w:szCs w:val="15"/>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7,074</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(d)</w:t>
            </w:r>
          </w:p>
        </w:tc>
      </w:tr>
      <w:tr>
        <w:trPr>
          <w:trHeight w:val="173"/>
        </w:trPr>
        <w:tc>
          <w:tcPr>
            <w:tcW w:w="2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right w:val="single" w:sz="8" w:color="000039"/>
            </w:tcBorders>
          </w:tcPr>
          <w:p>
            <w:pPr>
              <w:spacing w:after="0"/>
              <w:rPr>
                <w:sz w:val="15"/>
                <w:szCs w:val="15"/>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9,955</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(e)</w:t>
            </w:r>
          </w:p>
        </w:tc>
      </w:tr>
      <w:tr>
        <w:trPr>
          <w:trHeight w:val="187"/>
        </w:trPr>
        <w:tc>
          <w:tcPr>
            <w:tcW w:w="2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Borders>
              <w:right w:val="single" w:sz="8" w:color="000039"/>
            </w:tcBorders>
          </w:tcPr>
          <w:p>
            <w:pPr>
              <w:spacing w:after="0"/>
              <w:rPr>
                <w:sz w:val="16"/>
                <w:szCs w:val="16"/>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5"/>
                <w:szCs w:val="15"/>
                <w:color w:val="auto"/>
              </w:rPr>
              <w:t>9,955</w:t>
            </w:r>
          </w:p>
        </w:tc>
        <w:tc>
          <w:tcPr>
            <w:tcW w:w="1100" w:type="dxa"/>
            <w:vAlign w:val="bottom"/>
          </w:tcPr>
          <w:p>
            <w:pPr>
              <w:jc w:val="right"/>
              <w:ind w:right="7"/>
              <w:spacing w:after="0"/>
              <w:rPr>
                <w:sz w:val="20"/>
                <w:szCs w:val="20"/>
                <w:color w:val="auto"/>
              </w:rPr>
            </w:pPr>
            <w:r>
              <w:rPr>
                <w:rFonts w:ascii="Arial" w:cs="Arial" w:eastAsia="Arial" w:hAnsi="Arial"/>
                <w:sz w:val="10"/>
                <w:szCs w:val="10"/>
                <w:color w:val="auto"/>
              </w:rPr>
              <w:t>(f)</w:t>
            </w:r>
          </w:p>
        </w:tc>
      </w:tr>
      <w:tr>
        <w:trPr>
          <w:trHeight w:val="172"/>
        </w:trPr>
        <w:tc>
          <w:tcPr>
            <w:tcW w:w="2780" w:type="dxa"/>
            <w:vAlign w:val="bottom"/>
            <w:shd w:val="clear" w:color="auto" w:fill="D9D9D9"/>
          </w:tcPr>
          <w:p>
            <w:pPr>
              <w:spacing w:after="0"/>
              <w:rPr>
                <w:sz w:val="20"/>
                <w:szCs w:val="20"/>
                <w:color w:val="auto"/>
              </w:rPr>
            </w:pPr>
            <w:r>
              <w:rPr>
                <w:rFonts w:ascii="Arial" w:cs="Arial" w:eastAsia="Arial" w:hAnsi="Arial"/>
                <w:sz w:val="15"/>
                <w:szCs w:val="15"/>
                <w:color w:val="auto"/>
              </w:rPr>
              <w:t>R. Thakkar</w:t>
            </w: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2,700</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2,700</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- 2/16</w:t>
            </w:r>
          </w:p>
        </w:tc>
        <w:tc>
          <w:tcPr>
            <w:tcW w:w="760" w:type="dxa"/>
            <w:vAlign w:val="bottom"/>
            <w:shd w:val="clear" w:color="auto" w:fill="D9D9D9"/>
          </w:tcPr>
          <w:p>
            <w:pPr>
              <w:spacing w:after="0"/>
              <w:rPr>
                <w:sz w:val="14"/>
                <w:szCs w:val="14"/>
                <w:color w:val="auto"/>
              </w:rPr>
            </w:pPr>
          </w:p>
        </w:tc>
        <w:tc>
          <w:tcPr>
            <w:tcW w:w="46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60" w:type="dxa"/>
            <w:vAlign w:val="bottom"/>
            <w:tcBorders>
              <w:right w:val="single" w:sz="8" w:color="000039"/>
            </w:tcBorders>
            <w:shd w:val="clear" w:color="auto" w:fill="D9D9D9"/>
          </w:tcPr>
          <w:p>
            <w:pPr>
              <w:spacing w:after="0"/>
              <w:rPr>
                <w:sz w:val="14"/>
                <w:szCs w:val="14"/>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3,208</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(a)</w:t>
            </w:r>
          </w:p>
        </w:tc>
      </w:tr>
      <w:tr>
        <w:trPr>
          <w:trHeight w:val="173"/>
        </w:trPr>
        <w:tc>
          <w:tcPr>
            <w:tcW w:w="27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9,245</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4,623</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- 2/15</w:t>
            </w:r>
          </w:p>
        </w:tc>
        <w:tc>
          <w:tcPr>
            <w:tcW w:w="7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4,622</w:t>
            </w:r>
          </w:p>
        </w:tc>
        <w:tc>
          <w:tcPr>
            <w:tcW w:w="460" w:type="dxa"/>
            <w:vAlign w:val="bottom"/>
            <w:shd w:val="clear" w:color="auto" w:fill="D9D9D9"/>
          </w:tcPr>
          <w:p>
            <w:pPr>
              <w:jc w:val="right"/>
              <w:spacing w:after="0"/>
              <w:rPr>
                <w:sz w:val="20"/>
                <w:szCs w:val="20"/>
                <w:color w:val="auto"/>
              </w:rPr>
            </w:pPr>
            <w:r>
              <w:rPr>
                <w:rFonts w:ascii="Arial" w:cs="Arial" w:eastAsia="Arial" w:hAnsi="Arial"/>
                <w:sz w:val="15"/>
                <w:szCs w:val="15"/>
                <w:color w:val="auto"/>
                <w:w w:val="98"/>
              </w:rPr>
              <w:t>- 2/15</w:t>
            </w:r>
          </w:p>
        </w:tc>
        <w:tc>
          <w:tcPr>
            <w:tcW w:w="1220" w:type="dxa"/>
            <w:vAlign w:val="bottom"/>
            <w:shd w:val="clear" w:color="auto" w:fill="D9D9D9"/>
          </w:tcPr>
          <w:p>
            <w:pPr>
              <w:spacing w:after="0"/>
              <w:rPr>
                <w:sz w:val="15"/>
                <w:szCs w:val="15"/>
                <w:color w:val="auto"/>
              </w:rPr>
            </w:pPr>
          </w:p>
        </w:tc>
        <w:tc>
          <w:tcPr>
            <w:tcW w:w="160" w:type="dxa"/>
            <w:vAlign w:val="bottom"/>
            <w:tcBorders>
              <w:right w:val="single" w:sz="8" w:color="000039"/>
            </w:tcBorders>
            <w:shd w:val="clear" w:color="auto" w:fill="D9D9D9"/>
          </w:tcPr>
          <w:p>
            <w:pPr>
              <w:spacing w:after="0"/>
              <w:rPr>
                <w:sz w:val="15"/>
                <w:szCs w:val="15"/>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1,069</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(b)</w:t>
            </w:r>
          </w:p>
        </w:tc>
      </w:tr>
      <w:tr>
        <w:trPr>
          <w:trHeight w:val="157"/>
        </w:trPr>
        <w:tc>
          <w:tcPr>
            <w:tcW w:w="2780" w:type="dxa"/>
            <w:vAlign w:val="bottom"/>
            <w:shd w:val="clear" w:color="auto" w:fill="D9D9D9"/>
          </w:tcPr>
          <w:p>
            <w:pPr>
              <w:spacing w:after="0"/>
              <w:rPr>
                <w:sz w:val="13"/>
                <w:szCs w:val="13"/>
                <w:color w:val="auto"/>
              </w:rPr>
            </w:pPr>
          </w:p>
        </w:tc>
        <w:tc>
          <w:tcPr>
            <w:tcW w:w="1080" w:type="dxa"/>
            <w:vAlign w:val="bottom"/>
            <w:shd w:val="clear" w:color="auto" w:fill="D9D9D9"/>
          </w:tcPr>
          <w:p>
            <w:pPr>
              <w:jc w:val="right"/>
              <w:spacing w:after="0" w:line="158" w:lineRule="exact"/>
              <w:rPr>
                <w:sz w:val="20"/>
                <w:szCs w:val="20"/>
                <w:color w:val="auto"/>
              </w:rPr>
            </w:pPr>
            <w:r>
              <w:rPr>
                <w:rFonts w:ascii="Arial" w:cs="Arial" w:eastAsia="Arial" w:hAnsi="Arial"/>
                <w:sz w:val="15"/>
                <w:szCs w:val="15"/>
                <w:color w:val="auto"/>
              </w:rPr>
              <w:t>25,000</w:t>
            </w:r>
          </w:p>
        </w:tc>
        <w:tc>
          <w:tcPr>
            <w:tcW w:w="760" w:type="dxa"/>
            <w:vAlign w:val="bottom"/>
            <w:shd w:val="clear" w:color="auto" w:fill="D9D9D9"/>
          </w:tcPr>
          <w:p>
            <w:pPr>
              <w:jc w:val="right"/>
              <w:spacing w:after="0" w:line="158" w:lineRule="exact"/>
              <w:rPr>
                <w:sz w:val="20"/>
                <w:szCs w:val="20"/>
                <w:color w:val="auto"/>
              </w:rPr>
            </w:pPr>
            <w:r>
              <w:rPr>
                <w:rFonts w:ascii="Arial" w:cs="Arial" w:eastAsia="Arial" w:hAnsi="Arial"/>
                <w:sz w:val="15"/>
                <w:szCs w:val="15"/>
                <w:color w:val="auto"/>
              </w:rPr>
              <w:t>8,334</w:t>
            </w:r>
          </w:p>
        </w:tc>
        <w:tc>
          <w:tcPr>
            <w:tcW w:w="460" w:type="dxa"/>
            <w:vAlign w:val="bottom"/>
            <w:shd w:val="clear" w:color="auto" w:fill="D9D9D9"/>
          </w:tcPr>
          <w:p>
            <w:pPr>
              <w:jc w:val="right"/>
              <w:spacing w:after="0" w:line="158" w:lineRule="exact"/>
              <w:rPr>
                <w:sz w:val="20"/>
                <w:szCs w:val="20"/>
                <w:color w:val="auto"/>
              </w:rPr>
            </w:pPr>
            <w:r>
              <w:rPr>
                <w:rFonts w:ascii="Arial" w:cs="Arial" w:eastAsia="Arial" w:hAnsi="Arial"/>
                <w:sz w:val="15"/>
                <w:szCs w:val="15"/>
                <w:color w:val="auto"/>
                <w:w w:val="98"/>
              </w:rPr>
              <w:t>- 2/13</w:t>
            </w:r>
          </w:p>
        </w:tc>
        <w:tc>
          <w:tcPr>
            <w:tcW w:w="760" w:type="dxa"/>
            <w:vAlign w:val="bottom"/>
            <w:shd w:val="clear" w:color="auto" w:fill="D9D9D9"/>
          </w:tcPr>
          <w:p>
            <w:pPr>
              <w:jc w:val="right"/>
              <w:spacing w:after="0" w:line="158" w:lineRule="exact"/>
              <w:rPr>
                <w:sz w:val="20"/>
                <w:szCs w:val="20"/>
                <w:color w:val="auto"/>
              </w:rPr>
            </w:pPr>
            <w:r>
              <w:rPr>
                <w:rFonts w:ascii="Arial" w:cs="Arial" w:eastAsia="Arial" w:hAnsi="Arial"/>
                <w:sz w:val="15"/>
                <w:szCs w:val="15"/>
                <w:color w:val="auto"/>
              </w:rPr>
              <w:t>8,333</w:t>
            </w:r>
          </w:p>
        </w:tc>
        <w:tc>
          <w:tcPr>
            <w:tcW w:w="460" w:type="dxa"/>
            <w:vAlign w:val="bottom"/>
            <w:shd w:val="clear" w:color="auto" w:fill="D9D9D9"/>
          </w:tcPr>
          <w:p>
            <w:pPr>
              <w:jc w:val="right"/>
              <w:spacing w:after="0" w:line="158" w:lineRule="exact"/>
              <w:rPr>
                <w:sz w:val="20"/>
                <w:szCs w:val="20"/>
                <w:color w:val="auto"/>
              </w:rPr>
            </w:pPr>
            <w:r>
              <w:rPr>
                <w:rFonts w:ascii="Arial" w:cs="Arial" w:eastAsia="Arial" w:hAnsi="Arial"/>
                <w:sz w:val="15"/>
                <w:szCs w:val="15"/>
                <w:color w:val="auto"/>
                <w:w w:val="98"/>
              </w:rPr>
              <w:t>- 2/13</w:t>
            </w:r>
          </w:p>
        </w:tc>
        <w:tc>
          <w:tcPr>
            <w:tcW w:w="1220" w:type="dxa"/>
            <w:vAlign w:val="bottom"/>
            <w:shd w:val="clear" w:color="auto" w:fill="D9D9D9"/>
          </w:tcPr>
          <w:p>
            <w:pPr>
              <w:jc w:val="right"/>
              <w:spacing w:after="0" w:line="158" w:lineRule="exact"/>
              <w:rPr>
                <w:sz w:val="20"/>
                <w:szCs w:val="20"/>
                <w:color w:val="auto"/>
              </w:rPr>
            </w:pPr>
            <w:r>
              <w:rPr>
                <w:rFonts w:ascii="Arial" w:cs="Arial" w:eastAsia="Arial" w:hAnsi="Arial"/>
                <w:sz w:val="15"/>
                <w:szCs w:val="15"/>
                <w:color w:val="auto"/>
              </w:rPr>
              <w:t>8,333 - 2/13</w:t>
            </w:r>
          </w:p>
        </w:tc>
        <w:tc>
          <w:tcPr>
            <w:tcW w:w="160" w:type="dxa"/>
            <w:vAlign w:val="bottom"/>
            <w:tcBorders>
              <w:right w:val="single" w:sz="8" w:color="000039"/>
            </w:tcBorders>
            <w:shd w:val="clear" w:color="auto" w:fill="D9D9D9"/>
          </w:tcPr>
          <w:p>
            <w:pPr>
              <w:spacing w:after="0"/>
              <w:rPr>
                <w:sz w:val="13"/>
                <w:szCs w:val="13"/>
                <w:color w:val="auto"/>
              </w:rPr>
            </w:pPr>
          </w:p>
        </w:tc>
        <w:tc>
          <w:tcPr>
            <w:tcW w:w="1300" w:type="dxa"/>
            <w:vAlign w:val="bottom"/>
            <w:gridSpan w:val="2"/>
            <w:shd w:val="clear" w:color="auto" w:fill="D9D9D9"/>
          </w:tcPr>
          <w:p>
            <w:pPr>
              <w:jc w:val="right"/>
              <w:ind w:right="90"/>
              <w:spacing w:after="0" w:line="158" w:lineRule="exact"/>
              <w:rPr>
                <w:sz w:val="20"/>
                <w:szCs w:val="20"/>
                <w:color w:val="auto"/>
              </w:rPr>
            </w:pPr>
            <w:r>
              <w:rPr>
                <w:rFonts w:ascii="Arial" w:cs="Arial" w:eastAsia="Arial" w:hAnsi="Arial"/>
                <w:sz w:val="15"/>
                <w:szCs w:val="15"/>
                <w:color w:val="auto"/>
              </w:rPr>
              <w:t>5,020</w:t>
            </w:r>
          </w:p>
        </w:tc>
        <w:tc>
          <w:tcPr>
            <w:tcW w:w="1100" w:type="dxa"/>
            <w:vAlign w:val="bottom"/>
            <w:shd w:val="clear" w:color="auto" w:fill="D9D9D9"/>
          </w:tcPr>
          <w:p>
            <w:pPr>
              <w:jc w:val="right"/>
              <w:spacing w:after="0"/>
              <w:rPr>
                <w:sz w:val="20"/>
                <w:szCs w:val="20"/>
                <w:color w:val="auto"/>
              </w:rPr>
            </w:pPr>
            <w:r>
              <w:rPr>
                <w:rFonts w:ascii="Arial" w:cs="Arial" w:eastAsia="Arial" w:hAnsi="Arial"/>
                <w:sz w:val="10"/>
                <w:szCs w:val="10"/>
                <w:color w:val="auto"/>
              </w:rPr>
              <w:t>(c)</w:t>
            </w:r>
          </w:p>
        </w:tc>
      </w:tr>
      <w:tr>
        <w:trPr>
          <w:trHeight w:val="187"/>
        </w:trPr>
        <w:tc>
          <w:tcPr>
            <w:tcW w:w="2780" w:type="dxa"/>
            <w:vAlign w:val="bottom"/>
            <w:shd w:val="clear" w:color="auto" w:fill="D9D9D9"/>
          </w:tcPr>
          <w:p>
            <w:pPr>
              <w:spacing w:after="0"/>
              <w:rPr>
                <w:sz w:val="16"/>
                <w:szCs w:val="16"/>
                <w:color w:val="auto"/>
              </w:rPr>
            </w:pPr>
          </w:p>
        </w:tc>
        <w:tc>
          <w:tcPr>
            <w:tcW w:w="1080" w:type="dxa"/>
            <w:vAlign w:val="bottom"/>
            <w:shd w:val="clear" w:color="auto" w:fill="D9D9D9"/>
          </w:tcPr>
          <w:p>
            <w:pPr>
              <w:spacing w:after="0"/>
              <w:rPr>
                <w:sz w:val="16"/>
                <w:szCs w:val="16"/>
                <w:color w:val="auto"/>
              </w:rPr>
            </w:pPr>
          </w:p>
        </w:tc>
        <w:tc>
          <w:tcPr>
            <w:tcW w:w="7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7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1220" w:type="dxa"/>
            <w:vAlign w:val="bottom"/>
            <w:shd w:val="clear" w:color="auto" w:fill="D9D9D9"/>
          </w:tcPr>
          <w:p>
            <w:pPr>
              <w:spacing w:after="0"/>
              <w:rPr>
                <w:sz w:val="16"/>
                <w:szCs w:val="16"/>
                <w:color w:val="auto"/>
              </w:rPr>
            </w:pPr>
          </w:p>
        </w:tc>
        <w:tc>
          <w:tcPr>
            <w:tcW w:w="160" w:type="dxa"/>
            <w:vAlign w:val="bottom"/>
            <w:tcBorders>
              <w:right w:val="single" w:sz="8" w:color="000039"/>
            </w:tcBorders>
            <w:shd w:val="clear" w:color="auto" w:fill="D9D9D9"/>
          </w:tcPr>
          <w:p>
            <w:pPr>
              <w:spacing w:after="0"/>
              <w:rPr>
                <w:sz w:val="16"/>
                <w:szCs w:val="16"/>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3,346</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(d)</w:t>
            </w:r>
          </w:p>
        </w:tc>
      </w:tr>
      <w:tr>
        <w:trPr>
          <w:trHeight w:val="173"/>
        </w:trPr>
        <w:tc>
          <w:tcPr>
            <w:tcW w:w="27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46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46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160" w:type="dxa"/>
            <w:vAlign w:val="bottom"/>
            <w:tcBorders>
              <w:right w:val="single" w:sz="8" w:color="000039"/>
            </w:tcBorders>
            <w:shd w:val="clear" w:color="auto" w:fill="D9D9D9"/>
          </w:tcPr>
          <w:p>
            <w:pPr>
              <w:spacing w:after="0"/>
              <w:rPr>
                <w:sz w:val="15"/>
                <w:szCs w:val="15"/>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9,955</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(e)</w:t>
            </w:r>
          </w:p>
        </w:tc>
      </w:tr>
      <w:tr>
        <w:trPr>
          <w:trHeight w:val="173"/>
        </w:trPr>
        <w:tc>
          <w:tcPr>
            <w:tcW w:w="27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46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46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160" w:type="dxa"/>
            <w:vAlign w:val="bottom"/>
            <w:tcBorders>
              <w:right w:val="single" w:sz="8" w:color="000039"/>
            </w:tcBorders>
            <w:shd w:val="clear" w:color="auto" w:fill="D9D9D9"/>
          </w:tcPr>
          <w:p>
            <w:pPr>
              <w:spacing w:after="0"/>
              <w:rPr>
                <w:sz w:val="15"/>
                <w:szCs w:val="15"/>
                <w:color w:val="auto"/>
              </w:rPr>
            </w:pPr>
          </w:p>
        </w:tc>
        <w:tc>
          <w:tcPr>
            <w:tcW w:w="1300" w:type="dxa"/>
            <w:vAlign w:val="bottom"/>
            <w:gridSpan w:val="2"/>
            <w:shd w:val="clear" w:color="auto" w:fill="D9D9D9"/>
          </w:tcPr>
          <w:p>
            <w:pPr>
              <w:jc w:val="right"/>
              <w:ind w:right="90"/>
              <w:spacing w:after="0"/>
              <w:rPr>
                <w:sz w:val="20"/>
                <w:szCs w:val="20"/>
                <w:color w:val="auto"/>
              </w:rPr>
            </w:pPr>
            <w:r>
              <w:rPr>
                <w:rFonts w:ascii="Arial" w:cs="Arial" w:eastAsia="Arial" w:hAnsi="Arial"/>
                <w:sz w:val="15"/>
                <w:szCs w:val="15"/>
                <w:color w:val="auto"/>
              </w:rPr>
              <w:t>9,955</w:t>
            </w:r>
          </w:p>
        </w:tc>
        <w:tc>
          <w:tcPr>
            <w:tcW w:w="110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(f)</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1599565" cy="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pt" to="125.95pt,8.4pt" o:allowincell="f" strokecolor="#000000" strokeweight="1.0199pt"/>
            </w:pict>
          </mc:Fallback>
        </mc:AlternateContent>
      </w:r>
    </w:p>
    <w:p>
      <w:pPr>
        <w:spacing w:after="0" w:line="190" w:lineRule="exact"/>
        <w:rPr>
          <w:sz w:val="20"/>
          <w:szCs w:val="20"/>
          <w:color w:val="auto"/>
        </w:rPr>
      </w:pPr>
    </w:p>
    <w:p>
      <w:pPr>
        <w:ind w:left="360" w:right="40" w:hanging="360"/>
        <w:spacing w:after="0" w:line="244" w:lineRule="auto"/>
        <w:tabs>
          <w:tab w:leader="none" w:pos="36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These are performance shares that remained outstanding and unvested on December 31, 2025, from an award made on February 16, 2023. The award has the potential to vest at 0% to 187.5% of target after a three-year performance period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2023, AbbVie’s adjusted diluted EPS performance resulted in the banking of the award at 150% of target, with vesting to be determined based on the company’s relative TSR performance during the three-year performance period that ends December 31, 2025. In 2025, AbbVie’s three-year relative TSR performance resulted in a final vesting on February 27, 2026 of the award at 187.5% of target.</w:t>
      </w:r>
    </w:p>
    <w:p>
      <w:pPr>
        <w:spacing w:after="0" w:line="198" w:lineRule="exact"/>
        <w:rPr>
          <w:rFonts w:ascii="Arial" w:cs="Arial" w:eastAsia="Arial" w:hAnsi="Arial"/>
          <w:sz w:val="20"/>
          <w:szCs w:val="20"/>
          <w:color w:val="auto"/>
        </w:rPr>
      </w:pPr>
    </w:p>
    <w:p>
      <w:pPr>
        <w:ind w:left="360" w:hanging="360"/>
        <w:spacing w:after="0"/>
        <w:tabs>
          <w:tab w:leader="none" w:pos="3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These are performance-vested restricted stock units that remained outstanding and unvested on</w:t>
      </w:r>
    </w:p>
    <w:p>
      <w:pPr>
        <w:spacing w:after="0" w:line="26" w:lineRule="exact"/>
        <w:rPr>
          <w:rFonts w:ascii="Arial" w:cs="Arial" w:eastAsia="Arial" w:hAnsi="Arial"/>
          <w:sz w:val="20"/>
          <w:szCs w:val="20"/>
          <w:color w:val="auto"/>
        </w:rPr>
      </w:pPr>
    </w:p>
    <w:p>
      <w:pPr>
        <w:ind w:left="360" w:right="40"/>
        <w:spacing w:after="0" w:line="242" w:lineRule="auto"/>
        <w:rPr>
          <w:rFonts w:ascii="Arial" w:cs="Arial" w:eastAsia="Arial" w:hAnsi="Arial"/>
          <w:sz w:val="20"/>
          <w:szCs w:val="20"/>
          <w:color w:val="auto"/>
        </w:rPr>
      </w:pPr>
      <w:r>
        <w:rPr>
          <w:rFonts w:ascii="Arial" w:cs="Arial" w:eastAsia="Arial" w:hAnsi="Arial"/>
          <w:sz w:val="20"/>
          <w:szCs w:val="20"/>
          <w:color w:val="auto"/>
        </w:rPr>
        <w:t>December 31, 2025, from an award made on February 16, 2023. The award has the potential to vest at 0% to 200% of target in one-third increments during a three-year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relative ROIC performance resulted in the vesting on February 27, 2026 of one-third of the award at 200%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56  </w:t>
      </w:r>
      <w:r>
        <w:rPr>
          <w:sz w:val="1"/>
          <w:szCs w:val="1"/>
          <w:color w:val="auto"/>
        </w:rPr>
        <w:drawing>
          <wp:inline distT="0" distB="0" distL="0" distR="0">
            <wp:extent cx="991870" cy="20066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237">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left="361" w:right="40" w:hanging="360"/>
        <w:spacing w:after="0" w:line="245" w:lineRule="auto"/>
        <w:tabs>
          <w:tab w:leader="none" w:pos="362"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These are performance shares that remained outstanding and unvested on December 31, 2025, from an award made on February 15, 2024. The award has the potential to vest at 0% to 250% of target after a three-year performance period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2024, AbbVie’s adjusted diluted EPS performance resulted in the banking of the award at 200% of target, with vesting to be determined based on the company’s relative TSR performance during the three-year performance period that ends December 31, 2026.</w:t>
      </w:r>
    </w:p>
    <w:p>
      <w:pPr>
        <w:spacing w:after="0" w:line="196" w:lineRule="exact"/>
        <w:rPr>
          <w:rFonts w:ascii="Arial" w:cs="Arial" w:eastAsia="Arial" w:hAnsi="Arial"/>
          <w:sz w:val="20"/>
          <w:szCs w:val="20"/>
          <w:color w:val="auto"/>
        </w:rPr>
      </w:pPr>
    </w:p>
    <w:p>
      <w:pPr>
        <w:ind w:left="361" w:hanging="360"/>
        <w:spacing w:after="0"/>
        <w:tabs>
          <w:tab w:leader="none" w:pos="36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These are performance-vested restricted stock units that remained outstanding and unvested on</w:t>
      </w:r>
    </w:p>
    <w:p>
      <w:pPr>
        <w:spacing w:after="0" w:line="26" w:lineRule="exact"/>
        <w:rPr>
          <w:rFonts w:ascii="Arial" w:cs="Arial" w:eastAsia="Arial" w:hAnsi="Arial"/>
          <w:sz w:val="20"/>
          <w:szCs w:val="20"/>
          <w:color w:val="auto"/>
        </w:rPr>
      </w:pPr>
    </w:p>
    <w:p>
      <w:pPr>
        <w:ind w:left="361" w:right="40"/>
        <w:spacing w:after="0" w:line="242" w:lineRule="auto"/>
        <w:rPr>
          <w:rFonts w:ascii="Arial" w:cs="Arial" w:eastAsia="Arial" w:hAnsi="Arial"/>
          <w:sz w:val="20"/>
          <w:szCs w:val="20"/>
          <w:color w:val="auto"/>
        </w:rPr>
      </w:pPr>
      <w:r>
        <w:rPr>
          <w:rFonts w:ascii="Arial" w:cs="Arial" w:eastAsia="Arial" w:hAnsi="Arial"/>
          <w:sz w:val="20"/>
          <w:szCs w:val="20"/>
          <w:color w:val="auto"/>
        </w:rPr>
        <w:t>December 31, 2025, from an award made on February 15, 2024. The award has the potential to vest at 0% to 200% of target in one-third increments during a three-year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relative ROIC performance resulted in the vesting on February 27, 2026 of one-third of the award at 200% of target.</w:t>
      </w:r>
    </w:p>
    <w:p>
      <w:pPr>
        <w:spacing w:after="0" w:line="201" w:lineRule="exact"/>
        <w:rPr>
          <w:rFonts w:ascii="Arial" w:cs="Arial" w:eastAsia="Arial" w:hAnsi="Arial"/>
          <w:sz w:val="20"/>
          <w:szCs w:val="20"/>
          <w:color w:val="auto"/>
        </w:rPr>
      </w:pPr>
    </w:p>
    <w:p>
      <w:pPr>
        <w:ind w:left="361" w:right="40" w:hanging="360"/>
        <w:spacing w:after="0" w:line="245" w:lineRule="auto"/>
        <w:tabs>
          <w:tab w:leader="none" w:pos="36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These are performance shares that remained outstanding and unvested on December 31, 2025, from an award made on February 13, 2025. The award has the potential to vest at 0% to 250% of target after a three-year performance period based on company performance in adjusted diluted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adjusted diluted EPS performance resulted in the banking of the award at 200% of target, with vesting to be determined based on the company’s relative TSR performance during the three-year performance period that ends December 31, 2027.</w:t>
      </w:r>
    </w:p>
    <w:p>
      <w:pPr>
        <w:spacing w:after="0" w:line="197" w:lineRule="exact"/>
        <w:rPr>
          <w:rFonts w:ascii="Arial" w:cs="Arial" w:eastAsia="Arial" w:hAnsi="Arial"/>
          <w:sz w:val="20"/>
          <w:szCs w:val="20"/>
          <w:color w:val="auto"/>
        </w:rPr>
      </w:pPr>
    </w:p>
    <w:p>
      <w:pPr>
        <w:ind w:left="361" w:hanging="361"/>
        <w:spacing w:after="0"/>
        <w:tabs>
          <w:tab w:leader="none" w:pos="36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These are performance-vested restricted stock units that remained outstanding and unvested on</w:t>
      </w:r>
    </w:p>
    <w:p>
      <w:pPr>
        <w:spacing w:after="0" w:line="25" w:lineRule="exact"/>
        <w:rPr>
          <w:rFonts w:ascii="Arial" w:cs="Arial" w:eastAsia="Arial" w:hAnsi="Arial"/>
          <w:sz w:val="20"/>
          <w:szCs w:val="20"/>
          <w:color w:val="auto"/>
        </w:rPr>
      </w:pPr>
    </w:p>
    <w:p>
      <w:pPr>
        <w:ind w:left="361" w:right="40"/>
        <w:spacing w:after="0" w:line="242" w:lineRule="auto"/>
        <w:rPr>
          <w:rFonts w:ascii="Arial" w:cs="Arial" w:eastAsia="Arial" w:hAnsi="Arial"/>
          <w:sz w:val="20"/>
          <w:szCs w:val="20"/>
          <w:color w:val="auto"/>
        </w:rPr>
      </w:pPr>
      <w:r>
        <w:rPr>
          <w:rFonts w:ascii="Arial" w:cs="Arial" w:eastAsia="Arial" w:hAnsi="Arial"/>
          <w:sz w:val="20"/>
          <w:szCs w:val="20"/>
          <w:color w:val="auto"/>
        </w:rPr>
        <w:t>December 31, 2025, from an award made on February 13, 2025. The award has the potential to vest at 0% to 200% of target in one-third increments during a three-year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2025, AbbVie’s relative ROIC performance resulted in the vesting on February 27, 2026 of one-third of the award at 200%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5501"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-212725</wp:posOffset>
            </wp:positionV>
            <wp:extent cx="991870" cy="2006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238">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1"/>
          </w:cols>
          <w:pgMar w:left="899" w:top="702" w:right="900" w:bottom="0" w:gutter="0" w:footer="0" w:header="0"/>
        </w:sectPr>
      </w:pPr>
    </w:p>
    <w:bookmarkStart w:id="186" w:name="page187"/>
    <w:bookmarkEnd w:id="186"/>
    <w:p>
      <w:pPr>
        <w:spacing w:after="0"/>
        <w:rPr>
          <w:sz w:val="20"/>
          <w:szCs w:val="20"/>
          <w:color w:val="auto"/>
        </w:rPr>
      </w:pPr>
      <w:r>
        <w:rPr>
          <w:rFonts w:ascii="Arial" w:cs="Arial" w:eastAsia="Arial" w:hAnsi="Arial"/>
          <w:sz w:val="20"/>
          <w:szCs w:val="20"/>
          <w:color w:val="808080"/>
        </w:rPr>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2025 Option Exercises and Stock Vested</w:t>
      </w:r>
    </w:p>
    <w:p>
      <w:pPr>
        <w:spacing w:after="0" w:line="258" w:lineRule="exact"/>
        <w:rPr>
          <w:sz w:val="20"/>
          <w:szCs w:val="20"/>
          <w:color w:val="auto"/>
        </w:rPr>
      </w:pPr>
    </w:p>
    <w:p>
      <w:pPr>
        <w:ind w:right="380"/>
        <w:spacing w:after="0" w:line="283" w:lineRule="auto"/>
        <w:rPr>
          <w:sz w:val="20"/>
          <w:szCs w:val="20"/>
          <w:color w:val="auto"/>
        </w:rPr>
      </w:pPr>
      <w:r>
        <w:rPr>
          <w:rFonts w:ascii="Arial" w:cs="Arial" w:eastAsia="Arial" w:hAnsi="Arial"/>
          <w:sz w:val="20"/>
          <w:szCs w:val="20"/>
          <w:color w:val="auto"/>
        </w:rPr>
        <w:t>The following table summarizes for each NEO the number of shares acquired on the exercise of AbbVie stock options and the number of shares acquired on the vesting of AbbVie stock awards in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00" w:type="dxa"/>
            <w:vAlign w:val="bottom"/>
          </w:tcPr>
          <w:p>
            <w:pPr>
              <w:spacing w:after="0"/>
              <w:rPr>
                <w:sz w:val="17"/>
                <w:szCs w:val="17"/>
                <w:color w:val="auto"/>
              </w:rPr>
            </w:pPr>
          </w:p>
        </w:tc>
        <w:tc>
          <w:tcPr>
            <w:tcW w:w="2600" w:type="dxa"/>
            <w:vAlign w:val="bottom"/>
            <w:tcBorders>
              <w:bottom w:val="single" w:sz="8" w:color="000039"/>
            </w:tcBorders>
            <w:gridSpan w:val="2"/>
          </w:tcPr>
          <w:p>
            <w:pPr>
              <w:jc w:val="right"/>
              <w:ind w:right="647"/>
              <w:spacing w:after="0"/>
              <w:rPr>
                <w:sz w:val="20"/>
                <w:szCs w:val="20"/>
                <w:color w:val="auto"/>
              </w:rPr>
            </w:pPr>
            <w:r>
              <w:rPr>
                <w:rFonts w:ascii="Arial" w:cs="Arial" w:eastAsia="Arial" w:hAnsi="Arial"/>
                <w:sz w:val="16"/>
                <w:szCs w:val="16"/>
                <w:b w:val="1"/>
                <w:bCs w:val="1"/>
                <w:color w:val="000039"/>
              </w:rPr>
              <w:t>Option Awards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000039"/>
            </w:tcBorders>
            <w:gridSpan w:val="2"/>
          </w:tcPr>
          <w:p>
            <w:pPr>
              <w:jc w:val="right"/>
              <w:ind w:right="727"/>
              <w:spacing w:after="0"/>
              <w:rPr>
                <w:sz w:val="20"/>
                <w:szCs w:val="20"/>
                <w:color w:val="auto"/>
              </w:rPr>
            </w:pPr>
            <w:r>
              <w:rPr>
                <w:rFonts w:ascii="Arial" w:cs="Arial" w:eastAsia="Arial" w:hAnsi="Arial"/>
                <w:sz w:val="16"/>
                <w:szCs w:val="16"/>
                <w:b w:val="1"/>
                <w:bCs w:val="1"/>
                <w:color w:val="000039"/>
              </w:rPr>
              <w:t>Stock Awards</w:t>
            </w:r>
          </w:p>
        </w:tc>
      </w:tr>
      <w:tr>
        <w:trPr>
          <w:trHeight w:val="156"/>
        </w:trPr>
        <w:tc>
          <w:tcPr>
            <w:tcW w:w="4500" w:type="dxa"/>
            <w:vAlign w:val="bottom"/>
          </w:tcPr>
          <w:p>
            <w:pPr>
              <w:spacing w:after="0"/>
              <w:rPr>
                <w:sz w:val="13"/>
                <w:szCs w:val="13"/>
                <w:color w:val="auto"/>
              </w:rPr>
            </w:pPr>
          </w:p>
        </w:tc>
        <w:tc>
          <w:tcPr>
            <w:tcW w:w="1500" w:type="dxa"/>
            <w:vAlign w:val="bottom"/>
          </w:tcPr>
          <w:p>
            <w:pPr>
              <w:jc w:val="right"/>
              <w:ind w:right="450"/>
              <w:spacing w:after="0" w:line="156" w:lineRule="exact"/>
              <w:rPr>
                <w:sz w:val="20"/>
                <w:szCs w:val="20"/>
                <w:color w:val="auto"/>
              </w:rPr>
            </w:pPr>
            <w:r>
              <w:rPr>
                <w:rFonts w:ascii="Arial" w:cs="Arial" w:eastAsia="Arial" w:hAnsi="Arial"/>
                <w:sz w:val="16"/>
                <w:szCs w:val="16"/>
                <w:b w:val="1"/>
                <w:bCs w:val="1"/>
                <w:color w:val="000039"/>
              </w:rPr>
              <w:t>Number of</w:t>
            </w:r>
          </w:p>
        </w:tc>
        <w:tc>
          <w:tcPr>
            <w:tcW w:w="1100" w:type="dxa"/>
            <w:vAlign w:val="bottom"/>
          </w:tcPr>
          <w:p>
            <w:pPr>
              <w:spacing w:after="0"/>
              <w:rPr>
                <w:sz w:val="13"/>
                <w:szCs w:val="13"/>
                <w:color w:val="auto"/>
              </w:rPr>
            </w:pPr>
          </w:p>
        </w:tc>
        <w:tc>
          <w:tcPr>
            <w:tcW w:w="160" w:type="dxa"/>
            <w:vAlign w:val="bottom"/>
            <w:tcBorders>
              <w:right w:val="single" w:sz="8" w:color="000039"/>
            </w:tcBorders>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57"/>
              <w:spacing w:after="0" w:line="156" w:lineRule="exact"/>
              <w:rPr>
                <w:sz w:val="20"/>
                <w:szCs w:val="20"/>
                <w:color w:val="auto"/>
              </w:rPr>
            </w:pPr>
            <w:r>
              <w:rPr>
                <w:rFonts w:ascii="Arial" w:cs="Arial" w:eastAsia="Arial" w:hAnsi="Arial"/>
                <w:sz w:val="16"/>
                <w:szCs w:val="16"/>
                <w:b w:val="1"/>
                <w:bCs w:val="1"/>
                <w:color w:val="000039"/>
              </w:rPr>
              <w:t>Number of</w:t>
            </w:r>
          </w:p>
        </w:tc>
        <w:tc>
          <w:tcPr>
            <w:tcW w:w="1580" w:type="dxa"/>
            <w:vAlign w:val="bottom"/>
          </w:tcPr>
          <w:p>
            <w:pPr>
              <w:spacing w:after="0"/>
              <w:rPr>
                <w:sz w:val="13"/>
                <w:szCs w:val="13"/>
                <w:color w:val="auto"/>
              </w:rPr>
            </w:pPr>
          </w:p>
        </w:tc>
      </w:tr>
      <w:tr>
        <w:trPr>
          <w:trHeight w:val="184"/>
        </w:trPr>
        <w:tc>
          <w:tcPr>
            <w:tcW w:w="4500" w:type="dxa"/>
            <w:vAlign w:val="bottom"/>
          </w:tcPr>
          <w:p>
            <w:pPr>
              <w:spacing w:after="0"/>
              <w:rPr>
                <w:sz w:val="15"/>
                <w:szCs w:val="15"/>
                <w:color w:val="auto"/>
              </w:rPr>
            </w:pPr>
          </w:p>
        </w:tc>
        <w:tc>
          <w:tcPr>
            <w:tcW w:w="1500" w:type="dxa"/>
            <w:vAlign w:val="bottom"/>
          </w:tcPr>
          <w:p>
            <w:pPr>
              <w:jc w:val="right"/>
              <w:ind w:right="450"/>
              <w:spacing w:after="0"/>
              <w:rPr>
                <w:sz w:val="20"/>
                <w:szCs w:val="20"/>
                <w:color w:val="auto"/>
              </w:rPr>
            </w:pPr>
            <w:r>
              <w:rPr>
                <w:rFonts w:ascii="Arial" w:cs="Arial" w:eastAsia="Arial" w:hAnsi="Arial"/>
                <w:sz w:val="16"/>
                <w:szCs w:val="16"/>
                <w:b w:val="1"/>
                <w:bCs w:val="1"/>
                <w:color w:val="000039"/>
              </w:rPr>
              <w:t>Shares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000039"/>
              </w:rPr>
              <w:t>Value</w:t>
            </w:r>
          </w:p>
        </w:tc>
        <w:tc>
          <w:tcPr>
            <w:tcW w:w="160" w:type="dxa"/>
            <w:vAlign w:val="bottom"/>
            <w:tcBorders>
              <w:right w:val="single" w:sz="8" w:color="000039"/>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57"/>
              <w:spacing w:after="0"/>
              <w:rPr>
                <w:sz w:val="20"/>
                <w:szCs w:val="20"/>
                <w:color w:val="auto"/>
              </w:rPr>
            </w:pPr>
            <w:r>
              <w:rPr>
                <w:rFonts w:ascii="Arial" w:cs="Arial" w:eastAsia="Arial" w:hAnsi="Arial"/>
                <w:sz w:val="16"/>
                <w:szCs w:val="16"/>
                <w:b w:val="1"/>
                <w:bCs w:val="1"/>
                <w:color w:val="000039"/>
              </w:rPr>
              <w:t>Shares</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000039"/>
              </w:rPr>
              <w:t>Value</w:t>
            </w:r>
          </w:p>
        </w:tc>
      </w:tr>
      <w:tr>
        <w:trPr>
          <w:trHeight w:val="185"/>
        </w:trPr>
        <w:tc>
          <w:tcPr>
            <w:tcW w:w="4500" w:type="dxa"/>
            <w:vAlign w:val="bottom"/>
          </w:tcPr>
          <w:p>
            <w:pPr>
              <w:spacing w:after="0"/>
              <w:rPr>
                <w:sz w:val="16"/>
                <w:szCs w:val="16"/>
                <w:color w:val="auto"/>
              </w:rPr>
            </w:pPr>
          </w:p>
        </w:tc>
        <w:tc>
          <w:tcPr>
            <w:tcW w:w="1500" w:type="dxa"/>
            <w:vAlign w:val="bottom"/>
          </w:tcPr>
          <w:p>
            <w:pPr>
              <w:jc w:val="right"/>
              <w:ind w:right="450"/>
              <w:spacing w:after="0"/>
              <w:rPr>
                <w:sz w:val="20"/>
                <w:szCs w:val="20"/>
                <w:color w:val="auto"/>
              </w:rPr>
            </w:pPr>
            <w:r>
              <w:rPr>
                <w:rFonts w:ascii="Arial" w:cs="Arial" w:eastAsia="Arial" w:hAnsi="Arial"/>
                <w:sz w:val="16"/>
                <w:szCs w:val="16"/>
                <w:b w:val="1"/>
                <w:bCs w:val="1"/>
                <w:color w:val="000039"/>
                <w:w w:val="97"/>
              </w:rPr>
              <w:t>Acquired On</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000039"/>
              </w:rPr>
              <w:t>Realized On</w:t>
            </w:r>
          </w:p>
        </w:tc>
        <w:tc>
          <w:tcPr>
            <w:tcW w:w="160" w:type="dxa"/>
            <w:vAlign w:val="bottom"/>
            <w:tcBorders>
              <w:right w:val="single" w:sz="8" w:color="000039"/>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57"/>
              <w:spacing w:after="0"/>
              <w:rPr>
                <w:sz w:val="20"/>
                <w:szCs w:val="20"/>
                <w:color w:val="auto"/>
              </w:rPr>
            </w:pPr>
            <w:r>
              <w:rPr>
                <w:rFonts w:ascii="Arial" w:cs="Arial" w:eastAsia="Arial" w:hAnsi="Arial"/>
                <w:sz w:val="16"/>
                <w:szCs w:val="16"/>
                <w:b w:val="1"/>
                <w:bCs w:val="1"/>
                <w:color w:val="000039"/>
                <w:w w:val="97"/>
              </w:rPr>
              <w:t>Acquired On</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000039"/>
              </w:rPr>
              <w:t>Realized On</w:t>
            </w:r>
          </w:p>
        </w:tc>
      </w:tr>
      <w:tr>
        <w:trPr>
          <w:trHeight w:val="202"/>
        </w:trPr>
        <w:tc>
          <w:tcPr>
            <w:tcW w:w="4500" w:type="dxa"/>
            <w:vAlign w:val="bottom"/>
            <w:tcBorders>
              <w:bottom w:val="single" w:sz="8" w:color="000039"/>
            </w:tcBorders>
          </w:tcPr>
          <w:p>
            <w:pPr>
              <w:spacing w:after="0"/>
              <w:rPr>
                <w:sz w:val="20"/>
                <w:szCs w:val="20"/>
                <w:color w:val="auto"/>
              </w:rPr>
            </w:pPr>
            <w:r>
              <w:rPr>
                <w:rFonts w:ascii="Arial" w:cs="Arial" w:eastAsia="Arial" w:hAnsi="Arial"/>
                <w:sz w:val="16"/>
                <w:szCs w:val="16"/>
                <w:b w:val="1"/>
                <w:bCs w:val="1"/>
                <w:color w:val="000039"/>
              </w:rPr>
              <w:t>Name</w:t>
            </w:r>
          </w:p>
        </w:tc>
        <w:tc>
          <w:tcPr>
            <w:tcW w:w="1500" w:type="dxa"/>
            <w:vAlign w:val="bottom"/>
            <w:tcBorders>
              <w:bottom w:val="single" w:sz="8" w:color="000039"/>
            </w:tcBorders>
          </w:tcPr>
          <w:p>
            <w:pPr>
              <w:jc w:val="right"/>
              <w:ind w:right="450"/>
              <w:spacing w:after="0"/>
              <w:rPr>
                <w:sz w:val="20"/>
                <w:szCs w:val="20"/>
                <w:color w:val="auto"/>
              </w:rPr>
            </w:pPr>
            <w:r>
              <w:rPr>
                <w:rFonts w:ascii="Arial" w:cs="Arial" w:eastAsia="Arial" w:hAnsi="Arial"/>
                <w:sz w:val="16"/>
                <w:szCs w:val="16"/>
                <w:b w:val="1"/>
                <w:bCs w:val="1"/>
                <w:color w:val="000039"/>
              </w:rPr>
              <w:t>Exercise (#)</w:t>
            </w:r>
          </w:p>
        </w:tc>
        <w:tc>
          <w:tcPr>
            <w:tcW w:w="1100" w:type="dxa"/>
            <w:vAlign w:val="bottom"/>
            <w:tcBorders>
              <w:bottom w:val="single" w:sz="8" w:color="000039"/>
            </w:tcBorders>
          </w:tcPr>
          <w:p>
            <w:pPr>
              <w:jc w:val="right"/>
              <w:spacing w:after="0"/>
              <w:rPr>
                <w:sz w:val="20"/>
                <w:szCs w:val="20"/>
                <w:color w:val="auto"/>
              </w:rPr>
            </w:pPr>
            <w:r>
              <w:rPr>
                <w:rFonts w:ascii="Arial" w:cs="Arial" w:eastAsia="Arial" w:hAnsi="Arial"/>
                <w:sz w:val="16"/>
                <w:szCs w:val="16"/>
                <w:b w:val="1"/>
                <w:bCs w:val="1"/>
                <w:color w:val="000039"/>
              </w:rPr>
              <w:t>Exercise ($)</w:t>
            </w:r>
          </w:p>
        </w:tc>
        <w:tc>
          <w:tcPr>
            <w:tcW w:w="160" w:type="dxa"/>
            <w:vAlign w:val="bottom"/>
            <w:tcBorders>
              <w:bottom w:val="single" w:sz="8" w:color="D9D9D9"/>
              <w:right w:val="single" w:sz="8" w:color="000039"/>
            </w:tcBorders>
          </w:tcPr>
          <w:p>
            <w:pPr>
              <w:spacing w:after="0"/>
              <w:rPr>
                <w:sz w:val="17"/>
                <w:szCs w:val="17"/>
                <w:color w:val="auto"/>
              </w:rPr>
            </w:pPr>
          </w:p>
        </w:tc>
        <w:tc>
          <w:tcPr>
            <w:tcW w:w="140" w:type="dxa"/>
            <w:vAlign w:val="bottom"/>
            <w:tcBorders>
              <w:bottom w:val="single" w:sz="8" w:color="D9D9D9"/>
            </w:tcBorders>
          </w:tcPr>
          <w:p>
            <w:pPr>
              <w:spacing w:after="0"/>
              <w:rPr>
                <w:sz w:val="17"/>
                <w:szCs w:val="17"/>
                <w:color w:val="auto"/>
              </w:rPr>
            </w:pPr>
          </w:p>
        </w:tc>
        <w:tc>
          <w:tcPr>
            <w:tcW w:w="1100" w:type="dxa"/>
            <w:vAlign w:val="bottom"/>
            <w:tcBorders>
              <w:bottom w:val="single" w:sz="8" w:color="000039"/>
            </w:tcBorders>
          </w:tcPr>
          <w:p>
            <w:pPr>
              <w:jc w:val="right"/>
              <w:ind w:right="57"/>
              <w:spacing w:after="0"/>
              <w:rPr>
                <w:sz w:val="20"/>
                <w:szCs w:val="20"/>
                <w:color w:val="auto"/>
              </w:rPr>
            </w:pPr>
            <w:r>
              <w:rPr>
                <w:rFonts w:ascii="Arial" w:cs="Arial" w:eastAsia="Arial" w:hAnsi="Arial"/>
                <w:sz w:val="16"/>
                <w:szCs w:val="16"/>
                <w:b w:val="1"/>
                <w:bCs w:val="1"/>
                <w:color w:val="000039"/>
              </w:rPr>
              <w:t>Vesting (#)</w:t>
            </w:r>
          </w:p>
        </w:tc>
        <w:tc>
          <w:tcPr>
            <w:tcW w:w="1580" w:type="dxa"/>
            <w:vAlign w:val="bottom"/>
            <w:tcBorders>
              <w:bottom w:val="single" w:sz="8" w:color="000039"/>
            </w:tcBorders>
          </w:tcPr>
          <w:p>
            <w:pPr>
              <w:jc w:val="right"/>
              <w:spacing w:after="0"/>
              <w:rPr>
                <w:sz w:val="20"/>
                <w:szCs w:val="20"/>
                <w:color w:val="auto"/>
              </w:rPr>
            </w:pPr>
            <w:r>
              <w:rPr>
                <w:rFonts w:ascii="Arial" w:cs="Arial" w:eastAsia="Arial" w:hAnsi="Arial"/>
                <w:sz w:val="16"/>
                <w:szCs w:val="16"/>
                <w:b w:val="1"/>
                <w:bCs w:val="1"/>
                <w:color w:val="000039"/>
              </w:rPr>
              <w:t>Vesting ($)</w:t>
            </w:r>
          </w:p>
        </w:tc>
      </w:tr>
      <w:tr>
        <w:trPr>
          <w:trHeight w:val="220"/>
        </w:trPr>
        <w:tc>
          <w:tcPr>
            <w:tcW w:w="4500" w:type="dxa"/>
            <w:vAlign w:val="bottom"/>
            <w:shd w:val="clear" w:color="auto" w:fill="D9D9D9"/>
          </w:tcPr>
          <w:p>
            <w:pPr>
              <w:spacing w:after="0" w:line="220" w:lineRule="exact"/>
              <w:rPr>
                <w:sz w:val="20"/>
                <w:szCs w:val="20"/>
                <w:color w:val="auto"/>
              </w:rPr>
            </w:pPr>
            <w:r>
              <w:rPr>
                <w:rFonts w:ascii="Arial" w:cs="Arial" w:eastAsia="Arial" w:hAnsi="Arial"/>
                <w:sz w:val="20"/>
                <w:szCs w:val="20"/>
                <w:color w:val="auto"/>
              </w:rPr>
              <w:t>R. Michael</w:t>
            </w:r>
          </w:p>
        </w:tc>
        <w:tc>
          <w:tcPr>
            <w:tcW w:w="1500" w:type="dxa"/>
            <w:vAlign w:val="bottom"/>
            <w:shd w:val="clear" w:color="auto" w:fill="D9D9D9"/>
          </w:tcPr>
          <w:p>
            <w:pPr>
              <w:jc w:val="right"/>
              <w:ind w:right="30"/>
              <w:spacing w:after="0" w:line="220" w:lineRule="exact"/>
              <w:rPr>
                <w:sz w:val="20"/>
                <w:szCs w:val="20"/>
                <w:color w:val="auto"/>
              </w:rPr>
            </w:pPr>
            <w:r>
              <w:rPr>
                <w:rFonts w:ascii="Arial" w:cs="Arial" w:eastAsia="Arial" w:hAnsi="Arial"/>
                <w:sz w:val="20"/>
                <w:szCs w:val="20"/>
                <w:color w:val="auto"/>
              </w:rPr>
              <w:t>-   $</w:t>
            </w:r>
          </w:p>
        </w:tc>
        <w:tc>
          <w:tcPr>
            <w:tcW w:w="1100" w:type="dxa"/>
            <w:vAlign w:val="bottom"/>
          </w:tcPr>
          <w:p>
            <w:pPr>
              <w:jc w:val="right"/>
              <w:spacing w:after="0" w:line="220"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000039"/>
            </w:tcBorders>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100" w:type="dxa"/>
            <w:vAlign w:val="bottom"/>
            <w:shd w:val="clear" w:color="auto" w:fill="D9D9D9"/>
          </w:tcPr>
          <w:p>
            <w:pPr>
              <w:jc w:val="right"/>
              <w:ind w:right="57"/>
              <w:spacing w:after="0" w:line="220" w:lineRule="exact"/>
              <w:rPr>
                <w:sz w:val="20"/>
                <w:szCs w:val="20"/>
                <w:color w:val="auto"/>
              </w:rPr>
            </w:pPr>
            <w:r>
              <w:rPr>
                <w:rFonts w:ascii="Arial" w:cs="Arial" w:eastAsia="Arial" w:hAnsi="Arial"/>
                <w:sz w:val="20"/>
                <w:szCs w:val="20"/>
                <w:color w:val="auto"/>
              </w:rPr>
              <w:t>61,362</w:t>
            </w:r>
          </w:p>
        </w:tc>
        <w:tc>
          <w:tcPr>
            <w:tcW w:w="1580" w:type="dxa"/>
            <w:vAlign w:val="bottom"/>
            <w:shd w:val="clear" w:color="auto" w:fill="D9D9D9"/>
          </w:tcPr>
          <w:p>
            <w:pPr>
              <w:jc w:val="right"/>
              <w:spacing w:after="0" w:line="220" w:lineRule="exact"/>
              <w:rPr>
                <w:sz w:val="20"/>
                <w:szCs w:val="20"/>
                <w:color w:val="auto"/>
              </w:rPr>
            </w:pPr>
            <w:r>
              <w:rPr>
                <w:rFonts w:ascii="Arial" w:cs="Arial" w:eastAsia="Arial" w:hAnsi="Arial"/>
                <w:sz w:val="20"/>
                <w:szCs w:val="20"/>
                <w:color w:val="auto"/>
              </w:rPr>
              <w:t>$   12,826,499</w:t>
            </w:r>
          </w:p>
        </w:tc>
      </w:tr>
      <w:tr>
        <w:trPr>
          <w:trHeight w:val="229"/>
        </w:trPr>
        <w:tc>
          <w:tcPr>
            <w:tcW w:w="4500" w:type="dxa"/>
            <w:vAlign w:val="bottom"/>
          </w:tcPr>
          <w:p>
            <w:pPr>
              <w:spacing w:after="0"/>
              <w:rPr>
                <w:sz w:val="20"/>
                <w:szCs w:val="20"/>
                <w:color w:val="auto"/>
              </w:rPr>
            </w:pPr>
            <w:r>
              <w:rPr>
                <w:rFonts w:ascii="Arial" w:cs="Arial" w:eastAsia="Arial" w:hAnsi="Arial"/>
                <w:sz w:val="20"/>
                <w:szCs w:val="20"/>
                <w:color w:val="auto"/>
              </w:rPr>
              <w:t>S. Reents</w:t>
            </w:r>
          </w:p>
        </w:tc>
        <w:tc>
          <w:tcPr>
            <w:tcW w:w="1500" w:type="dxa"/>
            <w:vAlign w:val="bottom"/>
          </w:tcPr>
          <w:p>
            <w:pPr>
              <w:jc w:val="right"/>
              <w:ind w:right="45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Borders>
              <w:right w:val="single" w:sz="8" w:color="000039"/>
            </w:tcBorders>
          </w:tcPr>
          <w:p>
            <w:pPr>
              <w:spacing w:after="0"/>
              <w:rPr>
                <w:sz w:val="19"/>
                <w:szCs w:val="19"/>
                <w:color w:val="auto"/>
              </w:rPr>
            </w:pPr>
          </w:p>
        </w:tc>
        <w:tc>
          <w:tcPr>
            <w:tcW w:w="1240" w:type="dxa"/>
            <w:vAlign w:val="bottom"/>
            <w:gridSpan w:val="2"/>
          </w:tcPr>
          <w:p>
            <w:pPr>
              <w:jc w:val="right"/>
              <w:ind w:right="57"/>
              <w:spacing w:after="0"/>
              <w:rPr>
                <w:sz w:val="20"/>
                <w:szCs w:val="20"/>
                <w:color w:val="auto"/>
              </w:rPr>
            </w:pPr>
            <w:r>
              <w:rPr>
                <w:rFonts w:ascii="Arial" w:cs="Arial" w:eastAsia="Arial" w:hAnsi="Arial"/>
                <w:sz w:val="20"/>
                <w:szCs w:val="20"/>
                <w:color w:val="auto"/>
              </w:rPr>
              <w:t>31,681</w:t>
            </w:r>
          </w:p>
        </w:tc>
        <w:tc>
          <w:tcPr>
            <w:tcW w:w="1580" w:type="dxa"/>
            <w:vAlign w:val="bottom"/>
          </w:tcPr>
          <w:p>
            <w:pPr>
              <w:jc w:val="right"/>
              <w:spacing w:after="0"/>
              <w:rPr>
                <w:sz w:val="20"/>
                <w:szCs w:val="20"/>
                <w:color w:val="auto"/>
              </w:rPr>
            </w:pPr>
            <w:r>
              <w:rPr>
                <w:rFonts w:ascii="Arial" w:cs="Arial" w:eastAsia="Arial" w:hAnsi="Arial"/>
                <w:sz w:val="20"/>
                <w:szCs w:val="20"/>
                <w:color w:val="auto"/>
              </w:rPr>
              <w:t>6,533,867</w:t>
            </w:r>
          </w:p>
        </w:tc>
      </w:tr>
      <w:tr>
        <w:trPr>
          <w:trHeight w:val="230"/>
        </w:trPr>
        <w:tc>
          <w:tcPr>
            <w:tcW w:w="4500" w:type="dxa"/>
            <w:vAlign w:val="bottom"/>
            <w:shd w:val="clear" w:color="auto" w:fill="D9D9D9"/>
          </w:tcPr>
          <w:p>
            <w:pPr>
              <w:spacing w:after="0"/>
              <w:rPr>
                <w:sz w:val="20"/>
                <w:szCs w:val="20"/>
                <w:color w:val="auto"/>
              </w:rPr>
            </w:pPr>
            <w:r>
              <w:rPr>
                <w:rFonts w:ascii="Arial" w:cs="Arial" w:eastAsia="Arial" w:hAnsi="Arial"/>
                <w:sz w:val="20"/>
                <w:szCs w:val="20"/>
                <w:color w:val="auto"/>
              </w:rPr>
              <w:t>J. Stewart</w:t>
            </w:r>
          </w:p>
        </w:tc>
        <w:tc>
          <w:tcPr>
            <w:tcW w:w="1500" w:type="dxa"/>
            <w:vAlign w:val="bottom"/>
            <w:shd w:val="clear" w:color="auto" w:fill="D9D9D9"/>
          </w:tcPr>
          <w:p>
            <w:pPr>
              <w:jc w:val="right"/>
              <w:ind w:right="450"/>
              <w:spacing w:after="0"/>
              <w:rPr>
                <w:sz w:val="20"/>
                <w:szCs w:val="20"/>
                <w:color w:val="auto"/>
              </w:rPr>
            </w:pPr>
            <w:r>
              <w:rPr>
                <w:rFonts w:ascii="Arial" w:cs="Arial" w:eastAsia="Arial" w:hAnsi="Arial"/>
                <w:sz w:val="20"/>
                <w:szCs w:val="20"/>
                <w:color w:val="auto"/>
              </w:rPr>
              <w:t>25,700</w:t>
            </w:r>
          </w:p>
        </w:tc>
        <w:tc>
          <w:tcPr>
            <w:tcW w:w="1100" w:type="dxa"/>
            <w:vAlign w:val="bottom"/>
          </w:tcPr>
          <w:p>
            <w:pPr>
              <w:jc w:val="right"/>
              <w:spacing w:after="0"/>
              <w:rPr>
                <w:sz w:val="20"/>
                <w:szCs w:val="20"/>
                <w:color w:val="auto"/>
              </w:rPr>
            </w:pPr>
            <w:r>
              <w:rPr>
                <w:rFonts w:ascii="Arial" w:cs="Arial" w:eastAsia="Arial" w:hAnsi="Arial"/>
                <w:sz w:val="20"/>
                <w:szCs w:val="20"/>
                <w:color w:val="auto"/>
              </w:rPr>
              <w:t>3,353,224</w:t>
            </w:r>
          </w:p>
        </w:tc>
        <w:tc>
          <w:tcPr>
            <w:tcW w:w="160" w:type="dxa"/>
            <w:vAlign w:val="bottom"/>
            <w:tcBorders>
              <w:right w:val="single" w:sz="8" w:color="000039"/>
            </w:tcBorders>
            <w:shd w:val="clear" w:color="auto" w:fill="D9D9D9"/>
          </w:tcPr>
          <w:p>
            <w:pPr>
              <w:spacing w:after="0"/>
              <w:rPr>
                <w:sz w:val="20"/>
                <w:szCs w:val="20"/>
                <w:color w:val="auto"/>
              </w:rPr>
            </w:pPr>
          </w:p>
        </w:tc>
        <w:tc>
          <w:tcPr>
            <w:tcW w:w="1240" w:type="dxa"/>
            <w:vAlign w:val="bottom"/>
            <w:gridSpan w:val="2"/>
            <w:shd w:val="clear" w:color="auto" w:fill="D9D9D9"/>
          </w:tcPr>
          <w:p>
            <w:pPr>
              <w:jc w:val="right"/>
              <w:ind w:right="57"/>
              <w:spacing w:after="0"/>
              <w:rPr>
                <w:sz w:val="20"/>
                <w:szCs w:val="20"/>
                <w:color w:val="auto"/>
              </w:rPr>
            </w:pPr>
            <w:r>
              <w:rPr>
                <w:rFonts w:ascii="Arial" w:cs="Arial" w:eastAsia="Arial" w:hAnsi="Arial"/>
                <w:sz w:val="20"/>
                <w:szCs w:val="20"/>
                <w:color w:val="auto"/>
              </w:rPr>
              <w:t>59,488</w:t>
            </w:r>
          </w:p>
        </w:tc>
        <w:tc>
          <w:tcPr>
            <w:tcW w:w="15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12,257,940</w:t>
            </w:r>
          </w:p>
        </w:tc>
      </w:tr>
      <w:tr>
        <w:trPr>
          <w:trHeight w:val="230"/>
        </w:trPr>
        <w:tc>
          <w:tcPr>
            <w:tcW w:w="4500" w:type="dxa"/>
            <w:vAlign w:val="bottom"/>
          </w:tcPr>
          <w:p>
            <w:pPr>
              <w:spacing w:after="0"/>
              <w:rPr>
                <w:sz w:val="20"/>
                <w:szCs w:val="20"/>
                <w:color w:val="auto"/>
              </w:rPr>
            </w:pPr>
            <w:r>
              <w:rPr>
                <w:rFonts w:ascii="Arial" w:cs="Arial" w:eastAsia="Arial" w:hAnsi="Arial"/>
                <w:sz w:val="20"/>
                <w:szCs w:val="20"/>
                <w:color w:val="auto"/>
              </w:rPr>
              <w:t>A. Saleki-Gerhardt</w:t>
            </w:r>
          </w:p>
        </w:tc>
        <w:tc>
          <w:tcPr>
            <w:tcW w:w="1500" w:type="dxa"/>
            <w:vAlign w:val="bottom"/>
          </w:tcPr>
          <w:p>
            <w:pPr>
              <w:jc w:val="right"/>
              <w:ind w:right="450"/>
              <w:spacing w:after="0"/>
              <w:rPr>
                <w:sz w:val="20"/>
                <w:szCs w:val="20"/>
                <w:color w:val="auto"/>
              </w:rPr>
            </w:pPr>
            <w:r>
              <w:rPr>
                <w:rFonts w:ascii="Arial" w:cs="Arial" w:eastAsia="Arial" w:hAnsi="Arial"/>
                <w:sz w:val="20"/>
                <w:szCs w:val="20"/>
                <w:color w:val="auto"/>
              </w:rPr>
              <w:t>42,370</w:t>
            </w:r>
          </w:p>
        </w:tc>
        <w:tc>
          <w:tcPr>
            <w:tcW w:w="1100" w:type="dxa"/>
            <w:vAlign w:val="bottom"/>
          </w:tcPr>
          <w:p>
            <w:pPr>
              <w:jc w:val="right"/>
              <w:spacing w:after="0"/>
              <w:rPr>
                <w:sz w:val="20"/>
                <w:szCs w:val="20"/>
                <w:color w:val="auto"/>
              </w:rPr>
            </w:pPr>
            <w:r>
              <w:rPr>
                <w:rFonts w:ascii="Arial" w:cs="Arial" w:eastAsia="Arial" w:hAnsi="Arial"/>
                <w:sz w:val="20"/>
                <w:szCs w:val="20"/>
                <w:color w:val="auto"/>
              </w:rPr>
              <w:t>6,082,652</w:t>
            </w:r>
          </w:p>
        </w:tc>
        <w:tc>
          <w:tcPr>
            <w:tcW w:w="160" w:type="dxa"/>
            <w:vAlign w:val="bottom"/>
            <w:tcBorders>
              <w:right w:val="single" w:sz="8" w:color="000039"/>
            </w:tcBorders>
          </w:tcPr>
          <w:p>
            <w:pPr>
              <w:spacing w:after="0"/>
              <w:rPr>
                <w:sz w:val="20"/>
                <w:szCs w:val="20"/>
                <w:color w:val="auto"/>
              </w:rPr>
            </w:pPr>
          </w:p>
        </w:tc>
        <w:tc>
          <w:tcPr>
            <w:tcW w:w="1240" w:type="dxa"/>
            <w:vAlign w:val="bottom"/>
            <w:gridSpan w:val="2"/>
          </w:tcPr>
          <w:p>
            <w:pPr>
              <w:jc w:val="right"/>
              <w:ind w:right="57"/>
              <w:spacing w:after="0"/>
              <w:rPr>
                <w:sz w:val="20"/>
                <w:szCs w:val="20"/>
                <w:color w:val="auto"/>
              </w:rPr>
            </w:pPr>
            <w:r>
              <w:rPr>
                <w:rFonts w:ascii="Arial" w:cs="Arial" w:eastAsia="Arial" w:hAnsi="Arial"/>
                <w:sz w:val="20"/>
                <w:szCs w:val="20"/>
                <w:color w:val="auto"/>
              </w:rPr>
              <w:t>52,335</w:t>
            </w:r>
          </w:p>
        </w:tc>
        <w:tc>
          <w:tcPr>
            <w:tcW w:w="1580" w:type="dxa"/>
            <w:vAlign w:val="bottom"/>
          </w:tcPr>
          <w:p>
            <w:pPr>
              <w:jc w:val="right"/>
              <w:spacing w:after="0"/>
              <w:rPr>
                <w:sz w:val="20"/>
                <w:szCs w:val="20"/>
                <w:color w:val="auto"/>
              </w:rPr>
            </w:pPr>
            <w:r>
              <w:rPr>
                <w:rFonts w:ascii="Arial" w:cs="Arial" w:eastAsia="Arial" w:hAnsi="Arial"/>
                <w:sz w:val="20"/>
                <w:szCs w:val="20"/>
                <w:color w:val="auto"/>
              </w:rPr>
              <w:t>10,762,748</w:t>
            </w:r>
          </w:p>
        </w:tc>
      </w:tr>
      <w:tr>
        <w:trPr>
          <w:trHeight w:val="229"/>
        </w:trPr>
        <w:tc>
          <w:tcPr>
            <w:tcW w:w="4500" w:type="dxa"/>
            <w:vAlign w:val="bottom"/>
            <w:shd w:val="clear" w:color="auto" w:fill="D9D9D9"/>
          </w:tcPr>
          <w:p>
            <w:pPr>
              <w:spacing w:after="0"/>
              <w:rPr>
                <w:sz w:val="20"/>
                <w:szCs w:val="20"/>
                <w:color w:val="auto"/>
              </w:rPr>
            </w:pPr>
            <w:r>
              <w:rPr>
                <w:rFonts w:ascii="Arial" w:cs="Arial" w:eastAsia="Arial" w:hAnsi="Arial"/>
                <w:sz w:val="20"/>
                <w:szCs w:val="20"/>
                <w:color w:val="auto"/>
              </w:rPr>
              <w:t>R. Thakkar</w:t>
            </w:r>
          </w:p>
        </w:tc>
        <w:tc>
          <w:tcPr>
            <w:tcW w:w="1500" w:type="dxa"/>
            <w:vAlign w:val="bottom"/>
            <w:shd w:val="clear" w:color="auto" w:fill="D9D9D9"/>
          </w:tcPr>
          <w:p>
            <w:pPr>
              <w:jc w:val="right"/>
              <w:ind w:right="45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Borders>
              <w:right w:val="single" w:sz="8" w:color="000039"/>
            </w:tcBorders>
            <w:shd w:val="clear" w:color="auto" w:fill="D9D9D9"/>
          </w:tcPr>
          <w:p>
            <w:pPr>
              <w:spacing w:after="0"/>
              <w:rPr>
                <w:sz w:val="19"/>
                <w:szCs w:val="19"/>
                <w:color w:val="auto"/>
              </w:rPr>
            </w:pPr>
          </w:p>
        </w:tc>
        <w:tc>
          <w:tcPr>
            <w:tcW w:w="1240" w:type="dxa"/>
            <w:vAlign w:val="bottom"/>
            <w:gridSpan w:val="2"/>
            <w:shd w:val="clear" w:color="auto" w:fill="D9D9D9"/>
          </w:tcPr>
          <w:p>
            <w:pPr>
              <w:jc w:val="right"/>
              <w:ind w:right="57"/>
              <w:spacing w:after="0"/>
              <w:rPr>
                <w:sz w:val="20"/>
                <w:szCs w:val="20"/>
                <w:color w:val="auto"/>
              </w:rPr>
            </w:pPr>
            <w:r>
              <w:rPr>
                <w:rFonts w:ascii="Arial" w:cs="Arial" w:eastAsia="Arial" w:hAnsi="Arial"/>
                <w:sz w:val="20"/>
                <w:szCs w:val="20"/>
                <w:color w:val="auto"/>
              </w:rPr>
              <w:t>17,473</w:t>
            </w:r>
          </w:p>
        </w:tc>
        <w:tc>
          <w:tcPr>
            <w:tcW w:w="15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3,563,969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-742315</wp:posOffset>
            </wp:positionV>
            <wp:extent cx="721995" cy="1714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239">
                      <a:extLst>
                        <a:ext uri="{28A0092B-C50C-407E-A947-70E740481C1C}"/>
                      </a:extLst>
                    </a:blip>
                    <a:srcRect/>
                    <a:stretch>
                      <a:fillRect/>
                    </a:stretch>
                  </pic:blipFill>
                  <pic:spPr bwMode="auto">
                    <a:xfrm>
                      <a:off x="0" y="0"/>
                      <a:ext cx="721995" cy="171450"/>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-450215</wp:posOffset>
            </wp:positionV>
            <wp:extent cx="721995" cy="1714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240">
                      <a:extLst>
                        <a:ext uri="{28A0092B-C50C-407E-A947-70E740481C1C}"/>
                      </a:extLst>
                    </a:blip>
                    <a:srcRect/>
                    <a:stretch>
                      <a:fillRect/>
                    </a:stretch>
                  </pic:blipFill>
                  <pic:spPr bwMode="auto">
                    <a:xfrm>
                      <a:off x="0" y="0"/>
                      <a:ext cx="721995" cy="171450"/>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-157480</wp:posOffset>
            </wp:positionV>
            <wp:extent cx="721995" cy="1708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241">
                      <a:extLst>
                        <a:ext uri="{28A0092B-C50C-407E-A947-70E740481C1C}"/>
                      </a:extLst>
                    </a:blip>
                    <a:srcRect/>
                    <a:stretch>
                      <a:fillRect/>
                    </a:stretch>
                  </pic:blipFill>
                  <pic:spPr bwMode="auto">
                    <a:xfrm>
                      <a:off x="0" y="0"/>
                      <a:ext cx="721995" cy="17081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BENEFITS</w:t>
      </w:r>
    </w:p>
    <w:p>
      <w:pPr>
        <w:spacing w:after="0" w:line="205"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During 2025, the NEOs participated in two AbbVie -sponsored defined benefit pension plans: the AbbVie Pension Plan, a tax-qualified pension plan; and the AbbVie Supplemental Pension Plan, a non -qualified supplemental pension plan. Except as provided in AbbVie’s change in control agreements, AbbVie does not have a policy granting extra years of credited service under the plans. The change in control agreements are described in the section of this proxy statement captioned “Potential Payments upon Termination or Change in Control.”</w:t>
      </w:r>
    </w:p>
    <w:p>
      <w:pPr>
        <w:spacing w:after="0" w:line="174" w:lineRule="exact"/>
        <w:rPr>
          <w:sz w:val="20"/>
          <w:szCs w:val="20"/>
          <w:color w:val="auto"/>
        </w:rPr>
      </w:pPr>
    </w:p>
    <w:p>
      <w:pPr>
        <w:ind w:right="320"/>
        <w:spacing w:after="0" w:line="283" w:lineRule="auto"/>
        <w:rPr>
          <w:sz w:val="20"/>
          <w:szCs w:val="20"/>
          <w:color w:val="auto"/>
        </w:rPr>
      </w:pPr>
      <w:r>
        <w:rPr>
          <w:rFonts w:ascii="Arial" w:cs="Arial" w:eastAsia="Arial" w:hAnsi="Arial"/>
          <w:sz w:val="20"/>
          <w:szCs w:val="20"/>
          <w:color w:val="auto"/>
        </w:rPr>
        <w:t>The compensation considered in determining the pensions payable to the NEOs is the compensation shown in the “Salary” and “Non-Equity Incentive Plan Compensation” columns of the Summary Compensation Table.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PLAN</w:t>
      </w:r>
    </w:p>
    <w:p>
      <w:pPr>
        <w:spacing w:after="0" w:line="205"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The Pension Plan is a broad-based plan that covers many AbbVie employees in the United States, age 21 or older, and provides participants with a life annuity benefit at normal retirement equal to A plus the greater of B or C below.</w:t>
      </w:r>
    </w:p>
    <w:p>
      <w:pPr>
        <w:spacing w:after="0" w:line="177" w:lineRule="exact"/>
        <w:rPr>
          <w:sz w:val="20"/>
          <w:szCs w:val="20"/>
          <w:color w:val="auto"/>
        </w:rPr>
      </w:pPr>
    </w:p>
    <w:p>
      <w:pPr>
        <w:ind w:left="360" w:hanging="360"/>
        <w:spacing w:after="0"/>
        <w:tabs>
          <w:tab w:leader="none" w:pos="3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1.10% of 5-year final average earnings multiplied by years of benefit service after 2003.</w:t>
      </w:r>
    </w:p>
    <w:p>
      <w:pPr>
        <w:spacing w:after="0" w:line="240" w:lineRule="exact"/>
        <w:rPr>
          <w:rFonts w:ascii="Arial" w:cs="Arial" w:eastAsia="Arial" w:hAnsi="Arial"/>
          <w:sz w:val="20"/>
          <w:szCs w:val="20"/>
          <w:color w:val="auto"/>
        </w:rPr>
      </w:pPr>
    </w:p>
    <w:p>
      <w:pPr>
        <w:ind w:left="360" w:hanging="360"/>
        <w:spacing w:after="0"/>
        <w:tabs>
          <w:tab w:leader="none" w:pos="3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1.65% of 5-year final average earnings multiplied by years of benefit service prior to 2004 (up to 20); plus</w:t>
      </w:r>
    </w:p>
    <w:p>
      <w:pPr>
        <w:spacing w:after="0" w:line="25" w:lineRule="exact"/>
        <w:rPr>
          <w:rFonts w:ascii="Arial" w:cs="Arial" w:eastAsia="Arial" w:hAnsi="Arial"/>
          <w:sz w:val="20"/>
          <w:szCs w:val="20"/>
          <w:color w:val="auto"/>
        </w:rPr>
      </w:pPr>
    </w:p>
    <w:p>
      <w:pPr>
        <w:ind w:left="360" w:right="40"/>
        <w:spacing w:after="0" w:line="245" w:lineRule="auto"/>
        <w:rPr>
          <w:rFonts w:ascii="Arial" w:cs="Arial" w:eastAsia="Arial" w:hAnsi="Arial"/>
          <w:sz w:val="20"/>
          <w:szCs w:val="20"/>
          <w:color w:val="auto"/>
        </w:rPr>
      </w:pPr>
      <w:r>
        <w:rPr>
          <w:rFonts w:ascii="Arial" w:cs="Arial" w:eastAsia="Arial" w:hAnsi="Arial"/>
          <w:sz w:val="20"/>
          <w:szCs w:val="20"/>
          <w:color w:val="auto"/>
        </w:rPr>
        <w:t>1.50% of 5-year final average earnings multiplied by years of benefit service prior to 2004 in excess of 20 (but no more than 15 additional years); less 0.50% of the lesser of 3-year monthly average earnings immediately preceding retirement (but not more than the social security wage base in any year) or the social security covered compensation level multiplied by years of benefit service.</w:t>
      </w:r>
    </w:p>
    <w:p>
      <w:pPr>
        <w:spacing w:after="0" w:line="195" w:lineRule="exact"/>
        <w:rPr>
          <w:rFonts w:ascii="Arial" w:cs="Arial" w:eastAsia="Arial" w:hAnsi="Arial"/>
          <w:sz w:val="20"/>
          <w:szCs w:val="20"/>
          <w:color w:val="auto"/>
        </w:rPr>
      </w:pPr>
    </w:p>
    <w:p>
      <w:pPr>
        <w:ind w:left="360" w:hanging="360"/>
        <w:spacing w:after="0"/>
        <w:tabs>
          <w:tab w:leader="none" w:pos="3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1.10% of 5-year final average earnings multiplied by years of benefit service prior to 2004.</w:t>
      </w:r>
    </w:p>
    <w:p>
      <w:pPr>
        <w:spacing w:after="0" w:line="239" w:lineRule="exact"/>
        <w:rPr>
          <w:sz w:val="20"/>
          <w:szCs w:val="20"/>
          <w:color w:val="auto"/>
        </w:rPr>
      </w:pPr>
    </w:p>
    <w:p>
      <w:pPr>
        <w:ind w:right="360"/>
        <w:spacing w:after="0" w:line="262" w:lineRule="auto"/>
        <w:rPr>
          <w:sz w:val="20"/>
          <w:szCs w:val="20"/>
          <w:color w:val="auto"/>
        </w:rPr>
      </w:pPr>
      <w:r>
        <w:rPr>
          <w:rFonts w:ascii="Arial" w:cs="Arial" w:eastAsia="Arial" w:hAnsi="Arial"/>
          <w:sz w:val="20"/>
          <w:szCs w:val="20"/>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177"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5-year final average earnings are the average of the employee’s 60 highest-paid consecutive calendar months of compensation (salary and non-equity incentive plan compensation). The Pension Plan covers earnings up to the limit imposed by Internal Revenue Code Section 401(a)(17) and provides for a maximum of 35 years of benefit service.</w:t>
      </w:r>
    </w:p>
    <w:p>
      <w:pPr>
        <w:spacing w:after="0" w:line="187"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Participants become fully vested in their pension benefit upon the completion of 5 years of service. The benefit is payable on an unreduced basis at age 65. Employees hired after 2003 who terminate employment prior to age 55 with at least 10 years of service may choose to commence their benefits on an actuarially reduced basis as early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58  </w:t>
      </w:r>
      <w:r>
        <w:rPr>
          <w:sz w:val="1"/>
          <w:szCs w:val="1"/>
          <w:color w:val="auto"/>
        </w:rPr>
        <w:drawing>
          <wp:inline distT="0" distB="0" distL="0" distR="0">
            <wp:extent cx="991870" cy="20066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242">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87" w:name="page188"/>
    <w:bookmarkEnd w:id="187"/>
    <w:p>
      <w:pPr>
        <w:ind w:left="7260"/>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as age 55. Employees hired before 2004 who terminate employment prior to age 50 with at least 10 years of service may choose to commence their benefits on an actuarially reduced basis as early as age 50. Employees hired before 2004 who terminate employment prior to age 50 with fewer than 10 years of service may choose to commence their benefits on an actuarially reduced basis as early as age 55.</w:t>
      </w:r>
    </w:p>
    <w:p>
      <w:pPr>
        <w:spacing w:after="0" w:line="186" w:lineRule="exact"/>
        <w:rPr>
          <w:sz w:val="20"/>
          <w:szCs w:val="20"/>
          <w:color w:val="auto"/>
        </w:rPr>
      </w:pPr>
    </w:p>
    <w:p>
      <w:pPr>
        <w:jc w:val="both"/>
        <w:ind w:right="160"/>
        <w:spacing w:after="0" w:line="262" w:lineRule="auto"/>
        <w:rPr>
          <w:sz w:val="20"/>
          <w:szCs w:val="20"/>
          <w:color w:val="auto"/>
        </w:rPr>
      </w:pPr>
      <w:r>
        <w:rPr>
          <w:rFonts w:ascii="Arial" w:cs="Arial" w:eastAsia="Arial" w:hAnsi="Arial"/>
          <w:sz w:val="20"/>
          <w:szCs w:val="20"/>
          <w:color w:val="auto"/>
        </w:rPr>
        <w:t>The Pension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77"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Employees who retire from AbbVie prior to their normal retirement age may receive subsidized early retirement benefits. Employees hired after 2003 are eligible for early retirement at age 55 with 10 years of service. Employees hired before 2004 are eligible for early retirement at age 50 with 10 years of service or age 55 if the employee’s age plus years of benefit service total 70 or more. Mr. Michael, Mr. Reents, Dr. Saleki-Gerhardt, Mr. Stewart, and Dr. Thakkar are eligible for early retirement benefits under the plan.</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subsidized early retirement reductions applied to the benefit payable for service after 2003 (A above) depend upon the participant’s age at retirement. If the participant retires after reaching age 55, the benefit is reduced</w:t>
      </w:r>
    </w:p>
    <w:p>
      <w:pPr>
        <w:ind w:right="300"/>
        <w:spacing w:after="0" w:line="256" w:lineRule="auto"/>
        <w:rPr>
          <w:sz w:val="20"/>
          <w:szCs w:val="20"/>
          <w:color w:val="auto"/>
        </w:rPr>
      </w:pPr>
      <w:r>
        <w:rPr>
          <w:rFonts w:ascii="Arial" w:cs="Arial" w:eastAsia="Arial" w:hAnsi="Arial"/>
          <w:sz w:val="20"/>
          <w:szCs w:val="20"/>
          <w:color w:val="auto"/>
        </w:rPr>
        <w:t>5 percent per year for each year that payments are made before age 62. If the participant retires after reaching age 50 but prior to reaching age 55, the benefit is actuarially reduced from age 65.</w:t>
      </w:r>
    </w:p>
    <w:p>
      <w:pPr>
        <w:spacing w:after="0" w:line="183" w:lineRule="exact"/>
        <w:rPr>
          <w:sz w:val="20"/>
          <w:szCs w:val="20"/>
          <w:color w:val="auto"/>
        </w:rPr>
      </w:pPr>
    </w:p>
    <w:p>
      <w:pPr>
        <w:ind w:right="260"/>
        <w:spacing w:after="0" w:line="283" w:lineRule="auto"/>
        <w:rPr>
          <w:sz w:val="20"/>
          <w:szCs w:val="20"/>
          <w:color w:val="auto"/>
        </w:rPr>
      </w:pPr>
      <w:r>
        <w:rPr>
          <w:rFonts w:ascii="Arial" w:cs="Arial" w:eastAsia="Arial" w:hAnsi="Arial"/>
          <w:sz w:val="20"/>
          <w:szCs w:val="20"/>
          <w:color w:val="auto"/>
        </w:rPr>
        <w:t>The early retirement reductions applied to the benefit payable for service prior to 2004 (B and C above) depend upon age and service at retirement:</w:t>
      </w:r>
    </w:p>
    <w:p>
      <w:pPr>
        <w:spacing w:after="0" w:line="172" w:lineRule="exact"/>
        <w:rPr>
          <w:sz w:val="20"/>
          <w:szCs w:val="20"/>
          <w:color w:val="auto"/>
        </w:rPr>
      </w:pPr>
    </w:p>
    <w:p>
      <w:pPr>
        <w:ind w:left="360" w:right="40" w:hanging="360"/>
        <w:spacing w:after="0" w:line="253" w:lineRule="auto"/>
        <w:tabs>
          <w:tab w:leader="none" w:pos="360" w:val="left"/>
        </w:tabs>
        <w:numPr>
          <w:ilvl w:val="0"/>
          <w:numId w:val="127"/>
        </w:numPr>
        <w:rPr>
          <w:rFonts w:ascii="Arial" w:cs="Arial" w:eastAsia="Arial" w:hAnsi="Arial"/>
          <w:sz w:val="20"/>
          <w:szCs w:val="20"/>
          <w:color w:val="000039"/>
        </w:rPr>
      </w:pPr>
      <w:r>
        <w:rPr>
          <w:rFonts w:ascii="Arial" w:cs="Arial" w:eastAsia="Arial" w:hAnsi="Arial"/>
          <w:sz w:val="20"/>
          <w:szCs w:val="20"/>
          <w:color w:val="auto"/>
        </w:rPr>
        <w:t>In general, the 5-year final average earnings portions of the benefit are reduced 3 percent per year for each year that payments are made before age 62 and the 3-year monthly average earnings portion of the benefit is reduced 5 percent per year for each year that payments are made before age 62.</w:t>
      </w:r>
    </w:p>
    <w:p>
      <w:pPr>
        <w:spacing w:after="0" w:line="2" w:lineRule="exact"/>
        <w:rPr>
          <w:rFonts w:ascii="Arial" w:cs="Arial" w:eastAsia="Arial" w:hAnsi="Arial"/>
          <w:sz w:val="20"/>
          <w:szCs w:val="20"/>
          <w:color w:val="000039"/>
        </w:rPr>
      </w:pPr>
    </w:p>
    <w:p>
      <w:pPr>
        <w:ind w:left="360" w:right="40" w:hanging="360"/>
        <w:spacing w:after="0" w:line="236" w:lineRule="auto"/>
        <w:tabs>
          <w:tab w:leader="none" w:pos="360" w:val="left"/>
        </w:tabs>
        <w:numPr>
          <w:ilvl w:val="0"/>
          <w:numId w:val="127"/>
        </w:numPr>
        <w:rPr>
          <w:rFonts w:ascii="Arial" w:cs="Arial" w:eastAsia="Arial" w:hAnsi="Arial"/>
          <w:sz w:val="20"/>
          <w:szCs w:val="20"/>
          <w:color w:val="000039"/>
        </w:rPr>
      </w:pPr>
      <w:r>
        <w:rPr>
          <w:rFonts w:ascii="Arial" w:cs="Arial" w:eastAsia="Arial" w:hAnsi="Arial"/>
          <w:sz w:val="20"/>
          <w:szCs w:val="20"/>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5-year final average earnings portions of the benefit in B above are reduced 1</w:t>
      </w:r>
      <w:r>
        <w:rPr>
          <w:rFonts w:ascii="Arial" w:cs="Arial" w:eastAsia="Arial" w:hAnsi="Arial"/>
          <w:sz w:val="25"/>
          <w:szCs w:val="25"/>
          <w:color w:val="auto"/>
          <w:vertAlign w:val="superscript"/>
        </w:rPr>
        <w:t>2</w:t>
      </w:r>
      <w:r>
        <w:rPr>
          <w:rFonts w:ascii="Arial" w:cs="Arial" w:eastAsia="Arial" w:hAnsi="Arial"/>
          <w:sz w:val="20"/>
          <w:szCs w:val="20"/>
          <w:color w:val="auto"/>
        </w:rPr>
        <w:t>/</w:t>
      </w:r>
      <w:r>
        <w:rPr>
          <w:rFonts w:ascii="Arial" w:cs="Arial" w:eastAsia="Arial" w:hAnsi="Arial"/>
          <w:sz w:val="12"/>
          <w:szCs w:val="12"/>
          <w:color w:val="auto"/>
        </w:rPr>
        <w:t>3</w:t>
      </w:r>
      <w:r>
        <w:rPr>
          <w:rFonts w:ascii="Arial" w:cs="Arial" w:eastAsia="Arial" w:hAnsi="Arial"/>
          <w:sz w:val="20"/>
          <w:szCs w:val="20"/>
          <w:color w:val="auto"/>
        </w:rPr>
        <w:t xml:space="preserve"> percent for each year between ages 59 and 62 plus 2</w:t>
      </w:r>
      <w:r>
        <w:rPr>
          <w:rFonts w:ascii="Arial" w:cs="Arial" w:eastAsia="Arial" w:hAnsi="Arial"/>
          <w:sz w:val="25"/>
          <w:szCs w:val="25"/>
          <w:color w:val="auto"/>
          <w:vertAlign w:val="superscript"/>
        </w:rPr>
        <w:t>1</w:t>
      </w:r>
      <w:r>
        <w:rPr>
          <w:rFonts w:ascii="Arial" w:cs="Arial" w:eastAsia="Arial" w:hAnsi="Arial"/>
          <w:sz w:val="20"/>
          <w:szCs w:val="20"/>
          <w:color w:val="auto"/>
        </w:rPr>
        <w:t>/</w:t>
      </w:r>
      <w:r>
        <w:rPr>
          <w:rFonts w:ascii="Arial" w:cs="Arial" w:eastAsia="Arial" w:hAnsi="Arial"/>
          <w:sz w:val="12"/>
          <w:szCs w:val="12"/>
          <w:color w:val="auto"/>
        </w:rPr>
        <w:t>2</w:t>
      </w:r>
      <w:r>
        <w:rPr>
          <w:rFonts w:ascii="Arial" w:cs="Arial" w:eastAsia="Arial" w:hAnsi="Arial"/>
          <w:sz w:val="20"/>
          <w:szCs w:val="20"/>
          <w:color w:val="auto"/>
        </w:rPr>
        <w:t xml:space="preserve"> percent for each year between ages 55 and 59. The 3-year monthly average earnings portion of the benefit is reduced 5 percent per year for each year that payments are made before age 62. Benefit C above is payable on an unreduced basis at Special Retirement and is reduced 3 percent per year for each year that payments are made before age 62, if Early Special Retirement applies.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PENSION PLAN</w:t>
      </w:r>
    </w:p>
    <w:p>
      <w:pPr>
        <w:spacing w:after="0" w:line="205"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The provisions of the Supplemental Pension Plan (which covers AbbVie employees in the United States whose compensation exceeds certain limits under the Internal Revenue Code) are substantially the same as those of the Pension Plan, with the following exceptions:</w:t>
      </w:r>
    </w:p>
    <w:p>
      <w:pPr>
        <w:spacing w:after="0" w:line="190" w:lineRule="exact"/>
        <w:rPr>
          <w:sz w:val="20"/>
          <w:szCs w:val="20"/>
          <w:color w:val="auto"/>
        </w:rPr>
      </w:pPr>
    </w:p>
    <w:p>
      <w:pPr>
        <w:ind w:left="360" w:right="360" w:hanging="360"/>
        <w:spacing w:after="0" w:line="260" w:lineRule="auto"/>
        <w:tabs>
          <w:tab w:leader="none" w:pos="360" w:val="left"/>
        </w:tabs>
        <w:numPr>
          <w:ilvl w:val="0"/>
          <w:numId w:val="128"/>
        </w:numPr>
        <w:rPr>
          <w:rFonts w:ascii="Arial" w:cs="Arial" w:eastAsia="Arial" w:hAnsi="Arial"/>
          <w:sz w:val="20"/>
          <w:szCs w:val="20"/>
          <w:color w:val="000039"/>
        </w:rPr>
      </w:pPr>
      <w:r>
        <w:rPr>
          <w:rFonts w:ascii="Arial" w:cs="Arial" w:eastAsia="Arial" w:hAnsi="Arial"/>
          <w:sz w:val="20"/>
          <w:szCs w:val="20"/>
          <w:color w:val="auto"/>
        </w:rPr>
        <w:t>Participants’ 5-year final average earnings are calculated using the average of the 5 highest years of base earnings and the 5 highest years of payments under AbbVie’s non-equity incentive plans.</w:t>
      </w:r>
    </w:p>
    <w:p>
      <w:pPr>
        <w:spacing w:after="0" w:line="1" w:lineRule="exact"/>
        <w:rPr>
          <w:rFonts w:ascii="Arial" w:cs="Arial" w:eastAsia="Arial" w:hAnsi="Arial"/>
          <w:sz w:val="20"/>
          <w:szCs w:val="20"/>
          <w:color w:val="000039"/>
        </w:rPr>
      </w:pPr>
    </w:p>
    <w:p>
      <w:pPr>
        <w:ind w:left="360" w:right="260" w:hanging="360"/>
        <w:spacing w:after="0" w:line="256" w:lineRule="auto"/>
        <w:tabs>
          <w:tab w:leader="none" w:pos="360" w:val="left"/>
        </w:tabs>
        <w:numPr>
          <w:ilvl w:val="0"/>
          <w:numId w:val="128"/>
        </w:numPr>
        <w:rPr>
          <w:rFonts w:ascii="Arial" w:cs="Arial" w:eastAsia="Arial" w:hAnsi="Arial"/>
          <w:sz w:val="19"/>
          <w:szCs w:val="19"/>
          <w:color w:val="000039"/>
        </w:rPr>
      </w:pPr>
      <w:r>
        <w:rPr>
          <w:rFonts w:ascii="Arial" w:cs="Arial" w:eastAsia="Arial" w:hAnsi="Arial"/>
          <w:sz w:val="19"/>
          <w:szCs w:val="19"/>
          <w:color w:val="auto"/>
        </w:rPr>
        <w:t>The Pension Plan does not include amounts deferred or payments received under the AbbVie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w:t>
      </w:r>
    </w:p>
    <w:p>
      <w:pPr>
        <w:spacing w:after="0" w:line="1" w:lineRule="exact"/>
        <w:rPr>
          <w:rFonts w:ascii="Arial" w:cs="Arial" w:eastAsia="Arial" w:hAnsi="Arial"/>
          <w:sz w:val="19"/>
          <w:szCs w:val="19"/>
          <w:color w:val="000039"/>
        </w:rPr>
      </w:pPr>
    </w:p>
    <w:p>
      <w:pPr>
        <w:ind w:left="360" w:right="40" w:hanging="360"/>
        <w:spacing w:after="0" w:line="259" w:lineRule="auto"/>
        <w:tabs>
          <w:tab w:leader="none" w:pos="360" w:val="left"/>
        </w:tabs>
        <w:numPr>
          <w:ilvl w:val="0"/>
          <w:numId w:val="128"/>
        </w:numPr>
        <w:rPr>
          <w:rFonts w:ascii="Arial" w:cs="Arial" w:eastAsia="Arial" w:hAnsi="Arial"/>
          <w:sz w:val="19"/>
          <w:szCs w:val="19"/>
          <w:color w:val="000039"/>
        </w:rPr>
      </w:pPr>
      <w:r>
        <w:rPr>
          <w:rFonts w:ascii="Arial" w:cs="Arial" w:eastAsia="Arial" w:hAnsi="Arial"/>
          <w:sz w:val="19"/>
          <w:szCs w:val="19"/>
          <w:color w:val="auto"/>
        </w:rPr>
        <w:t>In addition to the benefits outlined above for the Pension Plan, the NEOs are eligible for an additional Supplemental Pension Plan benefit equal to 0.6% of 5-year final average earnings for each year of service for each of the first 20 years of service occurring after the participant attains age 35. The benefit is further limited by the maximum percentage allowed under the Pension Plan under that plan’s benefit formulas (A, B and C above). The portion of this additional benefit attributable to service before 2004 is reduced 3 percent per year</w:t>
      </w:r>
    </w:p>
    <w:p>
      <w:pPr>
        <w:spacing w:after="0" w:line="200" w:lineRule="exact"/>
        <w:rPr>
          <w:sz w:val="20"/>
          <w:szCs w:val="20"/>
          <w:color w:val="auto"/>
        </w:rPr>
      </w:pPr>
    </w:p>
    <w:p>
      <w:pPr>
        <w:spacing w:after="0" w:line="390"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243">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88" w:name="page189"/>
    <w:bookmarkEnd w:id="188"/>
    <w:p>
      <w:pPr>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jc w:val="both"/>
        <w:ind w:left="360" w:right="20"/>
        <w:spacing w:after="0" w:line="244" w:lineRule="auto"/>
        <w:rPr>
          <w:sz w:val="20"/>
          <w:szCs w:val="20"/>
          <w:color w:val="auto"/>
        </w:rPr>
      </w:pPr>
      <w:r>
        <w:rPr>
          <w:rFonts w:ascii="Arial" w:cs="Arial" w:eastAsia="Arial" w:hAnsi="Arial"/>
          <w:sz w:val="20"/>
          <w:szCs w:val="20"/>
          <w:color w:val="auto"/>
        </w:rPr>
        <w:t>for each year that payments are made before age 60. The portion attributable to service after 2003 is reduced 5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2" w:lineRule="exact"/>
        <w:rPr>
          <w:sz w:val="20"/>
          <w:szCs w:val="20"/>
          <w:color w:val="auto"/>
        </w:rPr>
      </w:pPr>
    </w:p>
    <w:p>
      <w:pPr>
        <w:jc w:val="both"/>
        <w:ind w:left="360" w:right="560" w:hanging="360"/>
        <w:spacing w:after="0" w:line="247" w:lineRule="auto"/>
        <w:tabs>
          <w:tab w:leader="none" w:pos="360" w:val="left"/>
        </w:tabs>
        <w:numPr>
          <w:ilvl w:val="0"/>
          <w:numId w:val="129"/>
        </w:numPr>
        <w:rPr>
          <w:rFonts w:ascii="Arial" w:cs="Arial" w:eastAsia="Arial" w:hAnsi="Arial"/>
          <w:sz w:val="20"/>
          <w:szCs w:val="20"/>
          <w:color w:val="000039"/>
        </w:rPr>
      </w:pPr>
      <w:r>
        <w:rPr>
          <w:rFonts w:ascii="Arial" w:cs="Arial" w:eastAsia="Arial" w:hAnsi="Arial"/>
          <w:sz w:val="20"/>
          <w:szCs w:val="20"/>
          <w:color w:val="auto"/>
        </w:rPr>
        <w:t>The Supplemental Pension Plan provides early retirement benefits similar to those provided under the Pension Plan. The benefits provided to NEOs under the Supplemental Pension Plan are not, however, reduced for the period between age 60 and age 62, unless the benefit is being actuarially reduced from age 65. Mr. Michael, Mr. Reents, Dr. Saleki-Gerhardt, Mr. Stewart, and Dr. Thakkar are eligible for early retirement benefits under the plan.</w:t>
      </w:r>
    </w:p>
    <w:p>
      <w:pPr>
        <w:spacing w:after="0" w:line="1" w:lineRule="exact"/>
        <w:rPr>
          <w:rFonts w:ascii="Arial" w:cs="Arial" w:eastAsia="Arial" w:hAnsi="Arial"/>
          <w:sz w:val="20"/>
          <w:szCs w:val="20"/>
          <w:color w:val="000039"/>
        </w:rPr>
      </w:pPr>
    </w:p>
    <w:p>
      <w:pPr>
        <w:ind w:left="360" w:right="260" w:hanging="360"/>
        <w:spacing w:after="0" w:line="243" w:lineRule="auto"/>
        <w:tabs>
          <w:tab w:leader="none" w:pos="360" w:val="left"/>
        </w:tabs>
        <w:numPr>
          <w:ilvl w:val="0"/>
          <w:numId w:val="129"/>
        </w:numPr>
        <w:rPr>
          <w:rFonts w:ascii="Arial" w:cs="Arial" w:eastAsia="Arial" w:hAnsi="Arial"/>
          <w:sz w:val="20"/>
          <w:szCs w:val="20"/>
          <w:color w:val="000039"/>
        </w:rPr>
      </w:pPr>
      <w:r>
        <w:rPr>
          <w:rFonts w:ascii="Arial" w:cs="Arial" w:eastAsia="Arial" w:hAnsi="Arial"/>
          <w:sz w:val="20"/>
          <w:szCs w:val="20"/>
          <w:color w:val="auto"/>
        </w:rPr>
        <w:t>Vested benefits accrued under the Supplemental Pension Plan may be funded through a grantor trust established by an eligible NEO. Consistent with the distribution requirements of Internal Revenue Code Section 409A and its regulations, an eligible NEO who became an officer prior to 2009 may have the entire amount of their vested plan benefits funded through a grantor trust. An eligible NEO who became an officer after 2008 may have only the vested benefits that accrue following the calendar year in which they are first elected as an officer funded through a grantor trust.</w:t>
      </w:r>
    </w:p>
    <w:p>
      <w:pPr>
        <w:spacing w:after="0" w:line="19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Benefits payable under the Supplemental Pension Plan are offset by the benefits payable from the Pension Plan, calculated as if benefits under the plans commenced at the same time. The amounts paid to an eligible NEO’s Supplemental Pension Plan grantor trust to fund plan benefits are actuarially determined. The plan is designed to result in AbbVie paying the eligible NEO’s Supplemental Pension Plan benefits to the extent assets held in their trust are insufficient.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BENEFITS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jc w:val="right"/>
              <w:ind w:right="67"/>
              <w:spacing w:after="0"/>
              <w:rPr>
                <w:sz w:val="20"/>
                <w:szCs w:val="20"/>
                <w:color w:val="auto"/>
              </w:rPr>
            </w:pPr>
            <w:r>
              <w:rPr>
                <w:rFonts w:ascii="Arial" w:cs="Arial" w:eastAsia="Arial" w:hAnsi="Arial"/>
                <w:sz w:val="16"/>
                <w:szCs w:val="16"/>
                <w:b w:val="1"/>
                <w:bCs w:val="1"/>
                <w:color w:val="000039"/>
              </w:rPr>
              <w:t>Present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4"/>
        </w:trPr>
        <w:tc>
          <w:tcPr>
            <w:tcW w:w="23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80" w:type="dxa"/>
            <w:vAlign w:val="bottom"/>
          </w:tcPr>
          <w:p>
            <w:pPr>
              <w:jc w:val="right"/>
              <w:ind w:right="46"/>
              <w:spacing w:after="0"/>
              <w:rPr>
                <w:sz w:val="20"/>
                <w:szCs w:val="20"/>
                <w:color w:val="auto"/>
              </w:rPr>
            </w:pPr>
            <w:r>
              <w:rPr>
                <w:rFonts w:ascii="Arial" w:cs="Arial" w:eastAsia="Arial" w:hAnsi="Arial"/>
                <w:sz w:val="16"/>
                <w:szCs w:val="16"/>
                <w:b w:val="1"/>
                <w:bCs w:val="1"/>
                <w:color w:val="000039"/>
              </w:rPr>
              <w:t>Number of</w:t>
            </w:r>
          </w:p>
        </w:tc>
        <w:tc>
          <w:tcPr>
            <w:tcW w:w="1600" w:type="dxa"/>
            <w:vAlign w:val="bottom"/>
          </w:tcPr>
          <w:p>
            <w:pPr>
              <w:jc w:val="right"/>
              <w:ind w:right="67"/>
              <w:spacing w:after="0"/>
              <w:rPr>
                <w:sz w:val="20"/>
                <w:szCs w:val="20"/>
                <w:color w:val="auto"/>
              </w:rPr>
            </w:pPr>
            <w:r>
              <w:rPr>
                <w:rFonts w:ascii="Arial" w:cs="Arial" w:eastAsia="Arial" w:hAnsi="Arial"/>
                <w:sz w:val="16"/>
                <w:szCs w:val="16"/>
                <w:b w:val="1"/>
                <w:bCs w:val="1"/>
                <w:color w:val="000039"/>
              </w:rPr>
              <w:t>Value of</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0039"/>
              </w:rPr>
              <w:t>Payments</w:t>
            </w:r>
          </w:p>
        </w:tc>
        <w:tc>
          <w:tcPr>
            <w:tcW w:w="220" w:type="dxa"/>
            <w:vAlign w:val="bottom"/>
          </w:tcPr>
          <w:p>
            <w:pPr>
              <w:spacing w:after="0"/>
              <w:rPr>
                <w:sz w:val="15"/>
                <w:szCs w:val="15"/>
                <w:color w:val="auto"/>
              </w:rPr>
            </w:pPr>
          </w:p>
        </w:tc>
      </w:tr>
      <w:tr>
        <w:trPr>
          <w:trHeight w:val="184"/>
        </w:trPr>
        <w:tc>
          <w:tcPr>
            <w:tcW w:w="23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80" w:type="dxa"/>
            <w:vAlign w:val="bottom"/>
          </w:tcPr>
          <w:p>
            <w:pPr>
              <w:jc w:val="right"/>
              <w:ind w:right="46"/>
              <w:spacing w:after="0"/>
              <w:rPr>
                <w:sz w:val="20"/>
                <w:szCs w:val="20"/>
                <w:color w:val="auto"/>
              </w:rPr>
            </w:pPr>
            <w:r>
              <w:rPr>
                <w:rFonts w:ascii="Arial" w:cs="Arial" w:eastAsia="Arial" w:hAnsi="Arial"/>
                <w:sz w:val="16"/>
                <w:szCs w:val="16"/>
                <w:b w:val="1"/>
                <w:bCs w:val="1"/>
                <w:color w:val="000039"/>
              </w:rPr>
              <w:t>Years</w:t>
            </w:r>
          </w:p>
        </w:tc>
        <w:tc>
          <w:tcPr>
            <w:tcW w:w="1600" w:type="dxa"/>
            <w:vAlign w:val="bottom"/>
          </w:tcPr>
          <w:p>
            <w:pPr>
              <w:jc w:val="right"/>
              <w:ind w:right="67"/>
              <w:spacing w:after="0"/>
              <w:rPr>
                <w:sz w:val="20"/>
                <w:szCs w:val="20"/>
                <w:color w:val="auto"/>
              </w:rPr>
            </w:pPr>
            <w:r>
              <w:rPr>
                <w:rFonts w:ascii="Arial" w:cs="Arial" w:eastAsia="Arial" w:hAnsi="Arial"/>
                <w:sz w:val="16"/>
                <w:szCs w:val="16"/>
                <w:b w:val="1"/>
                <w:bCs w:val="1"/>
                <w:color w:val="000039"/>
              </w:rPr>
              <w:t>Accumulated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0039"/>
              </w:rPr>
              <w:t>During Last</w:t>
            </w:r>
          </w:p>
        </w:tc>
        <w:tc>
          <w:tcPr>
            <w:tcW w:w="220" w:type="dxa"/>
            <w:vAlign w:val="bottom"/>
          </w:tcPr>
          <w:p>
            <w:pPr>
              <w:spacing w:after="0"/>
              <w:rPr>
                <w:sz w:val="15"/>
                <w:szCs w:val="15"/>
                <w:color w:val="auto"/>
              </w:rPr>
            </w:pPr>
          </w:p>
        </w:tc>
      </w:tr>
      <w:tr>
        <w:trPr>
          <w:trHeight w:val="185"/>
        </w:trPr>
        <w:tc>
          <w:tcPr>
            <w:tcW w:w="23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80" w:type="dxa"/>
            <w:vAlign w:val="bottom"/>
          </w:tcPr>
          <w:p>
            <w:pPr>
              <w:jc w:val="right"/>
              <w:ind w:right="46"/>
              <w:spacing w:after="0"/>
              <w:rPr>
                <w:sz w:val="20"/>
                <w:szCs w:val="20"/>
                <w:color w:val="auto"/>
              </w:rPr>
            </w:pPr>
            <w:r>
              <w:rPr>
                <w:rFonts w:ascii="Arial" w:cs="Arial" w:eastAsia="Arial" w:hAnsi="Arial"/>
                <w:sz w:val="16"/>
                <w:szCs w:val="16"/>
                <w:b w:val="1"/>
                <w:bCs w:val="1"/>
                <w:color w:val="000039"/>
              </w:rPr>
              <w:t>Credited</w:t>
            </w:r>
          </w:p>
        </w:tc>
        <w:tc>
          <w:tcPr>
            <w:tcW w:w="1600" w:type="dxa"/>
            <w:vAlign w:val="bottom"/>
          </w:tcPr>
          <w:p>
            <w:pPr>
              <w:jc w:val="right"/>
              <w:ind w:right="67"/>
              <w:spacing w:after="0"/>
              <w:rPr>
                <w:sz w:val="20"/>
                <w:szCs w:val="20"/>
                <w:color w:val="auto"/>
              </w:rPr>
            </w:pPr>
            <w:r>
              <w:rPr>
                <w:rFonts w:ascii="Arial" w:cs="Arial" w:eastAsia="Arial" w:hAnsi="Arial"/>
                <w:sz w:val="16"/>
                <w:szCs w:val="16"/>
                <w:b w:val="1"/>
                <w:bCs w:val="1"/>
                <w:color w:val="000039"/>
              </w:rPr>
              <w:t>Benefit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0039"/>
              </w:rPr>
              <w:t>Fiscal Year</w:t>
            </w:r>
          </w:p>
        </w:tc>
        <w:tc>
          <w:tcPr>
            <w:tcW w:w="220" w:type="dxa"/>
            <w:vAlign w:val="bottom"/>
          </w:tcPr>
          <w:p>
            <w:pPr>
              <w:spacing w:after="0"/>
              <w:rPr>
                <w:sz w:val="16"/>
                <w:szCs w:val="16"/>
                <w:color w:val="auto"/>
              </w:rPr>
            </w:pPr>
          </w:p>
        </w:tc>
      </w:tr>
      <w:tr>
        <w:trPr>
          <w:trHeight w:val="202"/>
        </w:trPr>
        <w:tc>
          <w:tcPr>
            <w:tcW w:w="2340" w:type="dxa"/>
            <w:vAlign w:val="bottom"/>
            <w:tcBorders>
              <w:bottom w:val="single" w:sz="8" w:color="000039"/>
            </w:tcBorders>
          </w:tcPr>
          <w:p>
            <w:pPr>
              <w:spacing w:after="0"/>
              <w:rPr>
                <w:sz w:val="20"/>
                <w:szCs w:val="20"/>
                <w:color w:val="auto"/>
              </w:rPr>
            </w:pPr>
            <w:r>
              <w:rPr>
                <w:rFonts w:ascii="Arial" w:cs="Arial" w:eastAsia="Arial" w:hAnsi="Arial"/>
                <w:sz w:val="16"/>
                <w:szCs w:val="16"/>
                <w:b w:val="1"/>
                <w:bCs w:val="1"/>
                <w:color w:val="000039"/>
              </w:rPr>
              <w:t>Name</w:t>
            </w:r>
          </w:p>
        </w:tc>
        <w:tc>
          <w:tcPr>
            <w:tcW w:w="3380" w:type="dxa"/>
            <w:vAlign w:val="bottom"/>
            <w:tcBorders>
              <w:bottom w:val="single" w:sz="8" w:color="000039"/>
            </w:tcBorders>
          </w:tcPr>
          <w:p>
            <w:pPr>
              <w:ind w:left="240"/>
              <w:spacing w:after="0"/>
              <w:rPr>
                <w:sz w:val="20"/>
                <w:szCs w:val="20"/>
                <w:color w:val="auto"/>
              </w:rPr>
            </w:pPr>
            <w:r>
              <w:rPr>
                <w:rFonts w:ascii="Arial" w:cs="Arial" w:eastAsia="Arial" w:hAnsi="Arial"/>
                <w:sz w:val="16"/>
                <w:szCs w:val="16"/>
                <w:b w:val="1"/>
                <w:bCs w:val="1"/>
                <w:color w:val="000039"/>
              </w:rPr>
              <w:t>Plan Name</w:t>
            </w:r>
          </w:p>
        </w:tc>
        <w:tc>
          <w:tcPr>
            <w:tcW w:w="1180" w:type="dxa"/>
            <w:vAlign w:val="bottom"/>
            <w:tcBorders>
              <w:bottom w:val="single" w:sz="8" w:color="000039"/>
            </w:tcBorders>
          </w:tcPr>
          <w:p>
            <w:pPr>
              <w:jc w:val="right"/>
              <w:ind w:right="46"/>
              <w:spacing w:after="0"/>
              <w:rPr>
                <w:sz w:val="20"/>
                <w:szCs w:val="20"/>
                <w:color w:val="auto"/>
              </w:rPr>
            </w:pPr>
            <w:r>
              <w:rPr>
                <w:rFonts w:ascii="Arial" w:cs="Arial" w:eastAsia="Arial" w:hAnsi="Arial"/>
                <w:sz w:val="16"/>
                <w:szCs w:val="16"/>
                <w:b w:val="1"/>
                <w:bCs w:val="1"/>
                <w:color w:val="000039"/>
              </w:rPr>
              <w:t>Service (#)</w:t>
            </w:r>
          </w:p>
        </w:tc>
        <w:tc>
          <w:tcPr>
            <w:tcW w:w="1600" w:type="dxa"/>
            <w:vAlign w:val="bottom"/>
            <w:tcBorders>
              <w:bottom w:val="single" w:sz="8" w:color="000039"/>
            </w:tcBorders>
          </w:tcPr>
          <w:p>
            <w:pPr>
              <w:jc w:val="right"/>
              <w:ind w:right="7"/>
              <w:spacing w:after="0"/>
              <w:rPr>
                <w:sz w:val="20"/>
                <w:szCs w:val="20"/>
                <w:color w:val="auto"/>
              </w:rPr>
            </w:pPr>
            <w:r>
              <w:rPr>
                <w:rFonts w:ascii="Arial" w:cs="Arial" w:eastAsia="Arial" w:hAnsi="Arial"/>
                <w:sz w:val="16"/>
                <w:szCs w:val="16"/>
                <w:b w:val="1"/>
                <w:bCs w:val="1"/>
                <w:color w:val="000039"/>
              </w:rPr>
              <w:t>($)(1)</w:t>
            </w:r>
          </w:p>
        </w:tc>
        <w:tc>
          <w:tcPr>
            <w:tcW w:w="320" w:type="dxa"/>
            <w:vAlign w:val="bottom"/>
            <w:tcBorders>
              <w:bottom w:val="single" w:sz="8" w:color="000039"/>
            </w:tcBorders>
          </w:tcPr>
          <w:p>
            <w:pPr>
              <w:spacing w:after="0"/>
              <w:rPr>
                <w:sz w:val="17"/>
                <w:szCs w:val="17"/>
                <w:color w:val="auto"/>
              </w:rPr>
            </w:pPr>
          </w:p>
        </w:tc>
        <w:tc>
          <w:tcPr>
            <w:tcW w:w="1040" w:type="dxa"/>
            <w:vAlign w:val="bottom"/>
            <w:tcBorders>
              <w:bottom w:val="single" w:sz="8" w:color="000039"/>
            </w:tcBorders>
          </w:tcPr>
          <w:p>
            <w:pPr>
              <w:jc w:val="right"/>
              <w:spacing w:after="0"/>
              <w:rPr>
                <w:sz w:val="20"/>
                <w:szCs w:val="20"/>
                <w:color w:val="auto"/>
              </w:rPr>
            </w:pPr>
            <w:r>
              <w:rPr>
                <w:rFonts w:ascii="Arial" w:cs="Arial" w:eastAsia="Arial" w:hAnsi="Arial"/>
                <w:sz w:val="16"/>
                <w:szCs w:val="16"/>
                <w:b w:val="1"/>
                <w:bCs w:val="1"/>
                <w:color w:val="000039"/>
              </w:rPr>
              <w:t>($)</w:t>
            </w:r>
          </w:p>
        </w:tc>
        <w:tc>
          <w:tcPr>
            <w:tcW w:w="220" w:type="dxa"/>
            <w:vAlign w:val="bottom"/>
            <w:tcBorders>
              <w:bottom w:val="single" w:sz="8" w:color="000039"/>
            </w:tcBorders>
          </w:tcPr>
          <w:p>
            <w:pPr>
              <w:spacing w:after="0"/>
              <w:rPr>
                <w:sz w:val="17"/>
                <w:szCs w:val="17"/>
                <w:color w:val="auto"/>
              </w:rPr>
            </w:pPr>
          </w:p>
        </w:tc>
      </w:tr>
      <w:tr>
        <w:trPr>
          <w:trHeight w:val="220"/>
        </w:trPr>
        <w:tc>
          <w:tcPr>
            <w:tcW w:w="2340" w:type="dxa"/>
            <w:vAlign w:val="bottom"/>
            <w:shd w:val="clear" w:color="auto" w:fill="D9D9D9"/>
          </w:tcPr>
          <w:p>
            <w:pPr>
              <w:spacing w:after="0" w:line="220" w:lineRule="exact"/>
              <w:rPr>
                <w:sz w:val="20"/>
                <w:szCs w:val="20"/>
                <w:color w:val="auto"/>
              </w:rPr>
            </w:pPr>
            <w:r>
              <w:rPr>
                <w:rFonts w:ascii="Arial" w:cs="Arial" w:eastAsia="Arial" w:hAnsi="Arial"/>
                <w:sz w:val="20"/>
                <w:szCs w:val="20"/>
                <w:color w:val="auto"/>
              </w:rPr>
              <w:t>R. Michael</w:t>
            </w:r>
          </w:p>
        </w:tc>
        <w:tc>
          <w:tcPr>
            <w:tcW w:w="3380" w:type="dxa"/>
            <w:vAlign w:val="bottom"/>
            <w:shd w:val="clear" w:color="auto" w:fill="D9D9D9"/>
          </w:tcPr>
          <w:p>
            <w:pPr>
              <w:ind w:left="240"/>
              <w:spacing w:after="0" w:line="220" w:lineRule="exact"/>
              <w:rPr>
                <w:sz w:val="20"/>
                <w:szCs w:val="20"/>
                <w:color w:val="auto"/>
              </w:rPr>
            </w:pPr>
            <w:r>
              <w:rPr>
                <w:rFonts w:ascii="Arial" w:cs="Arial" w:eastAsia="Arial" w:hAnsi="Arial"/>
                <w:sz w:val="20"/>
                <w:szCs w:val="20"/>
                <w:color w:val="auto"/>
              </w:rPr>
              <w:t>AbbVie Pension Plan</w:t>
            </w:r>
          </w:p>
        </w:tc>
        <w:tc>
          <w:tcPr>
            <w:tcW w:w="1180" w:type="dxa"/>
            <w:vAlign w:val="bottom"/>
            <w:shd w:val="clear" w:color="auto" w:fill="D9D9D9"/>
          </w:tcPr>
          <w:p>
            <w:pPr>
              <w:jc w:val="right"/>
              <w:ind w:right="66"/>
              <w:spacing w:after="0" w:line="220" w:lineRule="exact"/>
              <w:rPr>
                <w:sz w:val="20"/>
                <w:szCs w:val="20"/>
                <w:color w:val="auto"/>
              </w:rPr>
            </w:pPr>
            <w:r>
              <w:rPr>
                <w:rFonts w:ascii="Arial" w:cs="Arial" w:eastAsia="Arial" w:hAnsi="Arial"/>
                <w:sz w:val="20"/>
                <w:szCs w:val="20"/>
                <w:color w:val="auto"/>
              </w:rPr>
              <w:t>33</w:t>
            </w:r>
          </w:p>
        </w:tc>
        <w:tc>
          <w:tcPr>
            <w:tcW w:w="1600" w:type="dxa"/>
            <w:vAlign w:val="bottom"/>
            <w:shd w:val="clear" w:color="auto" w:fill="D9D9D9"/>
          </w:tcPr>
          <w:p>
            <w:pPr>
              <w:jc w:val="right"/>
              <w:ind w:right="87"/>
              <w:spacing w:after="0" w:line="220" w:lineRule="exact"/>
              <w:rPr>
                <w:sz w:val="20"/>
                <w:szCs w:val="20"/>
                <w:color w:val="auto"/>
              </w:rPr>
            </w:pPr>
            <w:r>
              <w:rPr>
                <w:rFonts w:ascii="Arial" w:cs="Arial" w:eastAsia="Arial" w:hAnsi="Arial"/>
                <w:sz w:val="20"/>
                <w:szCs w:val="20"/>
                <w:color w:val="auto"/>
              </w:rPr>
              <w:t>$   1,111,100</w:t>
            </w:r>
          </w:p>
        </w:tc>
        <w:tc>
          <w:tcPr>
            <w:tcW w:w="320" w:type="dxa"/>
            <w:vAlign w:val="bottom"/>
            <w:shd w:val="clear" w:color="auto" w:fill="D9D9D9"/>
          </w:tcPr>
          <w:p>
            <w:pPr>
              <w:jc w:val="right"/>
              <w:spacing w:after="0" w:line="220" w:lineRule="exact"/>
              <w:rPr>
                <w:sz w:val="20"/>
                <w:szCs w:val="20"/>
                <w:color w:val="auto"/>
              </w:rPr>
            </w:pPr>
            <w:r>
              <w:rPr>
                <w:rFonts w:ascii="Arial" w:cs="Arial" w:eastAsia="Arial" w:hAnsi="Arial"/>
                <w:sz w:val="20"/>
                <w:szCs w:val="20"/>
                <w:color w:val="auto"/>
              </w:rPr>
              <w:t>$</w:t>
            </w:r>
          </w:p>
        </w:tc>
        <w:tc>
          <w:tcPr>
            <w:tcW w:w="1040" w:type="dxa"/>
            <w:vAlign w:val="bottom"/>
            <w:shd w:val="clear" w:color="auto" w:fill="D9D9D9"/>
          </w:tcPr>
          <w:p>
            <w:pPr>
              <w:jc w:val="right"/>
              <w:spacing w:after="0" w:line="220" w:lineRule="exact"/>
              <w:rPr>
                <w:sz w:val="20"/>
                <w:szCs w:val="20"/>
                <w:color w:val="auto"/>
              </w:rPr>
            </w:pPr>
            <w:r>
              <w:rPr>
                <w:rFonts w:ascii="Arial" w:cs="Arial" w:eastAsia="Arial" w:hAnsi="Arial"/>
                <w:sz w:val="20"/>
                <w:szCs w:val="20"/>
                <w:color w:val="auto"/>
              </w:rPr>
              <w:t>0</w:t>
            </w:r>
          </w:p>
        </w:tc>
        <w:tc>
          <w:tcPr>
            <w:tcW w:w="220" w:type="dxa"/>
            <w:vAlign w:val="bottom"/>
            <w:shd w:val="clear" w:color="auto" w:fill="D9D9D9"/>
          </w:tcPr>
          <w:p>
            <w:pPr>
              <w:spacing w:after="0"/>
              <w:rPr>
                <w:sz w:val="19"/>
                <w:szCs w:val="19"/>
                <w:color w:val="auto"/>
              </w:rPr>
            </w:pPr>
          </w:p>
        </w:tc>
      </w:tr>
      <w:tr>
        <w:trPr>
          <w:trHeight w:val="230"/>
        </w:trPr>
        <w:tc>
          <w:tcPr>
            <w:tcW w:w="2340" w:type="dxa"/>
            <w:vAlign w:val="bottom"/>
            <w:shd w:val="clear" w:color="auto" w:fill="D9D9D9"/>
          </w:tcPr>
          <w:p>
            <w:pPr>
              <w:spacing w:after="0"/>
              <w:rPr>
                <w:sz w:val="20"/>
                <w:szCs w:val="20"/>
                <w:color w:val="auto"/>
              </w:rPr>
            </w:pPr>
          </w:p>
        </w:tc>
        <w:tc>
          <w:tcPr>
            <w:tcW w:w="3380" w:type="dxa"/>
            <w:vAlign w:val="bottom"/>
            <w:shd w:val="clear" w:color="auto" w:fill="D9D9D9"/>
          </w:tcPr>
          <w:p>
            <w:pPr>
              <w:ind w:left="240"/>
              <w:spacing w:after="0"/>
              <w:rPr>
                <w:sz w:val="20"/>
                <w:szCs w:val="20"/>
                <w:color w:val="auto"/>
              </w:rPr>
            </w:pPr>
            <w:r>
              <w:rPr>
                <w:rFonts w:ascii="Arial" w:cs="Arial" w:eastAsia="Arial" w:hAnsi="Arial"/>
                <w:sz w:val="20"/>
                <w:szCs w:val="20"/>
                <w:color w:val="auto"/>
                <w:w w:val="98"/>
              </w:rPr>
              <w:t>AbbVie Supplemental Pension Plan</w:t>
            </w:r>
          </w:p>
        </w:tc>
        <w:tc>
          <w:tcPr>
            <w:tcW w:w="1180" w:type="dxa"/>
            <w:vAlign w:val="bottom"/>
            <w:shd w:val="clear" w:color="auto" w:fill="D9D9D9"/>
          </w:tcPr>
          <w:p>
            <w:pPr>
              <w:jc w:val="right"/>
              <w:ind w:right="66"/>
              <w:spacing w:after="0"/>
              <w:rPr>
                <w:sz w:val="20"/>
                <w:szCs w:val="20"/>
                <w:color w:val="auto"/>
              </w:rPr>
            </w:pPr>
            <w:r>
              <w:rPr>
                <w:rFonts w:ascii="Arial" w:cs="Arial" w:eastAsia="Arial" w:hAnsi="Arial"/>
                <w:sz w:val="20"/>
                <w:szCs w:val="20"/>
                <w:color w:val="auto"/>
              </w:rPr>
              <w:t>33</w:t>
            </w:r>
          </w:p>
        </w:tc>
        <w:tc>
          <w:tcPr>
            <w:tcW w:w="1600" w:type="dxa"/>
            <w:vAlign w:val="bottom"/>
            <w:shd w:val="clear" w:color="auto" w:fill="D9D9D9"/>
          </w:tcPr>
          <w:p>
            <w:pPr>
              <w:jc w:val="right"/>
              <w:ind w:right="87"/>
              <w:spacing w:after="0"/>
              <w:rPr>
                <w:sz w:val="20"/>
                <w:szCs w:val="20"/>
                <w:color w:val="auto"/>
              </w:rPr>
            </w:pPr>
            <w:r>
              <w:rPr>
                <w:rFonts w:ascii="Arial" w:cs="Arial" w:eastAsia="Arial" w:hAnsi="Arial"/>
                <w:sz w:val="20"/>
                <w:szCs w:val="20"/>
                <w:color w:val="auto"/>
              </w:rPr>
              <w:t>21,063,786</w:t>
            </w:r>
          </w:p>
        </w:tc>
        <w:tc>
          <w:tcPr>
            <w:tcW w:w="320" w:type="dxa"/>
            <w:vAlign w:val="bottom"/>
            <w:shd w:val="clear" w:color="auto" w:fill="D9D9D9"/>
          </w:tcPr>
          <w:p>
            <w:pPr>
              <w:spacing w:after="0"/>
              <w:rPr>
                <w:sz w:val="20"/>
                <w:szCs w:val="20"/>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2,121,436</w:t>
            </w:r>
          </w:p>
        </w:tc>
        <w:tc>
          <w:tcPr>
            <w:tcW w:w="220" w:type="dxa"/>
            <w:vAlign w:val="bottom"/>
            <w:shd w:val="clear" w:color="auto" w:fill="D9D9D9"/>
          </w:tcPr>
          <w:p>
            <w:pPr>
              <w:jc w:val="right"/>
              <w:ind w:right="20"/>
              <w:spacing w:after="0"/>
              <w:rPr>
                <w:sz w:val="20"/>
                <w:szCs w:val="20"/>
                <w:color w:val="auto"/>
              </w:rPr>
            </w:pPr>
            <w:r>
              <w:rPr>
                <w:rFonts w:ascii="Arial" w:cs="Arial" w:eastAsia="Arial" w:hAnsi="Arial"/>
                <w:sz w:val="12"/>
                <w:szCs w:val="12"/>
                <w:color w:val="auto"/>
                <w:w w:val="81"/>
              </w:rPr>
              <w:t>(2)</w:t>
            </w:r>
          </w:p>
        </w:tc>
      </w:tr>
      <w:tr>
        <w:trPr>
          <w:trHeight w:val="210"/>
        </w:trPr>
        <w:tc>
          <w:tcPr>
            <w:tcW w:w="2340" w:type="dxa"/>
            <w:vAlign w:val="bottom"/>
          </w:tcPr>
          <w:p>
            <w:pPr>
              <w:spacing w:after="0" w:line="209" w:lineRule="exact"/>
              <w:rPr>
                <w:sz w:val="20"/>
                <w:szCs w:val="20"/>
                <w:color w:val="auto"/>
              </w:rPr>
            </w:pPr>
            <w:r>
              <w:rPr>
                <w:rFonts w:ascii="Arial" w:cs="Arial" w:eastAsia="Arial" w:hAnsi="Arial"/>
                <w:sz w:val="20"/>
                <w:szCs w:val="20"/>
                <w:color w:val="auto"/>
              </w:rPr>
              <w:t>S. Reents</w:t>
            </w:r>
          </w:p>
        </w:tc>
        <w:tc>
          <w:tcPr>
            <w:tcW w:w="3380" w:type="dxa"/>
            <w:vAlign w:val="bottom"/>
          </w:tcPr>
          <w:p>
            <w:pPr>
              <w:ind w:left="240"/>
              <w:spacing w:after="0" w:line="209" w:lineRule="exact"/>
              <w:rPr>
                <w:sz w:val="20"/>
                <w:szCs w:val="20"/>
                <w:color w:val="auto"/>
              </w:rPr>
            </w:pPr>
            <w:r>
              <w:rPr>
                <w:rFonts w:ascii="Arial" w:cs="Arial" w:eastAsia="Arial" w:hAnsi="Arial"/>
                <w:sz w:val="20"/>
                <w:szCs w:val="20"/>
                <w:color w:val="auto"/>
              </w:rPr>
              <w:t>AbbVie Pension Plan</w:t>
            </w:r>
          </w:p>
        </w:tc>
        <w:tc>
          <w:tcPr>
            <w:tcW w:w="1180" w:type="dxa"/>
            <w:vAlign w:val="bottom"/>
          </w:tcPr>
          <w:p>
            <w:pPr>
              <w:jc w:val="right"/>
              <w:ind w:right="66"/>
              <w:spacing w:after="0" w:line="209" w:lineRule="exact"/>
              <w:rPr>
                <w:sz w:val="20"/>
                <w:szCs w:val="20"/>
                <w:color w:val="auto"/>
              </w:rPr>
            </w:pPr>
            <w:r>
              <w:rPr>
                <w:rFonts w:ascii="Arial" w:cs="Arial" w:eastAsia="Arial" w:hAnsi="Arial"/>
                <w:sz w:val="20"/>
                <w:szCs w:val="20"/>
                <w:color w:val="auto"/>
              </w:rPr>
              <w:t>18</w:t>
            </w:r>
          </w:p>
        </w:tc>
        <w:tc>
          <w:tcPr>
            <w:tcW w:w="1600" w:type="dxa"/>
            <w:vAlign w:val="bottom"/>
          </w:tcPr>
          <w:p>
            <w:pPr>
              <w:jc w:val="right"/>
              <w:ind w:right="87"/>
              <w:spacing w:after="0" w:line="209" w:lineRule="exact"/>
              <w:rPr>
                <w:sz w:val="20"/>
                <w:szCs w:val="20"/>
                <w:color w:val="auto"/>
              </w:rPr>
            </w:pPr>
            <w:r>
              <w:rPr>
                <w:rFonts w:ascii="Arial" w:cs="Arial" w:eastAsia="Arial" w:hAnsi="Arial"/>
                <w:sz w:val="20"/>
                <w:szCs w:val="20"/>
                <w:color w:val="auto"/>
              </w:rPr>
              <w:t>656,248</w:t>
            </w:r>
          </w:p>
        </w:tc>
        <w:tc>
          <w:tcPr>
            <w:tcW w:w="32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Arial" w:cs="Arial" w:eastAsia="Arial" w:hAnsi="Arial"/>
                <w:sz w:val="20"/>
                <w:szCs w:val="20"/>
                <w:color w:val="auto"/>
              </w:rPr>
              <w:t>0</w:t>
            </w:r>
          </w:p>
        </w:tc>
        <w:tc>
          <w:tcPr>
            <w:tcW w:w="220" w:type="dxa"/>
            <w:vAlign w:val="bottom"/>
          </w:tcPr>
          <w:p>
            <w:pPr>
              <w:spacing w:after="0"/>
              <w:rPr>
                <w:sz w:val="18"/>
                <w:szCs w:val="18"/>
                <w:color w:val="auto"/>
              </w:rPr>
            </w:pPr>
          </w:p>
        </w:tc>
      </w:tr>
      <w:tr>
        <w:trPr>
          <w:trHeight w:val="250"/>
        </w:trPr>
        <w:tc>
          <w:tcPr>
            <w:tcW w:w="2340" w:type="dxa"/>
            <w:vAlign w:val="bottom"/>
          </w:tcPr>
          <w:p>
            <w:pPr>
              <w:spacing w:after="0"/>
              <w:rPr>
                <w:sz w:val="21"/>
                <w:szCs w:val="21"/>
                <w:color w:val="auto"/>
              </w:rPr>
            </w:pPr>
          </w:p>
        </w:tc>
        <w:tc>
          <w:tcPr>
            <w:tcW w:w="3380" w:type="dxa"/>
            <w:vAlign w:val="bottom"/>
          </w:tcPr>
          <w:p>
            <w:pPr>
              <w:ind w:left="240"/>
              <w:spacing w:after="0"/>
              <w:rPr>
                <w:sz w:val="20"/>
                <w:szCs w:val="20"/>
                <w:color w:val="auto"/>
              </w:rPr>
            </w:pPr>
            <w:r>
              <w:rPr>
                <w:rFonts w:ascii="Arial" w:cs="Arial" w:eastAsia="Arial" w:hAnsi="Arial"/>
                <w:sz w:val="20"/>
                <w:szCs w:val="20"/>
                <w:color w:val="auto"/>
                <w:w w:val="98"/>
              </w:rPr>
              <w:t>AbbVie Supplemental Pension Plan</w:t>
            </w:r>
          </w:p>
        </w:tc>
        <w:tc>
          <w:tcPr>
            <w:tcW w:w="1180" w:type="dxa"/>
            <w:vAlign w:val="bottom"/>
          </w:tcPr>
          <w:p>
            <w:pPr>
              <w:jc w:val="right"/>
              <w:ind w:right="66"/>
              <w:spacing w:after="0"/>
              <w:rPr>
                <w:sz w:val="20"/>
                <w:szCs w:val="20"/>
                <w:color w:val="auto"/>
              </w:rPr>
            </w:pPr>
            <w:r>
              <w:rPr>
                <w:rFonts w:ascii="Arial" w:cs="Arial" w:eastAsia="Arial" w:hAnsi="Arial"/>
                <w:sz w:val="20"/>
                <w:szCs w:val="20"/>
                <w:color w:val="auto"/>
              </w:rPr>
              <w:t>18</w:t>
            </w:r>
          </w:p>
        </w:tc>
        <w:tc>
          <w:tcPr>
            <w:tcW w:w="1600" w:type="dxa"/>
            <w:vAlign w:val="bottom"/>
          </w:tcPr>
          <w:p>
            <w:pPr>
              <w:jc w:val="right"/>
              <w:ind w:right="87"/>
              <w:spacing w:after="0"/>
              <w:rPr>
                <w:sz w:val="20"/>
                <w:szCs w:val="20"/>
                <w:color w:val="auto"/>
              </w:rPr>
            </w:pPr>
            <w:r>
              <w:rPr>
                <w:rFonts w:ascii="Arial" w:cs="Arial" w:eastAsia="Arial" w:hAnsi="Arial"/>
                <w:sz w:val="20"/>
                <w:szCs w:val="20"/>
                <w:color w:val="auto"/>
              </w:rPr>
              <w:t>8,956,071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1,585,221</w:t>
            </w:r>
          </w:p>
        </w:tc>
        <w:tc>
          <w:tcPr>
            <w:tcW w:w="220" w:type="dxa"/>
            <w:vAlign w:val="bottom"/>
          </w:tcPr>
          <w:p>
            <w:pPr>
              <w:jc w:val="right"/>
              <w:ind w:right="20"/>
              <w:spacing w:after="0"/>
              <w:rPr>
                <w:sz w:val="20"/>
                <w:szCs w:val="20"/>
                <w:color w:val="auto"/>
              </w:rPr>
            </w:pPr>
            <w:r>
              <w:rPr>
                <w:rFonts w:ascii="Arial" w:cs="Arial" w:eastAsia="Arial" w:hAnsi="Arial"/>
                <w:sz w:val="12"/>
                <w:szCs w:val="12"/>
                <w:color w:val="auto"/>
                <w:w w:val="81"/>
              </w:rPr>
              <w:t>(2)</w:t>
            </w:r>
          </w:p>
        </w:tc>
      </w:tr>
      <w:tr>
        <w:trPr>
          <w:trHeight w:val="230"/>
        </w:trPr>
        <w:tc>
          <w:tcPr>
            <w:tcW w:w="2340" w:type="dxa"/>
            <w:vAlign w:val="bottom"/>
            <w:shd w:val="clear" w:color="auto" w:fill="D9D9D9"/>
          </w:tcPr>
          <w:p>
            <w:pPr>
              <w:spacing w:after="0"/>
              <w:rPr>
                <w:sz w:val="20"/>
                <w:szCs w:val="20"/>
                <w:color w:val="auto"/>
              </w:rPr>
            </w:pPr>
            <w:r>
              <w:rPr>
                <w:rFonts w:ascii="Arial" w:cs="Arial" w:eastAsia="Arial" w:hAnsi="Arial"/>
                <w:sz w:val="20"/>
                <w:szCs w:val="20"/>
                <w:color w:val="auto"/>
              </w:rPr>
              <w:t>J. Stewart</w:t>
            </w:r>
          </w:p>
        </w:tc>
        <w:tc>
          <w:tcPr>
            <w:tcW w:w="3380" w:type="dxa"/>
            <w:vAlign w:val="bottom"/>
            <w:shd w:val="clear" w:color="auto" w:fill="D9D9D9"/>
          </w:tcPr>
          <w:p>
            <w:pPr>
              <w:ind w:left="240"/>
              <w:spacing w:after="0"/>
              <w:rPr>
                <w:sz w:val="20"/>
                <w:szCs w:val="20"/>
                <w:color w:val="auto"/>
              </w:rPr>
            </w:pPr>
            <w:r>
              <w:rPr>
                <w:rFonts w:ascii="Arial" w:cs="Arial" w:eastAsia="Arial" w:hAnsi="Arial"/>
                <w:sz w:val="20"/>
                <w:szCs w:val="20"/>
                <w:color w:val="auto"/>
              </w:rPr>
              <w:t>AbbVie Pension Plan</w:t>
            </w:r>
          </w:p>
        </w:tc>
        <w:tc>
          <w:tcPr>
            <w:tcW w:w="1180" w:type="dxa"/>
            <w:vAlign w:val="bottom"/>
            <w:shd w:val="clear" w:color="auto" w:fill="D9D9D9"/>
          </w:tcPr>
          <w:p>
            <w:pPr>
              <w:jc w:val="right"/>
              <w:ind w:right="66"/>
              <w:spacing w:after="0"/>
              <w:rPr>
                <w:sz w:val="20"/>
                <w:szCs w:val="20"/>
                <w:color w:val="auto"/>
              </w:rPr>
            </w:pPr>
            <w:r>
              <w:rPr>
                <w:rFonts w:ascii="Arial" w:cs="Arial" w:eastAsia="Arial" w:hAnsi="Arial"/>
                <w:sz w:val="20"/>
                <w:szCs w:val="20"/>
                <w:color w:val="auto"/>
              </w:rPr>
              <w:t>34</w:t>
            </w:r>
          </w:p>
        </w:tc>
        <w:tc>
          <w:tcPr>
            <w:tcW w:w="1600" w:type="dxa"/>
            <w:vAlign w:val="bottom"/>
            <w:shd w:val="clear" w:color="auto" w:fill="D9D9D9"/>
          </w:tcPr>
          <w:p>
            <w:pPr>
              <w:jc w:val="right"/>
              <w:ind w:right="87"/>
              <w:spacing w:after="0"/>
              <w:rPr>
                <w:sz w:val="20"/>
                <w:szCs w:val="20"/>
                <w:color w:val="auto"/>
              </w:rPr>
            </w:pPr>
            <w:r>
              <w:rPr>
                <w:rFonts w:ascii="Arial" w:cs="Arial" w:eastAsia="Arial" w:hAnsi="Arial"/>
                <w:sz w:val="20"/>
                <w:szCs w:val="20"/>
                <w:color w:val="auto"/>
              </w:rPr>
              <w:t>1,255,369</w:t>
            </w:r>
          </w:p>
        </w:tc>
        <w:tc>
          <w:tcPr>
            <w:tcW w:w="320" w:type="dxa"/>
            <w:vAlign w:val="bottom"/>
            <w:shd w:val="clear" w:color="auto" w:fill="D9D9D9"/>
          </w:tcPr>
          <w:p>
            <w:pPr>
              <w:spacing w:after="0"/>
              <w:rPr>
                <w:sz w:val="20"/>
                <w:szCs w:val="20"/>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0</w:t>
            </w:r>
          </w:p>
        </w:tc>
        <w:tc>
          <w:tcPr>
            <w:tcW w:w="220" w:type="dxa"/>
            <w:vAlign w:val="bottom"/>
            <w:shd w:val="clear" w:color="auto" w:fill="D9D9D9"/>
          </w:tcPr>
          <w:p>
            <w:pPr>
              <w:spacing w:after="0"/>
              <w:rPr>
                <w:sz w:val="20"/>
                <w:szCs w:val="20"/>
                <w:color w:val="auto"/>
              </w:rPr>
            </w:pPr>
          </w:p>
        </w:tc>
      </w:tr>
      <w:tr>
        <w:trPr>
          <w:trHeight w:val="229"/>
        </w:trPr>
        <w:tc>
          <w:tcPr>
            <w:tcW w:w="2340" w:type="dxa"/>
            <w:vAlign w:val="bottom"/>
            <w:shd w:val="clear" w:color="auto" w:fill="D9D9D9"/>
          </w:tcPr>
          <w:p>
            <w:pPr>
              <w:spacing w:after="0"/>
              <w:rPr>
                <w:sz w:val="19"/>
                <w:szCs w:val="19"/>
                <w:color w:val="auto"/>
              </w:rPr>
            </w:pPr>
          </w:p>
        </w:tc>
        <w:tc>
          <w:tcPr>
            <w:tcW w:w="3380" w:type="dxa"/>
            <w:vAlign w:val="bottom"/>
            <w:shd w:val="clear" w:color="auto" w:fill="D9D9D9"/>
          </w:tcPr>
          <w:p>
            <w:pPr>
              <w:ind w:left="240"/>
              <w:spacing w:after="0"/>
              <w:rPr>
                <w:sz w:val="20"/>
                <w:szCs w:val="20"/>
                <w:color w:val="auto"/>
              </w:rPr>
            </w:pPr>
            <w:r>
              <w:rPr>
                <w:rFonts w:ascii="Arial" w:cs="Arial" w:eastAsia="Arial" w:hAnsi="Arial"/>
                <w:sz w:val="20"/>
                <w:szCs w:val="20"/>
                <w:color w:val="auto"/>
                <w:highlight w:val="lightGray"/>
                <w:w w:val="98"/>
              </w:rPr>
              <w:t>AbbVie Supplemental Pension Plan</w:t>
            </w:r>
          </w:p>
        </w:tc>
        <w:tc>
          <w:tcPr>
            <w:tcW w:w="1180" w:type="dxa"/>
            <w:vAlign w:val="bottom"/>
            <w:shd w:val="clear" w:color="auto" w:fill="D9D9D9"/>
          </w:tcPr>
          <w:p>
            <w:pPr>
              <w:jc w:val="right"/>
              <w:ind w:right="66"/>
              <w:spacing w:after="0"/>
              <w:rPr>
                <w:sz w:val="20"/>
                <w:szCs w:val="20"/>
                <w:color w:val="auto"/>
              </w:rPr>
            </w:pPr>
            <w:r>
              <w:rPr>
                <w:rFonts w:ascii="Arial" w:cs="Arial" w:eastAsia="Arial" w:hAnsi="Arial"/>
                <w:sz w:val="20"/>
                <w:szCs w:val="20"/>
                <w:color w:val="auto"/>
              </w:rPr>
              <w:t>34</w:t>
            </w:r>
          </w:p>
        </w:tc>
        <w:tc>
          <w:tcPr>
            <w:tcW w:w="1600" w:type="dxa"/>
            <w:vAlign w:val="bottom"/>
            <w:shd w:val="clear" w:color="auto" w:fill="D9D9D9"/>
          </w:tcPr>
          <w:p>
            <w:pPr>
              <w:jc w:val="right"/>
              <w:ind w:right="87"/>
              <w:spacing w:after="0"/>
              <w:rPr>
                <w:sz w:val="20"/>
                <w:szCs w:val="20"/>
                <w:color w:val="auto"/>
              </w:rPr>
            </w:pPr>
            <w:r>
              <w:rPr>
                <w:rFonts w:ascii="Arial" w:cs="Arial" w:eastAsia="Arial" w:hAnsi="Arial"/>
                <w:sz w:val="20"/>
                <w:szCs w:val="20"/>
                <w:color w:val="auto"/>
              </w:rPr>
              <w:t>16,441,940</w:t>
            </w:r>
          </w:p>
        </w:tc>
        <w:tc>
          <w:tcPr>
            <w:tcW w:w="320" w:type="dxa"/>
            <w:vAlign w:val="bottom"/>
            <w:shd w:val="clear" w:color="auto" w:fill="D9D9D9"/>
          </w:tcPr>
          <w:p>
            <w:pPr>
              <w:spacing w:after="0"/>
              <w:rPr>
                <w:sz w:val="19"/>
                <w:szCs w:val="19"/>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2,462,662</w:t>
            </w:r>
          </w:p>
        </w:tc>
        <w:tc>
          <w:tcPr>
            <w:tcW w:w="220" w:type="dxa"/>
            <w:vAlign w:val="bottom"/>
            <w:shd w:val="clear" w:color="auto" w:fill="D9D9D9"/>
          </w:tcPr>
          <w:p>
            <w:pPr>
              <w:jc w:val="right"/>
              <w:ind w:right="20"/>
              <w:spacing w:after="0"/>
              <w:rPr>
                <w:sz w:val="20"/>
                <w:szCs w:val="20"/>
                <w:color w:val="auto"/>
              </w:rPr>
            </w:pPr>
            <w:r>
              <w:rPr>
                <w:rFonts w:ascii="Arial" w:cs="Arial" w:eastAsia="Arial" w:hAnsi="Arial"/>
                <w:sz w:val="12"/>
                <w:szCs w:val="12"/>
                <w:color w:val="auto"/>
                <w:w w:val="81"/>
              </w:rPr>
              <w:t>(2)</w:t>
            </w:r>
          </w:p>
        </w:tc>
      </w:tr>
      <w:tr>
        <w:trPr>
          <w:trHeight w:val="211"/>
        </w:trPr>
        <w:tc>
          <w:tcPr>
            <w:tcW w:w="2340" w:type="dxa"/>
            <w:vAlign w:val="bottom"/>
          </w:tcPr>
          <w:p>
            <w:pPr>
              <w:spacing w:after="0" w:line="210" w:lineRule="exact"/>
              <w:rPr>
                <w:sz w:val="20"/>
                <w:szCs w:val="20"/>
                <w:color w:val="auto"/>
              </w:rPr>
            </w:pPr>
            <w:r>
              <w:rPr>
                <w:rFonts w:ascii="Arial" w:cs="Arial" w:eastAsia="Arial" w:hAnsi="Arial"/>
                <w:sz w:val="20"/>
                <w:szCs w:val="20"/>
                <w:color w:val="auto"/>
              </w:rPr>
              <w:t>A. Saleki-Gerhardt</w:t>
            </w:r>
          </w:p>
        </w:tc>
        <w:tc>
          <w:tcPr>
            <w:tcW w:w="3380" w:type="dxa"/>
            <w:vAlign w:val="bottom"/>
          </w:tcPr>
          <w:p>
            <w:pPr>
              <w:ind w:left="240"/>
              <w:spacing w:after="0" w:line="210" w:lineRule="exact"/>
              <w:rPr>
                <w:sz w:val="20"/>
                <w:szCs w:val="20"/>
                <w:color w:val="auto"/>
              </w:rPr>
            </w:pPr>
            <w:r>
              <w:rPr>
                <w:rFonts w:ascii="Arial" w:cs="Arial" w:eastAsia="Arial" w:hAnsi="Arial"/>
                <w:sz w:val="20"/>
                <w:szCs w:val="20"/>
                <w:color w:val="auto"/>
              </w:rPr>
              <w:t>AbbVie Pension Plan</w:t>
            </w:r>
          </w:p>
        </w:tc>
        <w:tc>
          <w:tcPr>
            <w:tcW w:w="1180" w:type="dxa"/>
            <w:vAlign w:val="bottom"/>
          </w:tcPr>
          <w:p>
            <w:pPr>
              <w:jc w:val="right"/>
              <w:ind w:right="66"/>
              <w:spacing w:after="0" w:line="210" w:lineRule="exact"/>
              <w:rPr>
                <w:sz w:val="20"/>
                <w:szCs w:val="20"/>
                <w:color w:val="auto"/>
              </w:rPr>
            </w:pPr>
            <w:r>
              <w:rPr>
                <w:rFonts w:ascii="Arial" w:cs="Arial" w:eastAsia="Arial" w:hAnsi="Arial"/>
                <w:sz w:val="20"/>
                <w:szCs w:val="20"/>
                <w:color w:val="auto"/>
              </w:rPr>
              <w:t>33</w:t>
            </w:r>
          </w:p>
        </w:tc>
        <w:tc>
          <w:tcPr>
            <w:tcW w:w="1600" w:type="dxa"/>
            <w:vAlign w:val="bottom"/>
          </w:tcPr>
          <w:p>
            <w:pPr>
              <w:jc w:val="right"/>
              <w:ind w:right="87"/>
              <w:spacing w:after="0" w:line="210" w:lineRule="exact"/>
              <w:rPr>
                <w:sz w:val="20"/>
                <w:szCs w:val="20"/>
                <w:color w:val="auto"/>
              </w:rPr>
            </w:pPr>
            <w:r>
              <w:rPr>
                <w:rFonts w:ascii="Arial" w:cs="Arial" w:eastAsia="Arial" w:hAnsi="Arial"/>
                <w:sz w:val="20"/>
                <w:szCs w:val="20"/>
                <w:color w:val="auto"/>
              </w:rPr>
              <w:t>1,594,801</w:t>
            </w:r>
          </w:p>
        </w:tc>
        <w:tc>
          <w:tcPr>
            <w:tcW w:w="320" w:type="dxa"/>
            <w:vAlign w:val="bottom"/>
          </w:tcPr>
          <w:p>
            <w:pPr>
              <w:spacing w:after="0"/>
              <w:rPr>
                <w:sz w:val="18"/>
                <w:szCs w:val="18"/>
                <w:color w:val="auto"/>
              </w:rPr>
            </w:pPr>
          </w:p>
        </w:tc>
        <w:tc>
          <w:tcPr>
            <w:tcW w:w="1040" w:type="dxa"/>
            <w:vAlign w:val="bottom"/>
          </w:tcPr>
          <w:p>
            <w:pPr>
              <w:jc w:val="right"/>
              <w:spacing w:after="0" w:line="210" w:lineRule="exact"/>
              <w:rPr>
                <w:sz w:val="20"/>
                <w:szCs w:val="20"/>
                <w:color w:val="auto"/>
              </w:rPr>
            </w:pPr>
            <w:r>
              <w:rPr>
                <w:rFonts w:ascii="Arial" w:cs="Arial" w:eastAsia="Arial" w:hAnsi="Arial"/>
                <w:sz w:val="20"/>
                <w:szCs w:val="20"/>
                <w:color w:val="auto"/>
              </w:rPr>
              <w:t>0</w:t>
            </w:r>
          </w:p>
        </w:tc>
        <w:tc>
          <w:tcPr>
            <w:tcW w:w="220" w:type="dxa"/>
            <w:vAlign w:val="bottom"/>
          </w:tcPr>
          <w:p>
            <w:pPr>
              <w:spacing w:after="0"/>
              <w:rPr>
                <w:sz w:val="18"/>
                <w:szCs w:val="18"/>
                <w:color w:val="auto"/>
              </w:rPr>
            </w:pPr>
          </w:p>
        </w:tc>
      </w:tr>
      <w:tr>
        <w:trPr>
          <w:trHeight w:val="250"/>
        </w:trPr>
        <w:tc>
          <w:tcPr>
            <w:tcW w:w="2340" w:type="dxa"/>
            <w:vAlign w:val="bottom"/>
          </w:tcPr>
          <w:p>
            <w:pPr>
              <w:spacing w:after="0"/>
              <w:rPr>
                <w:sz w:val="21"/>
                <w:szCs w:val="21"/>
                <w:color w:val="auto"/>
              </w:rPr>
            </w:pPr>
          </w:p>
        </w:tc>
        <w:tc>
          <w:tcPr>
            <w:tcW w:w="3380" w:type="dxa"/>
            <w:vAlign w:val="bottom"/>
          </w:tcPr>
          <w:p>
            <w:pPr>
              <w:ind w:left="240"/>
              <w:spacing w:after="0"/>
              <w:rPr>
                <w:sz w:val="20"/>
                <w:szCs w:val="20"/>
                <w:color w:val="auto"/>
              </w:rPr>
            </w:pPr>
            <w:r>
              <w:rPr>
                <w:rFonts w:ascii="Arial" w:cs="Arial" w:eastAsia="Arial" w:hAnsi="Arial"/>
                <w:sz w:val="20"/>
                <w:szCs w:val="20"/>
                <w:color w:val="auto"/>
                <w:w w:val="98"/>
              </w:rPr>
              <w:t>AbbVie Supplemental Pension Plan</w:t>
            </w:r>
          </w:p>
        </w:tc>
        <w:tc>
          <w:tcPr>
            <w:tcW w:w="1180" w:type="dxa"/>
            <w:vAlign w:val="bottom"/>
          </w:tcPr>
          <w:p>
            <w:pPr>
              <w:jc w:val="right"/>
              <w:ind w:right="66"/>
              <w:spacing w:after="0"/>
              <w:rPr>
                <w:sz w:val="20"/>
                <w:szCs w:val="20"/>
                <w:color w:val="auto"/>
              </w:rPr>
            </w:pPr>
            <w:r>
              <w:rPr>
                <w:rFonts w:ascii="Arial" w:cs="Arial" w:eastAsia="Arial" w:hAnsi="Arial"/>
                <w:sz w:val="20"/>
                <w:szCs w:val="20"/>
                <w:color w:val="auto"/>
              </w:rPr>
              <w:t>33</w:t>
            </w:r>
          </w:p>
        </w:tc>
        <w:tc>
          <w:tcPr>
            <w:tcW w:w="1600" w:type="dxa"/>
            <w:vAlign w:val="bottom"/>
          </w:tcPr>
          <w:p>
            <w:pPr>
              <w:jc w:val="right"/>
              <w:ind w:right="87"/>
              <w:spacing w:after="0"/>
              <w:rPr>
                <w:sz w:val="20"/>
                <w:szCs w:val="20"/>
                <w:color w:val="auto"/>
              </w:rPr>
            </w:pPr>
            <w:r>
              <w:rPr>
                <w:rFonts w:ascii="Arial" w:cs="Arial" w:eastAsia="Arial" w:hAnsi="Arial"/>
                <w:sz w:val="20"/>
                <w:szCs w:val="20"/>
                <w:color w:val="auto"/>
              </w:rPr>
              <w:t>13,548,201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792,146</w:t>
            </w:r>
          </w:p>
        </w:tc>
        <w:tc>
          <w:tcPr>
            <w:tcW w:w="220" w:type="dxa"/>
            <w:vAlign w:val="bottom"/>
          </w:tcPr>
          <w:p>
            <w:pPr>
              <w:jc w:val="right"/>
              <w:ind w:right="20"/>
              <w:spacing w:after="0"/>
              <w:rPr>
                <w:sz w:val="20"/>
                <w:szCs w:val="20"/>
                <w:color w:val="auto"/>
              </w:rPr>
            </w:pPr>
            <w:r>
              <w:rPr>
                <w:rFonts w:ascii="Arial" w:cs="Arial" w:eastAsia="Arial" w:hAnsi="Arial"/>
                <w:sz w:val="12"/>
                <w:szCs w:val="12"/>
                <w:color w:val="auto"/>
                <w:w w:val="81"/>
              </w:rPr>
              <w:t>(2)</w:t>
            </w:r>
          </w:p>
        </w:tc>
      </w:tr>
      <w:tr>
        <w:trPr>
          <w:trHeight w:val="229"/>
        </w:trPr>
        <w:tc>
          <w:tcPr>
            <w:tcW w:w="2340" w:type="dxa"/>
            <w:vAlign w:val="bottom"/>
            <w:shd w:val="clear" w:color="auto" w:fill="D9D9D9"/>
          </w:tcPr>
          <w:p>
            <w:pPr>
              <w:spacing w:after="0"/>
              <w:rPr>
                <w:sz w:val="20"/>
                <w:szCs w:val="20"/>
                <w:color w:val="auto"/>
              </w:rPr>
            </w:pPr>
            <w:r>
              <w:rPr>
                <w:rFonts w:ascii="Arial" w:cs="Arial" w:eastAsia="Arial" w:hAnsi="Arial"/>
                <w:sz w:val="20"/>
                <w:szCs w:val="20"/>
                <w:color w:val="auto"/>
              </w:rPr>
              <w:t>R. Thakkar</w:t>
            </w:r>
          </w:p>
        </w:tc>
        <w:tc>
          <w:tcPr>
            <w:tcW w:w="3380" w:type="dxa"/>
            <w:vAlign w:val="bottom"/>
            <w:shd w:val="clear" w:color="auto" w:fill="D9D9D9"/>
          </w:tcPr>
          <w:p>
            <w:pPr>
              <w:ind w:left="240"/>
              <w:spacing w:after="0"/>
              <w:rPr>
                <w:sz w:val="20"/>
                <w:szCs w:val="20"/>
                <w:color w:val="auto"/>
              </w:rPr>
            </w:pPr>
            <w:r>
              <w:rPr>
                <w:rFonts w:ascii="Arial" w:cs="Arial" w:eastAsia="Arial" w:hAnsi="Arial"/>
                <w:sz w:val="20"/>
                <w:szCs w:val="20"/>
                <w:color w:val="auto"/>
              </w:rPr>
              <w:t>AbbVie Pension Plan</w:t>
            </w:r>
          </w:p>
        </w:tc>
        <w:tc>
          <w:tcPr>
            <w:tcW w:w="1180" w:type="dxa"/>
            <w:vAlign w:val="bottom"/>
            <w:shd w:val="clear" w:color="auto" w:fill="D9D9D9"/>
          </w:tcPr>
          <w:p>
            <w:pPr>
              <w:jc w:val="right"/>
              <w:ind w:right="66"/>
              <w:spacing w:after="0"/>
              <w:rPr>
                <w:sz w:val="20"/>
                <w:szCs w:val="20"/>
                <w:color w:val="auto"/>
              </w:rPr>
            </w:pPr>
            <w:r>
              <w:rPr>
                <w:rFonts w:ascii="Arial" w:cs="Arial" w:eastAsia="Arial" w:hAnsi="Arial"/>
                <w:sz w:val="20"/>
                <w:szCs w:val="20"/>
                <w:color w:val="auto"/>
              </w:rPr>
              <w:t>22</w:t>
            </w:r>
          </w:p>
        </w:tc>
        <w:tc>
          <w:tcPr>
            <w:tcW w:w="1600" w:type="dxa"/>
            <w:vAlign w:val="bottom"/>
            <w:shd w:val="clear" w:color="auto" w:fill="D9D9D9"/>
          </w:tcPr>
          <w:p>
            <w:pPr>
              <w:jc w:val="right"/>
              <w:ind w:right="87"/>
              <w:spacing w:after="0"/>
              <w:rPr>
                <w:sz w:val="20"/>
                <w:szCs w:val="20"/>
                <w:color w:val="auto"/>
              </w:rPr>
            </w:pPr>
            <w:r>
              <w:rPr>
                <w:rFonts w:ascii="Arial" w:cs="Arial" w:eastAsia="Arial" w:hAnsi="Arial"/>
                <w:sz w:val="20"/>
                <w:szCs w:val="20"/>
                <w:color w:val="auto"/>
              </w:rPr>
              <w:t>497,168</w:t>
            </w:r>
          </w:p>
        </w:tc>
        <w:tc>
          <w:tcPr>
            <w:tcW w:w="320" w:type="dxa"/>
            <w:vAlign w:val="bottom"/>
            <w:shd w:val="clear" w:color="auto" w:fill="D9D9D9"/>
          </w:tcPr>
          <w:p>
            <w:pPr>
              <w:spacing w:after="0"/>
              <w:rPr>
                <w:sz w:val="19"/>
                <w:szCs w:val="19"/>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0</w:t>
            </w:r>
          </w:p>
        </w:tc>
        <w:tc>
          <w:tcPr>
            <w:tcW w:w="220" w:type="dxa"/>
            <w:vAlign w:val="bottom"/>
            <w:shd w:val="clear" w:color="auto" w:fill="D9D9D9"/>
          </w:tcPr>
          <w:p>
            <w:pPr>
              <w:spacing w:after="0"/>
              <w:rPr>
                <w:sz w:val="19"/>
                <w:szCs w:val="19"/>
                <w:color w:val="auto"/>
              </w:rPr>
            </w:pPr>
          </w:p>
        </w:tc>
      </w:tr>
      <w:tr>
        <w:trPr>
          <w:trHeight w:val="230"/>
        </w:trPr>
        <w:tc>
          <w:tcPr>
            <w:tcW w:w="2340" w:type="dxa"/>
            <w:vAlign w:val="bottom"/>
            <w:shd w:val="clear" w:color="auto" w:fill="D9D9D9"/>
          </w:tcPr>
          <w:p>
            <w:pPr>
              <w:spacing w:after="0"/>
              <w:rPr>
                <w:sz w:val="20"/>
                <w:szCs w:val="20"/>
                <w:color w:val="auto"/>
              </w:rPr>
            </w:pPr>
          </w:p>
        </w:tc>
        <w:tc>
          <w:tcPr>
            <w:tcW w:w="3380" w:type="dxa"/>
            <w:vAlign w:val="bottom"/>
            <w:shd w:val="clear" w:color="auto" w:fill="D9D9D9"/>
          </w:tcPr>
          <w:p>
            <w:pPr>
              <w:ind w:left="240"/>
              <w:spacing w:after="0"/>
              <w:rPr>
                <w:sz w:val="20"/>
                <w:szCs w:val="20"/>
                <w:color w:val="auto"/>
              </w:rPr>
            </w:pPr>
            <w:r>
              <w:rPr>
                <w:rFonts w:ascii="Arial" w:cs="Arial" w:eastAsia="Arial" w:hAnsi="Arial"/>
                <w:sz w:val="20"/>
                <w:szCs w:val="20"/>
                <w:color w:val="auto"/>
                <w:w w:val="98"/>
              </w:rPr>
              <w:t>AbbVie Supplemental Pension Plan</w:t>
            </w:r>
          </w:p>
        </w:tc>
        <w:tc>
          <w:tcPr>
            <w:tcW w:w="1180" w:type="dxa"/>
            <w:vAlign w:val="bottom"/>
            <w:shd w:val="clear" w:color="auto" w:fill="D9D9D9"/>
          </w:tcPr>
          <w:p>
            <w:pPr>
              <w:jc w:val="right"/>
              <w:ind w:right="66"/>
              <w:spacing w:after="0"/>
              <w:rPr>
                <w:sz w:val="20"/>
                <w:szCs w:val="20"/>
                <w:color w:val="auto"/>
              </w:rPr>
            </w:pPr>
            <w:r>
              <w:rPr>
                <w:rFonts w:ascii="Arial" w:cs="Arial" w:eastAsia="Arial" w:hAnsi="Arial"/>
                <w:sz w:val="20"/>
                <w:szCs w:val="20"/>
                <w:color w:val="auto"/>
              </w:rPr>
              <w:t>22</w:t>
            </w:r>
          </w:p>
        </w:tc>
        <w:tc>
          <w:tcPr>
            <w:tcW w:w="1600" w:type="dxa"/>
            <w:vAlign w:val="bottom"/>
            <w:shd w:val="clear" w:color="auto" w:fill="D9D9D9"/>
          </w:tcPr>
          <w:p>
            <w:pPr>
              <w:jc w:val="right"/>
              <w:ind w:right="87"/>
              <w:spacing w:after="0"/>
              <w:rPr>
                <w:sz w:val="20"/>
                <w:szCs w:val="20"/>
                <w:color w:val="auto"/>
              </w:rPr>
            </w:pPr>
            <w:r>
              <w:rPr>
                <w:rFonts w:ascii="Arial" w:cs="Arial" w:eastAsia="Arial" w:hAnsi="Arial"/>
                <w:sz w:val="20"/>
                <w:szCs w:val="20"/>
                <w:color w:val="auto"/>
              </w:rPr>
              <w:t>4,356,453</w:t>
            </w:r>
          </w:p>
        </w:tc>
        <w:tc>
          <w:tcPr>
            <w:tcW w:w="320" w:type="dxa"/>
            <w:vAlign w:val="bottom"/>
            <w:shd w:val="clear" w:color="auto" w:fill="D9D9D9"/>
          </w:tcPr>
          <w:p>
            <w:pPr>
              <w:spacing w:after="0"/>
              <w:rPr>
                <w:sz w:val="20"/>
                <w:szCs w:val="20"/>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0</w:t>
            </w:r>
          </w:p>
        </w:tc>
        <w:tc>
          <w:tcPr>
            <w:tcW w:w="220" w:type="dxa"/>
            <w:vAlign w:val="bottom"/>
            <w:shd w:val="clear" w:color="auto" w:fill="D9D9D9"/>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106045</wp:posOffset>
                </wp:positionV>
                <wp:extent cx="1599565" cy="0"/>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35pt" to="125.9pt,8.35pt" o:allowincell="f" strokecolor="#000000" strokeweight="1.0199pt"/>
            </w:pict>
          </mc:Fallback>
        </mc:AlternateContent>
      </w:r>
    </w:p>
    <w:p>
      <w:pPr>
        <w:spacing w:after="0" w:line="190" w:lineRule="exact"/>
        <w:rPr>
          <w:sz w:val="20"/>
          <w:szCs w:val="20"/>
          <w:color w:val="auto"/>
        </w:rPr>
      </w:pPr>
    </w:p>
    <w:p>
      <w:pPr>
        <w:ind w:left="360" w:right="20" w:hanging="360"/>
        <w:spacing w:after="0" w:line="245" w:lineRule="auto"/>
        <w:tabs>
          <w:tab w:leader="none" w:pos="36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AbbVie calculated these present values using: (i) a discount rate of 5.85% for the Pension Plan and a discount rate of 5.77% for the Supplemental Pension Plan, the same discount rates it uses for Financial Accounting Standards Board (FASB) Accounting Standards Codification (ASC) Topic 715 calculations for financial reporting purposes; and (ii) each plan’s unreduced retirement age, which is age 62 under the AbbVie Pension Plan and age 60 under the AbbVie Supplemental Pension Plan for those participants who are eligible for early retirement benefits and age 65 under both plans for other participants. The present values shown in the table reflect postretirement mortality, based on the FASB ASC Topic 715 assumption (the Pri-2012 Healthy Annuitant table with white collar adjustment projected fully generationally with MP2021 mortality improvement scale), but do not include a factor for preretirement termination, mortality, or disability.</w:t>
      </w:r>
    </w:p>
    <w:p>
      <w:pPr>
        <w:spacing w:after="0" w:line="197" w:lineRule="exact"/>
        <w:rPr>
          <w:rFonts w:ascii="Arial" w:cs="Arial" w:eastAsia="Arial" w:hAnsi="Arial"/>
          <w:sz w:val="20"/>
          <w:szCs w:val="20"/>
          <w:color w:val="auto"/>
        </w:rPr>
      </w:pPr>
    </w:p>
    <w:p>
      <w:pPr>
        <w:ind w:left="360" w:right="80" w:hanging="360"/>
        <w:spacing w:after="0" w:line="248" w:lineRule="auto"/>
        <w:tabs>
          <w:tab w:leader="none" w:pos="36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During 2025, the amounts shown, less applicable tax withholdings, were distributed and deposited into the individual grantor trusts established by the eligible NEOs and included in the NEOs’ income, as applicable. Consistent with the distribution requirements of Internal Revenue Code Section 409A and its regulations, vested Supplemental Pension Plan benefits, to the extent not previously funded, are distributed to the eligible participants’ individual grantor trusts and included in their income. Amounts held in an eligible NEO’s individual trust are expected to offset AbbVie’s obligations to the NEO under the plan. Grantor trusts are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60  </w:t>
      </w:r>
      <w:r>
        <w:rPr>
          <w:sz w:val="1"/>
          <w:szCs w:val="1"/>
          <w:color w:val="auto"/>
        </w:rPr>
        <w:drawing>
          <wp:inline distT="0" distB="0" distL="0" distR="0">
            <wp:extent cx="991870" cy="200660"/>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244">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89" w:name="page190"/>
    <w:bookmarkEnd w:id="189"/>
    <w:p>
      <w:pPr>
        <w:ind w:left="7280"/>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left="380" w:right="240"/>
        <w:spacing w:after="0" w:line="283" w:lineRule="auto"/>
        <w:rPr>
          <w:sz w:val="20"/>
          <w:szCs w:val="20"/>
          <w:color w:val="auto"/>
        </w:rPr>
      </w:pPr>
      <w:r>
        <w:rPr>
          <w:rFonts w:ascii="Arial" w:cs="Arial" w:eastAsia="Arial" w:hAnsi="Arial"/>
          <w:sz w:val="20"/>
          <w:szCs w:val="20"/>
          <w:color w:val="auto"/>
        </w:rPr>
        <w:t>described in greater detail in the section of this proxy statement captioned “Compensation Plan Elements— Benefits—Retirement Benefits.”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Non-Qualified Deferred Compensation</w:t>
      </w:r>
    </w:p>
    <w:p>
      <w:pPr>
        <w:spacing w:after="0" w:line="205" w:lineRule="exact"/>
        <w:rPr>
          <w:sz w:val="20"/>
          <w:szCs w:val="20"/>
          <w:color w:val="auto"/>
        </w:rPr>
      </w:pPr>
    </w:p>
    <w:p>
      <w:pPr>
        <w:ind w:left="20" w:right="20"/>
        <w:spacing w:after="0" w:line="254" w:lineRule="auto"/>
        <w:rPr>
          <w:sz w:val="20"/>
          <w:szCs w:val="20"/>
          <w:color w:val="auto"/>
        </w:rPr>
      </w:pPr>
      <w:r>
        <w:rPr>
          <w:rFonts w:ascii="Arial" w:cs="Arial" w:eastAsia="Arial" w:hAnsi="Arial"/>
          <w:sz w:val="20"/>
          <w:szCs w:val="20"/>
          <w:color w:val="auto"/>
        </w:rPr>
        <w:t>The following table summarizes Mr. Stewart’s and Dr. Saleki-Gerhardt’s non-qualified deferred compensation under the AbbVie Deferred Compensation Plan. No additional contributions have been made to their account under the plan since such time as they became an officer and ceased to be eligible to contribute to the plan. None of the other NEOs has any non-qualified deferred compensation under the plan.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20" w:type="dxa"/>
            <w:vAlign w:val="bottom"/>
          </w:tcPr>
          <w:p>
            <w:pPr>
              <w:jc w:val="right"/>
              <w:ind w:right="33"/>
              <w:spacing w:after="0"/>
              <w:rPr>
                <w:sz w:val="20"/>
                <w:szCs w:val="20"/>
                <w:color w:val="auto"/>
              </w:rPr>
            </w:pPr>
            <w:r>
              <w:rPr>
                <w:rFonts w:ascii="Arial" w:cs="Arial" w:eastAsia="Arial" w:hAnsi="Arial"/>
                <w:sz w:val="16"/>
                <w:szCs w:val="16"/>
                <w:b w:val="1"/>
                <w:bCs w:val="1"/>
                <w:color w:val="000039"/>
              </w:rPr>
              <w:t>Executive</w:t>
            </w:r>
          </w:p>
        </w:tc>
        <w:tc>
          <w:tcPr>
            <w:tcW w:w="1260" w:type="dxa"/>
            <w:vAlign w:val="bottom"/>
          </w:tcPr>
          <w:p>
            <w:pPr>
              <w:jc w:val="right"/>
              <w:ind w:right="33"/>
              <w:spacing w:after="0"/>
              <w:rPr>
                <w:sz w:val="20"/>
                <w:szCs w:val="20"/>
                <w:color w:val="auto"/>
              </w:rPr>
            </w:pPr>
            <w:r>
              <w:rPr>
                <w:rFonts w:ascii="Arial" w:cs="Arial" w:eastAsia="Arial" w:hAnsi="Arial"/>
                <w:sz w:val="16"/>
                <w:szCs w:val="16"/>
                <w:b w:val="1"/>
                <w:bCs w:val="1"/>
                <w:color w:val="000039"/>
              </w:rPr>
              <w:t>Registrant</w:t>
            </w:r>
          </w:p>
        </w:tc>
        <w:tc>
          <w:tcPr>
            <w:tcW w:w="1020" w:type="dxa"/>
            <w:vAlign w:val="bottom"/>
          </w:tcPr>
          <w:p>
            <w:pPr>
              <w:jc w:val="right"/>
              <w:ind w:right="33"/>
              <w:spacing w:after="0"/>
              <w:rPr>
                <w:sz w:val="20"/>
                <w:szCs w:val="20"/>
                <w:color w:val="auto"/>
              </w:rPr>
            </w:pPr>
            <w:r>
              <w:rPr>
                <w:rFonts w:ascii="Arial" w:cs="Arial" w:eastAsia="Arial" w:hAnsi="Arial"/>
                <w:sz w:val="16"/>
                <w:szCs w:val="16"/>
                <w:b w:val="1"/>
                <w:bCs w:val="1"/>
                <w:color w:val="000039"/>
              </w:rPr>
              <w:t>Aggregate</w:t>
            </w:r>
          </w:p>
        </w:tc>
        <w:tc>
          <w:tcPr>
            <w:tcW w:w="1180" w:type="dxa"/>
            <w:vAlign w:val="bottom"/>
          </w:tcPr>
          <w:p>
            <w:pPr>
              <w:jc w:val="right"/>
              <w:ind w:right="13"/>
              <w:spacing w:after="0"/>
              <w:rPr>
                <w:sz w:val="20"/>
                <w:szCs w:val="20"/>
                <w:color w:val="auto"/>
              </w:rPr>
            </w:pPr>
            <w:r>
              <w:rPr>
                <w:rFonts w:ascii="Arial" w:cs="Arial" w:eastAsia="Arial" w:hAnsi="Arial"/>
                <w:sz w:val="16"/>
                <w:szCs w:val="16"/>
                <w:b w:val="1"/>
                <w:bCs w:val="1"/>
                <w:color w:val="000039"/>
              </w:rPr>
              <w:t>Aggregate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000039"/>
              </w:rPr>
              <w:t>Aggregate</w:t>
            </w:r>
          </w:p>
        </w:tc>
      </w:tr>
      <w:tr>
        <w:trPr>
          <w:trHeight w:val="185"/>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20" w:type="dxa"/>
            <w:vAlign w:val="bottom"/>
          </w:tcPr>
          <w:p>
            <w:pPr>
              <w:jc w:val="right"/>
              <w:ind w:right="33"/>
              <w:spacing w:after="0"/>
              <w:rPr>
                <w:sz w:val="20"/>
                <w:szCs w:val="20"/>
                <w:color w:val="auto"/>
              </w:rPr>
            </w:pPr>
            <w:r>
              <w:rPr>
                <w:rFonts w:ascii="Arial" w:cs="Arial" w:eastAsia="Arial" w:hAnsi="Arial"/>
                <w:sz w:val="16"/>
                <w:szCs w:val="16"/>
                <w:b w:val="1"/>
                <w:bCs w:val="1"/>
                <w:color w:val="000039"/>
              </w:rPr>
              <w:t>contributions</w:t>
            </w:r>
          </w:p>
        </w:tc>
        <w:tc>
          <w:tcPr>
            <w:tcW w:w="1260" w:type="dxa"/>
            <w:vAlign w:val="bottom"/>
          </w:tcPr>
          <w:p>
            <w:pPr>
              <w:jc w:val="right"/>
              <w:ind w:right="33"/>
              <w:spacing w:after="0"/>
              <w:rPr>
                <w:sz w:val="20"/>
                <w:szCs w:val="20"/>
                <w:color w:val="auto"/>
              </w:rPr>
            </w:pPr>
            <w:r>
              <w:rPr>
                <w:rFonts w:ascii="Arial" w:cs="Arial" w:eastAsia="Arial" w:hAnsi="Arial"/>
                <w:sz w:val="16"/>
                <w:szCs w:val="16"/>
                <w:b w:val="1"/>
                <w:bCs w:val="1"/>
                <w:color w:val="000039"/>
              </w:rPr>
              <w:t>contributions</w:t>
            </w:r>
          </w:p>
        </w:tc>
        <w:tc>
          <w:tcPr>
            <w:tcW w:w="1020" w:type="dxa"/>
            <w:vAlign w:val="bottom"/>
          </w:tcPr>
          <w:p>
            <w:pPr>
              <w:jc w:val="right"/>
              <w:ind w:right="33"/>
              <w:spacing w:after="0"/>
              <w:rPr>
                <w:sz w:val="20"/>
                <w:szCs w:val="20"/>
                <w:color w:val="auto"/>
              </w:rPr>
            </w:pPr>
            <w:r>
              <w:rPr>
                <w:rFonts w:ascii="Arial" w:cs="Arial" w:eastAsia="Arial" w:hAnsi="Arial"/>
                <w:sz w:val="16"/>
                <w:szCs w:val="16"/>
                <w:b w:val="1"/>
                <w:bCs w:val="1"/>
                <w:color w:val="000039"/>
              </w:rPr>
              <w:t>earnings</w:t>
            </w:r>
          </w:p>
        </w:tc>
        <w:tc>
          <w:tcPr>
            <w:tcW w:w="1180" w:type="dxa"/>
            <w:vAlign w:val="bottom"/>
          </w:tcPr>
          <w:p>
            <w:pPr>
              <w:jc w:val="right"/>
              <w:ind w:right="13"/>
              <w:spacing w:after="0"/>
              <w:rPr>
                <w:sz w:val="20"/>
                <w:szCs w:val="20"/>
                <w:color w:val="auto"/>
              </w:rPr>
            </w:pPr>
            <w:r>
              <w:rPr>
                <w:rFonts w:ascii="Arial" w:cs="Arial" w:eastAsia="Arial" w:hAnsi="Arial"/>
                <w:sz w:val="16"/>
                <w:szCs w:val="16"/>
                <w:b w:val="1"/>
                <w:bCs w:val="1"/>
                <w:color w:val="000039"/>
              </w:rPr>
              <w:t>withdrawals/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000039"/>
              </w:rPr>
              <w:t>balance at</w:t>
            </w:r>
          </w:p>
        </w:tc>
      </w:tr>
      <w:tr>
        <w:trPr>
          <w:trHeight w:val="185"/>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20" w:type="dxa"/>
            <w:vAlign w:val="bottom"/>
          </w:tcPr>
          <w:p>
            <w:pPr>
              <w:jc w:val="right"/>
              <w:ind w:right="33"/>
              <w:spacing w:after="0"/>
              <w:rPr>
                <w:sz w:val="20"/>
                <w:szCs w:val="20"/>
                <w:color w:val="auto"/>
              </w:rPr>
            </w:pPr>
            <w:r>
              <w:rPr>
                <w:rFonts w:ascii="Arial" w:cs="Arial" w:eastAsia="Arial" w:hAnsi="Arial"/>
                <w:sz w:val="16"/>
                <w:szCs w:val="16"/>
                <w:b w:val="1"/>
                <w:bCs w:val="1"/>
                <w:color w:val="000039"/>
              </w:rPr>
              <w:t>in last FY</w:t>
            </w:r>
          </w:p>
        </w:tc>
        <w:tc>
          <w:tcPr>
            <w:tcW w:w="1260" w:type="dxa"/>
            <w:vAlign w:val="bottom"/>
          </w:tcPr>
          <w:p>
            <w:pPr>
              <w:jc w:val="right"/>
              <w:ind w:right="33"/>
              <w:spacing w:after="0"/>
              <w:rPr>
                <w:sz w:val="20"/>
                <w:szCs w:val="20"/>
                <w:color w:val="auto"/>
              </w:rPr>
            </w:pPr>
            <w:r>
              <w:rPr>
                <w:rFonts w:ascii="Arial" w:cs="Arial" w:eastAsia="Arial" w:hAnsi="Arial"/>
                <w:sz w:val="16"/>
                <w:szCs w:val="16"/>
                <w:b w:val="1"/>
                <w:bCs w:val="1"/>
                <w:color w:val="000039"/>
              </w:rPr>
              <w:t>in last FY</w:t>
            </w:r>
          </w:p>
        </w:tc>
        <w:tc>
          <w:tcPr>
            <w:tcW w:w="1020" w:type="dxa"/>
            <w:vAlign w:val="bottom"/>
          </w:tcPr>
          <w:p>
            <w:pPr>
              <w:jc w:val="right"/>
              <w:ind w:right="33"/>
              <w:spacing w:after="0"/>
              <w:rPr>
                <w:sz w:val="20"/>
                <w:szCs w:val="20"/>
                <w:color w:val="auto"/>
              </w:rPr>
            </w:pPr>
            <w:r>
              <w:rPr>
                <w:rFonts w:ascii="Arial" w:cs="Arial" w:eastAsia="Arial" w:hAnsi="Arial"/>
                <w:sz w:val="16"/>
                <w:szCs w:val="16"/>
                <w:b w:val="1"/>
                <w:bCs w:val="1"/>
                <w:color w:val="000039"/>
              </w:rPr>
              <w:t>in last FY</w:t>
            </w:r>
          </w:p>
        </w:tc>
        <w:tc>
          <w:tcPr>
            <w:tcW w:w="1180" w:type="dxa"/>
            <w:vAlign w:val="bottom"/>
          </w:tcPr>
          <w:p>
            <w:pPr>
              <w:jc w:val="right"/>
              <w:ind w:right="13"/>
              <w:spacing w:after="0"/>
              <w:rPr>
                <w:sz w:val="20"/>
                <w:szCs w:val="20"/>
                <w:color w:val="auto"/>
              </w:rPr>
            </w:pPr>
            <w:r>
              <w:rPr>
                <w:rFonts w:ascii="Arial" w:cs="Arial" w:eastAsia="Arial" w:hAnsi="Arial"/>
                <w:sz w:val="16"/>
                <w:szCs w:val="16"/>
                <w:b w:val="1"/>
                <w:bCs w:val="1"/>
                <w:color w:val="000039"/>
              </w:rPr>
              <w:t>distributions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000039"/>
              </w:rPr>
              <w:t>last FYE</w:t>
            </w:r>
          </w:p>
        </w:tc>
      </w:tr>
      <w:tr>
        <w:trPr>
          <w:trHeight w:val="204"/>
        </w:trPr>
        <w:tc>
          <w:tcPr>
            <w:tcW w:w="2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000039"/>
              </w:rPr>
              <w:t>Name</w:t>
            </w:r>
          </w:p>
        </w:tc>
        <w:tc>
          <w:tcPr>
            <w:tcW w:w="31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000039"/>
              </w:rPr>
              <w:t>Plan Name(1)(2)</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000039"/>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00003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000039"/>
              </w:rPr>
              <w:t>($)(3)</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00003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0039"/>
              </w:rPr>
              <w:t>($)(4)</w:t>
            </w:r>
          </w:p>
        </w:tc>
      </w:tr>
      <w:tr>
        <w:trPr>
          <w:trHeight w:val="220"/>
        </w:trPr>
        <w:tc>
          <w:tcPr>
            <w:tcW w:w="20" w:type="dxa"/>
            <w:vAlign w:val="bottom"/>
          </w:tcPr>
          <w:p>
            <w:pPr>
              <w:spacing w:after="0"/>
              <w:rPr>
                <w:sz w:val="19"/>
                <w:szCs w:val="19"/>
                <w:color w:val="auto"/>
              </w:rPr>
            </w:pPr>
          </w:p>
        </w:tc>
        <w:tc>
          <w:tcPr>
            <w:tcW w:w="1300" w:type="dxa"/>
            <w:vAlign w:val="bottom"/>
            <w:shd w:val="clear" w:color="auto" w:fill="D9D9D9"/>
          </w:tcPr>
          <w:p>
            <w:pPr>
              <w:spacing w:after="0" w:line="220" w:lineRule="exact"/>
              <w:rPr>
                <w:sz w:val="20"/>
                <w:szCs w:val="20"/>
                <w:color w:val="auto"/>
              </w:rPr>
            </w:pPr>
            <w:r>
              <w:rPr>
                <w:rFonts w:ascii="Arial" w:cs="Arial" w:eastAsia="Arial" w:hAnsi="Arial"/>
                <w:sz w:val="20"/>
                <w:szCs w:val="20"/>
                <w:color w:val="auto"/>
              </w:rPr>
              <w:t>J. Stewart</w:t>
            </w:r>
          </w:p>
        </w:tc>
        <w:tc>
          <w:tcPr>
            <w:tcW w:w="3100" w:type="dxa"/>
            <w:vAlign w:val="bottom"/>
            <w:shd w:val="clear" w:color="auto" w:fill="D9D9D9"/>
          </w:tcPr>
          <w:p>
            <w:pPr>
              <w:ind w:left="320"/>
              <w:spacing w:after="0" w:line="220" w:lineRule="exact"/>
              <w:rPr>
                <w:sz w:val="20"/>
                <w:szCs w:val="20"/>
                <w:color w:val="auto"/>
              </w:rPr>
            </w:pPr>
            <w:r>
              <w:rPr>
                <w:rFonts w:ascii="Arial" w:cs="Arial" w:eastAsia="Arial" w:hAnsi="Arial"/>
                <w:sz w:val="20"/>
                <w:szCs w:val="20"/>
                <w:color w:val="auto"/>
              </w:rPr>
              <w:t>Deferred Compensation Plan</w:t>
            </w:r>
          </w:p>
        </w:tc>
        <w:tc>
          <w:tcPr>
            <w:tcW w:w="1320" w:type="dxa"/>
            <w:vAlign w:val="bottom"/>
            <w:shd w:val="clear" w:color="auto" w:fill="D9D9D9"/>
          </w:tcPr>
          <w:p>
            <w:pPr>
              <w:jc w:val="right"/>
              <w:ind w:right="93"/>
              <w:spacing w:after="0" w:line="220" w:lineRule="exact"/>
              <w:rPr>
                <w:sz w:val="20"/>
                <w:szCs w:val="20"/>
                <w:color w:val="auto"/>
              </w:rPr>
            </w:pPr>
            <w:r>
              <w:rPr>
                <w:rFonts w:ascii="Arial" w:cs="Arial" w:eastAsia="Arial" w:hAnsi="Arial"/>
                <w:sz w:val="20"/>
                <w:szCs w:val="20"/>
                <w:color w:val="auto"/>
              </w:rPr>
              <w:t>0</w:t>
            </w:r>
          </w:p>
        </w:tc>
        <w:tc>
          <w:tcPr>
            <w:tcW w:w="1260" w:type="dxa"/>
            <w:vAlign w:val="bottom"/>
            <w:shd w:val="clear" w:color="auto" w:fill="D9D9D9"/>
          </w:tcPr>
          <w:p>
            <w:pPr>
              <w:jc w:val="right"/>
              <w:ind w:right="93"/>
              <w:spacing w:after="0" w:line="220" w:lineRule="exact"/>
              <w:rPr>
                <w:sz w:val="20"/>
                <w:szCs w:val="20"/>
                <w:color w:val="auto"/>
              </w:rPr>
            </w:pPr>
            <w:r>
              <w:rPr>
                <w:rFonts w:ascii="Arial" w:cs="Arial" w:eastAsia="Arial" w:hAnsi="Arial"/>
                <w:sz w:val="20"/>
                <w:szCs w:val="20"/>
                <w:color w:val="auto"/>
              </w:rPr>
              <w:t>0</w:t>
            </w:r>
          </w:p>
        </w:tc>
        <w:tc>
          <w:tcPr>
            <w:tcW w:w="1020" w:type="dxa"/>
            <w:vAlign w:val="bottom"/>
            <w:shd w:val="clear" w:color="auto" w:fill="D9D9D9"/>
          </w:tcPr>
          <w:p>
            <w:pPr>
              <w:jc w:val="right"/>
              <w:ind w:right="93"/>
              <w:spacing w:after="0" w:line="220" w:lineRule="exact"/>
              <w:rPr>
                <w:sz w:val="20"/>
                <w:szCs w:val="20"/>
                <w:color w:val="auto"/>
              </w:rPr>
            </w:pPr>
            <w:r>
              <w:rPr>
                <w:rFonts w:ascii="Arial" w:cs="Arial" w:eastAsia="Arial" w:hAnsi="Arial"/>
                <w:sz w:val="20"/>
                <w:szCs w:val="20"/>
                <w:color w:val="auto"/>
              </w:rPr>
              <w:t>9,837</w:t>
            </w:r>
          </w:p>
        </w:tc>
        <w:tc>
          <w:tcPr>
            <w:tcW w:w="1180" w:type="dxa"/>
            <w:vAlign w:val="bottom"/>
            <w:shd w:val="clear" w:color="auto" w:fill="D9D9D9"/>
          </w:tcPr>
          <w:p>
            <w:pPr>
              <w:jc w:val="right"/>
              <w:ind w:right="73"/>
              <w:spacing w:after="0" w:line="220" w:lineRule="exact"/>
              <w:rPr>
                <w:sz w:val="20"/>
                <w:szCs w:val="20"/>
                <w:color w:val="auto"/>
              </w:rPr>
            </w:pPr>
            <w:r>
              <w:rPr>
                <w:rFonts w:ascii="Arial" w:cs="Arial" w:eastAsia="Arial" w:hAnsi="Arial"/>
                <w:sz w:val="20"/>
                <w:szCs w:val="20"/>
                <w:color w:val="auto"/>
              </w:rPr>
              <w:t>42,058</w:t>
            </w:r>
          </w:p>
        </w:tc>
        <w:tc>
          <w:tcPr>
            <w:tcW w:w="900" w:type="dxa"/>
            <w:vAlign w:val="bottom"/>
            <w:shd w:val="clear" w:color="auto" w:fill="D9D9D9"/>
          </w:tcPr>
          <w:p>
            <w:pPr>
              <w:jc w:val="right"/>
              <w:spacing w:after="0" w:line="220" w:lineRule="exact"/>
              <w:rPr>
                <w:sz w:val="20"/>
                <w:szCs w:val="20"/>
                <w:color w:val="auto"/>
              </w:rPr>
            </w:pPr>
            <w:r>
              <w:rPr>
                <w:rFonts w:ascii="Arial" w:cs="Arial" w:eastAsia="Arial" w:hAnsi="Arial"/>
                <w:sz w:val="20"/>
                <w:szCs w:val="20"/>
                <w:color w:val="auto"/>
              </w:rPr>
              <w:t>121,226</w:t>
            </w:r>
          </w:p>
        </w:tc>
      </w:tr>
      <w:tr>
        <w:trPr>
          <w:trHeight w:val="210"/>
        </w:trPr>
        <w:tc>
          <w:tcPr>
            <w:tcW w:w="20" w:type="dxa"/>
            <w:vAlign w:val="bottom"/>
          </w:tcPr>
          <w:p>
            <w:pPr>
              <w:spacing w:after="0"/>
              <w:rPr>
                <w:sz w:val="18"/>
                <w:szCs w:val="18"/>
                <w:color w:val="auto"/>
              </w:rPr>
            </w:pPr>
          </w:p>
        </w:tc>
        <w:tc>
          <w:tcPr>
            <w:tcW w:w="1300" w:type="dxa"/>
            <w:vAlign w:val="bottom"/>
          </w:tcPr>
          <w:p>
            <w:pPr>
              <w:spacing w:after="0" w:line="210" w:lineRule="exact"/>
              <w:rPr>
                <w:sz w:val="20"/>
                <w:szCs w:val="20"/>
                <w:color w:val="auto"/>
              </w:rPr>
            </w:pPr>
            <w:r>
              <w:rPr>
                <w:rFonts w:ascii="Arial" w:cs="Arial" w:eastAsia="Arial" w:hAnsi="Arial"/>
                <w:sz w:val="20"/>
                <w:szCs w:val="20"/>
                <w:color w:val="auto"/>
              </w:rPr>
              <w:t>A. Saleki-</w:t>
            </w:r>
          </w:p>
        </w:tc>
        <w:tc>
          <w:tcPr>
            <w:tcW w:w="3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9"/>
        </w:trPr>
        <w:tc>
          <w:tcPr>
            <w:tcW w:w="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Gerhardt</w:t>
            </w:r>
          </w:p>
        </w:tc>
        <w:tc>
          <w:tcPr>
            <w:tcW w:w="310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Deferred Compensation Plan</w:t>
            </w: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20"/>
                <w:szCs w:val="20"/>
                <w:color w:val="auto"/>
              </w:rPr>
              <w:t>0</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20"/>
                <w:szCs w:val="20"/>
                <w:color w:val="auto"/>
              </w:rPr>
              <w:t>0</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20"/>
                <w:szCs w:val="20"/>
                <w:color w:val="auto"/>
              </w:rPr>
              <w:t>125,985</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20"/>
                <w:szCs w:val="20"/>
                <w:color w:val="auto"/>
              </w:rPr>
              <w:t>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806,203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106680</wp:posOffset>
                </wp:positionV>
                <wp:extent cx="1600200" cy="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8.4pt" to="126.9pt,8.4pt" o:allowincell="f" strokecolor="#000000" strokeweight="1.02pt"/>
            </w:pict>
          </mc:Fallback>
        </mc:AlternateContent>
      </w:r>
    </w:p>
    <w:p>
      <w:pPr>
        <w:spacing w:after="0" w:line="191" w:lineRule="exact"/>
        <w:rPr>
          <w:sz w:val="20"/>
          <w:szCs w:val="20"/>
          <w:color w:val="auto"/>
        </w:rPr>
      </w:pPr>
    </w:p>
    <w:p>
      <w:pPr>
        <w:ind w:left="460" w:right="280" w:hanging="440"/>
        <w:spacing w:after="0" w:line="283" w:lineRule="auto"/>
        <w:tabs>
          <w:tab w:leader="none" w:pos="4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Mr. Stewart and Dr. Saleki-Gerhardt ceased contributions to the Deferred Compensation Plan in 2009 and 2008, respectively.</w:t>
      </w:r>
    </w:p>
    <w:p>
      <w:pPr>
        <w:spacing w:after="0" w:line="157" w:lineRule="exact"/>
        <w:rPr>
          <w:rFonts w:ascii="Arial" w:cs="Arial" w:eastAsia="Arial" w:hAnsi="Arial"/>
          <w:sz w:val="20"/>
          <w:szCs w:val="20"/>
          <w:color w:val="auto"/>
        </w:rPr>
      </w:pPr>
    </w:p>
    <w:p>
      <w:pPr>
        <w:ind w:left="460" w:right="200" w:hanging="440"/>
        <w:spacing w:after="0" w:line="247" w:lineRule="auto"/>
        <w:tabs>
          <w:tab w:leader="none" w:pos="4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plan permits participants to defer up to 75% of their base salary and up to 75% of their annual cash incentives and credits a participant’s account with an amount equal to the employer matching contributions that otherwise would have been made for the participant under the AbbVie Savings Plan. Participants may direct the investment of their deferral accounts into one or more of several funds chosen by the administrator, and the deferral account is credited with investment returns based on the performance of the fund(s) selected. During 2025, the weighted average rate of return credited to the account was 8.5% for Mr. Stewart and 18.5% for Dr. Saleki-Gerhardt.</w:t>
      </w:r>
    </w:p>
    <w:p>
      <w:pPr>
        <w:spacing w:after="0" w:line="192" w:lineRule="exact"/>
        <w:rPr>
          <w:rFonts w:ascii="Arial" w:cs="Arial" w:eastAsia="Arial" w:hAnsi="Arial"/>
          <w:sz w:val="20"/>
          <w:szCs w:val="20"/>
          <w:color w:val="auto"/>
        </w:rPr>
      </w:pPr>
    </w:p>
    <w:p>
      <w:pPr>
        <w:ind w:left="460" w:right="140"/>
        <w:spacing w:after="0" w:line="248" w:lineRule="auto"/>
        <w:rPr>
          <w:rFonts w:ascii="Arial" w:cs="Arial" w:eastAsia="Arial" w:hAnsi="Arial"/>
          <w:sz w:val="20"/>
          <w:szCs w:val="20"/>
          <w:color w:val="auto"/>
        </w:rPr>
      </w:pPr>
      <w:r>
        <w:rPr>
          <w:rFonts w:ascii="Arial" w:cs="Arial" w:eastAsia="Arial" w:hAnsi="Arial"/>
          <w:sz w:val="20"/>
          <w:szCs w:val="20"/>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p>
      <w:pPr>
        <w:spacing w:after="0" w:line="194" w:lineRule="exact"/>
        <w:rPr>
          <w:rFonts w:ascii="Arial" w:cs="Arial" w:eastAsia="Arial" w:hAnsi="Arial"/>
          <w:sz w:val="20"/>
          <w:szCs w:val="20"/>
          <w:color w:val="auto"/>
        </w:rPr>
      </w:pPr>
    </w:p>
    <w:p>
      <w:pPr>
        <w:ind w:left="460" w:right="440" w:hanging="440"/>
        <w:spacing w:after="0" w:line="283" w:lineRule="auto"/>
        <w:tabs>
          <w:tab w:leader="none" w:pos="4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amounts reported in this column are not included in the Summary Compensation Table of this proxy statement.</w:t>
      </w:r>
    </w:p>
    <w:p>
      <w:pPr>
        <w:spacing w:after="0" w:line="158" w:lineRule="exact"/>
        <w:rPr>
          <w:rFonts w:ascii="Arial" w:cs="Arial" w:eastAsia="Arial" w:hAnsi="Arial"/>
          <w:sz w:val="20"/>
          <w:szCs w:val="20"/>
          <w:color w:val="auto"/>
        </w:rPr>
      </w:pPr>
    </w:p>
    <w:p>
      <w:pPr>
        <w:ind w:left="460" w:right="220" w:hanging="440"/>
        <w:spacing w:after="0" w:line="261" w:lineRule="auto"/>
        <w:tabs>
          <w:tab w:leader="none" w:pos="4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amounts reported in this column have not been previously reported as compensation in AbbVie’s Summary Compensation Tables because they relate to contributions made before the applicable individual became an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552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-212725</wp:posOffset>
            </wp:positionV>
            <wp:extent cx="991870" cy="2006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245">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100"/>
          </w:cols>
          <w:pgMar w:left="880" w:top="702" w:right="900" w:bottom="0" w:gutter="0" w:footer="0" w:header="0"/>
        </w:sectPr>
      </w:pPr>
    </w:p>
    <w:bookmarkStart w:id="190" w:name="page191"/>
    <w:bookmarkEnd w:id="190"/>
    <w:p>
      <w:pPr>
        <w:spacing w:after="0"/>
        <w:rPr>
          <w:sz w:val="20"/>
          <w:szCs w:val="20"/>
          <w:color w:val="auto"/>
        </w:rPr>
      </w:pPr>
      <w:r>
        <w:rPr>
          <w:rFonts w:ascii="Arial" w:cs="Arial" w:eastAsia="Arial" w:hAnsi="Arial"/>
          <w:sz w:val="20"/>
          <w:szCs w:val="20"/>
          <w:color w:val="808080"/>
        </w:rPr>
        <w:t>EXECUTIVE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REQUIRED PAY RATIO DISCLOSURE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As required by Section 953(b) of the Dodd-Frank Wall Street Reform and Consumer Protection Act and</w:t>
      </w:r>
    </w:p>
    <w:p>
      <w:pPr>
        <w:spacing w:after="0" w:line="26"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Item 402(u) of Regulation S-K, we are providing the following information about the relationship of the annual total compensation of our median employee and the annual total compensation of Robert Michael, our CEO. The pay ratio included in this information is a reasonable estimate calculated in a manner consistent with Item 402(u) of Regulation S-K. The ratio of Mr. Michael’s annual total compensation for 2025, as reported in the Summary Compensation Table of this proxy statement, to the median employee annual total compensation determined on the same basis was 192:1. For 2025, the annual total compensation of our median employee (other than</w:t>
      </w:r>
    </w:p>
    <w:p>
      <w:pPr>
        <w:spacing w:after="0" w:line="5"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Mr. Michael) was $169,019. To identify the median employee, we prepared a list of active AbbVie employees throughout the world as of December 19, 2025, which was the last payroll date in 2025. Because we use the last payroll date of the applicable year as the determination date, it may vary from year-to-year. The consistently applied compensation measure used to identify the median employee was annual base pay and target bonus, using hours worked during 2025 for hourly employees and base salary for the remaining employees. This process resulted in a median group consisting of several employees and a representative employee was selected, taking into account demographic characteristics that we believe best represent a typical AbbVie employee, including tenure, location, employment status and applicable compensation and benefit programs.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REQUIRED PAY VERSUS PERFORMANCE DISCLOSURE</w:t>
      </w:r>
    </w:p>
    <w:p>
      <w:pPr>
        <w:spacing w:after="0" w:line="205"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color w:val="auto"/>
        </w:rPr>
        <w:t>As required by Section 953(a) of the Dodd-Frank Wall Street Reform and Consumer Protection Act and Item 402(v) of Regulation S-K, the table below includes information to demonstrate the relationship between NEO compensation and certain financial performance measures for fiscal years 2021, 2022, 2023, 2024, and 2025. For additional information about our performance-based pay philosophy and how we align executive compensation with AbbVie’s performance, refer to the “Compensation Discussion and Analysis” section of this proxy statement.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760" w:type="dxa"/>
            <w:vAlign w:val="bottom"/>
            <w:tcBorders>
              <w:top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000039"/>
                <w:w w:val="98"/>
              </w:rPr>
              <w:t>Value of Initial Fixed $100</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000039"/>
              </w:rPr>
              <w:t>Summary</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0039"/>
              </w:rPr>
              <w:t>Summary</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000039"/>
              </w:rPr>
              <w:t>Average Summary</w:t>
            </w:r>
          </w:p>
        </w:tc>
        <w:tc>
          <w:tcPr>
            <w:tcW w:w="11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b w:val="1"/>
                <w:bCs w:val="1"/>
                <w:color w:val="000039"/>
              </w:rPr>
              <w:t>Average</w:t>
            </w:r>
          </w:p>
        </w:tc>
        <w:tc>
          <w:tcPr>
            <w:tcW w:w="1760" w:type="dxa"/>
            <w:vAlign w:val="bottom"/>
            <w:tcBorders>
              <w:bottom w:val="single" w:sz="8" w:color="auto"/>
              <w:right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000039"/>
              </w:rPr>
              <w:t>Investment Based on</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Borders>
              <w:right w:val="single" w:sz="8" w:color="auto"/>
            </w:tcBorders>
          </w:tcPr>
          <w:p>
            <w:pPr>
              <w:jc w:val="right"/>
              <w:ind w:right="30"/>
              <w:spacing w:after="0" w:line="135" w:lineRule="exact"/>
              <w:rPr>
                <w:sz w:val="20"/>
                <w:szCs w:val="20"/>
                <w:color w:val="auto"/>
              </w:rPr>
            </w:pPr>
            <w:r>
              <w:rPr>
                <w:rFonts w:ascii="Arial" w:cs="Arial" w:eastAsia="Arial" w:hAnsi="Arial"/>
                <w:sz w:val="14"/>
                <w:szCs w:val="14"/>
                <w:b w:val="1"/>
                <w:bCs w:val="1"/>
                <w:color w:val="000039"/>
              </w:rPr>
              <w:t>Peer Group</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000039"/>
              </w:rPr>
              <w:t>Compensation Compensation</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000039"/>
              </w:rPr>
              <w:t>Compensation</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0039"/>
              </w:rPr>
              <w:t>Compensation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000039"/>
              </w:rPr>
              <w:t>Compensation</w:t>
            </w: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b w:val="1"/>
                <w:bCs w:val="1"/>
                <w:color w:val="000039"/>
              </w:rPr>
              <w:t>Compensation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000039"/>
              </w:rPr>
              <w:t>Total</w:t>
            </w: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b w:val="1"/>
                <w:bCs w:val="1"/>
                <w:color w:val="000039"/>
              </w:rPr>
              <w:t>Total</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0039"/>
              </w:rPr>
              <w:t>Net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0039"/>
              </w:rPr>
              <w:t>Adjusted</w:t>
            </w: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000039"/>
              </w:rPr>
              <w:t>Table Total</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0039"/>
              </w:rPr>
              <w:t>Actually Paid</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000039"/>
              </w:rPr>
              <w:t>Table Total</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0039"/>
              </w:rPr>
              <w:t>Actually Paid</w:t>
            </w:r>
          </w:p>
        </w:tc>
        <w:tc>
          <w:tcPr>
            <w:tcW w:w="244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000039"/>
              </w:rPr>
              <w:t>Table Total for Actually Paid to</w:t>
            </w:r>
          </w:p>
        </w:tc>
        <w:tc>
          <w:tcPr>
            <w:tcW w:w="176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000039"/>
                <w:w w:val="99"/>
              </w:rPr>
              <w:t>Shareholder Shareholder</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0039"/>
              </w:rPr>
              <w:t>Income</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0039"/>
              </w:rPr>
              <w:t>Diluted</w:t>
            </w:r>
          </w:p>
        </w:tc>
        <w:tc>
          <w:tcPr>
            <w:tcW w:w="0" w:type="dxa"/>
            <w:vAlign w:val="bottom"/>
          </w:tcPr>
          <w:p>
            <w:pPr>
              <w:spacing w:after="0"/>
              <w:rPr>
                <w:sz w:val="1"/>
                <w:szCs w:val="1"/>
                <w:color w:val="auto"/>
              </w:rPr>
            </w:pPr>
          </w:p>
        </w:tc>
      </w:t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000039"/>
              </w:rPr>
              <w:t>Year</w:t>
            </w: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000039"/>
              </w:rPr>
              <w:t>for PEO</w:t>
            </w:r>
          </w:p>
        </w:tc>
        <w:tc>
          <w:tcPr>
            <w:tcW w:w="3160" w:type="dxa"/>
            <w:vAlign w:val="bottom"/>
            <w:gridSpan w:val="5"/>
          </w:tcPr>
          <w:p>
            <w:pPr>
              <w:jc w:val="right"/>
              <w:spacing w:after="0"/>
              <w:rPr>
                <w:sz w:val="20"/>
                <w:szCs w:val="20"/>
                <w:color w:val="auto"/>
              </w:rPr>
            </w:pPr>
            <w:r>
              <w:rPr>
                <w:rFonts w:ascii="Arial" w:cs="Arial" w:eastAsia="Arial" w:hAnsi="Arial"/>
                <w:sz w:val="14"/>
                <w:szCs w:val="14"/>
                <w:b w:val="1"/>
                <w:bCs w:val="1"/>
                <w:color w:val="000039"/>
              </w:rPr>
              <w:t>to PEO for Former PEO to Former PEO</w:t>
            </w:r>
          </w:p>
        </w:tc>
        <w:tc>
          <w:tcPr>
            <w:tcW w:w="244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000039"/>
              </w:rPr>
              <w:t>Non-PEO NEOs Non-PEO NEOs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000039"/>
              </w:rPr>
              <w:t>Return</w:t>
            </w: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b w:val="1"/>
                <w:bCs w:val="1"/>
                <w:color w:val="000039"/>
              </w:rPr>
              <w:t>Return</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0039"/>
              </w:rPr>
              <w:t>$MM</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0039"/>
              </w:rPr>
              <w:t>EPS</w:t>
            </w: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000039"/>
              </w:rPr>
              <w:t>($)(a)</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0039"/>
              </w:rPr>
              <w:t>($)(b)</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000039"/>
              </w:rPr>
              <w:t>($)(a)</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000039"/>
              </w:rPr>
              <w:t>($)(b)</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000039"/>
              </w:rPr>
              <w:t>($)(c)</w:t>
            </w: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b w:val="1"/>
                <w:bCs w:val="1"/>
                <w:color w:val="000039"/>
              </w:rPr>
              <w:t>($)(d)</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000039"/>
              </w:rPr>
              <w:t>($)(e)</w:t>
            </w: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b w:val="1"/>
                <w:bCs w:val="1"/>
                <w:color w:val="000039"/>
              </w:rPr>
              <w:t>($)(f)</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0039"/>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0039"/>
              </w:rPr>
              <w:t>($)(g)</w:t>
            </w:r>
          </w:p>
        </w:tc>
        <w:tc>
          <w:tcPr>
            <w:tcW w:w="0" w:type="dxa"/>
            <w:vAlign w:val="bottom"/>
          </w:tcPr>
          <w:p>
            <w:pPr>
              <w:spacing w:after="0"/>
              <w:rPr>
                <w:sz w:val="1"/>
                <w:szCs w:val="1"/>
                <w:color w:val="auto"/>
              </w:rPr>
            </w:pPr>
          </w:p>
        </w:tc>
      </w:tr>
      <w:tr>
        <w:trPr>
          <w:trHeight w:val="152"/>
        </w:trPr>
        <w:tc>
          <w:tcPr>
            <w:tcW w:w="340" w:type="dxa"/>
            <w:vAlign w:val="bottom"/>
            <w:tcBorders>
              <w:top w:val="single" w:sz="8" w:color="000039"/>
            </w:tcBorders>
            <w:shd w:val="clear" w:color="auto" w:fill="D9D9D9"/>
          </w:tcPr>
          <w:p>
            <w:pPr>
              <w:spacing w:after="0" w:line="151" w:lineRule="exact"/>
              <w:rPr>
                <w:sz w:val="20"/>
                <w:szCs w:val="20"/>
                <w:color w:val="auto"/>
              </w:rPr>
            </w:pPr>
            <w:r>
              <w:rPr>
                <w:rFonts w:ascii="Arial" w:cs="Arial" w:eastAsia="Arial" w:hAnsi="Arial"/>
                <w:sz w:val="14"/>
                <w:szCs w:val="14"/>
                <w:color w:val="auto"/>
              </w:rPr>
              <w:t>2025</w:t>
            </w:r>
          </w:p>
        </w:tc>
        <w:tc>
          <w:tcPr>
            <w:tcW w:w="1100" w:type="dxa"/>
            <w:vAlign w:val="bottom"/>
            <w:tcBorders>
              <w:top w:val="single" w:sz="8" w:color="000039"/>
            </w:tcBorders>
            <w:shd w:val="clear" w:color="auto" w:fill="D9D9D9"/>
          </w:tcPr>
          <w:p>
            <w:pPr>
              <w:jc w:val="right"/>
              <w:ind w:right="10"/>
              <w:spacing w:after="0" w:line="151" w:lineRule="exact"/>
              <w:rPr>
                <w:sz w:val="20"/>
                <w:szCs w:val="20"/>
                <w:color w:val="auto"/>
              </w:rPr>
            </w:pPr>
            <w:r>
              <w:rPr>
                <w:rFonts w:ascii="Arial" w:cs="Arial" w:eastAsia="Arial" w:hAnsi="Arial"/>
                <w:sz w:val="14"/>
                <w:szCs w:val="14"/>
                <w:color w:val="auto"/>
              </w:rPr>
              <w:t>$ 32,530,984</w:t>
            </w:r>
          </w:p>
        </w:tc>
        <w:tc>
          <w:tcPr>
            <w:tcW w:w="1040" w:type="dxa"/>
            <w:vAlign w:val="bottom"/>
            <w:tcBorders>
              <w:top w:val="single" w:sz="8" w:color="000039"/>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$ 57,365,441</w:t>
            </w:r>
          </w:p>
        </w:tc>
        <w:tc>
          <w:tcPr>
            <w:tcW w:w="240" w:type="dxa"/>
            <w:vAlign w:val="bottom"/>
            <w:tcBorders>
              <w:top w:val="single" w:sz="8" w:color="000039"/>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000039"/>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000039"/>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000039"/>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000039"/>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   12,123,281</w:t>
            </w:r>
          </w:p>
        </w:tc>
        <w:tc>
          <w:tcPr>
            <w:tcW w:w="1120" w:type="dxa"/>
            <w:vAlign w:val="bottom"/>
            <w:tcBorders>
              <w:top w:val="single" w:sz="8" w:color="000039"/>
              <w:right w:val="single" w:sz="8" w:color="auto"/>
            </w:tcBorders>
            <w:shd w:val="clear" w:color="auto" w:fill="D9D9D9"/>
          </w:tcPr>
          <w:p>
            <w:pPr>
              <w:jc w:val="right"/>
              <w:ind w:right="10"/>
              <w:spacing w:after="0" w:line="151" w:lineRule="exact"/>
              <w:rPr>
                <w:sz w:val="20"/>
                <w:szCs w:val="20"/>
                <w:color w:val="auto"/>
              </w:rPr>
            </w:pPr>
            <w:r>
              <w:rPr>
                <w:rFonts w:ascii="Arial" w:cs="Arial" w:eastAsia="Arial" w:hAnsi="Arial"/>
                <w:sz w:val="14"/>
                <w:szCs w:val="14"/>
                <w:color w:val="auto"/>
              </w:rPr>
              <w:t>$  24,187,185</w:t>
            </w:r>
          </w:p>
        </w:tc>
        <w:tc>
          <w:tcPr>
            <w:tcW w:w="860" w:type="dxa"/>
            <w:vAlign w:val="bottom"/>
            <w:tcBorders>
              <w:top w:val="single" w:sz="8" w:color="000039"/>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  259.36</w:t>
            </w:r>
          </w:p>
        </w:tc>
        <w:tc>
          <w:tcPr>
            <w:tcW w:w="900" w:type="dxa"/>
            <w:vAlign w:val="bottom"/>
            <w:tcBorders>
              <w:top w:val="single" w:sz="8" w:color="000039"/>
              <w:right w:val="single" w:sz="8" w:color="auto"/>
            </w:tcBorders>
            <w:shd w:val="clear" w:color="auto" w:fill="D9D9D9"/>
          </w:tcPr>
          <w:p>
            <w:pPr>
              <w:jc w:val="right"/>
              <w:ind w:right="10"/>
              <w:spacing w:after="0" w:line="151" w:lineRule="exact"/>
              <w:rPr>
                <w:sz w:val="20"/>
                <w:szCs w:val="20"/>
                <w:color w:val="auto"/>
              </w:rPr>
            </w:pPr>
            <w:r>
              <w:rPr>
                <w:rFonts w:ascii="Arial" w:cs="Arial" w:eastAsia="Arial" w:hAnsi="Arial"/>
                <w:sz w:val="14"/>
                <w:szCs w:val="14"/>
                <w:color w:val="auto"/>
              </w:rPr>
              <w:t>$  186.74</w:t>
            </w:r>
          </w:p>
        </w:tc>
        <w:tc>
          <w:tcPr>
            <w:tcW w:w="580" w:type="dxa"/>
            <w:vAlign w:val="bottom"/>
            <w:tcBorders>
              <w:top w:val="single" w:sz="8" w:color="000039"/>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  4,226</w:t>
            </w:r>
          </w:p>
        </w:tc>
        <w:tc>
          <w:tcPr>
            <w:tcW w:w="680" w:type="dxa"/>
            <w:vAlign w:val="bottom"/>
            <w:tcBorders>
              <w:top w:val="single" w:sz="8" w:color="000039"/>
            </w:tcBorders>
            <w:shd w:val="clear" w:color="auto" w:fill="D9D9D9"/>
          </w:tcPr>
          <w:p>
            <w:pPr>
              <w:jc w:val="right"/>
              <w:spacing w:after="0" w:line="151" w:lineRule="exact"/>
              <w:rPr>
                <w:sz w:val="20"/>
                <w:szCs w:val="20"/>
                <w:color w:val="auto"/>
              </w:rPr>
            </w:pPr>
            <w:r>
              <w:rPr>
                <w:rFonts w:ascii="Arial" w:cs="Arial" w:eastAsia="Arial" w:hAnsi="Arial"/>
                <w:sz w:val="14"/>
                <w:szCs w:val="14"/>
                <w:color w:val="auto"/>
                <w:highlight w:val="lightGray"/>
              </w:rPr>
              <w:t>$ 10.00</w:t>
            </w:r>
          </w:p>
        </w:tc>
        <w:tc>
          <w:tcPr>
            <w:tcW w:w="2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20"/>
                <w:szCs w:val="20"/>
                <w:color w:val="auto"/>
              </w:rPr>
            </w:pPr>
            <w:r>
              <w:rPr>
                <w:rFonts w:ascii="Arial" w:cs="Arial" w:eastAsia="Arial" w:hAnsi="Arial"/>
                <w:sz w:val="14"/>
                <w:szCs w:val="14"/>
                <w:color w:val="auto"/>
              </w:rPr>
              <w:t>2024</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18,492,517</w:t>
            </w:r>
          </w:p>
        </w:tc>
        <w:tc>
          <w:tcPr>
            <w:tcW w:w="1040" w:type="dxa"/>
            <w:vAlign w:val="bottom"/>
          </w:tcPr>
          <w:p>
            <w:pPr>
              <w:jc w:val="right"/>
              <w:spacing w:after="0"/>
              <w:rPr>
                <w:sz w:val="20"/>
                <w:szCs w:val="20"/>
                <w:color w:val="auto"/>
              </w:rPr>
            </w:pPr>
            <w:r>
              <w:rPr>
                <w:rFonts w:ascii="Arial" w:cs="Arial" w:eastAsia="Arial" w:hAnsi="Arial"/>
                <w:sz w:val="14"/>
                <w:szCs w:val="14"/>
                <w:color w:val="auto"/>
              </w:rPr>
              <w:t>33,323,947</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28,502,888</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67,567,568</w:t>
            </w:r>
          </w:p>
        </w:tc>
        <w:tc>
          <w:tcPr>
            <w:tcW w:w="1320" w:type="dxa"/>
            <w:vAlign w:val="bottom"/>
          </w:tcPr>
          <w:p>
            <w:pPr>
              <w:jc w:val="right"/>
              <w:spacing w:after="0"/>
              <w:rPr>
                <w:sz w:val="20"/>
                <w:szCs w:val="20"/>
                <w:color w:val="auto"/>
              </w:rPr>
            </w:pPr>
            <w:r>
              <w:rPr>
                <w:rFonts w:ascii="Arial" w:cs="Arial" w:eastAsia="Arial" w:hAnsi="Arial"/>
                <w:sz w:val="14"/>
                <w:szCs w:val="14"/>
                <w:color w:val="auto"/>
              </w:rPr>
              <w:t>11,314,957</w:t>
            </w: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20,324,464</w:t>
            </w:r>
          </w:p>
        </w:tc>
        <w:tc>
          <w:tcPr>
            <w:tcW w:w="860" w:type="dxa"/>
            <w:vAlign w:val="bottom"/>
          </w:tcPr>
          <w:p>
            <w:pPr>
              <w:jc w:val="right"/>
              <w:spacing w:after="0"/>
              <w:rPr>
                <w:sz w:val="20"/>
                <w:szCs w:val="20"/>
                <w:color w:val="auto"/>
              </w:rPr>
            </w:pPr>
            <w:r>
              <w:rPr>
                <w:rFonts w:ascii="Arial" w:cs="Arial" w:eastAsia="Arial" w:hAnsi="Arial"/>
                <w:sz w:val="14"/>
                <w:szCs w:val="14"/>
                <w:color w:val="auto"/>
              </w:rPr>
              <w:t>194.82</w:t>
            </w: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150.75</w:t>
            </w:r>
          </w:p>
        </w:tc>
        <w:tc>
          <w:tcPr>
            <w:tcW w:w="580" w:type="dxa"/>
            <w:vAlign w:val="bottom"/>
          </w:tcPr>
          <w:p>
            <w:pPr>
              <w:jc w:val="right"/>
              <w:spacing w:after="0"/>
              <w:rPr>
                <w:sz w:val="20"/>
                <w:szCs w:val="20"/>
                <w:color w:val="auto"/>
              </w:rPr>
            </w:pPr>
            <w:r>
              <w:rPr>
                <w:rFonts w:ascii="Arial" w:cs="Arial" w:eastAsia="Arial" w:hAnsi="Arial"/>
                <w:sz w:val="14"/>
                <w:szCs w:val="14"/>
                <w:color w:val="auto"/>
              </w:rPr>
              <w:t>4,278</w:t>
            </w:r>
          </w:p>
        </w:tc>
        <w:tc>
          <w:tcPr>
            <w:tcW w:w="680" w:type="dxa"/>
            <w:vAlign w:val="bottom"/>
          </w:tcPr>
          <w:p>
            <w:pPr>
              <w:jc w:val="right"/>
              <w:spacing w:after="0"/>
              <w:rPr>
                <w:sz w:val="20"/>
                <w:szCs w:val="20"/>
                <w:color w:val="auto"/>
              </w:rPr>
            </w:pPr>
            <w:r>
              <w:rPr>
                <w:rFonts w:ascii="Arial" w:cs="Arial" w:eastAsia="Arial" w:hAnsi="Arial"/>
                <w:sz w:val="14"/>
                <w:szCs w:val="14"/>
                <w:color w:val="auto"/>
              </w:rPr>
              <w:t>10.12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 w:type="dxa"/>
            <w:vAlign w:val="bottom"/>
            <w:shd w:val="clear" w:color="auto" w:fill="D9D9D9"/>
          </w:tcPr>
          <w:p>
            <w:pPr>
              <w:spacing w:after="0"/>
              <w:rPr>
                <w:sz w:val="20"/>
                <w:szCs w:val="20"/>
                <w:color w:val="auto"/>
              </w:rPr>
            </w:pPr>
            <w:r>
              <w:rPr>
                <w:rFonts w:ascii="Arial" w:cs="Arial" w:eastAsia="Arial" w:hAnsi="Arial"/>
                <w:sz w:val="14"/>
                <w:szCs w:val="14"/>
                <w:color w:val="auto"/>
              </w:rPr>
              <w:t>2023</w:t>
            </w:r>
          </w:p>
        </w:tc>
        <w:tc>
          <w:tcPr>
            <w:tcW w:w="1100" w:type="dxa"/>
            <w:vAlign w:val="bottom"/>
            <w:shd w:val="clear" w:color="auto" w:fill="D9D9D9"/>
          </w:tcPr>
          <w:p>
            <w:pPr>
              <w:spacing w:after="0"/>
              <w:rPr>
                <w:sz w:val="13"/>
                <w:szCs w:val="13"/>
                <w:color w:val="auto"/>
              </w:rPr>
            </w:pPr>
          </w:p>
        </w:tc>
        <w:tc>
          <w:tcPr>
            <w:tcW w:w="1040" w:type="dxa"/>
            <w:vAlign w:val="bottom"/>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25,661,972</w:t>
            </w:r>
          </w:p>
        </w:tc>
        <w:tc>
          <w:tcPr>
            <w:tcW w:w="26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34,672,518</w:t>
            </w:r>
          </w:p>
        </w:tc>
        <w:tc>
          <w:tcPr>
            <w:tcW w:w="13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12,319,311</w:t>
            </w:r>
          </w:p>
        </w:tc>
        <w:tc>
          <w:tcPr>
            <w:tcW w:w="1120" w:type="dxa"/>
            <w:vAlign w:val="bottom"/>
            <w:tcBorders>
              <w:right w:val="single" w:sz="8" w:color="auto"/>
            </w:tcBorders>
            <w:shd w:val="clear" w:color="auto" w:fill="D9D9D9"/>
          </w:tcPr>
          <w:p>
            <w:pPr>
              <w:jc w:val="right"/>
              <w:ind w:right="10"/>
              <w:spacing w:after="0"/>
              <w:rPr>
                <w:sz w:val="20"/>
                <w:szCs w:val="20"/>
                <w:color w:val="auto"/>
              </w:rPr>
            </w:pPr>
            <w:r>
              <w:rPr>
                <w:rFonts w:ascii="Arial" w:cs="Arial" w:eastAsia="Arial" w:hAnsi="Arial"/>
                <w:sz w:val="14"/>
                <w:szCs w:val="14"/>
                <w:color w:val="auto"/>
              </w:rPr>
              <w:t>12,199,327</w:t>
            </w: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163.86</w:t>
            </w:r>
          </w:p>
        </w:tc>
        <w:tc>
          <w:tcPr>
            <w:tcW w:w="900" w:type="dxa"/>
            <w:vAlign w:val="bottom"/>
            <w:tcBorders>
              <w:right w:val="single" w:sz="8" w:color="auto"/>
            </w:tcBorders>
            <w:shd w:val="clear" w:color="auto" w:fill="D9D9D9"/>
          </w:tcPr>
          <w:p>
            <w:pPr>
              <w:jc w:val="right"/>
              <w:ind w:right="10"/>
              <w:spacing w:after="0"/>
              <w:rPr>
                <w:sz w:val="20"/>
                <w:szCs w:val="20"/>
                <w:color w:val="auto"/>
              </w:rPr>
            </w:pPr>
            <w:r>
              <w:rPr>
                <w:rFonts w:ascii="Arial" w:cs="Arial" w:eastAsia="Arial" w:hAnsi="Arial"/>
                <w:sz w:val="14"/>
                <w:szCs w:val="14"/>
                <w:color w:val="auto"/>
              </w:rPr>
              <w:t>143.33</w:t>
            </w: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highlight w:val="lightGray"/>
              </w:rPr>
              <w:t>4,863</w:t>
            </w: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highlight w:val="lightGray"/>
              </w:rPr>
              <w:t>11.11</w:t>
            </w:r>
          </w:p>
        </w:tc>
        <w:tc>
          <w:tcPr>
            <w:tcW w:w="2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20"/>
                <w:szCs w:val="20"/>
                <w:color w:val="auto"/>
              </w:rPr>
            </w:pPr>
            <w:r>
              <w:rPr>
                <w:rFonts w:ascii="Arial" w:cs="Arial" w:eastAsia="Arial" w:hAnsi="Arial"/>
                <w:sz w:val="14"/>
                <w:szCs w:val="14"/>
                <w:color w:val="auto"/>
              </w:rPr>
              <w:t>2022</w:t>
            </w: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26,287,185</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67,395,343</w:t>
            </w:r>
          </w:p>
        </w:tc>
        <w:tc>
          <w:tcPr>
            <w:tcW w:w="1320" w:type="dxa"/>
            <w:vAlign w:val="bottom"/>
          </w:tcPr>
          <w:p>
            <w:pPr>
              <w:jc w:val="right"/>
              <w:spacing w:after="0"/>
              <w:rPr>
                <w:sz w:val="20"/>
                <w:szCs w:val="20"/>
                <w:color w:val="auto"/>
              </w:rPr>
            </w:pPr>
            <w:r>
              <w:rPr>
                <w:rFonts w:ascii="Arial" w:cs="Arial" w:eastAsia="Arial" w:hAnsi="Arial"/>
                <w:sz w:val="14"/>
                <w:szCs w:val="14"/>
                <w:color w:val="auto"/>
              </w:rPr>
              <w:t>9,125,252</w:t>
            </w: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20,275,581</w:t>
            </w:r>
          </w:p>
        </w:tc>
        <w:tc>
          <w:tcPr>
            <w:tcW w:w="860" w:type="dxa"/>
            <w:vAlign w:val="bottom"/>
          </w:tcPr>
          <w:p>
            <w:pPr>
              <w:jc w:val="right"/>
              <w:spacing w:after="0"/>
              <w:rPr>
                <w:sz w:val="20"/>
                <w:szCs w:val="20"/>
                <w:color w:val="auto"/>
              </w:rPr>
            </w:pPr>
            <w:r>
              <w:rPr>
                <w:rFonts w:ascii="Arial" w:cs="Arial" w:eastAsia="Arial" w:hAnsi="Arial"/>
                <w:sz w:val="14"/>
                <w:szCs w:val="14"/>
                <w:color w:val="auto"/>
              </w:rPr>
              <w:t>164.23</w:t>
            </w: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133.03</w:t>
            </w:r>
          </w:p>
        </w:tc>
        <w:tc>
          <w:tcPr>
            <w:tcW w:w="580" w:type="dxa"/>
            <w:vAlign w:val="bottom"/>
          </w:tcPr>
          <w:p>
            <w:pPr>
              <w:jc w:val="right"/>
              <w:spacing w:after="0"/>
              <w:rPr>
                <w:sz w:val="20"/>
                <w:szCs w:val="20"/>
                <w:color w:val="auto"/>
              </w:rPr>
            </w:pPr>
            <w:r>
              <w:rPr>
                <w:rFonts w:ascii="Arial" w:cs="Arial" w:eastAsia="Arial" w:hAnsi="Arial"/>
                <w:sz w:val="14"/>
                <w:szCs w:val="14"/>
                <w:color w:val="auto"/>
              </w:rPr>
              <w:t>11,836</w:t>
            </w:r>
          </w:p>
        </w:tc>
        <w:tc>
          <w:tcPr>
            <w:tcW w:w="680" w:type="dxa"/>
            <w:vAlign w:val="bottom"/>
          </w:tcPr>
          <w:p>
            <w:pPr>
              <w:jc w:val="right"/>
              <w:spacing w:after="0"/>
              <w:rPr>
                <w:sz w:val="20"/>
                <w:szCs w:val="20"/>
                <w:color w:val="auto"/>
              </w:rPr>
            </w:pPr>
            <w:r>
              <w:rPr>
                <w:rFonts w:ascii="Arial" w:cs="Arial" w:eastAsia="Arial" w:hAnsi="Arial"/>
                <w:sz w:val="14"/>
                <w:szCs w:val="14"/>
                <w:color w:val="auto"/>
              </w:rPr>
              <w:t>13.77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 w:type="dxa"/>
            <w:vAlign w:val="bottom"/>
            <w:shd w:val="clear" w:color="auto" w:fill="D9D9D9"/>
          </w:tcPr>
          <w:p>
            <w:pPr>
              <w:spacing w:after="0"/>
              <w:rPr>
                <w:sz w:val="20"/>
                <w:szCs w:val="20"/>
                <w:color w:val="auto"/>
              </w:rPr>
            </w:pPr>
            <w:r>
              <w:rPr>
                <w:rFonts w:ascii="Arial" w:cs="Arial" w:eastAsia="Arial" w:hAnsi="Arial"/>
                <w:sz w:val="14"/>
                <w:szCs w:val="14"/>
                <w:color w:val="auto"/>
              </w:rPr>
              <w:t>2021</w:t>
            </w:r>
          </w:p>
        </w:tc>
        <w:tc>
          <w:tcPr>
            <w:tcW w:w="11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23,912,154</w:t>
            </w:r>
          </w:p>
        </w:tc>
        <w:tc>
          <w:tcPr>
            <w:tcW w:w="260" w:type="dxa"/>
            <w:vAlign w:val="bottom"/>
            <w:shd w:val="clear" w:color="auto" w:fill="D9D9D9"/>
          </w:tcPr>
          <w:p>
            <w:pPr>
              <w:spacing w:after="0"/>
              <w:rPr>
                <w:sz w:val="14"/>
                <w:szCs w:val="14"/>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66,387,875</w:t>
            </w:r>
          </w:p>
        </w:tc>
        <w:tc>
          <w:tcPr>
            <w:tcW w:w="13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11,035,630</w:t>
            </w:r>
          </w:p>
        </w:tc>
        <w:tc>
          <w:tcPr>
            <w:tcW w:w="1120" w:type="dxa"/>
            <w:vAlign w:val="bottom"/>
            <w:tcBorders>
              <w:right w:val="single" w:sz="8" w:color="auto"/>
            </w:tcBorders>
            <w:shd w:val="clear" w:color="auto" w:fill="D9D9D9"/>
          </w:tcPr>
          <w:p>
            <w:pPr>
              <w:jc w:val="right"/>
              <w:ind w:right="10"/>
              <w:spacing w:after="0"/>
              <w:rPr>
                <w:sz w:val="20"/>
                <w:szCs w:val="20"/>
                <w:color w:val="auto"/>
              </w:rPr>
            </w:pPr>
            <w:r>
              <w:rPr>
                <w:rFonts w:ascii="Arial" w:cs="Arial" w:eastAsia="Arial" w:hAnsi="Arial"/>
                <w:sz w:val="14"/>
                <w:szCs w:val="14"/>
                <w:color w:val="auto"/>
              </w:rPr>
              <w:t>24,203,425</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132.40</w:t>
            </w:r>
          </w:p>
        </w:tc>
        <w:tc>
          <w:tcPr>
            <w:tcW w:w="900" w:type="dxa"/>
            <w:vAlign w:val="bottom"/>
            <w:tcBorders>
              <w:bottom w:val="single" w:sz="8" w:color="auto"/>
              <w:right w:val="single" w:sz="8" w:color="auto"/>
            </w:tcBorders>
            <w:shd w:val="clear" w:color="auto" w:fill="D9D9D9"/>
          </w:tcPr>
          <w:p>
            <w:pPr>
              <w:jc w:val="right"/>
              <w:ind w:right="10"/>
              <w:spacing w:after="0"/>
              <w:rPr>
                <w:sz w:val="20"/>
                <w:szCs w:val="20"/>
                <w:color w:val="auto"/>
              </w:rPr>
            </w:pPr>
            <w:r>
              <w:rPr>
                <w:rFonts w:ascii="Arial" w:cs="Arial" w:eastAsia="Arial" w:hAnsi="Arial"/>
                <w:sz w:val="14"/>
                <w:szCs w:val="14"/>
                <w:color w:val="auto"/>
              </w:rPr>
              <w:t>123.44</w:t>
            </w: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highlight w:val="lightGray"/>
              </w:rPr>
              <w:t>11,542</w:t>
            </w: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highlight w:val="lightGray"/>
              </w:rPr>
              <w:t>11.83</w:t>
            </w:r>
          </w:p>
        </w:tc>
        <w:tc>
          <w:tcPr>
            <w:tcW w:w="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6390640</wp:posOffset>
                </wp:positionH>
                <wp:positionV relativeFrom="paragraph">
                  <wp:posOffset>-527050</wp:posOffset>
                </wp:positionV>
                <wp:extent cx="12700" cy="1270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9D9D9"/>
                        </a:solidFill>
                      </wps:spPr>
                      <wps:bodyPr/>
                    </wps:wsp>
                  </a:graphicData>
                </a:graphic>
              </wp:anchor>
            </w:drawing>
          </mc:Choice>
          <mc:Fallback>
            <w:pict>
              <v:rect id="Shape 547" o:spid="_x0000_s1572" style="position:absolute;margin-left:503.2pt;margin-top:-41.4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106045</wp:posOffset>
                </wp:positionV>
                <wp:extent cx="1485900" cy="0"/>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35pt" to="116.95pt,8.35pt" o:allowincell="f" strokecolor="#000000" strokeweight="1.0199pt"/>
            </w:pict>
          </mc:Fallback>
        </mc:AlternateContent>
      </w:r>
    </w:p>
    <w:p>
      <w:pPr>
        <w:spacing w:after="0" w:line="190" w:lineRule="exact"/>
        <w:rPr>
          <w:sz w:val="20"/>
          <w:szCs w:val="20"/>
          <w:color w:val="auto"/>
        </w:rPr>
      </w:pPr>
    </w:p>
    <w:p>
      <w:pPr>
        <w:jc w:val="both"/>
        <w:ind w:left="720" w:right="300" w:hanging="720"/>
        <w:spacing w:after="0" w:line="261" w:lineRule="auto"/>
        <w:tabs>
          <w:tab w:leader="none" w:pos="72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dollar amounts reported are the total compensation reported for Mr. Michael (PEO) for fiscal years 2024 and 2025, and Mr. Gonzalez (former PEO, who served as PEO until July 1, 2024) for fiscal years 2021, 2022, 2023 and 2024 in the “Total” column of the Summary Compensation Table.</w:t>
      </w:r>
    </w:p>
    <w:p>
      <w:pPr>
        <w:spacing w:after="0" w:line="170" w:lineRule="exact"/>
        <w:rPr>
          <w:rFonts w:ascii="Arial" w:cs="Arial" w:eastAsia="Arial" w:hAnsi="Arial"/>
          <w:sz w:val="20"/>
          <w:szCs w:val="20"/>
          <w:color w:val="auto"/>
        </w:rPr>
      </w:pPr>
    </w:p>
    <w:p>
      <w:pPr>
        <w:ind w:left="720" w:right="120" w:hanging="720"/>
        <w:spacing w:after="0" w:line="246" w:lineRule="auto"/>
        <w:tabs>
          <w:tab w:leader="none" w:pos="7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dollar amounts reported represent the “compensation actually paid” to Mr. Michael for fiscal years 2024 and 2025, and to Mr. Gonzalez (former PEO) for fiscal years 2021, 2022 and 2023, and 2024, as computed in accordance with Item 402(v) of Regulation S-K. The dollar amounts do not reflect the actual amount of compensation earned by or paid to Mr. Michael or Mr. Gonzalez during such fiscal years and are based on valuation assumptions required by the SEC, which are unlikely to reflect actual amounts realized at vesting or exercise (as applicable). In accordance with the requirements of Item 402(v) of Regulation S-K, the reported “Total” in the Summary Compensation Table for the applicable year is adjusted to determine the “compensation actually paid” amount as follows:</w:t>
      </w:r>
    </w:p>
    <w:p>
      <w:pPr>
        <w:spacing w:after="0" w:line="183" w:lineRule="exact"/>
        <w:rPr>
          <w:rFonts w:ascii="Arial" w:cs="Arial" w:eastAsia="Arial" w:hAnsi="Arial"/>
          <w:sz w:val="20"/>
          <w:szCs w:val="20"/>
          <w:color w:val="auto"/>
        </w:rPr>
      </w:pPr>
    </w:p>
    <w:p>
      <w:pPr>
        <w:ind w:left="1440" w:right="120" w:hanging="720"/>
        <w:spacing w:after="0" w:line="264" w:lineRule="auto"/>
        <w:tabs>
          <w:tab w:leader="none" w:pos="14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amount reflected in the “Stock Award” and “Option Award” columns of the Summary Compensation Table with respect to Mr. Michael and Mr. Gonzalez has been deducted from the Summary Compensation Table Total and substituted with an equity award value for each year calculated by adding or subtracting, as applicable, the following: (i) the year-end fair value of any equity awards granted in the applicable fiscal year that are outstanding and unvested as of the end of such year, accounting for any banking of the award resulting from adjusted diluted EPS</w:t>
      </w:r>
    </w:p>
    <w:p>
      <w:pPr>
        <w:spacing w:after="0" w:line="200" w:lineRule="exact"/>
        <w:rPr>
          <w:sz w:val="20"/>
          <w:szCs w:val="20"/>
          <w:color w:val="auto"/>
        </w:rPr>
      </w:pPr>
    </w:p>
    <w:p>
      <w:pPr>
        <w:spacing w:after="0" w:line="376"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62  </w:t>
      </w:r>
      <w:r>
        <w:rPr>
          <w:sz w:val="1"/>
          <w:szCs w:val="1"/>
          <w:color w:val="auto"/>
        </w:rPr>
        <w:drawing>
          <wp:inline distT="0" distB="0" distL="0" distR="0">
            <wp:extent cx="991870" cy="20066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246">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91" w:name="page192"/>
    <w:bookmarkEnd w:id="191"/>
    <w:p>
      <w:pPr>
        <w:ind w:left="7260"/>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left="1440" w:right="80"/>
        <w:spacing w:after="0" w:line="243" w:lineRule="auto"/>
        <w:rPr>
          <w:sz w:val="20"/>
          <w:szCs w:val="20"/>
          <w:color w:val="auto"/>
        </w:rPr>
      </w:pPr>
      <w:r>
        <w:rPr>
          <w:rFonts w:ascii="Arial" w:cs="Arial" w:eastAsia="Arial" w:hAnsi="Arial"/>
          <w:sz w:val="20"/>
          <w:szCs w:val="20"/>
          <w:color w:val="auto"/>
        </w:rPr>
        <w:t>performance (as reflected in footnote (2) to the Outstanding Equity Awards at Fiscal Year End Table); (ii) the change in fair value from the end of the prior fiscal year of any awards granted in prior fiscal years that are outstanding and unvested as of the end of the applicable fiscal year, accounting for any adjustment based on relative TSR performance on awards for which the performance period ends as of this date (as reflected in footnote (2) to the Outstanding Equity Awards at Fiscal Year End Table); (iii) for awards granted in prior fiscal years that vested in the applicable fiscal year, the amount equal to the change in value as of the vesting date (from the end of the prior fiscal year); and (iv) the dollar value of dividends accrued on equity awards in the applicable year prior to the vesting date (excluding option awards, which do not carry dividend equivalent rights) that are not otherwise reflected in the fair value of such award or included in any other component of total compensation for the applicable fiscal year. The valuation assumptions used to calculate fair values on equity awards other than options are the same as those disclosed at the time of grant. Stock option awards are valued using a Black-Scholes model at the time of grant (as disclosed in footnote (2) to the Summary Compensation Table) with subsequent fair value calculations performed using a Lattice model.</w:t>
      </w:r>
    </w:p>
    <w:p>
      <w:pPr>
        <w:spacing w:after="0" w:line="71" w:lineRule="exact"/>
        <w:rPr>
          <w:sz w:val="20"/>
          <w:szCs w:val="20"/>
          <w:color w:val="auto"/>
        </w:rPr>
      </w:pPr>
    </w:p>
    <w:p>
      <w:pPr>
        <w:ind w:left="1440" w:right="460"/>
        <w:spacing w:after="0" w:line="254" w:lineRule="auto"/>
        <w:rPr>
          <w:sz w:val="20"/>
          <w:szCs w:val="20"/>
          <w:color w:val="auto"/>
        </w:rPr>
      </w:pPr>
      <w:r>
        <w:rPr>
          <w:rFonts w:ascii="Arial" w:cs="Arial" w:eastAsia="Arial" w:hAnsi="Arial"/>
          <w:sz w:val="20"/>
          <w:szCs w:val="20"/>
          <w:color w:val="auto"/>
        </w:rPr>
        <w:t>The amounts in the following table represent each of the amounts deducted and added to the equity award values for Mr. Michael for the 2025 fiscal year for purposes of computing the “compensation actually paid” amount appearing in column (b) of the pay versus performance table: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3251200</wp:posOffset>
                </wp:positionH>
                <wp:positionV relativeFrom="paragraph">
                  <wp:posOffset>22860</wp:posOffset>
                </wp:positionV>
                <wp:extent cx="3185795"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5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pt,1.8pt" to="506.85pt,1.8pt" o:allowincell="f" strokecolor="#000000" strokeweight="0.48pt"/>
            </w:pict>
          </mc:Fallback>
        </mc:AlternateContent>
      </w:r>
    </w:p>
    <w:p>
      <w:pPr>
        <w:spacing w:after="0" w:line="167"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4"/>
                <w:szCs w:val="14"/>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b w:val="1"/>
                <w:bCs w:val="1"/>
                <w:color w:val="auto"/>
              </w:rPr>
              <w:t>Year-end</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140" w:type="dxa"/>
            <w:vAlign w:val="bottom"/>
          </w:tcPr>
          <w:p>
            <w:pPr>
              <w:spacing w:after="0"/>
              <w:rPr>
                <w:sz w:val="14"/>
                <w:szCs w:val="14"/>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rPr>
              <w:t>Change in</w:t>
            </w:r>
          </w:p>
        </w:tc>
        <w:tc>
          <w:tcPr>
            <w:tcW w:w="1120" w:type="dxa"/>
            <w:vAlign w:val="bottom"/>
          </w:tcPr>
          <w:p>
            <w:pPr>
              <w:spacing w:after="0"/>
              <w:rPr>
                <w:sz w:val="14"/>
                <w:szCs w:val="14"/>
                <w:color w:val="auto"/>
              </w:rPr>
            </w:pPr>
          </w:p>
        </w:tc>
      </w:tr>
      <w:tr>
        <w:trPr>
          <w:trHeight w:val="161"/>
        </w:trPr>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Pr>
          <w:p>
            <w:pPr>
              <w:spacing w:after="0"/>
              <w:rPr>
                <w:sz w:val="13"/>
                <w:szCs w:val="13"/>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Fair Value of</w:t>
            </w:r>
          </w:p>
        </w:tc>
        <w:tc>
          <w:tcPr>
            <w:tcW w:w="200" w:type="dxa"/>
            <w:vAlign w:val="bottom"/>
          </w:tcPr>
          <w:p>
            <w:pPr>
              <w:spacing w:after="0"/>
              <w:rPr>
                <w:sz w:val="13"/>
                <w:szCs w:val="13"/>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b w:val="1"/>
                <w:bCs w:val="1"/>
                <w:color w:val="auto"/>
              </w:rPr>
              <w:t>Fair Value of</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Fair Value as of</w:t>
            </w:r>
          </w:p>
        </w:tc>
        <w:tc>
          <w:tcPr>
            <w:tcW w:w="140" w:type="dxa"/>
            <w:vAlign w:val="bottom"/>
          </w:tcPr>
          <w:p>
            <w:pPr>
              <w:spacing w:after="0"/>
              <w:rPr>
                <w:sz w:val="13"/>
                <w:szCs w:val="13"/>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rPr>
              <w:t>Fair Value as of</w:t>
            </w:r>
          </w:p>
        </w:tc>
        <w:tc>
          <w:tcPr>
            <w:tcW w:w="1120" w:type="dxa"/>
            <w:vAlign w:val="bottom"/>
          </w:tcPr>
          <w:p>
            <w:pPr>
              <w:spacing w:after="0"/>
              <w:rPr>
                <w:sz w:val="13"/>
                <w:szCs w:val="13"/>
                <w:color w:val="auto"/>
              </w:rPr>
            </w:pPr>
          </w:p>
        </w:tc>
      </w:tr>
      <w:tr>
        <w:trPr>
          <w:trHeight w:val="161"/>
        </w:trPr>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3"/>
                <w:szCs w:val="13"/>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Equity Awards</w:t>
            </w: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Equity Awards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7"/>
              </w:rPr>
              <w:t>Year-End of Any</w:t>
            </w:r>
          </w:p>
        </w:tc>
        <w:tc>
          <w:tcPr>
            <w:tcW w:w="140" w:type="dxa"/>
            <w:vAlign w:val="bottom"/>
          </w:tcPr>
          <w:p>
            <w:pPr>
              <w:spacing w:after="0"/>
              <w:rPr>
                <w:sz w:val="13"/>
                <w:szCs w:val="13"/>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w w:val="98"/>
              </w:rPr>
              <w:t>the Vesting Date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1"/>
        </w:trPr>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Reflected in</w:t>
            </w:r>
          </w:p>
        </w:tc>
        <w:tc>
          <w:tcPr>
            <w:tcW w:w="180" w:type="dxa"/>
            <w:vAlign w:val="bottom"/>
          </w:tcPr>
          <w:p>
            <w:pPr>
              <w:spacing w:after="0"/>
              <w:rPr>
                <w:sz w:val="13"/>
                <w:szCs w:val="13"/>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Granted</w:t>
            </w:r>
          </w:p>
        </w:tc>
        <w:tc>
          <w:tcPr>
            <w:tcW w:w="200" w:type="dxa"/>
            <w:vAlign w:val="bottom"/>
          </w:tcPr>
          <w:p>
            <w:pPr>
              <w:spacing w:after="0"/>
              <w:rPr>
                <w:sz w:val="13"/>
                <w:szCs w:val="13"/>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b w:val="1"/>
                <w:bCs w:val="1"/>
                <w:color w:val="auto"/>
              </w:rPr>
              <w:t>Granted</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Prior Year</w:t>
            </w:r>
          </w:p>
        </w:tc>
        <w:tc>
          <w:tcPr>
            <w:tcW w:w="13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of Any Prior Year</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Equity Value</w:t>
            </w:r>
          </w:p>
        </w:tc>
      </w:tr>
      <w:tr>
        <w:trPr>
          <w:trHeight w:val="161"/>
        </w:trPr>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Summary</w:t>
            </w:r>
          </w:p>
        </w:tc>
        <w:tc>
          <w:tcPr>
            <w:tcW w:w="180" w:type="dxa"/>
            <w:vAlign w:val="bottom"/>
          </w:tcPr>
          <w:p>
            <w:pPr>
              <w:spacing w:after="0"/>
              <w:rPr>
                <w:sz w:val="13"/>
                <w:szCs w:val="13"/>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During</w:t>
            </w:r>
          </w:p>
        </w:tc>
        <w:tc>
          <w:tcPr>
            <w:tcW w:w="200" w:type="dxa"/>
            <w:vAlign w:val="bottom"/>
          </w:tcPr>
          <w:p>
            <w:pPr>
              <w:spacing w:after="0"/>
              <w:rPr>
                <w:sz w:val="13"/>
                <w:szCs w:val="13"/>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b w:val="1"/>
                <w:bCs w:val="1"/>
                <w:color w:val="auto"/>
              </w:rPr>
              <w:t>During</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Awards that</w:t>
            </w:r>
          </w:p>
        </w:tc>
        <w:tc>
          <w:tcPr>
            <w:tcW w:w="140" w:type="dxa"/>
            <w:vAlign w:val="bottom"/>
          </w:tcPr>
          <w:p>
            <w:pPr>
              <w:spacing w:after="0"/>
              <w:rPr>
                <w:sz w:val="13"/>
                <w:szCs w:val="13"/>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rPr>
              <w:t>Awards that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Reflected in</w:t>
            </w:r>
          </w:p>
        </w:tc>
      </w:tr>
      <w:tr>
        <w:trPr>
          <w:trHeight w:val="162"/>
        </w:trPr>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Applicable</w:t>
            </w:r>
          </w:p>
        </w:tc>
        <w:tc>
          <w:tcPr>
            <w:tcW w:w="200" w:type="dxa"/>
            <w:vAlign w:val="bottom"/>
          </w:tcPr>
          <w:p>
            <w:pPr>
              <w:spacing w:after="0"/>
              <w:rPr>
                <w:sz w:val="14"/>
                <w:szCs w:val="14"/>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b w:val="1"/>
                <w:bCs w:val="1"/>
                <w:color w:val="auto"/>
              </w:rPr>
              <w:t>Applicable</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 Unvested</w:t>
            </w:r>
          </w:p>
        </w:tc>
        <w:tc>
          <w:tcPr>
            <w:tcW w:w="140" w:type="dxa"/>
            <w:vAlign w:val="bottom"/>
          </w:tcPr>
          <w:p>
            <w:pPr>
              <w:spacing w:after="0"/>
              <w:rPr>
                <w:sz w:val="14"/>
                <w:szCs w:val="14"/>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rPr>
              <w:t>Vested During</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r>
      <w:tr>
        <w:trPr>
          <w:trHeight w:val="177"/>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PEO Name</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Table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Year</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Year-End</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Applicable Year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Actually Paid</w:t>
            </w:r>
          </w:p>
        </w:tc>
      </w:tr>
      <w:tr>
        <w:trPr>
          <w:trHeight w:val="150"/>
        </w:trPr>
        <w:tc>
          <w:tcPr>
            <w:tcW w:w="500" w:type="dxa"/>
            <w:vAlign w:val="bottom"/>
            <w:shd w:val="clear" w:color="auto" w:fill="D9D9D9"/>
          </w:tcPr>
          <w:p>
            <w:pPr>
              <w:spacing w:after="0" w:line="151" w:lineRule="exact"/>
              <w:rPr>
                <w:sz w:val="20"/>
                <w:szCs w:val="20"/>
                <w:color w:val="auto"/>
              </w:rPr>
            </w:pPr>
            <w:r>
              <w:rPr>
                <w:rFonts w:ascii="Arial" w:cs="Arial" w:eastAsia="Arial" w:hAnsi="Arial"/>
                <w:sz w:val="14"/>
                <w:szCs w:val="14"/>
                <w:color w:val="auto"/>
              </w:rPr>
              <w:t>2025</w:t>
            </w:r>
          </w:p>
        </w:tc>
        <w:tc>
          <w:tcPr>
            <w:tcW w:w="1580" w:type="dxa"/>
            <w:vAlign w:val="bottom"/>
            <w:shd w:val="clear" w:color="auto" w:fill="D9D9D9"/>
          </w:tcPr>
          <w:p>
            <w:pPr>
              <w:ind w:left="160"/>
              <w:spacing w:after="0" w:line="151" w:lineRule="exact"/>
              <w:rPr>
                <w:sz w:val="20"/>
                <w:szCs w:val="20"/>
                <w:color w:val="auto"/>
              </w:rPr>
            </w:pPr>
            <w:r>
              <w:rPr>
                <w:rFonts w:ascii="Arial" w:cs="Arial" w:eastAsia="Arial" w:hAnsi="Arial"/>
                <w:sz w:val="14"/>
                <w:szCs w:val="14"/>
                <w:color w:val="auto"/>
              </w:rPr>
              <w:t>Robert A. Michael   $</w:t>
            </w:r>
          </w:p>
        </w:tc>
        <w:tc>
          <w:tcPr>
            <w:tcW w:w="1100" w:type="dxa"/>
            <w:vAlign w:val="bottom"/>
            <w:shd w:val="clear" w:color="auto" w:fill="D9D9D9"/>
          </w:tcPr>
          <w:p>
            <w:pPr>
              <w:jc w:val="right"/>
              <w:ind w:right="30"/>
              <w:spacing w:after="0" w:line="151" w:lineRule="exact"/>
              <w:rPr>
                <w:sz w:val="20"/>
                <w:szCs w:val="20"/>
                <w:color w:val="auto"/>
              </w:rPr>
            </w:pPr>
            <w:r>
              <w:rPr>
                <w:rFonts w:ascii="Arial" w:cs="Arial" w:eastAsia="Arial" w:hAnsi="Arial"/>
                <w:sz w:val="14"/>
                <w:szCs w:val="14"/>
                <w:color w:val="auto"/>
              </w:rPr>
              <w:t>16,467,610</w:t>
            </w:r>
          </w:p>
        </w:tc>
        <w:tc>
          <w:tcPr>
            <w:tcW w:w="18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10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(16,467,610)</w:t>
            </w:r>
          </w:p>
        </w:tc>
        <w:tc>
          <w:tcPr>
            <w:tcW w:w="20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980" w:type="dxa"/>
            <w:vAlign w:val="bottom"/>
            <w:shd w:val="clear" w:color="auto" w:fill="D9D9D9"/>
          </w:tcPr>
          <w:p>
            <w:pPr>
              <w:jc w:val="right"/>
              <w:ind w:right="10"/>
              <w:spacing w:after="0" w:line="151" w:lineRule="exact"/>
              <w:rPr>
                <w:sz w:val="20"/>
                <w:szCs w:val="20"/>
                <w:color w:val="auto"/>
              </w:rPr>
            </w:pPr>
            <w:r>
              <w:rPr>
                <w:rFonts w:ascii="Arial" w:cs="Arial" w:eastAsia="Arial" w:hAnsi="Arial"/>
                <w:sz w:val="14"/>
                <w:szCs w:val="14"/>
                <w:color w:val="auto"/>
              </w:rPr>
              <w:t>33,774,613</w:t>
            </w:r>
          </w:p>
        </w:tc>
        <w:tc>
          <w:tcPr>
            <w:tcW w:w="18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14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12,801,133</w:t>
            </w:r>
          </w:p>
        </w:tc>
        <w:tc>
          <w:tcPr>
            <w:tcW w:w="14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200" w:type="dxa"/>
            <w:vAlign w:val="bottom"/>
            <w:shd w:val="clear" w:color="auto" w:fill="D9D9D9"/>
          </w:tcPr>
          <w:p>
            <w:pPr>
              <w:jc w:val="right"/>
              <w:ind w:right="30"/>
              <w:spacing w:after="0" w:line="151" w:lineRule="exact"/>
              <w:rPr>
                <w:sz w:val="20"/>
                <w:szCs w:val="20"/>
                <w:color w:val="auto"/>
              </w:rPr>
            </w:pPr>
            <w:r>
              <w:rPr>
                <w:rFonts w:ascii="Arial" w:cs="Arial" w:eastAsia="Arial" w:hAnsi="Arial"/>
                <w:sz w:val="14"/>
                <w:szCs w:val="14"/>
                <w:color w:val="auto"/>
              </w:rPr>
              <w:t>2,315,453</w:t>
            </w:r>
          </w:p>
        </w:tc>
        <w:tc>
          <w:tcPr>
            <w:tcW w:w="112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   48,891,199</w:t>
            </w:r>
          </w:p>
        </w:tc>
      </w:tr>
    </w:tbl>
    <w:p>
      <w:pPr>
        <w:spacing w:after="0" w:line="300" w:lineRule="exact"/>
        <w:rPr>
          <w:sz w:val="20"/>
          <w:szCs w:val="20"/>
          <w:color w:val="auto"/>
        </w:rPr>
      </w:pPr>
    </w:p>
    <w:p>
      <w:pPr>
        <w:ind w:left="1440" w:right="160" w:hanging="720"/>
        <w:spacing w:after="0" w:line="247" w:lineRule="auto"/>
        <w:tabs>
          <w:tab w:leader="none" w:pos="14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pension benefit value reported in the “Change in Pension Value and Non-qualified Deferred Compensation Earnings” column of the Summary Compensation Table for the 2025 fiscal year is adjusted to account for the aggregate of two components: (i) the actuarially determined service cost for services rendered by Mr. Michael during 2025 (the “service cost”); and (ii) the entire cost of benefits granted in a plan amendment during 2025 that are attributed by the benefit formula to services rendered in periods prior to the plan amendment (the “prior service cost”), in each case, calculated in accordance with U.S. GAAP.</w:t>
      </w:r>
    </w:p>
    <w:p>
      <w:pPr>
        <w:spacing w:after="0" w:line="68" w:lineRule="exact"/>
        <w:rPr>
          <w:rFonts w:ascii="Arial" w:cs="Arial" w:eastAsia="Arial" w:hAnsi="Arial"/>
          <w:sz w:val="20"/>
          <w:szCs w:val="20"/>
          <w:color w:val="auto"/>
        </w:rPr>
      </w:pPr>
    </w:p>
    <w:p>
      <w:pPr>
        <w:ind w:left="1440" w:right="380"/>
        <w:spacing w:after="0" w:line="254" w:lineRule="auto"/>
        <w:rPr>
          <w:rFonts w:ascii="Arial" w:cs="Arial" w:eastAsia="Arial" w:hAnsi="Arial"/>
          <w:sz w:val="20"/>
          <w:szCs w:val="20"/>
          <w:color w:val="auto"/>
        </w:rPr>
      </w:pPr>
      <w:r>
        <w:rPr>
          <w:rFonts w:ascii="Arial" w:cs="Arial" w:eastAsia="Arial" w:hAnsi="Arial"/>
          <w:sz w:val="20"/>
          <w:szCs w:val="20"/>
          <w:color w:val="auto"/>
        </w:rPr>
        <w:t>The amounts in the following table represent each of the amounts deducted and added to the change in pension value for Mr. Michael for the 2025 fiscal year for purposes of computing the “compensation actually paid” amount appearing in column (b) of the pay versus performance table: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3646805</wp:posOffset>
                </wp:positionH>
                <wp:positionV relativeFrom="paragraph">
                  <wp:posOffset>22860</wp:posOffset>
                </wp:positionV>
                <wp:extent cx="2753995" cy="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39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51" o:spid="_x0000_s15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15pt,1.8pt" to="504pt,1.8pt" o:allowincell="f" strokecolor="#000000" strokeweight="0.48pt"/>
            </w:pict>
          </mc:Fallback>
        </mc:AlternateContent>
      </w:r>
    </w:p>
    <w:p>
      <w:pPr>
        <w:spacing w:after="0" w:line="16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Total Change</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1"/>
        </w:trPr>
        <w:tc>
          <w:tcPr>
            <w:tcW w:w="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in Pension</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Prior</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Total Change in</w:t>
            </w:r>
          </w:p>
        </w:tc>
      </w:tr>
      <w:tr>
        <w:trPr>
          <w:trHeight w:val="162"/>
        </w:trPr>
        <w:tc>
          <w:tcPr>
            <w:tcW w:w="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Value Reflected</w:t>
            </w:r>
          </w:p>
        </w:tc>
        <w:tc>
          <w:tcPr>
            <w:tcW w:w="240" w:type="dxa"/>
            <w:vAlign w:val="bottom"/>
          </w:tcPr>
          <w:p>
            <w:pPr>
              <w:spacing w:after="0"/>
              <w:rPr>
                <w:sz w:val="14"/>
                <w:szCs w:val="14"/>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b w:val="1"/>
                <w:bCs w:val="1"/>
                <w:color w:val="auto"/>
              </w:rPr>
              <w:t>Change in</w:t>
            </w:r>
          </w:p>
        </w:tc>
        <w:tc>
          <w:tcPr>
            <w:tcW w:w="200" w:type="dxa"/>
            <w:vAlign w:val="bottom"/>
          </w:tcPr>
          <w:p>
            <w:pPr>
              <w:spacing w:after="0"/>
              <w:rPr>
                <w:sz w:val="14"/>
                <w:szCs w:val="14"/>
                <w:color w:val="auto"/>
              </w:rPr>
            </w:pPr>
          </w:p>
        </w:tc>
        <w:tc>
          <w:tcPr>
            <w:tcW w:w="1220" w:type="dxa"/>
            <w:vAlign w:val="bottom"/>
          </w:tcPr>
          <w:p>
            <w:pPr>
              <w:jc w:val="right"/>
              <w:ind w:right="70"/>
              <w:spacing w:after="0"/>
              <w:rPr>
                <w:sz w:val="20"/>
                <w:szCs w:val="20"/>
                <w:color w:val="auto"/>
              </w:rPr>
            </w:pPr>
            <w:r>
              <w:rPr>
                <w:rFonts w:ascii="Arial" w:cs="Arial" w:eastAsia="Arial" w:hAnsi="Arial"/>
                <w:sz w:val="14"/>
                <w:szCs w:val="14"/>
                <w:b w:val="1"/>
                <w:bCs w:val="1"/>
                <w:color w:val="auto"/>
              </w:rPr>
              <w:t>Service Costs</w:t>
            </w:r>
          </w:p>
        </w:tc>
        <w:tc>
          <w:tcPr>
            <w:tcW w:w="240" w:type="dxa"/>
            <w:vAlign w:val="bottom"/>
          </w:tcPr>
          <w:p>
            <w:pPr>
              <w:spacing w:after="0"/>
              <w:rPr>
                <w:sz w:val="14"/>
                <w:szCs w:val="14"/>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Service Costs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Pension Value</w:t>
            </w:r>
          </w:p>
        </w:tc>
      </w:tr>
      <w:tr>
        <w:trPr>
          <w:trHeight w:val="161"/>
        </w:trPr>
        <w:tc>
          <w:tcPr>
            <w:tcW w:w="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in the Summary</w:t>
            </w:r>
          </w:p>
        </w:tc>
        <w:tc>
          <w:tcPr>
            <w:tcW w:w="240" w:type="dxa"/>
            <w:vAlign w:val="bottom"/>
          </w:tcPr>
          <w:p>
            <w:pPr>
              <w:spacing w:after="0"/>
              <w:rPr>
                <w:sz w:val="13"/>
                <w:szCs w:val="13"/>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b w:val="1"/>
                <w:bCs w:val="1"/>
                <w:color w:val="auto"/>
              </w:rPr>
              <w:t>Pension Value</w:t>
            </w:r>
          </w:p>
        </w:tc>
        <w:tc>
          <w:tcPr>
            <w:tcW w:w="200" w:type="dxa"/>
            <w:vAlign w:val="bottom"/>
          </w:tcPr>
          <w:p>
            <w:pPr>
              <w:spacing w:after="0"/>
              <w:rPr>
                <w:sz w:val="13"/>
                <w:szCs w:val="13"/>
                <w:color w:val="auto"/>
              </w:rPr>
            </w:pPr>
          </w:p>
        </w:tc>
        <w:tc>
          <w:tcPr>
            <w:tcW w:w="1220" w:type="dxa"/>
            <w:vAlign w:val="bottom"/>
          </w:tcPr>
          <w:p>
            <w:pPr>
              <w:jc w:val="right"/>
              <w:ind w:right="70"/>
              <w:spacing w:after="0"/>
              <w:rPr>
                <w:sz w:val="20"/>
                <w:szCs w:val="20"/>
                <w:color w:val="auto"/>
              </w:rPr>
            </w:pPr>
            <w:r>
              <w:rPr>
                <w:rFonts w:ascii="Arial" w:cs="Arial" w:eastAsia="Arial" w:hAnsi="Arial"/>
                <w:sz w:val="14"/>
                <w:szCs w:val="14"/>
                <w:b w:val="1"/>
                <w:bCs w:val="1"/>
                <w:color w:val="auto"/>
              </w:rPr>
              <w:t>Attributable</w:t>
            </w:r>
          </w:p>
        </w:tc>
        <w:tc>
          <w:tcPr>
            <w:tcW w:w="240" w:type="dxa"/>
            <w:vAlign w:val="bottom"/>
          </w:tcPr>
          <w:p>
            <w:pPr>
              <w:spacing w:after="0"/>
              <w:rPr>
                <w:sz w:val="13"/>
                <w:szCs w:val="13"/>
                <w:color w:val="auto"/>
              </w:rPr>
            </w:pPr>
          </w:p>
        </w:tc>
        <w:tc>
          <w:tcPr>
            <w:tcW w:w="1200" w:type="dxa"/>
            <w:vAlign w:val="bottom"/>
          </w:tcPr>
          <w:p>
            <w:pPr>
              <w:jc w:val="right"/>
              <w:ind w:right="70"/>
              <w:spacing w:after="0"/>
              <w:rPr>
                <w:sz w:val="20"/>
                <w:szCs w:val="20"/>
                <w:color w:val="auto"/>
              </w:rPr>
            </w:pPr>
            <w:r>
              <w:rPr>
                <w:rFonts w:ascii="Arial" w:cs="Arial" w:eastAsia="Arial" w:hAnsi="Arial"/>
                <w:sz w:val="14"/>
                <w:szCs w:val="14"/>
                <w:b w:val="1"/>
                <w:bCs w:val="1"/>
                <w:color w:val="auto"/>
              </w:rPr>
              <w:t>Introduced</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Reflected in</w:t>
            </w:r>
          </w:p>
        </w:tc>
      </w:tr>
      <w:tr>
        <w:trPr>
          <w:trHeight w:val="161"/>
        </w:trPr>
        <w:tc>
          <w:tcPr>
            <w:tcW w:w="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Compensation</w:t>
            </w:r>
          </w:p>
        </w:tc>
        <w:tc>
          <w:tcPr>
            <w:tcW w:w="240" w:type="dxa"/>
            <w:vAlign w:val="bottom"/>
          </w:tcPr>
          <w:p>
            <w:pPr>
              <w:spacing w:after="0"/>
              <w:rPr>
                <w:sz w:val="13"/>
                <w:szCs w:val="13"/>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b w:val="1"/>
                <w:bCs w:val="1"/>
                <w:color w:val="auto"/>
              </w:rPr>
              <w:t>for the</w:t>
            </w:r>
          </w:p>
        </w:tc>
        <w:tc>
          <w:tcPr>
            <w:tcW w:w="200" w:type="dxa"/>
            <w:vAlign w:val="bottom"/>
          </w:tcPr>
          <w:p>
            <w:pPr>
              <w:spacing w:after="0"/>
              <w:rPr>
                <w:sz w:val="13"/>
                <w:szCs w:val="13"/>
                <w:color w:val="auto"/>
              </w:rPr>
            </w:pPr>
          </w:p>
        </w:tc>
        <w:tc>
          <w:tcPr>
            <w:tcW w:w="1220" w:type="dxa"/>
            <w:vAlign w:val="bottom"/>
          </w:tcPr>
          <w:p>
            <w:pPr>
              <w:jc w:val="right"/>
              <w:ind w:right="70"/>
              <w:spacing w:after="0"/>
              <w:rPr>
                <w:sz w:val="20"/>
                <w:szCs w:val="20"/>
                <w:color w:val="auto"/>
              </w:rPr>
            </w:pPr>
            <w:r>
              <w:rPr>
                <w:rFonts w:ascii="Arial" w:cs="Arial" w:eastAsia="Arial" w:hAnsi="Arial"/>
                <w:sz w:val="14"/>
                <w:szCs w:val="14"/>
                <w:b w:val="1"/>
                <w:bCs w:val="1"/>
                <w:color w:val="auto"/>
              </w:rPr>
              <w:t>to the</w:t>
            </w:r>
          </w:p>
        </w:tc>
        <w:tc>
          <w:tcPr>
            <w:tcW w:w="24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During the</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r>
      <w:tr>
        <w:trPr>
          <w:trHeight w:val="17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PEO Name</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Table</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Applicable Year</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Applicable Year</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Applicable Year</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Actually Paid</w:t>
            </w:r>
          </w:p>
        </w:tc>
      </w:tr>
      <w:tr>
        <w:trPr>
          <w:trHeight w:val="150"/>
        </w:trPr>
        <w:tc>
          <w:tcPr>
            <w:tcW w:w="800" w:type="dxa"/>
            <w:vAlign w:val="bottom"/>
            <w:shd w:val="clear" w:color="auto" w:fill="D9D9D9"/>
          </w:tcPr>
          <w:p>
            <w:pPr>
              <w:spacing w:after="0" w:line="151" w:lineRule="exact"/>
              <w:rPr>
                <w:sz w:val="20"/>
                <w:szCs w:val="20"/>
                <w:color w:val="auto"/>
              </w:rPr>
            </w:pPr>
            <w:r>
              <w:rPr>
                <w:rFonts w:ascii="Arial" w:cs="Arial" w:eastAsia="Arial" w:hAnsi="Arial"/>
                <w:sz w:val="14"/>
                <w:szCs w:val="14"/>
                <w:color w:val="auto"/>
              </w:rPr>
              <w:t>2025</w:t>
            </w:r>
          </w:p>
        </w:tc>
        <w:tc>
          <w:tcPr>
            <w:tcW w:w="1660" w:type="dxa"/>
            <w:vAlign w:val="bottom"/>
            <w:shd w:val="clear" w:color="auto" w:fill="D9D9D9"/>
          </w:tcPr>
          <w:p>
            <w:pPr>
              <w:ind w:left="220"/>
              <w:spacing w:after="0" w:line="151" w:lineRule="exact"/>
              <w:rPr>
                <w:sz w:val="20"/>
                <w:szCs w:val="20"/>
                <w:color w:val="auto"/>
              </w:rPr>
            </w:pPr>
            <w:r>
              <w:rPr>
                <w:rFonts w:ascii="Arial" w:cs="Arial" w:eastAsia="Arial" w:hAnsi="Arial"/>
                <w:sz w:val="14"/>
                <w:szCs w:val="14"/>
                <w:color w:val="auto"/>
              </w:rPr>
              <w:t>Robert A. Michael   $</w:t>
            </w:r>
          </w:p>
        </w:tc>
        <w:tc>
          <w:tcPr>
            <w:tcW w:w="1200" w:type="dxa"/>
            <w:vAlign w:val="bottom"/>
            <w:shd w:val="clear" w:color="auto" w:fill="D9D9D9"/>
          </w:tcPr>
          <w:p>
            <w:pPr>
              <w:jc w:val="right"/>
              <w:ind w:right="50"/>
              <w:spacing w:after="0" w:line="151" w:lineRule="exact"/>
              <w:rPr>
                <w:sz w:val="20"/>
                <w:szCs w:val="20"/>
                <w:color w:val="auto"/>
              </w:rPr>
            </w:pPr>
            <w:r>
              <w:rPr>
                <w:rFonts w:ascii="Arial" w:cs="Arial" w:eastAsia="Arial" w:hAnsi="Arial"/>
                <w:sz w:val="14"/>
                <w:szCs w:val="14"/>
                <w:color w:val="auto"/>
              </w:rPr>
              <w:t>8,147,000</w:t>
            </w:r>
          </w:p>
        </w:tc>
        <w:tc>
          <w:tcPr>
            <w:tcW w:w="24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240" w:type="dxa"/>
            <w:vAlign w:val="bottom"/>
            <w:shd w:val="clear" w:color="auto" w:fill="D9D9D9"/>
          </w:tcPr>
          <w:p>
            <w:pPr>
              <w:jc w:val="right"/>
              <w:ind w:right="50"/>
              <w:spacing w:after="0" w:line="151" w:lineRule="exact"/>
              <w:rPr>
                <w:sz w:val="20"/>
                <w:szCs w:val="20"/>
                <w:color w:val="auto"/>
              </w:rPr>
            </w:pPr>
            <w:r>
              <w:rPr>
                <w:rFonts w:ascii="Arial" w:cs="Arial" w:eastAsia="Arial" w:hAnsi="Arial"/>
                <w:sz w:val="14"/>
                <w:szCs w:val="14"/>
                <w:color w:val="auto"/>
              </w:rPr>
              <w:t>(8,147,000)</w:t>
            </w:r>
          </w:p>
        </w:tc>
        <w:tc>
          <w:tcPr>
            <w:tcW w:w="20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ind w:right="70"/>
              <w:spacing w:after="0" w:line="151" w:lineRule="exact"/>
              <w:rPr>
                <w:sz w:val="20"/>
                <w:szCs w:val="20"/>
                <w:color w:val="auto"/>
              </w:rPr>
            </w:pPr>
            <w:r>
              <w:rPr>
                <w:rFonts w:ascii="Arial" w:cs="Arial" w:eastAsia="Arial" w:hAnsi="Arial"/>
                <w:sz w:val="14"/>
                <w:szCs w:val="14"/>
                <w:color w:val="auto"/>
              </w:rPr>
              <w:t>557,868</w:t>
            </w:r>
          </w:p>
        </w:tc>
        <w:tc>
          <w:tcPr>
            <w:tcW w:w="24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200" w:type="dxa"/>
            <w:vAlign w:val="bottom"/>
            <w:shd w:val="clear" w:color="auto" w:fill="D9D9D9"/>
          </w:tcPr>
          <w:p>
            <w:pPr>
              <w:jc w:val="right"/>
              <w:ind w:right="50"/>
              <w:spacing w:after="0" w:line="151" w:lineRule="exact"/>
              <w:rPr>
                <w:sz w:val="20"/>
                <w:szCs w:val="20"/>
                <w:color w:val="auto"/>
              </w:rPr>
            </w:pPr>
            <w:r>
              <w:rPr>
                <w:rFonts w:ascii="Arial" w:cs="Arial" w:eastAsia="Arial" w:hAnsi="Arial"/>
                <w:sz w:val="14"/>
                <w:szCs w:val="14"/>
                <w:color w:val="auto"/>
              </w:rPr>
              <w:t>N/A</w:t>
            </w:r>
          </w:p>
        </w:tc>
        <w:tc>
          <w:tcPr>
            <w:tcW w:w="24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12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557,868</w:t>
            </w:r>
          </w:p>
        </w:tc>
      </w:tr>
    </w:tbl>
    <w:p>
      <w:pPr>
        <w:spacing w:after="0" w:line="257" w:lineRule="exact"/>
        <w:rPr>
          <w:sz w:val="20"/>
          <w:szCs w:val="20"/>
          <w:color w:val="auto"/>
        </w:rPr>
      </w:pPr>
    </w:p>
    <w:p>
      <w:pPr>
        <w:jc w:val="both"/>
        <w:ind w:left="720" w:right="900" w:hanging="720"/>
        <w:spacing w:after="0" w:line="246" w:lineRule="auto"/>
        <w:tabs>
          <w:tab w:leader="none" w:pos="72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dollar amounts reported represent the average of the amounts reported for AbbVie’s named executive officers (NEOs) as a group (excluding the PEO) in the “Total” column of the Summary Compensation Table in each applicable fiscal year. The names of each of the NEOs included for purposes of calculating the average amounts in each applicable year are as follows: (i) for 2025,</w:t>
      </w:r>
    </w:p>
    <w:p>
      <w:pPr>
        <w:spacing w:after="0" w:line="3" w:lineRule="exact"/>
        <w:rPr>
          <w:rFonts w:ascii="Arial" w:cs="Arial" w:eastAsia="Arial" w:hAnsi="Arial"/>
          <w:sz w:val="20"/>
          <w:szCs w:val="20"/>
          <w:color w:val="auto"/>
        </w:rPr>
      </w:pPr>
    </w:p>
    <w:p>
      <w:pPr>
        <w:ind w:left="720" w:right="80"/>
        <w:spacing w:after="0"/>
        <w:rPr>
          <w:rFonts w:ascii="Arial" w:cs="Arial" w:eastAsia="Arial" w:hAnsi="Arial"/>
          <w:sz w:val="20"/>
          <w:szCs w:val="20"/>
          <w:color w:val="auto"/>
        </w:rPr>
      </w:pPr>
      <w:r>
        <w:rPr>
          <w:rFonts w:ascii="Arial" w:cs="Arial" w:eastAsia="Arial" w:hAnsi="Arial"/>
          <w:sz w:val="20"/>
          <w:szCs w:val="20"/>
          <w:color w:val="auto"/>
        </w:rPr>
        <w:t>S. Reents, J. Stewart, A. Saleki-Gerhardt and R. Thakkar; (ii) for 2024, S. Reents, J. Stewart, A. Saleki-Gerhardt and T. Richmond; (iii) for 2023, R. Michael, S. Reents, J. Stewart and A. Saleki-Gerhardt; (iv) for 2022, R. Michael, S. Reents, L. Schumacher, J. Stewart and A. Saleki-Gerhardt; and (v) for 2021,</w:t>
      </w:r>
    </w:p>
    <w:p>
      <w:pPr>
        <w:ind w:left="720"/>
        <w:spacing w:after="0"/>
        <w:rPr>
          <w:rFonts w:ascii="Arial" w:cs="Arial" w:eastAsia="Arial" w:hAnsi="Arial"/>
          <w:sz w:val="20"/>
          <w:szCs w:val="20"/>
          <w:color w:val="auto"/>
        </w:rPr>
      </w:pPr>
      <w:r>
        <w:rPr>
          <w:rFonts w:ascii="Arial" w:cs="Arial" w:eastAsia="Arial" w:hAnsi="Arial"/>
          <w:sz w:val="20"/>
          <w:szCs w:val="20"/>
          <w:color w:val="auto"/>
        </w:rPr>
        <w:t>R. Michael, L. Schumacher, M. Severino and J. Stewart.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247">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140"/>
          </w:cols>
          <w:pgMar w:left="900" w:top="702" w:right="840" w:bottom="0" w:gutter="0" w:footer="0" w:header="0"/>
        </w:sectPr>
      </w:pPr>
    </w:p>
    <w:bookmarkStart w:id="192" w:name="page193"/>
    <w:bookmarkEnd w:id="192"/>
    <w:p>
      <w:pPr>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ind w:left="720" w:right="140" w:hanging="720"/>
        <w:spacing w:after="0" w:line="246" w:lineRule="auto"/>
        <w:tabs>
          <w:tab w:leader="none" w:pos="721"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dollar amounts reported represent the average amount of “compensation actually paid” to the NEOs as a group (excluding the PEO), as computed in accordance with Item 402(v) of Regulation S-K. The dollar amounts do not reflect the actual amount of compensation earned by or paid to the NEOs as a group (excluding the PEO) during such fiscal years and are based on valuation assumptions required by the SEC, which are unlikely to reflect actual amounts realized at vesting or exercise (as applicable). The average total compensation for the NEOs as a group (excluding the PEO) for each year was adjusted using the same methodology described above in footnote (b) to determine the compensation actually paid.</w:t>
      </w:r>
    </w:p>
    <w:p>
      <w:pPr>
        <w:spacing w:after="0" w:line="183" w:lineRule="exact"/>
        <w:rPr>
          <w:rFonts w:ascii="Arial" w:cs="Arial" w:eastAsia="Arial" w:hAnsi="Arial"/>
          <w:sz w:val="20"/>
          <w:szCs w:val="20"/>
          <w:color w:val="auto"/>
        </w:rPr>
      </w:pPr>
    </w:p>
    <w:p>
      <w:pPr>
        <w:ind w:left="720" w:right="340"/>
        <w:spacing w:after="0" w:line="254" w:lineRule="auto"/>
        <w:rPr>
          <w:rFonts w:ascii="Arial" w:cs="Arial" w:eastAsia="Arial" w:hAnsi="Arial"/>
          <w:sz w:val="20"/>
          <w:szCs w:val="20"/>
          <w:color w:val="auto"/>
        </w:rPr>
      </w:pPr>
      <w:r>
        <w:rPr>
          <w:rFonts w:ascii="Arial" w:cs="Arial" w:eastAsia="Arial" w:hAnsi="Arial"/>
          <w:sz w:val="20"/>
          <w:szCs w:val="20"/>
          <w:color w:val="auto"/>
        </w:rPr>
        <w:t>The amounts in the following table represent the average of the amounts deducted and added to the equity award values for AbbVie’s named executive officers (NEOs) as a group (excluding the PEO) for the 2025 fiscal year for purposes of computing the “compensation actually paid” amount appearing in column (d) of the pay versus performance table: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3047365</wp:posOffset>
                </wp:positionH>
                <wp:positionV relativeFrom="paragraph">
                  <wp:posOffset>84455</wp:posOffset>
                </wp:positionV>
                <wp:extent cx="3330575" cy="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305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95pt,6.65pt" to="502.2pt,6.65pt" o:allowincell="f" strokecolor="#000000" strokeweight="0.48pt"/>
            </w:pict>
          </mc:Fallback>
        </mc:AlternateContent>
      </w:r>
    </w:p>
    <w:p>
      <w:pPr>
        <w:spacing w:after="0" w:line="264"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b w:val="1"/>
                <w:bCs w:val="1"/>
                <w:color w:val="auto"/>
              </w:rPr>
              <w:t>Grant Date</w:t>
            </w:r>
          </w:p>
        </w:tc>
        <w:tc>
          <w:tcPr>
            <w:tcW w:w="1140" w:type="dxa"/>
            <w:vAlign w:val="bottom"/>
          </w:tcPr>
          <w:p>
            <w:pPr>
              <w:jc w:val="right"/>
              <w:ind w:right="10"/>
              <w:spacing w:after="0"/>
              <w:rPr>
                <w:sz w:val="20"/>
                <w:szCs w:val="20"/>
                <w:color w:val="auto"/>
              </w:rPr>
            </w:pPr>
            <w:r>
              <w:rPr>
                <w:rFonts w:ascii="Arial" w:cs="Arial" w:eastAsia="Arial" w:hAnsi="Arial"/>
                <w:sz w:val="14"/>
                <w:szCs w:val="14"/>
                <w:b w:val="1"/>
                <w:bCs w:val="1"/>
                <w:color w:val="auto"/>
              </w:rPr>
              <w:t>Year-end</w:t>
            </w:r>
          </w:p>
        </w:tc>
        <w:tc>
          <w:tcPr>
            <w:tcW w:w="18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Arial" w:cs="Arial" w:eastAsia="Arial" w:hAnsi="Arial"/>
                <w:sz w:val="14"/>
                <w:szCs w:val="14"/>
                <w:b w:val="1"/>
                <w:bCs w:val="1"/>
                <w:color w:val="auto"/>
              </w:rPr>
              <w:t>Change in</w:t>
            </w:r>
          </w:p>
        </w:tc>
        <w:tc>
          <w:tcPr>
            <w:tcW w:w="300" w:type="dxa"/>
            <w:vAlign w:val="bottom"/>
          </w:tcPr>
          <w:p>
            <w:pPr>
              <w:spacing w:after="0"/>
              <w:rPr>
                <w:sz w:val="14"/>
                <w:szCs w:val="14"/>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b w:val="1"/>
                <w:bCs w:val="1"/>
                <w:color w:val="auto"/>
              </w:rPr>
              <w:t>Change in</w:t>
            </w:r>
          </w:p>
        </w:tc>
        <w:tc>
          <w:tcPr>
            <w:tcW w:w="1120" w:type="dxa"/>
            <w:vAlign w:val="bottom"/>
          </w:tcPr>
          <w:p>
            <w:pPr>
              <w:spacing w:after="0"/>
              <w:rPr>
                <w:sz w:val="14"/>
                <w:szCs w:val="14"/>
                <w:color w:val="auto"/>
              </w:rPr>
            </w:pPr>
          </w:p>
        </w:tc>
      </w:tr>
      <w:tr>
        <w:trPr>
          <w:trHeight w:val="161"/>
        </w:trPr>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b w:val="1"/>
                <w:bCs w:val="1"/>
                <w:color w:val="auto"/>
              </w:rPr>
              <w:t>Total Equity</w:t>
            </w:r>
          </w:p>
        </w:tc>
        <w:tc>
          <w:tcPr>
            <w:tcW w:w="1180" w:type="dxa"/>
            <w:vAlign w:val="bottom"/>
          </w:tcPr>
          <w:p>
            <w:pPr>
              <w:jc w:val="right"/>
              <w:ind w:right="50"/>
              <w:spacing w:after="0"/>
              <w:rPr>
                <w:sz w:val="20"/>
                <w:szCs w:val="20"/>
                <w:color w:val="auto"/>
              </w:rPr>
            </w:pPr>
            <w:r>
              <w:rPr>
                <w:rFonts w:ascii="Arial" w:cs="Arial" w:eastAsia="Arial" w:hAnsi="Arial"/>
                <w:sz w:val="14"/>
                <w:szCs w:val="14"/>
                <w:b w:val="1"/>
                <w:bCs w:val="1"/>
                <w:color w:val="auto"/>
              </w:rPr>
              <w:t>Fair Value of</w:t>
            </w:r>
          </w:p>
        </w:tc>
        <w:tc>
          <w:tcPr>
            <w:tcW w:w="1140" w:type="dxa"/>
            <w:vAlign w:val="bottom"/>
          </w:tcPr>
          <w:p>
            <w:pPr>
              <w:jc w:val="right"/>
              <w:ind w:right="10"/>
              <w:spacing w:after="0"/>
              <w:rPr>
                <w:sz w:val="20"/>
                <w:szCs w:val="20"/>
                <w:color w:val="auto"/>
              </w:rPr>
            </w:pPr>
            <w:r>
              <w:rPr>
                <w:rFonts w:ascii="Arial" w:cs="Arial" w:eastAsia="Arial" w:hAnsi="Arial"/>
                <w:sz w:val="14"/>
                <w:szCs w:val="14"/>
                <w:b w:val="1"/>
                <w:bCs w:val="1"/>
                <w:color w:val="auto"/>
              </w:rPr>
              <w:t>Fair Value of</w:t>
            </w:r>
          </w:p>
        </w:tc>
        <w:tc>
          <w:tcPr>
            <w:tcW w:w="180" w:type="dxa"/>
            <w:vAlign w:val="bottom"/>
          </w:tcPr>
          <w:p>
            <w:pPr>
              <w:spacing w:after="0"/>
              <w:rPr>
                <w:sz w:val="13"/>
                <w:szCs w:val="13"/>
                <w:color w:val="auto"/>
              </w:rPr>
            </w:pPr>
          </w:p>
        </w:tc>
        <w:tc>
          <w:tcPr>
            <w:tcW w:w="1300" w:type="dxa"/>
            <w:vAlign w:val="bottom"/>
          </w:tcPr>
          <w:p>
            <w:pPr>
              <w:jc w:val="right"/>
              <w:ind w:right="130"/>
              <w:spacing w:after="0"/>
              <w:rPr>
                <w:sz w:val="20"/>
                <w:szCs w:val="20"/>
                <w:color w:val="auto"/>
              </w:rPr>
            </w:pPr>
            <w:r>
              <w:rPr>
                <w:rFonts w:ascii="Arial" w:cs="Arial" w:eastAsia="Arial" w:hAnsi="Arial"/>
                <w:sz w:val="14"/>
                <w:szCs w:val="14"/>
                <w:b w:val="1"/>
                <w:bCs w:val="1"/>
                <w:color w:val="auto"/>
              </w:rPr>
              <w:t>Fair Value as of</w:t>
            </w:r>
          </w:p>
        </w:tc>
        <w:tc>
          <w:tcPr>
            <w:tcW w:w="300" w:type="dxa"/>
            <w:vAlign w:val="bottom"/>
          </w:tcPr>
          <w:p>
            <w:pPr>
              <w:spacing w:after="0"/>
              <w:rPr>
                <w:sz w:val="13"/>
                <w:szCs w:val="13"/>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b w:val="1"/>
                <w:bCs w:val="1"/>
                <w:color w:val="auto"/>
                <w:w w:val="98"/>
              </w:rPr>
              <w:t>Fair Value as of</w:t>
            </w:r>
          </w:p>
        </w:tc>
        <w:tc>
          <w:tcPr>
            <w:tcW w:w="1120" w:type="dxa"/>
            <w:vAlign w:val="bottom"/>
          </w:tcPr>
          <w:p>
            <w:pPr>
              <w:spacing w:after="0"/>
              <w:rPr>
                <w:sz w:val="13"/>
                <w:szCs w:val="13"/>
                <w:color w:val="auto"/>
              </w:rPr>
            </w:pPr>
          </w:p>
        </w:tc>
      </w:tr>
      <w:tr>
        <w:trPr>
          <w:trHeight w:val="161"/>
        </w:trPr>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b w:val="1"/>
                <w:bCs w:val="1"/>
                <w:color w:val="auto"/>
              </w:rPr>
              <w:t>Value</w:t>
            </w:r>
          </w:p>
        </w:tc>
        <w:tc>
          <w:tcPr>
            <w:tcW w:w="1180" w:type="dxa"/>
            <w:vAlign w:val="bottom"/>
          </w:tcPr>
          <w:p>
            <w:pPr>
              <w:jc w:val="right"/>
              <w:ind w:right="30"/>
              <w:spacing w:after="0"/>
              <w:rPr>
                <w:sz w:val="20"/>
                <w:szCs w:val="20"/>
                <w:color w:val="auto"/>
              </w:rPr>
            </w:pPr>
            <w:r>
              <w:rPr>
                <w:rFonts w:ascii="Arial" w:cs="Arial" w:eastAsia="Arial" w:hAnsi="Arial"/>
                <w:sz w:val="14"/>
                <w:szCs w:val="14"/>
                <w:b w:val="1"/>
                <w:bCs w:val="1"/>
                <w:color w:val="auto"/>
              </w:rPr>
              <w:t>Equity Awards</w:t>
            </w:r>
          </w:p>
        </w:tc>
        <w:tc>
          <w:tcPr>
            <w:tcW w:w="1140" w:type="dxa"/>
            <w:vAlign w:val="bottom"/>
          </w:tcPr>
          <w:p>
            <w:pPr>
              <w:jc w:val="right"/>
              <w:ind w:right="10"/>
              <w:spacing w:after="0"/>
              <w:rPr>
                <w:sz w:val="20"/>
                <w:szCs w:val="20"/>
                <w:color w:val="auto"/>
              </w:rPr>
            </w:pPr>
            <w:r>
              <w:rPr>
                <w:rFonts w:ascii="Arial" w:cs="Arial" w:eastAsia="Arial" w:hAnsi="Arial"/>
                <w:sz w:val="14"/>
                <w:szCs w:val="14"/>
                <w:b w:val="1"/>
                <w:bCs w:val="1"/>
                <w:color w:val="auto"/>
              </w:rPr>
              <w:t>Equity Awards</w:t>
            </w:r>
          </w:p>
        </w:tc>
        <w:tc>
          <w:tcPr>
            <w:tcW w:w="180" w:type="dxa"/>
            <w:vAlign w:val="bottom"/>
          </w:tcPr>
          <w:p>
            <w:pPr>
              <w:spacing w:after="0"/>
              <w:rPr>
                <w:sz w:val="13"/>
                <w:szCs w:val="13"/>
                <w:color w:val="auto"/>
              </w:rPr>
            </w:pPr>
          </w:p>
        </w:tc>
        <w:tc>
          <w:tcPr>
            <w:tcW w:w="130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Year-End of Any</w:t>
            </w:r>
          </w:p>
        </w:tc>
        <w:tc>
          <w:tcPr>
            <w:tcW w:w="14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the Vesting Date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1"/>
        </w:trPr>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b w:val="1"/>
                <w:bCs w:val="1"/>
                <w:color w:val="auto"/>
              </w:rPr>
              <w:t>Reflected in</w:t>
            </w:r>
          </w:p>
        </w:tc>
        <w:tc>
          <w:tcPr>
            <w:tcW w:w="1180" w:type="dxa"/>
            <w:vAlign w:val="bottom"/>
          </w:tcPr>
          <w:p>
            <w:pPr>
              <w:jc w:val="right"/>
              <w:ind w:right="50"/>
              <w:spacing w:after="0"/>
              <w:rPr>
                <w:sz w:val="20"/>
                <w:szCs w:val="20"/>
                <w:color w:val="auto"/>
              </w:rPr>
            </w:pPr>
            <w:r>
              <w:rPr>
                <w:rFonts w:ascii="Arial" w:cs="Arial" w:eastAsia="Arial" w:hAnsi="Arial"/>
                <w:sz w:val="14"/>
                <w:szCs w:val="14"/>
                <w:b w:val="1"/>
                <w:bCs w:val="1"/>
                <w:color w:val="auto"/>
              </w:rPr>
              <w:t>Granted</w:t>
            </w:r>
          </w:p>
        </w:tc>
        <w:tc>
          <w:tcPr>
            <w:tcW w:w="1140" w:type="dxa"/>
            <w:vAlign w:val="bottom"/>
          </w:tcPr>
          <w:p>
            <w:pPr>
              <w:jc w:val="right"/>
              <w:ind w:right="10"/>
              <w:spacing w:after="0"/>
              <w:rPr>
                <w:sz w:val="20"/>
                <w:szCs w:val="20"/>
                <w:color w:val="auto"/>
              </w:rPr>
            </w:pPr>
            <w:r>
              <w:rPr>
                <w:rFonts w:ascii="Arial" w:cs="Arial" w:eastAsia="Arial" w:hAnsi="Arial"/>
                <w:sz w:val="14"/>
                <w:szCs w:val="14"/>
                <w:b w:val="1"/>
                <w:bCs w:val="1"/>
                <w:color w:val="auto"/>
              </w:rPr>
              <w:t>Granted</w:t>
            </w:r>
          </w:p>
        </w:tc>
        <w:tc>
          <w:tcPr>
            <w:tcW w:w="180" w:type="dxa"/>
            <w:vAlign w:val="bottom"/>
          </w:tcPr>
          <w:p>
            <w:pPr>
              <w:spacing w:after="0"/>
              <w:rPr>
                <w:sz w:val="13"/>
                <w:szCs w:val="13"/>
                <w:color w:val="auto"/>
              </w:rPr>
            </w:pPr>
          </w:p>
        </w:tc>
        <w:tc>
          <w:tcPr>
            <w:tcW w:w="1300" w:type="dxa"/>
            <w:vAlign w:val="bottom"/>
          </w:tcPr>
          <w:p>
            <w:pPr>
              <w:jc w:val="right"/>
              <w:ind w:right="130"/>
              <w:spacing w:after="0"/>
              <w:rPr>
                <w:sz w:val="20"/>
                <w:szCs w:val="20"/>
                <w:color w:val="auto"/>
              </w:rPr>
            </w:pPr>
            <w:r>
              <w:rPr>
                <w:rFonts w:ascii="Arial" w:cs="Arial" w:eastAsia="Arial" w:hAnsi="Arial"/>
                <w:sz w:val="14"/>
                <w:szCs w:val="14"/>
                <w:b w:val="1"/>
                <w:bCs w:val="1"/>
                <w:color w:val="auto"/>
              </w:rPr>
              <w:t>Prior Year</w:t>
            </w:r>
          </w:p>
        </w:tc>
        <w:tc>
          <w:tcPr>
            <w:tcW w:w="14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of Any Prior Year</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Equity Value</w:t>
            </w:r>
          </w:p>
        </w:tc>
      </w:tr>
      <w:tr>
        <w:trPr>
          <w:trHeight w:val="162"/>
        </w:trPr>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b w:val="1"/>
                <w:bCs w:val="1"/>
                <w:color w:val="auto"/>
              </w:rPr>
              <w:t>Summary</w:t>
            </w:r>
          </w:p>
        </w:tc>
        <w:tc>
          <w:tcPr>
            <w:tcW w:w="1180" w:type="dxa"/>
            <w:vAlign w:val="bottom"/>
          </w:tcPr>
          <w:p>
            <w:pPr>
              <w:jc w:val="right"/>
              <w:ind w:right="30"/>
              <w:spacing w:after="0"/>
              <w:rPr>
                <w:sz w:val="20"/>
                <w:szCs w:val="20"/>
                <w:color w:val="auto"/>
              </w:rPr>
            </w:pPr>
            <w:r>
              <w:rPr>
                <w:rFonts w:ascii="Arial" w:cs="Arial" w:eastAsia="Arial" w:hAnsi="Arial"/>
                <w:sz w:val="14"/>
                <w:szCs w:val="14"/>
                <w:b w:val="1"/>
                <w:bCs w:val="1"/>
                <w:color w:val="auto"/>
              </w:rPr>
              <w:t>During</w:t>
            </w:r>
          </w:p>
        </w:tc>
        <w:tc>
          <w:tcPr>
            <w:tcW w:w="1140" w:type="dxa"/>
            <w:vAlign w:val="bottom"/>
          </w:tcPr>
          <w:p>
            <w:pPr>
              <w:jc w:val="right"/>
              <w:ind w:right="10"/>
              <w:spacing w:after="0"/>
              <w:rPr>
                <w:sz w:val="20"/>
                <w:szCs w:val="20"/>
                <w:color w:val="auto"/>
              </w:rPr>
            </w:pPr>
            <w:r>
              <w:rPr>
                <w:rFonts w:ascii="Arial" w:cs="Arial" w:eastAsia="Arial" w:hAnsi="Arial"/>
                <w:sz w:val="14"/>
                <w:szCs w:val="14"/>
                <w:b w:val="1"/>
                <w:bCs w:val="1"/>
                <w:color w:val="auto"/>
              </w:rPr>
              <w:t>During</w:t>
            </w:r>
          </w:p>
        </w:tc>
        <w:tc>
          <w:tcPr>
            <w:tcW w:w="18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Arial" w:cs="Arial" w:eastAsia="Arial" w:hAnsi="Arial"/>
                <w:sz w:val="14"/>
                <w:szCs w:val="14"/>
                <w:b w:val="1"/>
                <w:bCs w:val="1"/>
                <w:color w:val="auto"/>
              </w:rPr>
              <w:t>Awards that</w:t>
            </w:r>
          </w:p>
        </w:tc>
        <w:tc>
          <w:tcPr>
            <w:tcW w:w="300" w:type="dxa"/>
            <w:vAlign w:val="bottom"/>
          </w:tcPr>
          <w:p>
            <w:pPr>
              <w:spacing w:after="0"/>
              <w:rPr>
                <w:sz w:val="14"/>
                <w:szCs w:val="14"/>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b w:val="1"/>
                <w:bCs w:val="1"/>
                <w:color w:val="auto"/>
              </w:rPr>
              <w:t>Awards that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Reflected in</w:t>
            </w:r>
          </w:p>
        </w:tc>
      </w:tr>
      <w:tr>
        <w:trPr>
          <w:trHeight w:val="161"/>
        </w:trPr>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right"/>
              <w:ind w:right="30"/>
              <w:spacing w:after="0"/>
              <w:rPr>
                <w:sz w:val="20"/>
                <w:szCs w:val="20"/>
                <w:color w:val="auto"/>
              </w:rPr>
            </w:pPr>
            <w:r>
              <w:rPr>
                <w:rFonts w:ascii="Arial" w:cs="Arial" w:eastAsia="Arial" w:hAnsi="Arial"/>
                <w:sz w:val="14"/>
                <w:szCs w:val="14"/>
                <w:b w:val="1"/>
                <w:bCs w:val="1"/>
                <w:color w:val="auto"/>
              </w:rPr>
              <w:t>Applicable</w:t>
            </w:r>
          </w:p>
        </w:tc>
        <w:tc>
          <w:tcPr>
            <w:tcW w:w="1140" w:type="dxa"/>
            <w:vAlign w:val="bottom"/>
          </w:tcPr>
          <w:p>
            <w:pPr>
              <w:jc w:val="right"/>
              <w:ind w:right="10"/>
              <w:spacing w:after="0"/>
              <w:rPr>
                <w:sz w:val="20"/>
                <w:szCs w:val="20"/>
                <w:color w:val="auto"/>
              </w:rPr>
            </w:pPr>
            <w:r>
              <w:rPr>
                <w:rFonts w:ascii="Arial" w:cs="Arial" w:eastAsia="Arial" w:hAnsi="Arial"/>
                <w:sz w:val="14"/>
                <w:szCs w:val="14"/>
                <w:b w:val="1"/>
                <w:bCs w:val="1"/>
                <w:color w:val="auto"/>
              </w:rPr>
              <w:t>Applicable</w:t>
            </w:r>
          </w:p>
        </w:tc>
        <w:tc>
          <w:tcPr>
            <w:tcW w:w="14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Remain Unvested</w:t>
            </w:r>
          </w:p>
        </w:tc>
        <w:tc>
          <w:tcPr>
            <w:tcW w:w="300" w:type="dxa"/>
            <w:vAlign w:val="bottom"/>
          </w:tcPr>
          <w:p>
            <w:pPr>
              <w:spacing w:after="0"/>
              <w:rPr>
                <w:sz w:val="13"/>
                <w:szCs w:val="13"/>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b w:val="1"/>
                <w:bCs w:val="1"/>
                <w:color w:val="auto"/>
              </w:rPr>
              <w:t>Vested During</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r>
      <w:tr>
        <w:trPr>
          <w:trHeight w:val="177"/>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NEO Names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Table</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Year</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as of Year-End</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98"/>
              </w:rPr>
              <w:t>Applicable Year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Actually Paid</w:t>
            </w:r>
          </w:p>
        </w:tc>
      </w:tr>
      <w:tr>
        <w:trPr>
          <w:trHeight w:val="150"/>
        </w:trPr>
        <w:tc>
          <w:tcPr>
            <w:tcW w:w="520" w:type="dxa"/>
            <w:vAlign w:val="bottom"/>
            <w:shd w:val="clear" w:color="auto" w:fill="D9D9D9"/>
          </w:tcPr>
          <w:p>
            <w:pPr>
              <w:spacing w:after="0" w:line="151" w:lineRule="exact"/>
              <w:rPr>
                <w:sz w:val="20"/>
                <w:szCs w:val="20"/>
                <w:color w:val="auto"/>
              </w:rPr>
            </w:pPr>
            <w:r>
              <w:rPr>
                <w:rFonts w:ascii="Arial" w:cs="Arial" w:eastAsia="Arial" w:hAnsi="Arial"/>
                <w:sz w:val="14"/>
                <w:szCs w:val="14"/>
                <w:color w:val="auto"/>
              </w:rPr>
              <w:t>2025</w:t>
            </w:r>
          </w:p>
        </w:tc>
        <w:tc>
          <w:tcPr>
            <w:tcW w:w="1280" w:type="dxa"/>
            <w:vAlign w:val="bottom"/>
            <w:shd w:val="clear" w:color="auto" w:fill="D9D9D9"/>
          </w:tcPr>
          <w:p>
            <w:pPr>
              <w:ind w:left="200"/>
              <w:spacing w:after="0" w:line="151" w:lineRule="exact"/>
              <w:rPr>
                <w:sz w:val="20"/>
                <w:szCs w:val="20"/>
                <w:color w:val="auto"/>
              </w:rPr>
            </w:pPr>
            <w:r>
              <w:rPr>
                <w:rFonts w:ascii="Arial" w:cs="Arial" w:eastAsia="Arial" w:hAnsi="Arial"/>
                <w:sz w:val="14"/>
                <w:szCs w:val="14"/>
                <w:color w:val="auto"/>
              </w:rPr>
              <w:t>See footnote (c)</w:t>
            </w:r>
          </w:p>
        </w:tc>
        <w:tc>
          <w:tcPr>
            <w:tcW w:w="22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10"/>
              <w:spacing w:after="0" w:line="151" w:lineRule="exact"/>
              <w:rPr>
                <w:sz w:val="20"/>
                <w:szCs w:val="20"/>
                <w:color w:val="auto"/>
              </w:rPr>
            </w:pPr>
            <w:r>
              <w:rPr>
                <w:rFonts w:ascii="Arial" w:cs="Arial" w:eastAsia="Arial" w:hAnsi="Arial"/>
                <w:sz w:val="14"/>
                <w:szCs w:val="14"/>
                <w:color w:val="auto"/>
              </w:rPr>
              <w:t>5,493,397</w:t>
            </w:r>
          </w:p>
        </w:tc>
        <w:tc>
          <w:tcPr>
            <w:tcW w:w="118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   (5,493,397)</w:t>
            </w:r>
          </w:p>
        </w:tc>
        <w:tc>
          <w:tcPr>
            <w:tcW w:w="1140" w:type="dxa"/>
            <w:vAlign w:val="bottom"/>
            <w:shd w:val="clear" w:color="auto" w:fill="D9D9D9"/>
          </w:tcPr>
          <w:p>
            <w:pPr>
              <w:jc w:val="right"/>
              <w:ind w:right="10"/>
              <w:spacing w:after="0" w:line="151" w:lineRule="exact"/>
              <w:rPr>
                <w:sz w:val="20"/>
                <w:szCs w:val="20"/>
                <w:color w:val="auto"/>
              </w:rPr>
            </w:pPr>
            <w:r>
              <w:rPr>
                <w:rFonts w:ascii="Arial" w:cs="Arial" w:eastAsia="Arial" w:hAnsi="Arial"/>
                <w:sz w:val="14"/>
                <w:szCs w:val="14"/>
                <w:color w:val="auto"/>
              </w:rPr>
              <w:t>$   11,266,889</w:t>
            </w:r>
          </w:p>
        </w:tc>
        <w:tc>
          <w:tcPr>
            <w:tcW w:w="18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300" w:type="dxa"/>
            <w:vAlign w:val="bottom"/>
            <w:shd w:val="clear" w:color="auto" w:fill="D9D9D9"/>
          </w:tcPr>
          <w:p>
            <w:pPr>
              <w:jc w:val="right"/>
              <w:ind w:right="130"/>
              <w:spacing w:after="0" w:line="151" w:lineRule="exact"/>
              <w:rPr>
                <w:sz w:val="20"/>
                <w:szCs w:val="20"/>
                <w:color w:val="auto"/>
              </w:rPr>
            </w:pPr>
            <w:r>
              <w:rPr>
                <w:rFonts w:ascii="Arial" w:cs="Arial" w:eastAsia="Arial" w:hAnsi="Arial"/>
                <w:sz w:val="14"/>
                <w:szCs w:val="14"/>
                <w:color w:val="auto"/>
              </w:rPr>
              <w:t>6,458,837</w:t>
            </w:r>
          </w:p>
        </w:tc>
        <w:tc>
          <w:tcPr>
            <w:tcW w:w="30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140" w:type="dxa"/>
            <w:vAlign w:val="bottom"/>
            <w:shd w:val="clear" w:color="auto" w:fill="D9D9D9"/>
          </w:tcPr>
          <w:p>
            <w:pPr>
              <w:jc w:val="right"/>
              <w:ind w:right="10"/>
              <w:spacing w:after="0" w:line="151" w:lineRule="exact"/>
              <w:rPr>
                <w:sz w:val="20"/>
                <w:szCs w:val="20"/>
                <w:color w:val="auto"/>
              </w:rPr>
            </w:pPr>
            <w:r>
              <w:rPr>
                <w:rFonts w:ascii="Arial" w:cs="Arial" w:eastAsia="Arial" w:hAnsi="Arial"/>
                <w:sz w:val="14"/>
                <w:szCs w:val="14"/>
                <w:color w:val="auto"/>
              </w:rPr>
              <w:t>1,325,284</w:t>
            </w:r>
          </w:p>
        </w:tc>
        <w:tc>
          <w:tcPr>
            <w:tcW w:w="1120" w:type="dxa"/>
            <w:vAlign w:val="bottom"/>
            <w:shd w:val="clear" w:color="auto" w:fill="D9D9D9"/>
          </w:tcPr>
          <w:p>
            <w:pPr>
              <w:jc w:val="right"/>
              <w:spacing w:after="0" w:line="151" w:lineRule="exact"/>
              <w:rPr>
                <w:sz w:val="20"/>
                <w:szCs w:val="20"/>
                <w:color w:val="auto"/>
              </w:rPr>
            </w:pPr>
            <w:r>
              <w:rPr>
                <w:rFonts w:ascii="Arial" w:cs="Arial" w:eastAsia="Arial" w:hAnsi="Arial"/>
                <w:sz w:val="14"/>
                <w:szCs w:val="14"/>
                <w:color w:val="auto"/>
              </w:rPr>
              <w:t>$   19,051,010</w:t>
            </w:r>
          </w:p>
        </w:tc>
      </w:tr>
    </w:tbl>
    <w:p>
      <w:pPr>
        <w:spacing w:after="0" w:line="211" w:lineRule="exact"/>
        <w:rPr>
          <w:sz w:val="20"/>
          <w:szCs w:val="20"/>
          <w:color w:val="auto"/>
        </w:rPr>
      </w:pPr>
    </w:p>
    <w:p>
      <w:pPr>
        <w:ind w:left="720" w:right="40"/>
        <w:spacing w:after="0" w:line="254" w:lineRule="auto"/>
        <w:rPr>
          <w:sz w:val="20"/>
          <w:szCs w:val="20"/>
          <w:color w:val="auto"/>
        </w:rPr>
      </w:pPr>
      <w:r>
        <w:rPr>
          <w:rFonts w:ascii="Arial" w:cs="Arial" w:eastAsia="Arial" w:hAnsi="Arial"/>
          <w:sz w:val="20"/>
          <w:szCs w:val="20"/>
          <w:color w:val="auto"/>
        </w:rPr>
        <w:t>The amounts in the following table represent each of the amounts deducted and added to the change in pension value for AbbVie’s named executive officers (NEOs) as a group (excluding the PEO) for the 2025 fiscal year for purposes of computing the “compensation actually paid” amount appearing in column (d) of the pay versus performance table: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3634740</wp:posOffset>
                </wp:positionH>
                <wp:positionV relativeFrom="paragraph">
                  <wp:posOffset>69215</wp:posOffset>
                </wp:positionV>
                <wp:extent cx="2766060" cy="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60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54" o:spid="_x0000_s15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2pt,5.45pt" to="504pt,5.45pt" o:allowincell="f" strokecolor="#000000" strokeweight="0.48pt"/>
            </w:pict>
          </mc:Fallback>
        </mc:AlternateContent>
      </w:r>
    </w:p>
    <w:p>
      <w:pPr>
        <w:spacing w:after="0" w:line="240"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190"/>
              <w:spacing w:after="0"/>
              <w:rPr>
                <w:sz w:val="20"/>
                <w:szCs w:val="20"/>
                <w:color w:val="auto"/>
              </w:rPr>
            </w:pPr>
            <w:r>
              <w:rPr>
                <w:rFonts w:ascii="Arial" w:cs="Arial" w:eastAsia="Arial" w:hAnsi="Arial"/>
                <w:sz w:val="14"/>
                <w:szCs w:val="14"/>
                <w:b w:val="1"/>
                <w:bCs w:val="1"/>
                <w:color w:val="auto"/>
              </w:rPr>
              <w:t>Total Change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10"/>
              <w:spacing w:after="0"/>
              <w:rPr>
                <w:sz w:val="20"/>
                <w:szCs w:val="20"/>
                <w:color w:val="auto"/>
              </w:rPr>
            </w:pPr>
            <w:r>
              <w:rPr>
                <w:rFonts w:ascii="Arial" w:cs="Arial" w:eastAsia="Arial" w:hAnsi="Arial"/>
                <w:sz w:val="14"/>
                <w:szCs w:val="14"/>
                <w:b w:val="1"/>
                <w:bCs w:val="1"/>
                <w:color w:val="auto"/>
              </w:rPr>
              <w:t>in Pension</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70"/>
              <w:spacing w:after="0"/>
              <w:rPr>
                <w:sz w:val="20"/>
                <w:szCs w:val="20"/>
                <w:color w:val="auto"/>
              </w:rPr>
            </w:pPr>
            <w:r>
              <w:rPr>
                <w:rFonts w:ascii="Arial" w:cs="Arial" w:eastAsia="Arial" w:hAnsi="Arial"/>
                <w:sz w:val="14"/>
                <w:szCs w:val="14"/>
                <w:b w:val="1"/>
                <w:bCs w:val="1"/>
                <w:color w:val="auto"/>
              </w:rPr>
              <w:t>Prior</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Total Change in</w:t>
            </w:r>
          </w:p>
        </w:tc>
      </w:t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10"/>
              <w:spacing w:after="0"/>
              <w:rPr>
                <w:sz w:val="20"/>
                <w:szCs w:val="20"/>
                <w:color w:val="auto"/>
              </w:rPr>
            </w:pPr>
            <w:r>
              <w:rPr>
                <w:rFonts w:ascii="Arial" w:cs="Arial" w:eastAsia="Arial" w:hAnsi="Arial"/>
                <w:sz w:val="14"/>
                <w:szCs w:val="14"/>
                <w:b w:val="1"/>
                <w:bCs w:val="1"/>
                <w:color w:val="auto"/>
                <w:w w:val="99"/>
              </w:rPr>
              <w:t>Value Reflected</w:t>
            </w:r>
          </w:p>
        </w:tc>
        <w:tc>
          <w:tcPr>
            <w:tcW w:w="100" w:type="dxa"/>
            <w:vAlign w:val="bottom"/>
          </w:tcPr>
          <w:p>
            <w:pPr>
              <w:spacing w:after="0"/>
              <w:rPr>
                <w:sz w:val="13"/>
                <w:szCs w:val="13"/>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b w:val="1"/>
                <w:bCs w:val="1"/>
                <w:color w:val="auto"/>
              </w:rPr>
              <w:t>Change in</w:t>
            </w:r>
          </w:p>
        </w:tc>
        <w:tc>
          <w:tcPr>
            <w:tcW w:w="22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Service Costs</w:t>
            </w:r>
          </w:p>
        </w:tc>
        <w:tc>
          <w:tcPr>
            <w:tcW w:w="240" w:type="dxa"/>
            <w:vAlign w:val="bottom"/>
          </w:tcPr>
          <w:p>
            <w:pPr>
              <w:spacing w:after="0"/>
              <w:rPr>
                <w:sz w:val="13"/>
                <w:szCs w:val="13"/>
                <w:color w:val="auto"/>
              </w:rPr>
            </w:pPr>
          </w:p>
        </w:tc>
        <w:tc>
          <w:tcPr>
            <w:tcW w:w="1220" w:type="dxa"/>
            <w:vAlign w:val="bottom"/>
          </w:tcPr>
          <w:p>
            <w:pPr>
              <w:jc w:val="right"/>
              <w:ind w:right="70"/>
              <w:spacing w:after="0"/>
              <w:rPr>
                <w:sz w:val="20"/>
                <w:szCs w:val="20"/>
                <w:color w:val="auto"/>
              </w:rPr>
            </w:pPr>
            <w:r>
              <w:rPr>
                <w:rFonts w:ascii="Arial" w:cs="Arial" w:eastAsia="Arial" w:hAnsi="Arial"/>
                <w:sz w:val="14"/>
                <w:szCs w:val="14"/>
                <w:b w:val="1"/>
                <w:bCs w:val="1"/>
                <w:color w:val="auto"/>
              </w:rPr>
              <w:t>Service Costs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Pension Value</w:t>
            </w:r>
          </w:p>
        </w:tc>
      </w:t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190"/>
              <w:spacing w:after="0"/>
              <w:rPr>
                <w:sz w:val="20"/>
                <w:szCs w:val="20"/>
                <w:color w:val="auto"/>
              </w:rPr>
            </w:pPr>
            <w:r>
              <w:rPr>
                <w:rFonts w:ascii="Arial" w:cs="Arial" w:eastAsia="Arial" w:hAnsi="Arial"/>
                <w:sz w:val="14"/>
                <w:szCs w:val="14"/>
                <w:b w:val="1"/>
                <w:bCs w:val="1"/>
                <w:color w:val="auto"/>
              </w:rPr>
              <w:t>in the Summary</w:t>
            </w:r>
          </w:p>
        </w:tc>
        <w:tc>
          <w:tcPr>
            <w:tcW w:w="100" w:type="dxa"/>
            <w:vAlign w:val="bottom"/>
          </w:tcPr>
          <w:p>
            <w:pPr>
              <w:spacing w:after="0"/>
              <w:rPr>
                <w:sz w:val="13"/>
                <w:szCs w:val="13"/>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b w:val="1"/>
                <w:bCs w:val="1"/>
                <w:color w:val="auto"/>
              </w:rPr>
              <w:t>Pension Value</w:t>
            </w:r>
          </w:p>
        </w:tc>
        <w:tc>
          <w:tcPr>
            <w:tcW w:w="22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Attributable</w:t>
            </w:r>
          </w:p>
        </w:tc>
        <w:tc>
          <w:tcPr>
            <w:tcW w:w="240" w:type="dxa"/>
            <w:vAlign w:val="bottom"/>
          </w:tcPr>
          <w:p>
            <w:pPr>
              <w:spacing w:after="0"/>
              <w:rPr>
                <w:sz w:val="13"/>
                <w:szCs w:val="13"/>
                <w:color w:val="auto"/>
              </w:rPr>
            </w:pPr>
          </w:p>
        </w:tc>
        <w:tc>
          <w:tcPr>
            <w:tcW w:w="1220" w:type="dxa"/>
            <w:vAlign w:val="bottom"/>
          </w:tcPr>
          <w:p>
            <w:pPr>
              <w:jc w:val="right"/>
              <w:ind w:right="70"/>
              <w:spacing w:after="0"/>
              <w:rPr>
                <w:sz w:val="20"/>
                <w:szCs w:val="20"/>
                <w:color w:val="auto"/>
              </w:rPr>
            </w:pPr>
            <w:r>
              <w:rPr>
                <w:rFonts w:ascii="Arial" w:cs="Arial" w:eastAsia="Arial" w:hAnsi="Arial"/>
                <w:sz w:val="14"/>
                <w:szCs w:val="14"/>
                <w:b w:val="1"/>
                <w:bCs w:val="1"/>
                <w:color w:val="auto"/>
              </w:rPr>
              <w:t>Introduced</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Reflected in</w:t>
            </w:r>
          </w:p>
        </w:tc>
      </w:t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1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3"/>
                <w:szCs w:val="13"/>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b w:val="1"/>
                <w:bCs w:val="1"/>
                <w:color w:val="auto"/>
              </w:rPr>
              <w:t>for the</w:t>
            </w:r>
          </w:p>
        </w:tc>
        <w:tc>
          <w:tcPr>
            <w:tcW w:w="220" w:type="dxa"/>
            <w:vAlign w:val="bottom"/>
          </w:tcPr>
          <w:p>
            <w:pPr>
              <w:spacing w:after="0"/>
              <w:rPr>
                <w:sz w:val="13"/>
                <w:szCs w:val="13"/>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to the</w:t>
            </w:r>
          </w:p>
        </w:tc>
        <w:tc>
          <w:tcPr>
            <w:tcW w:w="240" w:type="dxa"/>
            <w:vAlign w:val="bottom"/>
          </w:tcPr>
          <w:p>
            <w:pPr>
              <w:spacing w:after="0"/>
              <w:rPr>
                <w:sz w:val="13"/>
                <w:szCs w:val="13"/>
                <w:color w:val="auto"/>
              </w:rPr>
            </w:pPr>
          </w:p>
        </w:tc>
        <w:tc>
          <w:tcPr>
            <w:tcW w:w="1220" w:type="dxa"/>
            <w:vAlign w:val="bottom"/>
          </w:tcPr>
          <w:p>
            <w:pPr>
              <w:jc w:val="right"/>
              <w:ind w:right="70"/>
              <w:spacing w:after="0"/>
              <w:rPr>
                <w:sz w:val="20"/>
                <w:szCs w:val="20"/>
                <w:color w:val="auto"/>
              </w:rPr>
            </w:pPr>
            <w:r>
              <w:rPr>
                <w:rFonts w:ascii="Arial" w:cs="Arial" w:eastAsia="Arial" w:hAnsi="Arial"/>
                <w:sz w:val="14"/>
                <w:szCs w:val="14"/>
                <w:b w:val="1"/>
                <w:bCs w:val="1"/>
                <w:color w:val="auto"/>
              </w:rPr>
              <w:t>During the</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r>
      <w:tr>
        <w:trPr>
          <w:trHeight w:val="178"/>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520" w:type="dxa"/>
            <w:vAlign w:val="bottom"/>
          </w:tcPr>
          <w:p>
            <w:pPr>
              <w:ind w:left="360"/>
              <w:spacing w:after="0"/>
              <w:rPr>
                <w:sz w:val="20"/>
                <w:szCs w:val="20"/>
                <w:color w:val="auto"/>
              </w:rPr>
            </w:pPr>
            <w:r>
              <w:rPr>
                <w:rFonts w:ascii="Arial" w:cs="Arial" w:eastAsia="Arial" w:hAnsi="Arial"/>
                <w:sz w:val="14"/>
                <w:szCs w:val="14"/>
                <w:b w:val="1"/>
                <w:bCs w:val="1"/>
                <w:color w:val="auto"/>
              </w:rPr>
              <w:t>NEO Names</w:t>
            </w:r>
          </w:p>
        </w:tc>
        <w:tc>
          <w:tcPr>
            <w:tcW w:w="260" w:type="dxa"/>
            <w:vAlign w:val="bottom"/>
          </w:tcPr>
          <w:p>
            <w:pPr>
              <w:spacing w:after="0"/>
              <w:rPr>
                <w:sz w:val="15"/>
                <w:szCs w:val="15"/>
                <w:color w:val="auto"/>
              </w:rPr>
            </w:pPr>
          </w:p>
        </w:tc>
        <w:tc>
          <w:tcPr>
            <w:tcW w:w="1340" w:type="dxa"/>
            <w:vAlign w:val="bottom"/>
          </w:tcPr>
          <w:p>
            <w:pPr>
              <w:jc w:val="right"/>
              <w:ind w:right="210"/>
              <w:spacing w:after="0"/>
              <w:rPr>
                <w:sz w:val="20"/>
                <w:szCs w:val="20"/>
                <w:color w:val="auto"/>
              </w:rPr>
            </w:pPr>
            <w:r>
              <w:rPr>
                <w:rFonts w:ascii="Arial" w:cs="Arial" w:eastAsia="Arial" w:hAnsi="Arial"/>
                <w:sz w:val="14"/>
                <w:szCs w:val="14"/>
                <w:b w:val="1"/>
                <w:bCs w:val="1"/>
                <w:color w:val="auto"/>
              </w:rPr>
              <w:t>Table</w:t>
            </w:r>
          </w:p>
        </w:tc>
        <w:tc>
          <w:tcPr>
            <w:tcW w:w="100" w:type="dxa"/>
            <w:vAlign w:val="bottom"/>
          </w:tcPr>
          <w:p>
            <w:pPr>
              <w:spacing w:after="0"/>
              <w:rPr>
                <w:sz w:val="15"/>
                <w:szCs w:val="15"/>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b w:val="1"/>
                <w:bCs w:val="1"/>
                <w:color w:val="auto"/>
              </w:rPr>
              <w:t>Applicable Year</w:t>
            </w:r>
          </w:p>
        </w:tc>
        <w:tc>
          <w:tcPr>
            <w:tcW w:w="220" w:type="dxa"/>
            <w:vAlign w:val="bottom"/>
          </w:tcPr>
          <w:p>
            <w:pPr>
              <w:spacing w:after="0"/>
              <w:rPr>
                <w:sz w:val="15"/>
                <w:szCs w:val="15"/>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Applicable Year</w:t>
            </w:r>
          </w:p>
        </w:tc>
        <w:tc>
          <w:tcPr>
            <w:tcW w:w="240" w:type="dxa"/>
            <w:vAlign w:val="bottom"/>
          </w:tcPr>
          <w:p>
            <w:pPr>
              <w:spacing w:after="0"/>
              <w:rPr>
                <w:sz w:val="15"/>
                <w:szCs w:val="15"/>
                <w:color w:val="auto"/>
              </w:rPr>
            </w:pPr>
          </w:p>
        </w:tc>
        <w:tc>
          <w:tcPr>
            <w:tcW w:w="1220" w:type="dxa"/>
            <w:vAlign w:val="bottom"/>
          </w:tcPr>
          <w:p>
            <w:pPr>
              <w:jc w:val="right"/>
              <w:ind w:right="70"/>
              <w:spacing w:after="0"/>
              <w:rPr>
                <w:sz w:val="20"/>
                <w:szCs w:val="20"/>
                <w:color w:val="auto"/>
              </w:rPr>
            </w:pPr>
            <w:r>
              <w:rPr>
                <w:rFonts w:ascii="Arial" w:cs="Arial" w:eastAsia="Arial" w:hAnsi="Arial"/>
                <w:sz w:val="14"/>
                <w:szCs w:val="14"/>
                <w:b w:val="1"/>
                <w:bCs w:val="1"/>
                <w:color w:val="auto"/>
              </w:rPr>
              <w:t>Applicable Year</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Actually Paid</w:t>
            </w:r>
          </w:p>
        </w:tc>
      </w:tr>
      <w:tr>
        <w:trPr>
          <w:trHeight w:val="150"/>
        </w:trPr>
        <w:tc>
          <w:tcPr>
            <w:tcW w:w="20" w:type="dxa"/>
            <w:vAlign w:val="bottom"/>
          </w:tcPr>
          <w:p>
            <w:pPr>
              <w:spacing w:after="0"/>
              <w:rPr>
                <w:sz w:val="13"/>
                <w:szCs w:val="13"/>
                <w:color w:val="auto"/>
              </w:rPr>
            </w:pPr>
          </w:p>
        </w:tc>
        <w:tc>
          <w:tcPr>
            <w:tcW w:w="640" w:type="dxa"/>
            <w:vAlign w:val="bottom"/>
            <w:tcBorders>
              <w:top w:val="single" w:sz="8" w:color="auto"/>
            </w:tcBorders>
            <w:shd w:val="clear" w:color="auto" w:fill="D9D9D9"/>
          </w:tcPr>
          <w:p>
            <w:pPr>
              <w:spacing w:after="0" w:line="151" w:lineRule="exact"/>
              <w:rPr>
                <w:sz w:val="20"/>
                <w:szCs w:val="20"/>
                <w:color w:val="auto"/>
              </w:rPr>
            </w:pPr>
            <w:r>
              <w:rPr>
                <w:rFonts w:ascii="Arial" w:cs="Arial" w:eastAsia="Arial" w:hAnsi="Arial"/>
                <w:sz w:val="14"/>
                <w:szCs w:val="14"/>
                <w:color w:val="auto"/>
              </w:rPr>
              <w:t>2025</w:t>
            </w:r>
          </w:p>
        </w:tc>
        <w:tc>
          <w:tcPr>
            <w:tcW w:w="1520" w:type="dxa"/>
            <w:vAlign w:val="bottom"/>
            <w:tcBorders>
              <w:top w:val="single" w:sz="8" w:color="auto"/>
            </w:tcBorders>
            <w:shd w:val="clear" w:color="auto" w:fill="D9D9D9"/>
          </w:tcPr>
          <w:p>
            <w:pPr>
              <w:ind w:left="360"/>
              <w:spacing w:after="0" w:line="151" w:lineRule="exact"/>
              <w:rPr>
                <w:sz w:val="20"/>
                <w:szCs w:val="20"/>
                <w:color w:val="auto"/>
              </w:rPr>
            </w:pPr>
            <w:r>
              <w:rPr>
                <w:rFonts w:ascii="Arial" w:cs="Arial" w:eastAsia="Arial" w:hAnsi="Arial"/>
                <w:sz w:val="14"/>
                <w:szCs w:val="14"/>
                <w:color w:val="auto"/>
              </w:rPr>
              <w:t>See footnote (c)</w:t>
            </w:r>
          </w:p>
        </w:tc>
        <w:tc>
          <w:tcPr>
            <w:tcW w:w="260" w:type="dxa"/>
            <w:vAlign w:val="bottom"/>
            <w:tcBorders>
              <w:top w:val="single" w:sz="8" w:color="auto"/>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9D9D9"/>
          </w:tcPr>
          <w:p>
            <w:pPr>
              <w:jc w:val="right"/>
              <w:ind w:right="190"/>
              <w:spacing w:after="0" w:line="151" w:lineRule="exact"/>
              <w:rPr>
                <w:sz w:val="20"/>
                <w:szCs w:val="20"/>
                <w:color w:val="auto"/>
              </w:rPr>
            </w:pPr>
            <w:r>
              <w:rPr>
                <w:rFonts w:ascii="Arial" w:cs="Arial" w:eastAsia="Arial" w:hAnsi="Arial"/>
                <w:sz w:val="14"/>
                <w:szCs w:val="14"/>
                <w:color w:val="auto"/>
              </w:rPr>
              <w:t>1,853,071</w:t>
            </w:r>
          </w:p>
        </w:tc>
        <w:tc>
          <w:tcPr>
            <w:tcW w:w="100" w:type="dxa"/>
            <w:vAlign w:val="bottom"/>
            <w:tcBorders>
              <w:top w:val="single" w:sz="8" w:color="auto"/>
            </w:tcBorders>
            <w:shd w:val="clear" w:color="auto" w:fill="D9D9D9"/>
          </w:tcPr>
          <w:p>
            <w:pPr>
              <w:jc w:val="right"/>
              <w:spacing w:after="0" w:line="151"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D9D9D9"/>
          </w:tcPr>
          <w:p>
            <w:pPr>
              <w:jc w:val="right"/>
              <w:ind w:right="50"/>
              <w:spacing w:after="0" w:line="151" w:lineRule="exact"/>
              <w:rPr>
                <w:sz w:val="20"/>
                <w:szCs w:val="20"/>
                <w:color w:val="auto"/>
              </w:rPr>
            </w:pPr>
            <w:r>
              <w:rPr>
                <w:rFonts w:ascii="Arial" w:cs="Arial" w:eastAsia="Arial" w:hAnsi="Arial"/>
                <w:sz w:val="14"/>
                <w:szCs w:val="14"/>
                <w:color w:val="auto"/>
              </w:rPr>
              <w:t>(1,853,071)</w:t>
            </w:r>
          </w:p>
        </w:tc>
        <w:tc>
          <w:tcPr>
            <w:tcW w:w="220" w:type="dxa"/>
            <w:vAlign w:val="bottom"/>
            <w:tcBorders>
              <w:top w:val="single" w:sz="8" w:color="auto"/>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D9D9D9"/>
          </w:tcPr>
          <w:p>
            <w:pPr>
              <w:jc w:val="right"/>
              <w:ind w:right="50"/>
              <w:spacing w:after="0" w:line="151" w:lineRule="exact"/>
              <w:rPr>
                <w:sz w:val="20"/>
                <w:szCs w:val="20"/>
                <w:color w:val="auto"/>
              </w:rPr>
            </w:pPr>
            <w:r>
              <w:rPr>
                <w:rFonts w:ascii="Arial" w:cs="Arial" w:eastAsia="Arial" w:hAnsi="Arial"/>
                <w:sz w:val="14"/>
                <w:szCs w:val="14"/>
                <w:color w:val="auto"/>
              </w:rPr>
              <w:t>359,361</w:t>
            </w:r>
          </w:p>
        </w:tc>
        <w:tc>
          <w:tcPr>
            <w:tcW w:w="240" w:type="dxa"/>
            <w:vAlign w:val="bottom"/>
            <w:tcBorders>
              <w:top w:val="single" w:sz="8" w:color="auto"/>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D9D9D9"/>
          </w:tcPr>
          <w:p>
            <w:pPr>
              <w:jc w:val="right"/>
              <w:ind w:right="70"/>
              <w:spacing w:after="0" w:line="151" w:lineRule="exact"/>
              <w:rPr>
                <w:sz w:val="20"/>
                <w:szCs w:val="20"/>
                <w:color w:val="auto"/>
              </w:rPr>
            </w:pPr>
            <w:r>
              <w:rPr>
                <w:rFonts w:ascii="Arial" w:cs="Arial" w:eastAsia="Arial" w:hAnsi="Arial"/>
                <w:sz w:val="14"/>
                <w:szCs w:val="14"/>
                <w:color w:val="auto"/>
              </w:rPr>
              <w:t>N/A</w:t>
            </w:r>
          </w:p>
        </w:tc>
        <w:tc>
          <w:tcPr>
            <w:tcW w:w="240" w:type="dxa"/>
            <w:vAlign w:val="bottom"/>
            <w:tcBorders>
              <w:top w:val="single" w:sz="8" w:color="auto"/>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D9D9D9"/>
          </w:tcPr>
          <w:p>
            <w:pPr>
              <w:jc w:val="right"/>
              <w:spacing w:after="0" w:line="151" w:lineRule="exact"/>
              <w:rPr>
                <w:sz w:val="20"/>
                <w:szCs w:val="20"/>
                <w:color w:val="auto"/>
              </w:rPr>
            </w:pPr>
            <w:r>
              <w:rPr>
                <w:rFonts w:ascii="Arial" w:cs="Arial" w:eastAsia="Arial" w:hAnsi="Arial"/>
                <w:sz w:val="14"/>
                <w:szCs w:val="14"/>
                <w:color w:val="auto"/>
              </w:rPr>
              <w:t>359,361</w:t>
            </w:r>
          </w:p>
        </w:tc>
      </w:tr>
    </w:tbl>
    <w:p>
      <w:pPr>
        <w:spacing w:after="0" w:line="165" w:lineRule="exact"/>
        <w:rPr>
          <w:sz w:val="20"/>
          <w:szCs w:val="20"/>
          <w:color w:val="auto"/>
        </w:rPr>
      </w:pPr>
    </w:p>
    <w:p>
      <w:pPr>
        <w:ind w:left="720" w:right="140" w:hanging="720"/>
        <w:spacing w:after="0" w:line="254" w:lineRule="auto"/>
        <w:tabs>
          <w:tab w:leader="none" w:pos="721" w:val="left"/>
        </w:tabs>
        <w:numPr>
          <w:ilvl w:val="0"/>
          <w:numId w:val="136"/>
        </w:numPr>
        <w:rPr>
          <w:rFonts w:ascii="Arial" w:cs="Arial" w:eastAsia="Arial" w:hAnsi="Arial"/>
          <w:sz w:val="20"/>
          <w:szCs w:val="20"/>
          <w:color w:val="auto"/>
        </w:rPr>
      </w:pPr>
      <w:r>
        <w:rPr>
          <w:rFonts w:ascii="Arial" w:cs="Arial" w:eastAsia="Arial" w:hAnsi="Arial"/>
          <w:sz w:val="20"/>
          <w:szCs w:val="20"/>
          <w:color w:val="auto"/>
        </w:rPr>
        <w:t>Cumulative TSR is calculated by dividing the sum of the cumulative amount of dividends for the measurement period, assuming dividend reinvestment, and the difference between AbbVie’s share price at the end and the beginning of the measurement period by AbbVie's share price at the beginning of the measurement period.</w:t>
      </w:r>
    </w:p>
    <w:p>
      <w:pPr>
        <w:spacing w:after="0" w:line="176" w:lineRule="exact"/>
        <w:rPr>
          <w:rFonts w:ascii="Arial" w:cs="Arial" w:eastAsia="Arial" w:hAnsi="Arial"/>
          <w:sz w:val="20"/>
          <w:szCs w:val="20"/>
          <w:color w:val="auto"/>
        </w:rPr>
      </w:pPr>
    </w:p>
    <w:p>
      <w:pPr>
        <w:ind w:left="720" w:right="60" w:hanging="720"/>
        <w:spacing w:after="0" w:line="254" w:lineRule="auto"/>
        <w:tabs>
          <w:tab w:leader="none" w:pos="72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Represents the weighted peer group TSR, weighted according to the respective companies’ stock market capitalization at the beginning of each period for which a return is indicated. The peer group used for this purpose is the NYSE Arca Pharmaceutical Index, our peer group used for purposes of Item 201(e) of Regulation S-K.</w:t>
      </w:r>
    </w:p>
    <w:p>
      <w:pPr>
        <w:spacing w:after="0" w:line="177" w:lineRule="exact"/>
        <w:rPr>
          <w:rFonts w:ascii="Arial" w:cs="Arial" w:eastAsia="Arial" w:hAnsi="Arial"/>
          <w:sz w:val="20"/>
          <w:szCs w:val="20"/>
          <w:color w:val="auto"/>
        </w:rPr>
      </w:pPr>
    </w:p>
    <w:p>
      <w:pPr>
        <w:ind w:left="720" w:right="20" w:hanging="720"/>
        <w:spacing w:after="0" w:line="246" w:lineRule="auto"/>
        <w:tabs>
          <w:tab w:leader="none" w:pos="72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As required by Item 402(v) of Regulation S-K, AbbVie has determined that adjusted diluted EPS is the Company Selected Measure, as it is the most important financial performance measure (that is not otherwise required to be disclosed in the table) used to link compensation actually paid to AbbVie’s NEOs to company performance for the most recently completed fiscal year. Adjusted diluted EPS is a non-GAAP measure that represents diluted earnings per share adjusted to exclude certain specified items, as described in Appendix B. Adjusted diluted EPS includes an unfavorable impact related to acquired IPR&amp;D and milestone expenses of $2.76 in 2025, $1.52 in 2024, $0.42 in 2023, $0.39 in 2022, and $0.90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64  </w:t>
      </w:r>
      <w:r>
        <w:rPr>
          <w:sz w:val="1"/>
          <w:szCs w:val="1"/>
          <w:color w:val="auto"/>
        </w:rPr>
        <w:drawing>
          <wp:inline distT="0" distB="0" distL="0" distR="0">
            <wp:extent cx="991870" cy="20066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248">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193" w:name="page194"/>
    <w:bookmarkEnd w:id="193"/>
    <w:p>
      <w:pPr>
        <w:jc w:val="right"/>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Comparative Analysis of the Pay versus Performance Table</w:t>
      </w:r>
    </w:p>
    <w:p>
      <w:pPr>
        <w:spacing w:after="0" w:line="123"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AbbVie’s compensation program is designed to attract and retain executives whose talents and contributions sustain long-term growth by aligning their interests with the drivers of stockholder returns and supporting their achievement of AbbVie’s primary business goals. AbbVie considers several performance measures to ensure executives are incentivized to accomplish these objectives, many of which are not presented in the pay versus performance table. The charts and descriptions below explain the relationship between the columns presented in the pay versus performance table.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AbbVie TSR versus Peer Group TSR</w:t>
      </w:r>
    </w:p>
    <w:p>
      <w:pPr>
        <w:spacing w:after="0" w:line="123"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 graph below shows AbbVie’s cumulative TSR over the five-year period ending with December 31, 2025 as compared to the NYSE Arca Pharmaceutical Index. AbbVie’s cumulative TSR outperformed our peer group during the five years presented in the table. Additionally, AbbVie is committed to a robust return of capital to stockholders with an increase of 204% in its quarterly dividend since 2015 as part of a balanced and disciplined capital allocation program, contributing to our strong cumulative TSR.</w:t>
      </w:r>
    </w:p>
    <w:p>
      <w:pPr>
        <w:sectPr>
          <w:pgSz w:w="11880" w:h="15480" w:orient="portrait"/>
          <w:cols w:equalWidth="0" w:num="1">
            <w:col w:w="10080"/>
          </w:cols>
          <w:pgMar w:left="900" w:top="70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740" w:type="dxa"/>
        <w:tblCellMar>
          <w:top w:w="0" w:type="dxa"/>
          <w:left w:w="0" w:type="dxa"/>
          <w:bottom w:w="0" w:type="dxa"/>
          <w:right w:w="0" w:type="dxa"/>
        </w:tblCellMar>
      </w:tblPr>
      <w:tr>
        <w:trPr>
          <w:trHeight w:val="942"/>
        </w:trPr>
        <w:tc>
          <w:tcPr>
            <w:tcW w:w="120" w:type="dxa"/>
            <w:vAlign w:val="bottom"/>
            <w:textDirection w:val="btLr"/>
          </w:tcPr>
          <w:p>
            <w:pPr>
              <w:spacing w:after="0"/>
              <w:rPr>
                <w:sz w:val="20"/>
                <w:szCs w:val="20"/>
                <w:color w:val="auto"/>
              </w:rPr>
            </w:pPr>
            <w:r>
              <w:rPr>
                <w:rFonts w:ascii="Arial" w:cs="Arial" w:eastAsia="Arial" w:hAnsi="Arial"/>
                <w:sz w:val="13"/>
                <w:szCs w:val="13"/>
                <w:color w:val="auto"/>
                <w:w w:val="98"/>
              </w:rPr>
              <w:t>Return (TSR)</w:t>
            </w:r>
          </w:p>
        </w:tc>
        <w:tc>
          <w:tcPr>
            <w:tcW w:w="140" w:type="dxa"/>
            <w:vAlign w:val="bottom"/>
            <w:textDirection w:val="btLr"/>
          </w:tcPr>
          <w:p>
            <w:pPr>
              <w:spacing w:after="0"/>
              <w:rPr>
                <w:sz w:val="20"/>
                <w:szCs w:val="20"/>
                <w:color w:val="auto"/>
              </w:rPr>
            </w:pPr>
            <w:r>
              <w:rPr>
                <w:rFonts w:ascii="Arial" w:cs="Arial" w:eastAsia="Arial" w:hAnsi="Arial"/>
                <w:sz w:val="13"/>
                <w:szCs w:val="13"/>
                <w:color w:val="auto"/>
                <w:w w:val="97"/>
              </w:rPr>
              <w:t>$100 Investment</w:t>
            </w:r>
          </w:p>
        </w:tc>
      </w:tr>
      <w:tr>
        <w:trPr>
          <w:trHeight w:val="704"/>
        </w:trPr>
        <w:tc>
          <w:tcPr>
            <w:tcW w:w="120" w:type="dxa"/>
            <w:vAlign w:val="bottom"/>
            <w:textDirection w:val="btLr"/>
          </w:tcPr>
          <w:p>
            <w:pPr>
              <w:spacing w:after="0"/>
              <w:rPr>
                <w:sz w:val="20"/>
                <w:szCs w:val="20"/>
                <w:color w:val="auto"/>
              </w:rPr>
            </w:pPr>
            <w:r>
              <w:rPr>
                <w:rFonts w:ascii="Arial" w:cs="Arial" w:eastAsia="Arial" w:hAnsi="Arial"/>
                <w:sz w:val="13"/>
                <w:szCs w:val="13"/>
                <w:color w:val="auto"/>
                <w:w w:val="95"/>
              </w:rPr>
              <w:t>Shareholder</w:t>
            </w:r>
          </w:p>
        </w:tc>
        <w:tc>
          <w:tcPr>
            <w:tcW w:w="140" w:type="dxa"/>
            <w:vAlign w:val="bottom"/>
            <w:textDirection w:val="btLr"/>
          </w:tcPr>
          <w:p>
            <w:pPr>
              <w:spacing w:after="0"/>
              <w:rPr>
                <w:sz w:val="20"/>
                <w:szCs w:val="20"/>
                <w:color w:val="auto"/>
              </w:rPr>
            </w:pPr>
            <w:r>
              <w:rPr>
                <w:rFonts w:ascii="Arial" w:cs="Arial" w:eastAsia="Arial" w:hAnsi="Arial"/>
                <w:sz w:val="13"/>
                <w:szCs w:val="13"/>
                <w:color w:val="auto"/>
                <w:w w:val="97"/>
              </w:rPr>
              <w:t>Initial Fixed</w:t>
            </w:r>
          </w:p>
        </w:tc>
      </w:tr>
      <w:tr>
        <w:trPr>
          <w:trHeight w:val="465"/>
        </w:trPr>
        <w:tc>
          <w:tcPr>
            <w:tcW w:w="120" w:type="dxa"/>
            <w:vAlign w:val="bottom"/>
            <w:textDirection w:val="btLr"/>
          </w:tcPr>
          <w:p>
            <w:pPr>
              <w:spacing w:after="0"/>
              <w:rPr>
                <w:sz w:val="20"/>
                <w:szCs w:val="20"/>
                <w:color w:val="auto"/>
              </w:rPr>
            </w:pPr>
            <w:r>
              <w:rPr>
                <w:rFonts w:ascii="Arial" w:cs="Arial" w:eastAsia="Arial" w:hAnsi="Arial"/>
                <w:sz w:val="13"/>
                <w:szCs w:val="13"/>
                <w:color w:val="auto"/>
                <w:w w:val="89"/>
              </w:rPr>
              <w:t>Total</w:t>
            </w:r>
          </w:p>
        </w:tc>
        <w:tc>
          <w:tcPr>
            <w:tcW w:w="140" w:type="dxa"/>
            <w:vAlign w:val="bottom"/>
            <w:textDirection w:val="btLr"/>
          </w:tcPr>
          <w:p>
            <w:pPr>
              <w:spacing w:after="0"/>
              <w:rPr>
                <w:sz w:val="20"/>
                <w:szCs w:val="20"/>
                <w:color w:val="auto"/>
              </w:rPr>
            </w:pPr>
            <w:r>
              <w:rPr>
                <w:rFonts w:ascii="Arial" w:cs="Arial" w:eastAsia="Arial" w:hAnsi="Arial"/>
                <w:sz w:val="13"/>
                <w:szCs w:val="13"/>
                <w:color w:val="auto"/>
                <w:w w:val="96"/>
              </w:rPr>
              <w:t>Value of</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$300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$250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$200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$150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$100 </w:t>
      </w:r>
      <w:r>
        <w:rPr>
          <w:sz w:val="1"/>
          <w:szCs w:val="1"/>
          <w:color w:val="auto"/>
        </w:rPr>
        <w:drawing>
          <wp:inline distT="0" distB="0" distL="0" distR="0">
            <wp:extent cx="90170" cy="90170"/>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249">
                      <a:extLst>
                        <a:ext uri="{28A0092B-C50C-407E-A947-70E740481C1C}"/>
                      </a:extLst>
                    </a:blip>
                    <a:srcRect/>
                    <a:stretch>
                      <a:fillRect/>
                    </a:stretch>
                  </pic:blipFill>
                  <pic:spPr bwMode="auto">
                    <a:xfrm>
                      <a:off x="0" y="0"/>
                      <a:ext cx="90170" cy="90170"/>
                    </a:xfrm>
                    <a:prstGeom prst="rect">
                      <a:avLst/>
                    </a:prstGeom>
                    <a:noFill/>
                    <a:ln>
                      <a:noFill/>
                    </a:ln>
                  </pic:spPr>
                </pic:pic>
              </a:graphicData>
            </a:graphic>
          </wp:inline>
        </w:drawing>
      </w: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0"/>
        <w:spacing w:after="0"/>
        <w:rPr>
          <w:sz w:val="20"/>
          <w:szCs w:val="20"/>
          <w:color w:val="auto"/>
        </w:rPr>
      </w:pPr>
      <w:r>
        <w:rPr>
          <w:rFonts w:ascii="Arial" w:cs="Arial" w:eastAsia="Arial" w:hAnsi="Arial"/>
          <w:sz w:val="20"/>
          <w:szCs w:val="20"/>
          <w:color w:val="auto"/>
        </w:rPr>
        <w:t>TSR: AbbVie Versus NYSE Arca Pharmaceutical Index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-831850</wp:posOffset>
                </wp:positionH>
                <wp:positionV relativeFrom="paragraph">
                  <wp:posOffset>277495</wp:posOffset>
                </wp:positionV>
                <wp:extent cx="4812665" cy="0"/>
                <wp:wrapNone/>
                <wp:docPr id="557" name="Shape 5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2665" cy="4763"/>
                        </a:xfrm>
                        <a:prstGeom prst="line">
                          <a:avLst/>
                        </a:prstGeom>
                        <a:solidFill>
                          <a:srgbClr val="FFFFFF"/>
                        </a:solidFill>
                        <a:ln w="8074">
                          <a:solidFill>
                            <a:srgbClr val="808080"/>
                          </a:solidFill>
                          <a:miter lim="800000"/>
                          <a:headEnd/>
                          <a:tailEnd/>
                        </a:ln>
                      </wps:spPr>
                      <wps:bodyPr/>
                    </wps:wsp>
                  </a:graphicData>
                </a:graphic>
              </wp:anchor>
            </w:drawing>
          </mc:Choice>
          <mc:Fallback>
            <w:pict>
              <v:line id="Shape 557" o:spid="_x0000_s15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9pt,21.85pt" to="313.45pt,21.85pt" o:allowincell="f" strokecolor="#808080" strokeweight="0.6357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740"/>
        <w:spacing w:after="0"/>
        <w:rPr>
          <w:sz w:val="20"/>
          <w:szCs w:val="20"/>
          <w:color w:val="auto"/>
        </w:rPr>
      </w:pPr>
      <w:r>
        <w:rPr>
          <w:rFonts w:ascii="Arial" w:cs="Arial" w:eastAsia="Arial" w:hAnsi="Arial"/>
          <w:sz w:val="14"/>
          <w:szCs w:val="14"/>
          <w:color w:val="auto"/>
        </w:rPr>
        <w:t>259.36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32385</wp:posOffset>
            </wp:positionV>
            <wp:extent cx="4879975" cy="12846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250">
                      <a:extLst>
                        <a:ext uri="{28A0092B-C50C-407E-A947-70E740481C1C}"/>
                      </a:extLst>
                    </a:blip>
                    <a:srcRect/>
                    <a:stretch>
                      <a:fillRect/>
                    </a:stretch>
                  </pic:blipFill>
                  <pic:spPr bwMode="auto">
                    <a:xfrm>
                      <a:off x="0" y="0"/>
                      <a:ext cx="4879975" cy="128460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80" w:type="dxa"/>
            <w:vAlign w:val="bottom"/>
            <w:gridSpan w:val="3"/>
          </w:tcPr>
          <w:p>
            <w:pPr>
              <w:jc w:val="right"/>
              <w:ind w:right="1520"/>
              <w:spacing w:after="0"/>
              <w:rPr>
                <w:sz w:val="20"/>
                <w:szCs w:val="20"/>
                <w:color w:val="auto"/>
              </w:rPr>
            </w:pPr>
            <w:r>
              <w:rPr>
                <w:rFonts w:ascii="Arial" w:cs="Arial" w:eastAsia="Arial" w:hAnsi="Arial"/>
                <w:sz w:val="14"/>
                <w:szCs w:val="14"/>
                <w:color w:val="auto"/>
              </w:rPr>
              <w:t>194.82</w:t>
            </w:r>
          </w:p>
        </w:tc>
        <w:tc>
          <w:tcPr>
            <w:tcW w:w="0" w:type="dxa"/>
            <w:vAlign w:val="bottom"/>
          </w:tcPr>
          <w:p>
            <w:pPr>
              <w:spacing w:after="0"/>
              <w:rPr>
                <w:sz w:val="1"/>
                <w:szCs w:val="1"/>
                <w:color w:val="auto"/>
              </w:rPr>
            </w:pPr>
          </w:p>
        </w:tc>
      </w:tr>
      <w:tr>
        <w:trPr>
          <w:trHeight w:val="59"/>
        </w:trPr>
        <w:tc>
          <w:tcPr>
            <w:tcW w:w="2480" w:type="dxa"/>
            <w:vAlign w:val="bottom"/>
            <w:gridSpan w:val="5"/>
            <w:vMerge w:val="restart"/>
          </w:tcPr>
          <w:p>
            <w:pPr>
              <w:jc w:val="right"/>
              <w:ind w:right="560"/>
              <w:spacing w:after="0"/>
              <w:rPr>
                <w:sz w:val="20"/>
                <w:szCs w:val="20"/>
                <w:color w:val="auto"/>
              </w:rPr>
            </w:pPr>
            <w:r>
              <w:rPr>
                <w:rFonts w:ascii="Arial" w:cs="Arial" w:eastAsia="Arial" w:hAnsi="Arial"/>
                <w:sz w:val="14"/>
                <w:szCs w:val="14"/>
                <w:color w:val="auto"/>
              </w:rPr>
              <w:t>164.23</w:t>
            </w:r>
          </w:p>
        </w:tc>
        <w:tc>
          <w:tcPr>
            <w:tcW w:w="1520" w:type="dxa"/>
            <w:vAlign w:val="bottom"/>
            <w:gridSpan w:val="3"/>
            <w:vMerge w:val="restart"/>
          </w:tcPr>
          <w:p>
            <w:pPr>
              <w:jc w:val="right"/>
              <w:ind w:right="560"/>
              <w:spacing w:after="0"/>
              <w:rPr>
                <w:sz w:val="20"/>
                <w:szCs w:val="20"/>
                <w:color w:val="auto"/>
              </w:rPr>
            </w:pPr>
            <w:r>
              <w:rPr>
                <w:rFonts w:ascii="Arial" w:cs="Arial" w:eastAsia="Arial" w:hAnsi="Arial"/>
                <w:sz w:val="14"/>
                <w:szCs w:val="14"/>
                <w:color w:val="auto"/>
              </w:rPr>
              <w:t>163.86</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480" w:type="dxa"/>
            <w:vAlign w:val="bottom"/>
            <w:gridSpan w:val="5"/>
            <w:vMerge w:val="continue"/>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shd w:val="clear" w:color="auto" w:fill="000039"/>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480" w:type="dxa"/>
            <w:vAlign w:val="bottom"/>
            <w:gridSpan w:val="5"/>
            <w:vMerge w:val="continue"/>
          </w:tcPr>
          <w:p>
            <w:pPr>
              <w:spacing w:after="0"/>
              <w:rPr>
                <w:sz w:val="22"/>
                <w:szCs w:val="22"/>
                <w:color w:val="auto"/>
              </w:rPr>
            </w:pPr>
          </w:p>
        </w:tc>
        <w:tc>
          <w:tcPr>
            <w:tcW w:w="1520" w:type="dxa"/>
            <w:vAlign w:val="bottom"/>
            <w:gridSpan w:val="3"/>
            <w:vMerge w:val="continue"/>
          </w:tcPr>
          <w:p>
            <w:pPr>
              <w:spacing w:after="0"/>
              <w:rPr>
                <w:sz w:val="22"/>
                <w:szCs w:val="22"/>
                <w:color w:val="auto"/>
              </w:rPr>
            </w:pPr>
          </w:p>
        </w:tc>
        <w:tc>
          <w:tcPr>
            <w:tcW w:w="2480" w:type="dxa"/>
            <w:vAlign w:val="bottom"/>
            <w:gridSpan w:val="3"/>
            <w:vMerge w:val="restart"/>
          </w:tcPr>
          <w:p>
            <w:pPr>
              <w:jc w:val="right"/>
              <w:spacing w:after="0"/>
              <w:rPr>
                <w:sz w:val="20"/>
                <w:szCs w:val="20"/>
                <w:color w:val="auto"/>
              </w:rPr>
            </w:pPr>
            <w:r>
              <w:rPr>
                <w:rFonts w:ascii="Arial" w:cs="Arial" w:eastAsia="Arial" w:hAnsi="Arial"/>
                <w:sz w:val="14"/>
                <w:szCs w:val="14"/>
                <w:color w:val="auto"/>
              </w:rPr>
              <w:t>186.74</w:t>
            </w:r>
          </w:p>
        </w:tc>
        <w:tc>
          <w:tcPr>
            <w:tcW w:w="0" w:type="dxa"/>
            <w:vAlign w:val="bottom"/>
          </w:tcPr>
          <w:p>
            <w:pPr>
              <w:spacing w:after="0"/>
              <w:rPr>
                <w:sz w:val="1"/>
                <w:szCs w:val="1"/>
                <w:color w:val="auto"/>
              </w:rPr>
            </w:pPr>
          </w:p>
        </w:tc>
      </w:tr>
      <w:tr>
        <w:trPr>
          <w:trHeight w:val="95"/>
        </w:trPr>
        <w:tc>
          <w:tcPr>
            <w:tcW w:w="1680" w:type="dxa"/>
            <w:vAlign w:val="bottom"/>
            <w:gridSpan w:val="3"/>
            <w:vMerge w:val="restart"/>
          </w:tcPr>
          <w:p>
            <w:pPr>
              <w:spacing w:after="0"/>
              <w:rPr>
                <w:sz w:val="20"/>
                <w:szCs w:val="20"/>
                <w:color w:val="auto"/>
              </w:rPr>
            </w:pPr>
            <w:r>
              <w:rPr>
                <w:rFonts w:ascii="Arial" w:cs="Arial" w:eastAsia="Arial" w:hAnsi="Arial"/>
                <w:sz w:val="14"/>
                <w:szCs w:val="14"/>
                <w:color w:val="auto"/>
              </w:rPr>
              <w:t>132.40</w:t>
            </w:r>
          </w:p>
        </w:tc>
        <w:tc>
          <w:tcPr>
            <w:tcW w:w="100" w:type="dxa"/>
            <w:vAlign w:val="bottom"/>
            <w:tcBorders>
              <w:bottom w:val="single" w:sz="8" w:color="000039"/>
            </w:tcBorders>
            <w:shd w:val="clear" w:color="auto" w:fill="000039"/>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000039"/>
            </w:tcBorders>
            <w:shd w:val="clear" w:color="auto" w:fill="000039"/>
          </w:tcPr>
          <w:p>
            <w:pPr>
              <w:spacing w:after="0"/>
              <w:rPr>
                <w:sz w:val="8"/>
                <w:szCs w:val="8"/>
                <w:color w:val="auto"/>
              </w:rPr>
            </w:pPr>
          </w:p>
        </w:tc>
        <w:tc>
          <w:tcPr>
            <w:tcW w:w="720" w:type="dxa"/>
            <w:vAlign w:val="bottom"/>
          </w:tcPr>
          <w:p>
            <w:pPr>
              <w:spacing w:after="0"/>
              <w:rPr>
                <w:sz w:val="8"/>
                <w:szCs w:val="8"/>
                <w:color w:val="auto"/>
              </w:rPr>
            </w:pPr>
          </w:p>
        </w:tc>
        <w:tc>
          <w:tcPr>
            <w:tcW w:w="24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6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80" w:type="dxa"/>
            <w:vAlign w:val="bottom"/>
            <w:gridSpan w:val="3"/>
            <w:vMerge w:val="restart"/>
          </w:tcPr>
          <w:p>
            <w:pPr>
              <w:jc w:val="right"/>
              <w:ind w:right="1520"/>
              <w:spacing w:after="0"/>
              <w:rPr>
                <w:sz w:val="20"/>
                <w:szCs w:val="20"/>
                <w:color w:val="auto"/>
              </w:rPr>
            </w:pPr>
            <w:r>
              <w:rPr>
                <w:rFonts w:ascii="Arial" w:cs="Arial" w:eastAsia="Arial" w:hAnsi="Arial"/>
                <w:sz w:val="14"/>
                <w:szCs w:val="14"/>
                <w:color w:val="auto"/>
              </w:rPr>
              <w:t>150.75</w:t>
            </w:r>
          </w:p>
        </w:tc>
        <w:tc>
          <w:tcPr>
            <w:tcW w:w="0" w:type="dxa"/>
            <w:vAlign w:val="bottom"/>
          </w:tcPr>
          <w:p>
            <w:pPr>
              <w:spacing w:after="0"/>
              <w:rPr>
                <w:sz w:val="1"/>
                <w:szCs w:val="1"/>
                <w:color w:val="auto"/>
              </w:rPr>
            </w:pPr>
          </w:p>
        </w:tc>
      </w:tr>
      <w:tr>
        <w:trPr>
          <w:trHeight w:val="106"/>
        </w:trPr>
        <w:tc>
          <w:tcPr>
            <w:tcW w:w="160" w:type="dxa"/>
            <w:vAlign w:val="bottom"/>
          </w:tcPr>
          <w:p>
            <w:pPr>
              <w:spacing w:after="0"/>
              <w:rPr>
                <w:sz w:val="9"/>
                <w:szCs w:val="9"/>
                <w:color w:val="auto"/>
              </w:rPr>
            </w:pPr>
          </w:p>
        </w:tc>
        <w:tc>
          <w:tcPr>
            <w:tcW w:w="100" w:type="dxa"/>
            <w:vAlign w:val="bottom"/>
            <w:shd w:val="clear" w:color="auto" w:fill="000039"/>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20" w:type="dxa"/>
            <w:vAlign w:val="bottom"/>
            <w:gridSpan w:val="3"/>
            <w:vMerge w:val="restart"/>
          </w:tcPr>
          <w:p>
            <w:pPr>
              <w:jc w:val="right"/>
              <w:ind w:right="560"/>
              <w:spacing w:after="0"/>
              <w:rPr>
                <w:sz w:val="20"/>
                <w:szCs w:val="20"/>
                <w:color w:val="auto"/>
              </w:rPr>
            </w:pPr>
            <w:r>
              <w:rPr>
                <w:rFonts w:ascii="Arial" w:cs="Arial" w:eastAsia="Arial" w:hAnsi="Arial"/>
                <w:sz w:val="14"/>
                <w:szCs w:val="14"/>
                <w:color w:val="auto"/>
              </w:rPr>
              <w:t>143.33</w:t>
            </w:r>
          </w:p>
        </w:tc>
        <w:tc>
          <w:tcPr>
            <w:tcW w:w="24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480" w:type="dxa"/>
            <w:vAlign w:val="bottom"/>
            <w:gridSpan w:val="5"/>
            <w:vMerge w:val="restart"/>
          </w:tcPr>
          <w:p>
            <w:pPr>
              <w:jc w:val="right"/>
              <w:ind w:right="560"/>
              <w:spacing w:after="0" w:line="149" w:lineRule="exact"/>
              <w:rPr>
                <w:sz w:val="20"/>
                <w:szCs w:val="20"/>
                <w:color w:val="auto"/>
              </w:rPr>
            </w:pPr>
            <w:r>
              <w:rPr>
                <w:rFonts w:ascii="Arial" w:cs="Arial" w:eastAsia="Arial" w:hAnsi="Arial"/>
                <w:sz w:val="14"/>
                <w:szCs w:val="14"/>
                <w:color w:val="auto"/>
              </w:rPr>
              <w:t>133.03</w:t>
            </w:r>
          </w:p>
        </w:tc>
        <w:tc>
          <w:tcPr>
            <w:tcW w:w="152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480" w:type="dxa"/>
            <w:vAlign w:val="bottom"/>
            <w:gridSpan w:val="5"/>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680" w:type="dxa"/>
            <w:vAlign w:val="bottom"/>
            <w:gridSpan w:val="3"/>
          </w:tcPr>
          <w:p>
            <w:pPr>
              <w:spacing w:after="0"/>
              <w:rPr>
                <w:sz w:val="20"/>
                <w:szCs w:val="20"/>
                <w:color w:val="auto"/>
              </w:rPr>
            </w:pPr>
            <w:r>
              <w:rPr>
                <w:rFonts w:ascii="Arial" w:cs="Arial" w:eastAsia="Arial" w:hAnsi="Arial"/>
                <w:sz w:val="14"/>
                <w:szCs w:val="14"/>
                <w:color w:val="auto"/>
              </w:rPr>
              <w:t>123.44</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-831850</wp:posOffset>
                </wp:positionH>
                <wp:positionV relativeFrom="paragraph">
                  <wp:posOffset>396875</wp:posOffset>
                </wp:positionV>
                <wp:extent cx="4812665" cy="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2665" cy="4763"/>
                        </a:xfrm>
                        <a:prstGeom prst="line">
                          <a:avLst/>
                        </a:prstGeom>
                        <a:solidFill>
                          <a:srgbClr val="FFFFFF"/>
                        </a:solidFill>
                        <a:ln w="8074">
                          <a:solidFill>
                            <a:srgbClr val="808080"/>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9pt,31.25pt" to="313.45pt,31.25pt" o:allowincell="f" strokecolor="#808080" strokeweight="0.6357pt"/>
            </w:pict>
          </mc:Fallback>
        </mc:AlternateContent>
      </w:r>
    </w:p>
    <w:p>
      <w:pPr>
        <w:spacing w:after="0" w:line="887" w:lineRule="exact"/>
        <w:rPr>
          <w:sz w:val="20"/>
          <w:szCs w:val="20"/>
          <w:color w:val="auto"/>
        </w:rPr>
      </w:pPr>
    </w:p>
    <w:p>
      <w:pPr>
        <w:sectPr>
          <w:pgSz w:w="11880" w:h="15480" w:orient="portrait"/>
          <w:cols w:equalWidth="0" w:num="3">
            <w:col w:w="1000" w:space="120"/>
            <w:col w:w="1020" w:space="720"/>
            <w:col w:w="7220"/>
          </w:cols>
          <w:pgMar w:left="900" w:top="702" w:right="900" w:bottom="0" w:gutter="0" w:footer="0" w:header="0"/>
          <w:type w:val="continuous"/>
        </w:sectPr>
      </w:pPr>
    </w:p>
    <w:p>
      <w:pPr>
        <w:spacing w:after="0" w:line="247" w:lineRule="exact"/>
        <w:rPr>
          <w:sz w:val="20"/>
          <w:szCs w:val="20"/>
          <w:color w:val="auto"/>
        </w:rPr>
      </w:pPr>
    </w:p>
    <w:tbl>
      <w:tblPr>
        <w:tblLayout w:type="fixed"/>
        <w:tblInd w:w="1260" w:type="dxa"/>
        <w:tblCellMar>
          <w:top w:w="0" w:type="dxa"/>
          <w:left w:w="0" w:type="dxa"/>
          <w:bottom w:w="0" w:type="dxa"/>
          <w:right w:w="0" w:type="dxa"/>
        </w:tblCellMar>
      </w:tblPr>
      <w:tr>
        <w:trPr>
          <w:trHeight w:val="92"/>
        </w:trPr>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$0</w:t>
            </w:r>
          </w:p>
        </w:tc>
        <w:tc>
          <w:tcPr>
            <w:tcW w:w="9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4"/>
                <w:szCs w:val="14"/>
                <w:color w:val="auto"/>
              </w:rPr>
              <w:t>12/31/2020</w:t>
            </w:r>
          </w:p>
        </w:tc>
        <w:tc>
          <w:tcPr>
            <w:tcW w:w="1080" w:type="dxa"/>
            <w:vAlign w:val="bottom"/>
          </w:tcPr>
          <w:p>
            <w:pPr>
              <w:jc w:val="right"/>
              <w:ind w:right="232"/>
              <w:spacing w:after="0"/>
              <w:rPr>
                <w:sz w:val="20"/>
                <w:szCs w:val="20"/>
                <w:color w:val="auto"/>
              </w:rPr>
            </w:pPr>
            <w:r>
              <w:rPr>
                <w:rFonts w:ascii="Arial" w:cs="Arial" w:eastAsia="Arial" w:hAnsi="Arial"/>
                <w:sz w:val="14"/>
                <w:szCs w:val="14"/>
                <w:color w:val="auto"/>
              </w:rPr>
              <w:t>2021</w:t>
            </w:r>
          </w:p>
        </w:tc>
        <w:tc>
          <w:tcPr>
            <w:tcW w:w="1940" w:type="dxa"/>
            <w:vAlign w:val="bottom"/>
            <w:gridSpan w:val="4"/>
          </w:tcPr>
          <w:p>
            <w:pPr>
              <w:jc w:val="right"/>
              <w:ind w:right="652"/>
              <w:spacing w:after="0"/>
              <w:rPr>
                <w:sz w:val="20"/>
                <w:szCs w:val="20"/>
                <w:color w:val="auto"/>
              </w:rPr>
            </w:pPr>
            <w:r>
              <w:rPr>
                <w:rFonts w:ascii="Arial" w:cs="Arial" w:eastAsia="Arial" w:hAnsi="Arial"/>
                <w:sz w:val="14"/>
                <w:szCs w:val="14"/>
                <w:color w:val="auto"/>
              </w:rPr>
              <w:t>2022</w:t>
            </w:r>
          </w:p>
        </w:tc>
        <w:tc>
          <w:tcPr>
            <w:tcW w:w="1800" w:type="dxa"/>
            <w:vAlign w:val="bottom"/>
          </w:tcPr>
          <w:p>
            <w:pPr>
              <w:jc w:val="right"/>
              <w:ind w:right="932"/>
              <w:spacing w:after="0"/>
              <w:rPr>
                <w:sz w:val="20"/>
                <w:szCs w:val="20"/>
                <w:color w:val="auto"/>
              </w:rPr>
            </w:pPr>
            <w:r>
              <w:rPr>
                <w:rFonts w:ascii="Arial" w:cs="Arial" w:eastAsia="Arial" w:hAnsi="Arial"/>
                <w:sz w:val="14"/>
                <w:szCs w:val="14"/>
                <w:color w:val="auto"/>
              </w:rPr>
              <w:t>2023</w:t>
            </w:r>
          </w:p>
        </w:tc>
        <w:tc>
          <w:tcPr>
            <w:tcW w:w="1120" w:type="dxa"/>
            <w:vAlign w:val="bottom"/>
          </w:tcPr>
          <w:p>
            <w:pPr>
              <w:jc w:val="right"/>
              <w:ind w:right="552"/>
              <w:spacing w:after="0"/>
              <w:rPr>
                <w:sz w:val="20"/>
                <w:szCs w:val="20"/>
                <w:color w:val="auto"/>
              </w:rPr>
            </w:pPr>
            <w:r>
              <w:rPr>
                <w:rFonts w:ascii="Arial" w:cs="Arial" w:eastAsia="Arial" w:hAnsi="Arial"/>
                <w:sz w:val="14"/>
                <w:szCs w:val="14"/>
                <w:color w:val="auto"/>
              </w:rPr>
              <w:t>2024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300"/>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vMerge w:val="restart"/>
          </w:tcPr>
          <w:p>
            <w:pPr>
              <w:jc w:val="right"/>
              <w:ind w:right="392"/>
              <w:spacing w:after="0"/>
              <w:rPr>
                <w:sz w:val="20"/>
                <w:szCs w:val="20"/>
                <w:color w:val="auto"/>
              </w:rPr>
            </w:pPr>
            <w:r>
              <w:rPr>
                <w:rFonts w:ascii="Arial" w:cs="Arial" w:eastAsia="Arial" w:hAnsi="Arial"/>
                <w:sz w:val="14"/>
                <w:szCs w:val="14"/>
                <w:color w:val="auto"/>
                <w:w w:val="97"/>
              </w:rPr>
              <w:t>5-Year AbbVie TSR</w:t>
            </w:r>
          </w:p>
        </w:tc>
        <w:tc>
          <w:tcPr>
            <w:tcW w:w="1800" w:type="dxa"/>
            <w:vAlign w:val="bottom"/>
            <w:vMerge w:val="restart"/>
          </w:tcPr>
          <w:p>
            <w:pPr>
              <w:jc w:val="right"/>
              <w:ind w:right="132"/>
              <w:spacing w:after="0"/>
              <w:rPr>
                <w:sz w:val="20"/>
                <w:szCs w:val="20"/>
                <w:color w:val="auto"/>
              </w:rPr>
            </w:pPr>
            <w:r>
              <w:rPr>
                <w:rFonts w:ascii="Arial" w:cs="Arial" w:eastAsia="Arial" w:hAnsi="Arial"/>
                <w:sz w:val="14"/>
                <w:szCs w:val="14"/>
                <w:color w:val="auto"/>
              </w:rPr>
              <w:t>5-Year Index TSR</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Borders>
              <w:bottom w:val="single" w:sz="8" w:color="000039"/>
            </w:tcBorders>
          </w:tcPr>
          <w:p>
            <w:pPr>
              <w:spacing w:after="0"/>
              <w:rPr>
                <w:sz w:val="4"/>
                <w:szCs w:val="4"/>
                <w:color w:val="auto"/>
              </w:rPr>
            </w:pPr>
          </w:p>
        </w:tc>
        <w:tc>
          <w:tcPr>
            <w:tcW w:w="100" w:type="dxa"/>
            <w:vAlign w:val="bottom"/>
            <w:tcBorders>
              <w:bottom w:val="single" w:sz="8" w:color="000039"/>
            </w:tcBorders>
            <w:vMerge w:val="restart"/>
            <w:shd w:val="clear" w:color="auto" w:fill="000039"/>
          </w:tcPr>
          <w:p>
            <w:pPr>
              <w:spacing w:after="0"/>
              <w:rPr>
                <w:sz w:val="4"/>
                <w:szCs w:val="4"/>
                <w:color w:val="auto"/>
              </w:rPr>
            </w:pPr>
          </w:p>
        </w:tc>
        <w:tc>
          <w:tcPr>
            <w:tcW w:w="80" w:type="dxa"/>
            <w:vAlign w:val="bottom"/>
            <w:tcBorders>
              <w:bottom w:val="single" w:sz="8" w:color="000039"/>
            </w:tcBorders>
          </w:tcPr>
          <w:p>
            <w:pPr>
              <w:spacing w:after="0"/>
              <w:rPr>
                <w:sz w:val="4"/>
                <w:szCs w:val="4"/>
                <w:color w:val="auto"/>
              </w:rPr>
            </w:pPr>
          </w:p>
        </w:tc>
        <w:tc>
          <w:tcPr>
            <w:tcW w:w="1680" w:type="dxa"/>
            <w:vAlign w:val="bottom"/>
            <w:vMerge w:val="continue"/>
          </w:tcPr>
          <w:p>
            <w:pPr>
              <w:spacing w:after="0"/>
              <w:rPr>
                <w:sz w:val="4"/>
                <w:szCs w:val="4"/>
                <w:color w:val="auto"/>
              </w:rPr>
            </w:pPr>
          </w:p>
        </w:tc>
        <w:tc>
          <w:tcPr>
            <w:tcW w:w="18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vMerge w:val="continue"/>
            <w:shd w:val="clear" w:color="auto" w:fill="000039"/>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180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3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-78740</wp:posOffset>
            </wp:positionV>
            <wp:extent cx="175260" cy="965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251">
                      <a:extLst>
                        <a:ext uri="{28A0092B-C50C-407E-A947-70E740481C1C}"/>
                      </a:extLst>
                    </a:blip>
                    <a:srcRect/>
                    <a:stretch>
                      <a:fillRect/>
                    </a:stretch>
                  </pic:blipFill>
                  <pic:spPr bwMode="auto">
                    <a:xfrm>
                      <a:off x="0" y="0"/>
                      <a:ext cx="175260" cy="9652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00"/>
        <w:spacing w:after="0"/>
        <w:tabs>
          <w:tab w:leader="none" w:pos="7720" w:val="left"/>
        </w:tabs>
        <w:rPr>
          <w:sz w:val="20"/>
          <w:szCs w:val="20"/>
          <w:color w:val="auto"/>
        </w:rPr>
      </w:pPr>
      <w:r>
        <w:rPr>
          <w:rFonts w:ascii="Arial" w:cs="Arial" w:eastAsia="Arial" w:hAnsi="Arial"/>
          <w:sz w:val="20"/>
          <w:szCs w:val="20"/>
          <w:i w:val="1"/>
          <w:iCs w:val="1"/>
          <w:color w:val="auto"/>
        </w:rPr>
        <w:t>2026 Proxy Statement</w:t>
      </w:r>
      <w:r>
        <w:rPr>
          <w:sz w:val="20"/>
          <w:szCs w:val="20"/>
          <w:color w:val="auto"/>
        </w:rPr>
        <w:tab/>
      </w:r>
      <w:r>
        <w:rPr>
          <w:rFonts w:ascii="Arial" w:cs="Arial" w:eastAsia="Arial" w:hAnsi="Arial"/>
          <w:sz w:val="30"/>
          <w:szCs w:val="30"/>
          <w:color w:val="auto"/>
        </w:rPr>
        <w:t xml:space="preserve">|  </w:t>
      </w:r>
      <w:r>
        <w:rPr>
          <w:sz w:val="1"/>
          <w:szCs w:val="1"/>
          <w:color w:val="auto"/>
        </w:rPr>
        <w:drawing>
          <wp:inline distT="0" distB="0" distL="0" distR="0">
            <wp:extent cx="991870" cy="20066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252">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20"/>
          <w:szCs w:val="20"/>
          <w:color w:val="auto"/>
        </w:rPr>
        <w:t xml:space="preserve">  65</w:t>
      </w:r>
    </w:p>
    <w:p>
      <w:pPr>
        <w:sectPr>
          <w:pgSz w:w="11880" w:h="15480" w:orient="portrait"/>
          <w:cols w:equalWidth="0" w:num="1">
            <w:col w:w="10080"/>
          </w:cols>
          <w:pgMar w:left="900" w:top="702" w:right="900" w:bottom="0" w:gutter="0" w:footer="0" w:header="0"/>
          <w:type w:val="continuous"/>
        </w:sectPr>
      </w:pPr>
    </w:p>
    <w:bookmarkStart w:id="194" w:name="page195"/>
    <w:bookmarkEnd w:id="194"/>
    <w:p>
      <w:pPr>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“Compensation Actually Paid” to TSR</w:t>
      </w:r>
    </w:p>
    <w:p>
      <w:pPr>
        <w:spacing w:after="0" w:line="123" w:lineRule="exact"/>
        <w:rPr>
          <w:sz w:val="20"/>
          <w:szCs w:val="20"/>
          <w:color w:val="auto"/>
        </w:rPr>
      </w:pPr>
    </w:p>
    <w:p>
      <w:pPr>
        <w:ind w:right="280"/>
        <w:spacing w:after="0" w:line="245" w:lineRule="auto"/>
        <w:rPr>
          <w:sz w:val="20"/>
          <w:szCs w:val="20"/>
          <w:color w:val="auto"/>
        </w:rPr>
      </w:pPr>
      <w:r>
        <w:rPr>
          <w:rFonts w:ascii="Arial" w:cs="Arial" w:eastAsia="Arial" w:hAnsi="Arial"/>
          <w:sz w:val="20"/>
          <w:szCs w:val="20"/>
          <w:color w:val="auto"/>
        </w:rPr>
        <w:t>The chart below demonstrates that the “compensation actually paid” amounts shown for Mr. Michael (for 2024-2025) and Mr. Gonzalez (for 2021-2024) and average “compensation actually paid” to the other NEOs (see footnote (c) to the pay versus performance table) is aligned with AbbVie’s cumulative TSR over the five years presented in the table. The alignment of compensation actually paid with AbbVie’s cumulative TSR over the period presented reflects that a significant portion of the compensation actually paid to Mr. Michael and</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Mr. Gonzalez, as applicable, and to the other NEOs is comprised of equity awards. Moreover, AbbVie’s executive compensation philosophy and design is fundamentally based on a commitment to align pay and performance.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CAP versus TSR</w:t>
      </w:r>
    </w:p>
    <w:p>
      <w:pPr>
        <w:sectPr>
          <w:pgSz w:w="11880" w:h="15480" w:orient="portrait"/>
          <w:cols w:equalWidth="0" w:num="1">
            <w:col w:w="10060"/>
          </w:cols>
          <w:pgMar w:left="900" w:top="702" w:right="920" w:bottom="0" w:gutter="0" w:footer="0" w:header="0"/>
        </w:sectPr>
      </w:pPr>
    </w:p>
    <w:p>
      <w:pPr>
        <w:spacing w:after="0" w:line="200" w:lineRule="exact"/>
        <w:rPr>
          <w:sz w:val="20"/>
          <w:szCs w:val="20"/>
          <w:color w:val="auto"/>
        </w:rPr>
      </w:pPr>
    </w:p>
    <w:p>
      <w:pPr>
        <w:spacing w:after="0" w:line="385" w:lineRule="exact"/>
        <w:rPr>
          <w:sz w:val="20"/>
          <w:szCs w:val="20"/>
          <w:color w:val="auto"/>
        </w:rPr>
      </w:pPr>
    </w:p>
    <w:tbl>
      <w:tblPr>
        <w:tblLayout w:type="fixed"/>
        <w:tblInd w:w="740" w:type="dxa"/>
        <w:tblCellMar>
          <w:top w:w="0" w:type="dxa"/>
          <w:left w:w="0" w:type="dxa"/>
          <w:bottom w:w="0" w:type="dxa"/>
          <w:right w:w="0" w:type="dxa"/>
        </w:tblCellMar>
      </w:tblPr>
      <w:tr>
        <w:trPr>
          <w:trHeight w:val="419"/>
        </w:trPr>
        <w:tc>
          <w:tcPr>
            <w:tcW w:w="440" w:type="dxa"/>
            <w:vAlign w:val="bottom"/>
            <w:gridSpan w:val="2"/>
            <w:textDirection w:val="btLr"/>
          </w:tcPr>
          <w:p>
            <w:pPr>
              <w:ind w:left="116"/>
              <w:spacing w:after="0"/>
              <w:rPr>
                <w:sz w:val="20"/>
                <w:szCs w:val="20"/>
                <w:color w:val="auto"/>
              </w:rPr>
            </w:pPr>
            <w:r>
              <w:rPr>
                <w:rFonts w:ascii="Arial" w:cs="Arial" w:eastAsia="Arial" w:hAnsi="Arial"/>
                <w:sz w:val="15"/>
                <w:szCs w:val="15"/>
                <w:color w:val="auto"/>
              </w:rPr>
              <w:t>(CAP)</w:t>
            </w:r>
          </w:p>
        </w:tc>
        <w:tc>
          <w:tcPr>
            <w:tcW w:w="1320" w:type="dxa"/>
            <w:vAlign w:val="bottom"/>
            <w:gridSpan w:val="3"/>
            <w:vMerge w:val="restart"/>
          </w:tcPr>
          <w:p>
            <w:pPr>
              <w:jc w:val="right"/>
              <w:ind w:right="83"/>
              <w:spacing w:after="0"/>
              <w:rPr>
                <w:sz w:val="20"/>
                <w:szCs w:val="20"/>
                <w:color w:val="auto"/>
              </w:rPr>
            </w:pPr>
            <w:r>
              <w:rPr>
                <w:rFonts w:ascii="Arial" w:cs="Arial" w:eastAsia="Arial" w:hAnsi="Arial"/>
                <w:sz w:val="15"/>
                <w:szCs w:val="15"/>
                <w:color w:val="auto"/>
              </w:rPr>
              <w:t>66,388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vMerge w:val="restart"/>
          </w:tcPr>
          <w:p>
            <w:pPr>
              <w:jc w:val="right"/>
              <w:ind w:right="263"/>
              <w:spacing w:after="0"/>
              <w:rPr>
                <w:sz w:val="20"/>
                <w:szCs w:val="20"/>
                <w:color w:val="auto"/>
              </w:rPr>
            </w:pPr>
            <w:r>
              <w:rPr>
                <w:rFonts w:ascii="Arial" w:cs="Arial" w:eastAsia="Arial" w:hAnsi="Arial"/>
                <w:sz w:val="15"/>
                <w:szCs w:val="15"/>
                <w:color w:val="auto"/>
              </w:rPr>
              <w:t>67,395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40" w:type="dxa"/>
            <w:vAlign w:val="bottom"/>
            <w:gridSpan w:val="2"/>
            <w:vMerge w:val="restart"/>
            <w:textDirection w:val="btLr"/>
          </w:tcPr>
          <w:p>
            <w:pPr>
              <w:ind w:left="116"/>
              <w:spacing w:after="0"/>
              <w:rPr>
                <w:sz w:val="20"/>
                <w:szCs w:val="20"/>
                <w:color w:val="auto"/>
              </w:rPr>
            </w:pPr>
            <w:r>
              <w:rPr>
                <w:rFonts w:ascii="Arial" w:cs="Arial" w:eastAsia="Arial" w:hAnsi="Arial"/>
                <w:sz w:val="15"/>
                <w:szCs w:val="15"/>
                <w:color w:val="auto"/>
                <w:w w:val="99"/>
              </w:rPr>
              <w:t>Paid</w:t>
            </w:r>
          </w:p>
        </w:tc>
        <w:tc>
          <w:tcPr>
            <w:tcW w:w="13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40" w:type="dxa"/>
            <w:vAlign w:val="bottom"/>
            <w:gridSpan w:val="2"/>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Borders>
              <w:bottom w:val="single" w:sz="8" w:color="000039"/>
            </w:tcBorders>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4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shd w:val="clear" w:color="auto" w:fill="000039"/>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shd w:val="clear" w:color="auto" w:fill="000039"/>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440" w:type="dxa"/>
            <w:vAlign w:val="bottom"/>
            <w:gridSpan w:val="2"/>
            <w:textDirection w:val="btLr"/>
          </w:tcPr>
          <w:p>
            <w:pPr>
              <w:ind w:left="394"/>
              <w:spacing w:after="0"/>
              <w:rPr>
                <w:sz w:val="20"/>
                <w:szCs w:val="20"/>
                <w:color w:val="auto"/>
              </w:rPr>
            </w:pPr>
            <w:r>
              <w:rPr>
                <w:rFonts w:ascii="Arial" w:cs="Arial" w:eastAsia="Arial" w:hAnsi="Arial"/>
                <w:sz w:val="4"/>
                <w:szCs w:val="4"/>
                <w:color w:val="auto"/>
                <w:w w:val="74"/>
              </w:rPr>
              <w:t>CompensationActually$000s</w:t>
            </w:r>
          </w:p>
        </w:tc>
        <w:tc>
          <w:tcPr>
            <w:tcW w:w="700" w:type="dxa"/>
            <w:vAlign w:val="bottom"/>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5"/>
                <w:szCs w:val="15"/>
                <w:color w:val="auto"/>
              </w:rPr>
              <w:t>164.23</w:t>
            </w: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shd w:val="clear" w:color="auto" w:fill="000039"/>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shd w:val="clear" w:color="auto" w:fill="000039"/>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132.40</w:t>
            </w:r>
          </w:p>
        </w:tc>
        <w:tc>
          <w:tcPr>
            <w:tcW w:w="480" w:type="dxa"/>
            <w:vAlign w:val="bottom"/>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5"/>
                <w:szCs w:val="15"/>
                <w:color w:val="auto"/>
              </w:rPr>
              <w:t>24,203</w:t>
            </w:r>
          </w:p>
        </w:tc>
        <w:tc>
          <w:tcPr>
            <w:tcW w:w="480" w:type="dxa"/>
            <w:vAlign w:val="bottom"/>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20,276</w:t>
            </w:r>
          </w:p>
        </w:tc>
        <w:tc>
          <w:tcPr>
            <w:tcW w:w="0" w:type="dxa"/>
            <w:vAlign w:val="bottom"/>
          </w:tcPr>
          <w:p>
            <w:pPr>
              <w:spacing w:after="0"/>
              <w:rPr>
                <w:sz w:val="1"/>
                <w:szCs w:val="1"/>
                <w:color w:val="auto"/>
              </w:rPr>
            </w:pPr>
          </w:p>
        </w:tc>
      </w:tr>
      <w:tr>
        <w:trPr>
          <w:trHeight w:val="35"/>
        </w:trPr>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shd w:val="clear" w:color="auto" w:fill="000039"/>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400" w:type="dxa"/>
            <w:vAlign w:val="bottom"/>
            <w:vMerge w:val="restart"/>
            <w:shd w:val="clear" w:color="auto" w:fill="000039"/>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4"/>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shd w:val="clear" w:color="auto" w:fill="000039"/>
          </w:tcPr>
          <w:p>
            <w:pPr>
              <w:spacing w:after="0"/>
              <w:rPr>
                <w:sz w:val="8"/>
                <w:szCs w:val="8"/>
                <w:color w:val="auto"/>
              </w:rPr>
            </w:pPr>
          </w:p>
        </w:tc>
        <w:tc>
          <w:tcPr>
            <w:tcW w:w="220" w:type="dxa"/>
            <w:vAlign w:val="bottom"/>
            <w:shd w:val="clear" w:color="auto" w:fill="000C4F"/>
          </w:tcPr>
          <w:p>
            <w:pPr>
              <w:spacing w:after="0"/>
              <w:rPr>
                <w:sz w:val="8"/>
                <w:szCs w:val="8"/>
                <w:color w:val="auto"/>
              </w:rPr>
            </w:pPr>
          </w:p>
        </w:tc>
        <w:tc>
          <w:tcPr>
            <w:tcW w:w="180" w:type="dxa"/>
            <w:vAlign w:val="bottom"/>
            <w:shd w:val="clear" w:color="auto" w:fill="000C4F"/>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00" w:type="dxa"/>
            <w:vAlign w:val="bottom"/>
            <w:vMerge w:val="continue"/>
            <w:shd w:val="clear" w:color="auto" w:fill="000039"/>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shd w:val="clear" w:color="auto" w:fill="000039"/>
          </w:tcPr>
          <w:p>
            <w:pPr>
              <w:spacing w:after="0"/>
              <w:rPr>
                <w:sz w:val="3"/>
                <w:szCs w:val="3"/>
                <w:color w:val="auto"/>
              </w:rPr>
            </w:pPr>
          </w:p>
        </w:tc>
        <w:tc>
          <w:tcPr>
            <w:tcW w:w="220" w:type="dxa"/>
            <w:vAlign w:val="bottom"/>
            <w:shd w:val="clear" w:color="auto" w:fill="000C4F"/>
          </w:tcPr>
          <w:p>
            <w:pPr>
              <w:spacing w:after="0"/>
              <w:rPr>
                <w:sz w:val="3"/>
                <w:szCs w:val="3"/>
                <w:color w:val="auto"/>
              </w:rPr>
            </w:pPr>
          </w:p>
        </w:tc>
        <w:tc>
          <w:tcPr>
            <w:tcW w:w="180" w:type="dxa"/>
            <w:vAlign w:val="bottom"/>
            <w:shd w:val="clear" w:color="auto" w:fill="000C4F"/>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shd w:val="clear" w:color="auto" w:fill="000039"/>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99"/>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220" w:type="dxa"/>
            <w:vAlign w:val="bottom"/>
            <w:shd w:val="clear" w:color="auto" w:fill="000C4F"/>
          </w:tcPr>
          <w:p>
            <w:pPr>
              <w:spacing w:after="0"/>
              <w:rPr>
                <w:sz w:val="24"/>
                <w:szCs w:val="24"/>
                <w:color w:val="auto"/>
              </w:rPr>
            </w:pPr>
          </w:p>
        </w:tc>
        <w:tc>
          <w:tcPr>
            <w:tcW w:w="180" w:type="dxa"/>
            <w:vAlign w:val="bottom"/>
            <w:shd w:val="clear" w:color="auto" w:fill="000C4F"/>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400" w:type="dxa"/>
            <w:vAlign w:val="bottom"/>
            <w:shd w:val="clear" w:color="auto" w:fill="000C4F"/>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2022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5"/>
                <w:szCs w:val="15"/>
                <w:color w:val="auto"/>
              </w:rPr>
              <w:t>CAP to PEO</w:t>
            </w:r>
          </w:p>
        </w:tc>
        <w:tc>
          <w:tcPr>
            <w:tcW w:w="380" w:type="dxa"/>
            <w:vAlign w:val="bottom"/>
            <w:gridSpan w:val="2"/>
          </w:tcPr>
          <w:p>
            <w:pPr>
              <w:spacing w:after="0"/>
              <w:rPr>
                <w:sz w:val="24"/>
                <w:szCs w:val="24"/>
                <w:color w:val="auto"/>
              </w:rPr>
            </w:pPr>
          </w:p>
        </w:tc>
        <w:tc>
          <w:tcPr>
            <w:tcW w:w="1480" w:type="dxa"/>
            <w:vAlign w:val="bottom"/>
            <w:gridSpan w:val="4"/>
            <w:vMerge w:val="restart"/>
          </w:tcPr>
          <w:p>
            <w:pPr>
              <w:jc w:val="right"/>
              <w:spacing w:after="0"/>
              <w:rPr>
                <w:sz w:val="20"/>
                <w:szCs w:val="20"/>
                <w:color w:val="auto"/>
              </w:rPr>
            </w:pPr>
            <w:r>
              <w:rPr>
                <w:rFonts w:ascii="Arial" w:cs="Arial" w:eastAsia="Arial" w:hAnsi="Arial"/>
                <w:sz w:val="15"/>
                <w:szCs w:val="15"/>
                <w:color w:val="auto"/>
              </w:rPr>
              <w:t>CAP to Former PEO</w:t>
            </w:r>
          </w:p>
        </w:tc>
        <w:tc>
          <w:tcPr>
            <w:tcW w:w="0" w:type="dxa"/>
            <w:vAlign w:val="bottom"/>
          </w:tcPr>
          <w:p>
            <w:pPr>
              <w:spacing w:after="0"/>
              <w:rPr>
                <w:sz w:val="1"/>
                <w:szCs w:val="1"/>
                <w:color w:val="auto"/>
              </w:rPr>
            </w:pPr>
          </w:p>
        </w:tc>
      </w:tr>
      <w:tr>
        <w:trPr>
          <w:trHeight w:val="112"/>
        </w:trPr>
        <w:tc>
          <w:tcPr>
            <w:tcW w:w="360" w:type="dxa"/>
            <w:vAlign w:val="bottom"/>
            <w:shd w:val="clear" w:color="auto" w:fill="38447A"/>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80" w:type="dxa"/>
            <w:vAlign w:val="bottom"/>
            <w:gridSpan w:val="2"/>
            <w:shd w:val="clear" w:color="auto" w:fill="000039"/>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380" w:type="dxa"/>
            <w:vAlign w:val="bottom"/>
            <w:gridSpan w:val="2"/>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vMerge w:val="restart"/>
          </w:tcPr>
          <w:p>
            <w:pPr>
              <w:jc w:val="right"/>
              <w:ind w:right="263"/>
              <w:spacing w:after="0"/>
              <w:rPr>
                <w:sz w:val="20"/>
                <w:szCs w:val="20"/>
                <w:color w:val="auto"/>
              </w:rPr>
            </w:pPr>
            <w:r>
              <w:rPr>
                <w:rFonts w:ascii="Arial" w:cs="Arial" w:eastAsia="Arial" w:hAnsi="Arial"/>
                <w:sz w:val="15"/>
                <w:szCs w:val="15"/>
                <w:color w:val="auto"/>
              </w:rPr>
              <w:t>67,568</w:t>
            </w:r>
          </w:p>
        </w:tc>
        <w:tc>
          <w:tcPr>
            <w:tcW w:w="520" w:type="dxa"/>
            <w:vAlign w:val="bottom"/>
          </w:tcPr>
          <w:p>
            <w:pPr>
              <w:spacing w:after="0"/>
              <w:rPr>
                <w:sz w:val="24"/>
                <w:szCs w:val="24"/>
                <w:color w:val="auto"/>
              </w:rPr>
            </w:pPr>
          </w:p>
        </w:tc>
        <w:tc>
          <w:tcPr>
            <w:tcW w:w="640" w:type="dxa"/>
            <w:vAlign w:val="bottom"/>
            <w:gridSpan w:val="4"/>
            <w:vMerge w:val="restart"/>
          </w:tcPr>
          <w:p>
            <w:pPr>
              <w:jc w:val="center"/>
              <w:ind w:left="48"/>
              <w:spacing w:after="0"/>
              <w:rPr>
                <w:sz w:val="20"/>
                <w:szCs w:val="20"/>
                <w:color w:val="auto"/>
              </w:rPr>
            </w:pPr>
            <w:r>
              <w:rPr>
                <w:rFonts w:ascii="Arial" w:cs="Arial" w:eastAsia="Arial" w:hAnsi="Arial"/>
                <w:sz w:val="15"/>
                <w:szCs w:val="15"/>
                <w:color w:val="auto"/>
              </w:rPr>
              <w:t>259.36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extDirection w:val="btLr"/>
          </w:tcPr>
          <w:p>
            <w:pPr>
              <w:ind w:left="154"/>
              <w:spacing w:after="0"/>
              <w:rPr>
                <w:sz w:val="20"/>
                <w:szCs w:val="20"/>
                <w:color w:val="auto"/>
              </w:rPr>
            </w:pPr>
            <w:r>
              <w:rPr>
                <w:rFonts w:ascii="Arial" w:cs="Arial" w:eastAsia="Arial" w:hAnsi="Arial"/>
                <w:sz w:val="11"/>
                <w:szCs w:val="11"/>
                <w:color w:val="auto"/>
                <w:w w:val="70"/>
              </w:rPr>
              <w:t>Return(TSR)</w:t>
            </w:r>
          </w:p>
        </w:tc>
        <w:tc>
          <w:tcPr>
            <w:tcW w:w="140" w:type="dxa"/>
            <w:vAlign w:val="bottom"/>
            <w:textDirection w:val="btLr"/>
          </w:tcPr>
          <w:p>
            <w:pPr>
              <w:ind w:left="48"/>
              <w:spacing w:after="0"/>
              <w:rPr>
                <w:sz w:val="20"/>
                <w:szCs w:val="20"/>
                <w:color w:val="auto"/>
              </w:rPr>
            </w:pPr>
            <w:r>
              <w:rPr>
                <w:rFonts w:ascii="Arial" w:cs="Arial" w:eastAsia="Arial" w:hAnsi="Arial"/>
                <w:sz w:val="8"/>
                <w:szCs w:val="8"/>
                <w:color w:val="auto"/>
                <w:w w:val="77"/>
              </w:rPr>
              <w:t>$100Investment</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shd w:val="clear" w:color="auto" w:fill="000039"/>
          </w:tcPr>
          <w:p>
            <w:pPr>
              <w:spacing w:after="0"/>
              <w:rPr>
                <w:sz w:val="22"/>
                <w:szCs w:val="2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5"/>
                <w:szCs w:val="15"/>
                <w:color w:val="auto"/>
              </w:rPr>
              <w:t>194.82</w:t>
            </w:r>
          </w:p>
        </w:tc>
        <w:tc>
          <w:tcPr>
            <w:tcW w:w="640" w:type="dxa"/>
            <w:vAlign w:val="bottom"/>
            <w:gridSpan w:val="4"/>
            <w:vMerge w:val="restart"/>
          </w:tcPr>
          <w:p>
            <w:pPr>
              <w:jc w:val="center"/>
              <w:ind w:left="28"/>
              <w:spacing w:after="0"/>
              <w:rPr>
                <w:sz w:val="20"/>
                <w:szCs w:val="20"/>
                <w:color w:val="auto"/>
              </w:rPr>
            </w:pPr>
            <w:r>
              <w:rPr>
                <w:rFonts w:ascii="Arial" w:cs="Arial" w:eastAsia="Arial" w:hAnsi="Arial"/>
                <w:sz w:val="15"/>
                <w:szCs w:val="15"/>
                <w:color w:val="auto"/>
              </w:rPr>
              <w:t>57,365</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shd w:val="clear" w:color="auto" w:fill="000039"/>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163.86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shd w:val="clear" w:color="auto" w:fill="000039"/>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shd w:val="clear" w:color="auto" w:fill="38447A"/>
          </w:tcPr>
          <w:p>
            <w:pPr>
              <w:spacing w:after="0"/>
              <w:rPr>
                <w:sz w:val="23"/>
                <w:szCs w:val="23"/>
                <w:color w:val="auto"/>
              </w:rPr>
            </w:pPr>
          </w:p>
        </w:tc>
        <w:tc>
          <w:tcPr>
            <w:tcW w:w="220" w:type="dxa"/>
            <w:vAlign w:val="bottom"/>
            <w:shd w:val="clear" w:color="auto" w:fill="38447A"/>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extDirection w:val="btLr"/>
          </w:tcPr>
          <w:p>
            <w:pPr>
              <w:ind w:left="200"/>
              <w:spacing w:after="0"/>
              <w:rPr>
                <w:sz w:val="20"/>
                <w:szCs w:val="20"/>
                <w:color w:val="auto"/>
              </w:rPr>
            </w:pPr>
            <w:r>
              <w:rPr>
                <w:rFonts w:ascii="Arial" w:cs="Arial" w:eastAsia="Arial" w:hAnsi="Arial"/>
                <w:sz w:val="7"/>
                <w:szCs w:val="7"/>
                <w:color w:val="auto"/>
                <w:w w:val="73"/>
              </w:rPr>
              <w:t>Shareholder</w:t>
            </w:r>
          </w:p>
        </w:tc>
        <w:tc>
          <w:tcPr>
            <w:tcW w:w="140" w:type="dxa"/>
            <w:vAlign w:val="bottom"/>
            <w:textDirection w:val="btLr"/>
          </w:tcPr>
          <w:p>
            <w:pPr>
              <w:ind w:left="48"/>
              <w:spacing w:after="0"/>
              <w:rPr>
                <w:sz w:val="20"/>
                <w:szCs w:val="20"/>
                <w:color w:val="auto"/>
              </w:rPr>
            </w:pPr>
            <w:r>
              <w:rPr>
                <w:rFonts w:ascii="Arial" w:cs="Arial" w:eastAsia="Arial" w:hAnsi="Arial"/>
                <w:sz w:val="8"/>
                <w:szCs w:val="8"/>
                <w:color w:val="auto"/>
                <w:w w:val="73"/>
              </w:rPr>
              <w:t>InitialFixed</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shd w:val="clear" w:color="auto" w:fill="000039"/>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shd w:val="clear" w:color="auto" w:fill="38447A"/>
          </w:tcPr>
          <w:p>
            <w:pPr>
              <w:spacing w:after="0"/>
              <w:rPr>
                <w:sz w:val="4"/>
                <w:szCs w:val="4"/>
                <w:color w:val="auto"/>
              </w:rPr>
            </w:pPr>
          </w:p>
        </w:tc>
        <w:tc>
          <w:tcPr>
            <w:tcW w:w="220" w:type="dxa"/>
            <w:vAlign w:val="bottom"/>
            <w:shd w:val="clear" w:color="auto" w:fill="38447A"/>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7"/>
        </w:trPr>
        <w:tc>
          <w:tcPr>
            <w:tcW w:w="820" w:type="dxa"/>
            <w:vAlign w:val="bottom"/>
            <w:gridSpan w:val="3"/>
          </w:tcPr>
          <w:p>
            <w:pPr>
              <w:jc w:val="right"/>
              <w:ind w:right="263"/>
              <w:spacing w:after="0"/>
              <w:rPr>
                <w:sz w:val="20"/>
                <w:szCs w:val="20"/>
                <w:color w:val="auto"/>
              </w:rPr>
            </w:pPr>
            <w:r>
              <w:rPr>
                <w:rFonts w:ascii="Arial" w:cs="Arial" w:eastAsia="Arial" w:hAnsi="Arial"/>
                <w:sz w:val="15"/>
                <w:szCs w:val="15"/>
                <w:color w:val="auto"/>
              </w:rPr>
              <w:t>34,673</w:t>
            </w:r>
          </w:p>
        </w:tc>
        <w:tc>
          <w:tcPr>
            <w:tcW w:w="200" w:type="dxa"/>
            <w:vAlign w:val="bottom"/>
          </w:tcPr>
          <w:p>
            <w:pPr>
              <w:spacing w:after="0"/>
              <w:rPr>
                <w:sz w:val="24"/>
                <w:szCs w:val="2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5"/>
                <w:szCs w:val="15"/>
                <w:color w:val="auto"/>
              </w:rPr>
              <w:t>33,324</w:t>
            </w:r>
          </w:p>
        </w:tc>
        <w:tc>
          <w:tcPr>
            <w:tcW w:w="400" w:type="dxa"/>
            <w:vAlign w:val="bottom"/>
            <w:shd w:val="clear" w:color="auto" w:fill="000039"/>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shd w:val="clear" w:color="auto" w:fill="38447A"/>
          </w:tcPr>
          <w:p>
            <w:pPr>
              <w:spacing w:after="0"/>
              <w:rPr>
                <w:sz w:val="24"/>
                <w:szCs w:val="24"/>
                <w:color w:val="auto"/>
              </w:rPr>
            </w:pPr>
          </w:p>
        </w:tc>
        <w:tc>
          <w:tcPr>
            <w:tcW w:w="220" w:type="dxa"/>
            <w:vAlign w:val="bottom"/>
            <w:shd w:val="clear" w:color="auto" w:fill="38447A"/>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0" w:type="dxa"/>
            <w:vAlign w:val="bottom"/>
            <w:tcBorders>
              <w:bottom w:val="single" w:sz="8" w:color="000039"/>
            </w:tcBorders>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400" w:type="dxa"/>
            <w:vAlign w:val="bottom"/>
            <w:tcBorders>
              <w:bottom w:val="single" w:sz="8" w:color="000039"/>
            </w:tcBorders>
            <w:shd w:val="clear" w:color="auto" w:fill="000039"/>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38447A"/>
            </w:tcBorders>
            <w:shd w:val="clear" w:color="auto" w:fill="38447A"/>
          </w:tcPr>
          <w:p>
            <w:pPr>
              <w:spacing w:after="0"/>
              <w:rPr>
                <w:sz w:val="6"/>
                <w:szCs w:val="6"/>
                <w:color w:val="auto"/>
              </w:rPr>
            </w:pPr>
          </w:p>
        </w:tc>
        <w:tc>
          <w:tcPr>
            <w:tcW w:w="220" w:type="dxa"/>
            <w:vAlign w:val="bottom"/>
            <w:tcBorders>
              <w:bottom w:val="single" w:sz="8" w:color="38447A"/>
            </w:tcBorders>
            <w:shd w:val="clear" w:color="auto" w:fill="38447A"/>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400" w:type="dxa"/>
            <w:vAlign w:val="bottom"/>
            <w:tcBorders>
              <w:right w:val="single" w:sz="8" w:color="000039"/>
            </w:tcBorders>
            <w:shd w:val="clear" w:color="auto" w:fill="000039"/>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shd w:val="clear" w:color="auto" w:fill="38447A"/>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5"/>
                <w:szCs w:val="15"/>
                <w:color w:val="auto"/>
              </w:rPr>
              <w:t>20,324</w:t>
            </w:r>
          </w:p>
        </w:tc>
        <w:tc>
          <w:tcPr>
            <w:tcW w:w="180" w:type="dxa"/>
            <w:vAlign w:val="bottom"/>
          </w:tcPr>
          <w:p>
            <w:pPr>
              <w:spacing w:after="0"/>
              <w:rPr>
                <w:sz w:val="24"/>
                <w:szCs w:val="24"/>
                <w:color w:val="auto"/>
              </w:rPr>
            </w:pPr>
          </w:p>
        </w:tc>
        <w:tc>
          <w:tcPr>
            <w:tcW w:w="160" w:type="dxa"/>
            <w:vAlign w:val="bottom"/>
            <w:shd w:val="clear" w:color="auto" w:fill="38447A"/>
          </w:tcPr>
          <w:p>
            <w:pPr>
              <w:spacing w:after="0"/>
              <w:rPr>
                <w:sz w:val="24"/>
                <w:szCs w:val="24"/>
                <w:color w:val="auto"/>
              </w:rPr>
            </w:pPr>
          </w:p>
        </w:tc>
        <w:tc>
          <w:tcPr>
            <w:tcW w:w="220" w:type="dxa"/>
            <w:vAlign w:val="bottom"/>
            <w:shd w:val="clear" w:color="auto" w:fill="38447A"/>
          </w:tcPr>
          <w:p>
            <w:pPr>
              <w:spacing w:after="0"/>
              <w:rPr>
                <w:sz w:val="24"/>
                <w:szCs w:val="24"/>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5"/>
                <w:szCs w:val="15"/>
                <w:color w:val="auto"/>
              </w:rPr>
              <w:t>24,187</w:t>
            </w:r>
          </w:p>
        </w:tc>
        <w:tc>
          <w:tcPr>
            <w:tcW w:w="280" w:type="dxa"/>
            <w:vAlign w:val="bottom"/>
            <w:textDirection w:val="btLr"/>
          </w:tcPr>
          <w:p>
            <w:pPr>
              <w:ind w:left="108"/>
              <w:spacing w:after="0"/>
              <w:rPr>
                <w:sz w:val="20"/>
                <w:szCs w:val="20"/>
                <w:color w:val="auto"/>
              </w:rPr>
            </w:pPr>
            <w:r>
              <w:rPr>
                <w:rFonts w:ascii="Arial" w:cs="Arial" w:eastAsia="Arial" w:hAnsi="Arial"/>
                <w:sz w:val="15"/>
                <w:szCs w:val="15"/>
                <w:color w:val="auto"/>
                <w:w w:val="89"/>
              </w:rPr>
              <w:t>Total</w:t>
            </w:r>
          </w:p>
        </w:tc>
        <w:tc>
          <w:tcPr>
            <w:tcW w:w="140" w:type="dxa"/>
            <w:vAlign w:val="bottom"/>
            <w:textDirection w:val="btLr"/>
          </w:tcPr>
          <w:p>
            <w:pPr>
              <w:ind w:left="2"/>
              <w:spacing w:after="0"/>
              <w:rPr>
                <w:sz w:val="20"/>
                <w:szCs w:val="20"/>
                <w:color w:val="auto"/>
              </w:rPr>
            </w:pPr>
            <w:r>
              <w:rPr>
                <w:rFonts w:ascii="Arial" w:cs="Arial" w:eastAsia="Arial" w:hAnsi="Arial"/>
                <w:sz w:val="12"/>
                <w:szCs w:val="12"/>
                <w:color w:val="auto"/>
                <w:w w:val="73"/>
              </w:rPr>
              <w:t>Valueof</w:t>
            </w: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00" w:type="dxa"/>
            <w:vAlign w:val="bottom"/>
            <w:tcBorders>
              <w:right w:val="single" w:sz="8" w:color="000039"/>
            </w:tcBorders>
            <w:shd w:val="clear" w:color="auto" w:fill="000039"/>
          </w:tcPr>
          <w:p>
            <w:pPr>
              <w:spacing w:after="0"/>
              <w:rPr>
                <w:sz w:val="7"/>
                <w:szCs w:val="7"/>
                <w:color w:val="auto"/>
              </w:rPr>
            </w:pPr>
          </w:p>
        </w:tc>
        <w:tc>
          <w:tcPr>
            <w:tcW w:w="580" w:type="dxa"/>
            <w:vAlign w:val="bottom"/>
            <w:gridSpan w:val="2"/>
            <w:vMerge w:val="restart"/>
          </w:tcPr>
          <w:p>
            <w:pPr>
              <w:spacing w:after="0"/>
              <w:rPr>
                <w:sz w:val="20"/>
                <w:szCs w:val="20"/>
                <w:color w:val="auto"/>
              </w:rPr>
            </w:pPr>
            <w:r>
              <w:rPr>
                <w:rFonts w:ascii="Arial" w:cs="Arial" w:eastAsia="Arial" w:hAnsi="Arial"/>
                <w:sz w:val="15"/>
                <w:szCs w:val="15"/>
                <w:color w:val="auto"/>
              </w:rPr>
              <w:t>12,199</w:t>
            </w:r>
          </w:p>
        </w:tc>
        <w:tc>
          <w:tcPr>
            <w:tcW w:w="100" w:type="dxa"/>
            <w:vAlign w:val="bottom"/>
          </w:tcPr>
          <w:p>
            <w:pPr>
              <w:spacing w:after="0"/>
              <w:rPr>
                <w:sz w:val="7"/>
                <w:szCs w:val="7"/>
                <w:color w:val="auto"/>
              </w:rPr>
            </w:pPr>
          </w:p>
        </w:tc>
        <w:tc>
          <w:tcPr>
            <w:tcW w:w="400" w:type="dxa"/>
            <w:vAlign w:val="bottom"/>
            <w:shd w:val="clear" w:color="auto" w:fill="38447A"/>
          </w:tcPr>
          <w:p>
            <w:pPr>
              <w:spacing w:after="0"/>
              <w:rPr>
                <w:sz w:val="7"/>
                <w:szCs w:val="7"/>
                <w:color w:val="auto"/>
              </w:rPr>
            </w:pPr>
          </w:p>
        </w:tc>
        <w:tc>
          <w:tcPr>
            <w:tcW w:w="400" w:type="dxa"/>
            <w:vAlign w:val="bottom"/>
            <w:shd w:val="clear" w:color="auto" w:fill="000039"/>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shd w:val="clear" w:color="auto" w:fill="38447A"/>
          </w:tcPr>
          <w:p>
            <w:pPr>
              <w:spacing w:after="0"/>
              <w:rPr>
                <w:sz w:val="7"/>
                <w:szCs w:val="7"/>
                <w:color w:val="auto"/>
              </w:rPr>
            </w:pPr>
          </w:p>
        </w:tc>
        <w:tc>
          <w:tcPr>
            <w:tcW w:w="220" w:type="dxa"/>
            <w:vAlign w:val="bottom"/>
            <w:shd w:val="clear" w:color="auto" w:fill="38447A"/>
          </w:tcPr>
          <w:p>
            <w:pPr>
              <w:spacing w:after="0"/>
              <w:rPr>
                <w:sz w:val="7"/>
                <w:szCs w:val="7"/>
                <w:color w:val="auto"/>
              </w:rPr>
            </w:pPr>
          </w:p>
        </w:tc>
        <w:tc>
          <w:tcPr>
            <w:tcW w:w="80" w:type="dxa"/>
            <w:vAlign w:val="bottom"/>
            <w:shd w:val="clear" w:color="auto" w:fill="000C4F"/>
          </w:tcPr>
          <w:p>
            <w:pPr>
              <w:spacing w:after="0"/>
              <w:rPr>
                <w:sz w:val="7"/>
                <w:szCs w:val="7"/>
                <w:color w:val="auto"/>
              </w:rPr>
            </w:pPr>
          </w:p>
        </w:tc>
        <w:tc>
          <w:tcPr>
            <w:tcW w:w="320" w:type="dxa"/>
            <w:vAlign w:val="bottom"/>
            <w:shd w:val="clear" w:color="auto" w:fill="000C4F"/>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00" w:type="dxa"/>
            <w:vAlign w:val="bottom"/>
            <w:tcBorders>
              <w:right w:val="single" w:sz="8" w:color="000039"/>
            </w:tcBorders>
            <w:shd w:val="clear" w:color="auto" w:fill="000039"/>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shd w:val="clear" w:color="auto" w:fill="38447A"/>
          </w:tcPr>
          <w:p>
            <w:pPr>
              <w:spacing w:after="0"/>
              <w:rPr>
                <w:sz w:val="4"/>
                <w:szCs w:val="4"/>
                <w:color w:val="auto"/>
              </w:rPr>
            </w:pPr>
          </w:p>
        </w:tc>
        <w:tc>
          <w:tcPr>
            <w:tcW w:w="400" w:type="dxa"/>
            <w:vAlign w:val="bottom"/>
            <w:shd w:val="clear" w:color="auto" w:fill="000039"/>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shd w:val="clear" w:color="auto" w:fill="38447A"/>
          </w:tcPr>
          <w:p>
            <w:pPr>
              <w:spacing w:after="0"/>
              <w:rPr>
                <w:sz w:val="4"/>
                <w:szCs w:val="4"/>
                <w:color w:val="auto"/>
              </w:rPr>
            </w:pPr>
          </w:p>
        </w:tc>
        <w:tc>
          <w:tcPr>
            <w:tcW w:w="220" w:type="dxa"/>
            <w:vAlign w:val="bottom"/>
            <w:shd w:val="clear" w:color="auto" w:fill="38447A"/>
          </w:tcPr>
          <w:p>
            <w:pPr>
              <w:spacing w:after="0"/>
              <w:rPr>
                <w:sz w:val="4"/>
                <w:szCs w:val="4"/>
                <w:color w:val="auto"/>
              </w:rPr>
            </w:pPr>
          </w:p>
        </w:tc>
        <w:tc>
          <w:tcPr>
            <w:tcW w:w="80" w:type="dxa"/>
            <w:vAlign w:val="bottom"/>
            <w:shd w:val="clear" w:color="auto" w:fill="000C4F"/>
          </w:tcPr>
          <w:p>
            <w:pPr>
              <w:spacing w:after="0"/>
              <w:rPr>
                <w:sz w:val="4"/>
                <w:szCs w:val="4"/>
                <w:color w:val="auto"/>
              </w:rPr>
            </w:pPr>
          </w:p>
        </w:tc>
        <w:tc>
          <w:tcPr>
            <w:tcW w:w="320" w:type="dxa"/>
            <w:vAlign w:val="bottom"/>
            <w:shd w:val="clear" w:color="auto" w:fill="000C4F"/>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00" w:type="dxa"/>
            <w:vAlign w:val="bottom"/>
            <w:tcBorders>
              <w:right w:val="single" w:sz="8" w:color="000039"/>
            </w:tcBorders>
            <w:shd w:val="clear" w:color="auto" w:fill="000039"/>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shd w:val="clear" w:color="auto" w:fill="38447A"/>
          </w:tcPr>
          <w:p>
            <w:pPr>
              <w:spacing w:after="0"/>
              <w:rPr>
                <w:sz w:val="20"/>
                <w:szCs w:val="20"/>
                <w:color w:val="auto"/>
              </w:rPr>
            </w:pPr>
          </w:p>
        </w:tc>
        <w:tc>
          <w:tcPr>
            <w:tcW w:w="400" w:type="dxa"/>
            <w:vAlign w:val="bottom"/>
            <w:shd w:val="clear" w:color="auto" w:fill="000039"/>
          </w:tcPr>
          <w:p>
            <w:pPr>
              <w:spacing w:after="0"/>
              <w:rPr>
                <w:sz w:val="20"/>
                <w:szCs w:val="20"/>
                <w:color w:val="auto"/>
              </w:rPr>
            </w:pPr>
          </w:p>
        </w:tc>
        <w:tc>
          <w:tcPr>
            <w:tcW w:w="400" w:type="dxa"/>
            <w:vAlign w:val="bottom"/>
            <w:shd w:val="clear" w:color="auto" w:fill="000C4F"/>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shd w:val="clear" w:color="auto" w:fill="38447A"/>
          </w:tcPr>
          <w:p>
            <w:pPr>
              <w:spacing w:after="0"/>
              <w:rPr>
                <w:sz w:val="20"/>
                <w:szCs w:val="20"/>
                <w:color w:val="auto"/>
              </w:rPr>
            </w:pPr>
          </w:p>
        </w:tc>
        <w:tc>
          <w:tcPr>
            <w:tcW w:w="220" w:type="dxa"/>
            <w:vAlign w:val="bottom"/>
            <w:shd w:val="clear" w:color="auto" w:fill="38447A"/>
          </w:tcPr>
          <w:p>
            <w:pPr>
              <w:spacing w:after="0"/>
              <w:rPr>
                <w:sz w:val="20"/>
                <w:szCs w:val="20"/>
                <w:color w:val="auto"/>
              </w:rPr>
            </w:pPr>
          </w:p>
        </w:tc>
        <w:tc>
          <w:tcPr>
            <w:tcW w:w="80" w:type="dxa"/>
            <w:vAlign w:val="bottom"/>
            <w:shd w:val="clear" w:color="auto" w:fill="000C4F"/>
          </w:tcPr>
          <w:p>
            <w:pPr>
              <w:spacing w:after="0"/>
              <w:rPr>
                <w:sz w:val="20"/>
                <w:szCs w:val="20"/>
                <w:color w:val="auto"/>
              </w:rPr>
            </w:pPr>
          </w:p>
        </w:tc>
        <w:tc>
          <w:tcPr>
            <w:tcW w:w="320" w:type="dxa"/>
            <w:vAlign w:val="bottom"/>
            <w:shd w:val="clear" w:color="auto" w:fill="000C4F"/>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00" w:type="dxa"/>
            <w:vAlign w:val="bottom"/>
            <w:tcBorders>
              <w:right w:val="single" w:sz="8" w:color="000039"/>
            </w:tcBorders>
            <w:shd w:val="clear" w:color="auto" w:fill="000039"/>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shd w:val="clear" w:color="auto" w:fill="38447A"/>
          </w:tcPr>
          <w:p>
            <w:pPr>
              <w:spacing w:after="0"/>
              <w:rPr>
                <w:sz w:val="3"/>
                <w:szCs w:val="3"/>
                <w:color w:val="auto"/>
              </w:rPr>
            </w:pPr>
          </w:p>
        </w:tc>
        <w:tc>
          <w:tcPr>
            <w:tcW w:w="400" w:type="dxa"/>
            <w:vAlign w:val="bottom"/>
            <w:shd w:val="clear" w:color="auto" w:fill="000039"/>
          </w:tcPr>
          <w:p>
            <w:pPr>
              <w:spacing w:after="0"/>
              <w:rPr>
                <w:sz w:val="3"/>
                <w:szCs w:val="3"/>
                <w:color w:val="auto"/>
              </w:rPr>
            </w:pPr>
          </w:p>
        </w:tc>
        <w:tc>
          <w:tcPr>
            <w:tcW w:w="400" w:type="dxa"/>
            <w:vAlign w:val="bottom"/>
            <w:shd w:val="clear" w:color="auto" w:fill="000C4F"/>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shd w:val="clear" w:color="auto" w:fill="38447A"/>
          </w:tcPr>
          <w:p>
            <w:pPr>
              <w:spacing w:after="0"/>
              <w:rPr>
                <w:sz w:val="3"/>
                <w:szCs w:val="3"/>
                <w:color w:val="auto"/>
              </w:rPr>
            </w:pPr>
          </w:p>
        </w:tc>
        <w:tc>
          <w:tcPr>
            <w:tcW w:w="220" w:type="dxa"/>
            <w:vAlign w:val="bottom"/>
            <w:shd w:val="clear" w:color="auto" w:fill="38447A"/>
          </w:tcPr>
          <w:p>
            <w:pPr>
              <w:spacing w:after="0"/>
              <w:rPr>
                <w:sz w:val="3"/>
                <w:szCs w:val="3"/>
                <w:color w:val="auto"/>
              </w:rPr>
            </w:pPr>
          </w:p>
        </w:tc>
        <w:tc>
          <w:tcPr>
            <w:tcW w:w="80" w:type="dxa"/>
            <w:vAlign w:val="bottom"/>
            <w:shd w:val="clear" w:color="auto" w:fill="000C4F"/>
          </w:tcPr>
          <w:p>
            <w:pPr>
              <w:spacing w:after="0"/>
              <w:rPr>
                <w:sz w:val="3"/>
                <w:szCs w:val="3"/>
                <w:color w:val="auto"/>
              </w:rPr>
            </w:pPr>
          </w:p>
        </w:tc>
        <w:tc>
          <w:tcPr>
            <w:tcW w:w="320" w:type="dxa"/>
            <w:vAlign w:val="bottom"/>
            <w:shd w:val="clear" w:color="auto" w:fill="000C4F"/>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0"/>
        </w:trPr>
        <w:tc>
          <w:tcPr>
            <w:tcW w:w="40" w:type="dxa"/>
            <w:vAlign w:val="bottom"/>
          </w:tcPr>
          <w:p>
            <w:pPr>
              <w:spacing w:after="0"/>
              <w:rPr>
                <w:sz w:val="24"/>
                <w:szCs w:val="24"/>
                <w:color w:val="auto"/>
              </w:rPr>
            </w:pPr>
          </w:p>
        </w:tc>
        <w:tc>
          <w:tcPr>
            <w:tcW w:w="400" w:type="dxa"/>
            <w:vAlign w:val="bottom"/>
            <w:tcBorders>
              <w:right w:val="single" w:sz="8" w:color="000039"/>
            </w:tcBorders>
            <w:shd w:val="clear" w:color="auto" w:fill="000039"/>
          </w:tcPr>
          <w:p>
            <w:pPr>
              <w:spacing w:after="0"/>
              <w:rPr>
                <w:sz w:val="24"/>
                <w:szCs w:val="24"/>
                <w:color w:val="auto"/>
              </w:rPr>
            </w:pPr>
          </w:p>
        </w:tc>
        <w:tc>
          <w:tcPr>
            <w:tcW w:w="380" w:type="dxa"/>
            <w:vAlign w:val="bottom"/>
            <w:shd w:val="clear" w:color="auto" w:fill="000C4F"/>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shd w:val="clear" w:color="auto" w:fill="38447A"/>
          </w:tcPr>
          <w:p>
            <w:pPr>
              <w:spacing w:after="0"/>
              <w:rPr>
                <w:sz w:val="24"/>
                <w:szCs w:val="24"/>
                <w:color w:val="auto"/>
              </w:rPr>
            </w:pPr>
          </w:p>
        </w:tc>
        <w:tc>
          <w:tcPr>
            <w:tcW w:w="400" w:type="dxa"/>
            <w:vAlign w:val="bottom"/>
            <w:shd w:val="clear" w:color="auto" w:fill="000039"/>
          </w:tcPr>
          <w:p>
            <w:pPr>
              <w:spacing w:after="0"/>
              <w:rPr>
                <w:sz w:val="24"/>
                <w:szCs w:val="24"/>
                <w:color w:val="auto"/>
              </w:rPr>
            </w:pPr>
          </w:p>
        </w:tc>
        <w:tc>
          <w:tcPr>
            <w:tcW w:w="400" w:type="dxa"/>
            <w:vAlign w:val="bottom"/>
            <w:shd w:val="clear" w:color="auto" w:fill="000C4F"/>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shd w:val="clear" w:color="auto" w:fill="38447A"/>
          </w:tcPr>
          <w:p>
            <w:pPr>
              <w:spacing w:after="0"/>
              <w:rPr>
                <w:sz w:val="24"/>
                <w:szCs w:val="24"/>
                <w:color w:val="auto"/>
              </w:rPr>
            </w:pPr>
          </w:p>
        </w:tc>
        <w:tc>
          <w:tcPr>
            <w:tcW w:w="220" w:type="dxa"/>
            <w:vAlign w:val="bottom"/>
            <w:shd w:val="clear" w:color="auto" w:fill="38447A"/>
          </w:tcPr>
          <w:p>
            <w:pPr>
              <w:spacing w:after="0"/>
              <w:rPr>
                <w:sz w:val="24"/>
                <w:szCs w:val="24"/>
                <w:color w:val="auto"/>
              </w:rPr>
            </w:pPr>
          </w:p>
        </w:tc>
        <w:tc>
          <w:tcPr>
            <w:tcW w:w="80" w:type="dxa"/>
            <w:vAlign w:val="bottom"/>
            <w:shd w:val="clear" w:color="auto" w:fill="000C4F"/>
          </w:tcPr>
          <w:p>
            <w:pPr>
              <w:spacing w:after="0"/>
              <w:rPr>
                <w:sz w:val="24"/>
                <w:szCs w:val="24"/>
                <w:color w:val="auto"/>
              </w:rPr>
            </w:pPr>
          </w:p>
        </w:tc>
        <w:tc>
          <w:tcPr>
            <w:tcW w:w="320" w:type="dxa"/>
            <w:vAlign w:val="bottom"/>
            <w:shd w:val="clear" w:color="auto" w:fill="000C4F"/>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2023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2024</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3"/>
          </w:tcPr>
          <w:p>
            <w:pPr>
              <w:jc w:val="center"/>
              <w:ind w:left="128"/>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40" w:type="dxa"/>
            <w:vAlign w:val="bottom"/>
            <w:tcBorders>
              <w:bottom w:val="single" w:sz="8" w:color="000C4F"/>
            </w:tcBorders>
          </w:tcPr>
          <w:p>
            <w:pPr>
              <w:spacing w:after="0"/>
              <w:rPr>
                <w:sz w:val="24"/>
                <w:szCs w:val="24"/>
                <w:color w:val="auto"/>
              </w:rPr>
            </w:pPr>
          </w:p>
        </w:tc>
        <w:tc>
          <w:tcPr>
            <w:tcW w:w="400" w:type="dxa"/>
            <w:vAlign w:val="bottom"/>
            <w:tcBorders>
              <w:bottom w:val="single" w:sz="8" w:color="000C4F"/>
            </w:tcBorders>
          </w:tcPr>
          <w:p>
            <w:pPr>
              <w:spacing w:after="0"/>
              <w:rPr>
                <w:sz w:val="24"/>
                <w:szCs w:val="24"/>
                <w:color w:val="auto"/>
              </w:rPr>
            </w:pPr>
          </w:p>
        </w:tc>
        <w:tc>
          <w:tcPr>
            <w:tcW w:w="2400" w:type="dxa"/>
            <w:vAlign w:val="bottom"/>
            <w:gridSpan w:val="7"/>
            <w:vMerge w:val="restart"/>
          </w:tcPr>
          <w:p>
            <w:pPr>
              <w:ind w:left="20"/>
              <w:spacing w:after="0"/>
              <w:rPr>
                <w:sz w:val="20"/>
                <w:szCs w:val="20"/>
                <w:color w:val="auto"/>
              </w:rPr>
            </w:pPr>
            <w:r>
              <w:rPr>
                <w:rFonts w:ascii="Arial" w:cs="Arial" w:eastAsia="Arial" w:hAnsi="Arial"/>
                <w:sz w:val="15"/>
                <w:szCs w:val="15"/>
                <w:color w:val="auto"/>
              </w:rPr>
              <w:t>Average CAP to Non-PEO NEOs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122A68"/>
            </w:tcBorders>
          </w:tcPr>
          <w:p>
            <w:pPr>
              <w:spacing w:after="0"/>
              <w:rPr>
                <w:sz w:val="24"/>
                <w:szCs w:val="24"/>
                <w:color w:val="auto"/>
              </w:rPr>
            </w:pPr>
          </w:p>
        </w:tc>
        <w:tc>
          <w:tcPr>
            <w:tcW w:w="80" w:type="dxa"/>
            <w:vAlign w:val="bottom"/>
            <w:tcBorders>
              <w:bottom w:val="single" w:sz="8" w:color="122A68"/>
            </w:tcBorders>
          </w:tcPr>
          <w:p>
            <w:pPr>
              <w:spacing w:after="0"/>
              <w:rPr>
                <w:sz w:val="24"/>
                <w:szCs w:val="24"/>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TSR</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-459105</wp:posOffset>
            </wp:positionV>
            <wp:extent cx="472249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253">
                      <a:extLst>
                        <a:ext uri="{28A0092B-C50C-407E-A947-70E740481C1C}"/>
                      </a:extLst>
                    </a:blip>
                    <a:srcRect/>
                    <a:stretch>
                      <a:fillRect/>
                    </a:stretch>
                  </pic:blipFill>
                  <pic:spPr bwMode="auto">
                    <a:xfrm>
                      <a:off x="0" y="0"/>
                      <a:ext cx="4722495" cy="25400"/>
                    </a:xfrm>
                    <a:prstGeom prst="rect">
                      <a:avLst/>
                    </a:prstGeom>
                    <a:noFill/>
                  </pic:spPr>
                </pic:pic>
              </a:graphicData>
            </a:graphic>
          </wp:anchor>
        </w:drawing>
        <w:drawing>
          <wp:anchor simplePos="0" relativeHeight="251657728" behindDoc="1" locked="0" layoutInCell="0" allowOverlap="1">
            <wp:simplePos x="0" y="0"/>
            <wp:positionH relativeFrom="column">
              <wp:posOffset>2049145</wp:posOffset>
            </wp:positionH>
            <wp:positionV relativeFrom="paragraph">
              <wp:posOffset>-133985</wp:posOffset>
            </wp:positionV>
            <wp:extent cx="137795" cy="13716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254">
                      <a:extLst>
                        <a:ext uri="{28A0092B-C50C-407E-A947-70E740481C1C}"/>
                      </a:extLst>
                    </a:blip>
                    <a:srcRect/>
                    <a:stretch>
                      <a:fillRect/>
                    </a:stretch>
                  </pic:blipFill>
                  <pic:spPr bwMode="auto">
                    <a:xfrm>
                      <a:off x="0" y="0"/>
                      <a:ext cx="137795" cy="13716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-2032635</wp:posOffset>
            </wp:positionV>
            <wp:extent cx="3907155" cy="8534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55">
                      <a:extLst>
                        <a:ext uri="{28A0092B-C50C-407E-A947-70E740481C1C}"/>
                      </a:extLst>
                    </a:blip>
                    <a:srcRect/>
                    <a:stretch>
                      <a:fillRect/>
                    </a:stretch>
                  </pic:blipFill>
                  <pic:spPr bwMode="auto">
                    <a:xfrm>
                      <a:off x="0" y="0"/>
                      <a:ext cx="3907155" cy="85344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360" w:space="460"/>
            <w:col w:w="5240"/>
          </w:cols>
          <w:pgMar w:left="900" w:top="702" w:right="920" w:bottom="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“Compensation Actually Paid” to Net Income</w:t>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AbbVie’s net income was approximately $11.5 billion in 2021, $11.8 billion in 2022, $4.9 billion in 2023, $4.3 billion in 2024, and $4.2 billion in 2025. Mr. Michael’s “compensation actually paid” was approximately $33 million in 2024 and $57 million in 2025. Mr. Gonzalez’s “compensation actually paid” was approximately $66 million in 2021, $67 million in 2022, $35 million in 2023 and $68 million in 2024. The average “compensation actually paid” to AbbVie’s other NEOs (see footnote (c) to the pay versus performance table) was approximately $24 million in 2021, $20 million in 2022, $12 million in 2023, $20 million in 2024, and $24 million in 2025.</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“Compensation Actually Paid” to Company-Selected Measure (Adjusted Diluted EPS)</w:t>
      </w:r>
    </w:p>
    <w:p>
      <w:pPr>
        <w:spacing w:after="0" w:line="12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AbbVie’s annualized adjusted diluted EPS was $11.83 in 2021, $13.77 in 2022, $11.11 in 2023, $ 10.12 in 2024, and $10.00 in 2025. Mr. Michael’s “compensation actually paid” was approximately $33 million in 2024 and $57 million in 2025. Mr. Gonzalez’s “compensation actually paid” was approximately $66 million in 2021, $67 million in 2022, $35 million in 2023, and $ 68 million in 2024, and the average “compensation actually paid” to AbbVie’s other NEOs (see footnote (c) to pay versus performance table) was approximately $24 million in 2021, $20 million in 2022, $12 million in 2023, $20 million in 2024, and $24 million in 2025. While AbbVie uses numerous financial and non-financial performance measures for the purpose of evaluating performance for our compensation programs, we have determined that adjusted diluted EPS is the financial performance measure that, in AbbVie’s assessment, represents the most important performance measure (that is not otherwise required to be disclosed in the table) used to link compensation actually paid to NEOs, for the most recently completed fiscal year, to AbbVie’s performance. AbbVie places significant emphasis on achieving positive EPS outcomes because it reflects strong operating dynamics in the underlying business, which is imperative for sustained long-term growth.</w:t>
      </w:r>
    </w:p>
    <w:p>
      <w:pPr>
        <w:sectPr>
          <w:pgSz w:w="11880" w:h="15480" w:orient="portrait"/>
          <w:cols w:equalWidth="0" w:num="1">
            <w:col w:w="10060"/>
          </w:cols>
          <w:pgMar w:left="900" w:top="702"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66  </w:t>
      </w:r>
      <w:r>
        <w:rPr>
          <w:sz w:val="1"/>
          <w:szCs w:val="1"/>
          <w:color w:val="auto"/>
        </w:rPr>
        <w:drawing>
          <wp:inline distT="0" distB="0" distL="0" distR="0">
            <wp:extent cx="991870" cy="20066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256">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60"/>
          </w:cols>
          <w:pgMar w:left="900" w:top="702" w:right="920" w:bottom="0" w:gutter="0" w:footer="0" w:header="0"/>
          <w:type w:val="continuous"/>
        </w:sectPr>
      </w:pPr>
    </w:p>
    <w:bookmarkStart w:id="195" w:name="page196"/>
    <w:bookmarkEnd w:id="195"/>
    <w:p>
      <w:pPr>
        <w:jc w:val="right"/>
        <w:spacing w:after="0"/>
        <w:rPr>
          <w:sz w:val="20"/>
          <w:szCs w:val="20"/>
          <w:color w:val="auto"/>
        </w:rPr>
      </w:pPr>
      <w:r>
        <w:rPr>
          <w:rFonts w:ascii="Arial" w:cs="Arial" w:eastAsia="Arial" w:hAnsi="Arial"/>
          <w:sz w:val="20"/>
          <w:szCs w:val="20"/>
          <w:color w:val="808080"/>
        </w:rPr>
        <w:t>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Most Important Performance Measures</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performance measures that AbbVie uses in our executive compensation program are selected based on the objective of incentivizing NEOs to achieve long-term, sustainable growth in stockholder value. As required by Item 402(v) of Regulation S-K, we have identified the following financial performance measures as being the most important in linking compensation actually paid to executives to AbbVie’s performance.</w:t>
      </w:r>
    </w:p>
    <w:p>
      <w:pPr>
        <w:spacing w:after="0" w:line="13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Adjusted Diluted Earnings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1600200</wp:posOffset>
                </wp:positionH>
                <wp:positionV relativeFrom="paragraph">
                  <wp:posOffset>-133350</wp:posOffset>
                </wp:positionV>
                <wp:extent cx="3200400" cy="146050"/>
                <wp:wrapNone/>
                <wp:docPr id="566" name="Shape 5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146050"/>
                        </a:xfrm>
                        <a:prstGeom prst="rect">
                          <a:avLst/>
                        </a:prstGeom>
                        <a:solidFill>
                          <a:srgbClr val="D9D9D9"/>
                        </a:solidFill>
                      </wps:spPr>
                      <wps:bodyPr/>
                    </wps:wsp>
                  </a:graphicData>
                </a:graphic>
              </wp:anchor>
            </w:drawing>
          </mc:Choice>
          <mc:Fallback>
            <w:pict>
              <v:rect id="Shape 566" o:spid="_x0000_s1591" style="position:absolute;margin-left:126pt;margin-top:-10.4999pt;width:25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1600200</wp:posOffset>
                </wp:positionH>
                <wp:positionV relativeFrom="paragraph">
                  <wp:posOffset>-136525</wp:posOffset>
                </wp:positionV>
                <wp:extent cx="3200400" cy="0"/>
                <wp:wrapNone/>
                <wp:docPr id="567" name="Shape 5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4763"/>
                        </a:xfrm>
                        <a:prstGeom prst="line">
                          <a:avLst/>
                        </a:prstGeom>
                        <a:solidFill>
                          <a:srgbClr val="FFFFFF"/>
                        </a:solidFill>
                        <a:ln w="6095">
                          <a:solidFill>
                            <a:srgbClr val="000039"/>
                          </a:solidFill>
                          <a:miter lim="800000"/>
                          <a:headEnd/>
                          <a:tailEnd/>
                        </a:ln>
                      </wps:spPr>
                      <wps:bodyPr/>
                    </wps:wsp>
                  </a:graphicData>
                </a:graphic>
              </wp:anchor>
            </w:drawing>
          </mc:Choice>
          <mc:Fallback>
            <w:pict>
              <v:line id="Shape 567" o:spid="_x0000_s1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pt,-10.7499pt" to="378pt,-10.7499pt" o:allowincell="f" strokecolor="#000039" strokeweight="0.4799pt"/>
            </w:pict>
          </mc:Fallback>
        </mc:AlternateConten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Relative Return on Invested 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1600200</wp:posOffset>
                </wp:positionH>
                <wp:positionV relativeFrom="paragraph">
                  <wp:posOffset>-3175</wp:posOffset>
                </wp:positionV>
                <wp:extent cx="3200400" cy="144780"/>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144780"/>
                        </a:xfrm>
                        <a:prstGeom prst="rect">
                          <a:avLst/>
                        </a:prstGeom>
                        <a:solidFill>
                          <a:srgbClr val="D9D9D9"/>
                        </a:solidFill>
                      </wps:spPr>
                      <wps:bodyPr/>
                    </wps:wsp>
                  </a:graphicData>
                </a:graphic>
              </wp:anchor>
            </w:drawing>
          </mc:Choice>
          <mc:Fallback>
            <w:pict>
              <v:rect id="Shape 568" o:spid="_x0000_s1593" style="position:absolute;margin-left:126pt;margin-top:-0.2499pt;width:252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2600"/>
        <w:spacing w:after="0"/>
        <w:rPr>
          <w:sz w:val="20"/>
          <w:szCs w:val="20"/>
          <w:color w:val="auto"/>
        </w:rPr>
      </w:pPr>
      <w:r>
        <w:rPr>
          <w:rFonts w:ascii="Arial" w:cs="Arial" w:eastAsia="Arial" w:hAnsi="Arial"/>
          <w:sz w:val="20"/>
          <w:szCs w:val="20"/>
          <w:color w:val="auto"/>
        </w:rPr>
        <w:t>Adjusted Return on Assets</w:t>
      </w:r>
    </w:p>
    <w:p>
      <w:pPr>
        <w:ind w:left="2600"/>
        <w:spacing w:after="0"/>
        <w:rPr>
          <w:sz w:val="20"/>
          <w:szCs w:val="20"/>
          <w:color w:val="auto"/>
        </w:rPr>
      </w:pPr>
      <w:r>
        <w:rPr>
          <w:rFonts w:ascii="Arial" w:cs="Arial" w:eastAsia="Arial" w:hAnsi="Arial"/>
          <w:sz w:val="20"/>
          <w:szCs w:val="20"/>
          <w:color w:val="auto"/>
        </w:rPr>
        <w:t>Non-GAAP Income Before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1600200</wp:posOffset>
                </wp:positionH>
                <wp:positionV relativeFrom="paragraph">
                  <wp:posOffset>-3810</wp:posOffset>
                </wp:positionV>
                <wp:extent cx="3200400" cy="145415"/>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145415"/>
                        </a:xfrm>
                        <a:prstGeom prst="rect">
                          <a:avLst/>
                        </a:prstGeom>
                        <a:solidFill>
                          <a:srgbClr val="D9D9D9"/>
                        </a:solidFill>
                      </wps:spPr>
                      <wps:bodyPr/>
                    </wps:wsp>
                  </a:graphicData>
                </a:graphic>
              </wp:anchor>
            </w:drawing>
          </mc:Choice>
          <mc:Fallback>
            <w:pict>
              <v:rect id="Shape 569" o:spid="_x0000_s1594" style="position:absolute;margin-left:126pt;margin-top:-0.2999pt;width:25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2600"/>
        <w:spacing w:after="0"/>
        <w:rPr>
          <w:sz w:val="20"/>
          <w:szCs w:val="20"/>
          <w:color w:val="auto"/>
        </w:rPr>
      </w:pPr>
      <w:r>
        <w:rPr>
          <w:rFonts w:ascii="Arial" w:cs="Arial" w:eastAsia="Arial" w:hAnsi="Arial"/>
          <w:sz w:val="20"/>
          <w:szCs w:val="20"/>
          <w:color w:val="auto"/>
        </w:rPr>
        <w:t>Non-GAAP Operating Margin</w:t>
      </w:r>
    </w:p>
    <w:p>
      <w:pPr>
        <w:ind w:left="2600"/>
        <w:spacing w:after="0"/>
        <w:rPr>
          <w:sz w:val="20"/>
          <w:szCs w:val="20"/>
          <w:color w:val="auto"/>
        </w:rPr>
      </w:pPr>
      <w:r>
        <w:rPr>
          <w:rFonts w:ascii="Arial" w:cs="Arial" w:eastAsia="Arial" w:hAnsi="Arial"/>
          <w:sz w:val="20"/>
          <w:szCs w:val="20"/>
          <w:color w:val="auto"/>
        </w:rPr>
        <w:t>Platform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1600200</wp:posOffset>
                </wp:positionH>
                <wp:positionV relativeFrom="paragraph">
                  <wp:posOffset>-3810</wp:posOffset>
                </wp:positionV>
                <wp:extent cx="3200400" cy="145415"/>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145415"/>
                        </a:xfrm>
                        <a:prstGeom prst="rect">
                          <a:avLst/>
                        </a:prstGeom>
                        <a:solidFill>
                          <a:srgbClr val="D9D9D9"/>
                        </a:solidFill>
                      </wps:spPr>
                      <wps:bodyPr/>
                    </wps:wsp>
                  </a:graphicData>
                </a:graphic>
              </wp:anchor>
            </w:drawing>
          </mc:Choice>
          <mc:Fallback>
            <w:pict>
              <v:rect id="Shape 570" o:spid="_x0000_s1595" style="position:absolute;margin-left:126pt;margin-top:-0.2999pt;width:25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2600"/>
        <w:spacing w:after="0"/>
        <w:rPr>
          <w:sz w:val="20"/>
          <w:szCs w:val="20"/>
          <w:color w:val="auto"/>
        </w:rPr>
      </w:pPr>
      <w:r>
        <w:rPr>
          <w:rFonts w:ascii="Arial" w:cs="Arial" w:eastAsia="Arial" w:hAnsi="Arial"/>
          <w:sz w:val="20"/>
          <w:szCs w:val="20"/>
          <w:color w:val="auto"/>
        </w:rPr>
        <w:t>Total Shareholder Return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1590675</wp:posOffset>
                </wp:positionH>
                <wp:positionV relativeFrom="paragraph">
                  <wp:posOffset>-635</wp:posOffset>
                </wp:positionV>
                <wp:extent cx="3209925" cy="0"/>
                <wp:wrapNone/>
                <wp:docPr id="571" name="Shape 5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9925" cy="4763"/>
                        </a:xfrm>
                        <a:prstGeom prst="line">
                          <a:avLst/>
                        </a:prstGeom>
                        <a:solidFill>
                          <a:srgbClr val="FFFFFF"/>
                        </a:solidFill>
                        <a:ln w="6095">
                          <a:solidFill>
                            <a:srgbClr val="000039"/>
                          </a:solidFill>
                          <a:miter lim="800000"/>
                          <a:headEnd/>
                          <a:tailEnd/>
                        </a:ln>
                      </wps:spPr>
                      <wps:bodyPr/>
                    </wps:wsp>
                  </a:graphicData>
                </a:graphic>
              </wp:anchor>
            </w:drawing>
          </mc:Choice>
          <mc:Fallback>
            <w:pict>
              <v:line id="Shape 571" o:spid="_x0000_s15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25pt,-0.0499pt" to="378pt,-0.0499pt" o:allowincell="f" strokecolor="#000039" strokeweight="0.4799pt"/>
            </w:pict>
          </mc:Fallback>
        </mc:AlternateContent>
      </w:r>
    </w:p>
    <w:p>
      <w:pPr>
        <w:spacing w:after="0" w:line="107" w:lineRule="exact"/>
        <w:rPr>
          <w:sz w:val="20"/>
          <w:szCs w:val="20"/>
          <w:color w:val="auto"/>
        </w:rPr>
      </w:pPr>
    </w:p>
    <w:p>
      <w:pPr>
        <w:spacing w:after="0"/>
        <w:rPr>
          <w:sz w:val="20"/>
          <w:szCs w:val="20"/>
          <w:color w:val="auto"/>
        </w:rPr>
      </w:pPr>
      <w:r>
        <w:rPr>
          <w:rFonts w:ascii="Arial" w:cs="Arial" w:eastAsia="Arial" w:hAnsi="Arial"/>
          <w:sz w:val="36"/>
          <w:szCs w:val="36"/>
          <w:color w:val="auto"/>
        </w:rPr>
        <w:t>Potential Payments upon Termination or Change in Control</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 GENERALLY</w:t>
      </w:r>
    </w:p>
    <w:p>
      <w:pPr>
        <w:spacing w:after="0" w:line="164"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In accordance with AbbVie’s longstanding practice, the company has not entered into employment agreements with its NEOs. NEOs do not have any rights or entitlements to any cash termination or severance payments or equity vesting acceleration outside of the change in control context and subsequent termination of an NEO (double trigger), as discussed in more detail below.</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summarizes the payments that the NEOs would have received if their employment had terminated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on December 31, 2025. Earnings would have continued to be paid for the NEO’s Performance Incentive Plan and</w:t>
      </w:r>
    </w:p>
    <w:p>
      <w:pPr>
        <w:spacing w:after="0"/>
        <w:rPr>
          <w:sz w:val="20"/>
          <w:szCs w:val="20"/>
          <w:color w:val="auto"/>
        </w:rPr>
      </w:pPr>
      <w:r>
        <w:rPr>
          <w:rFonts w:ascii="Arial" w:cs="Arial" w:eastAsia="Arial" w:hAnsi="Arial"/>
          <w:sz w:val="20"/>
          <w:szCs w:val="20"/>
          <w:color w:val="auto"/>
        </w:rPr>
        <w:t>Supplemental Savings Plan grantor trusts, as applicable, until the trust assets were fully distributed. The amount</w:t>
      </w:r>
    </w:p>
    <w:p>
      <w:pPr>
        <w:spacing w:after="0"/>
        <w:rPr>
          <w:sz w:val="20"/>
          <w:szCs w:val="20"/>
          <w:color w:val="auto"/>
        </w:rPr>
      </w:pPr>
      <w:r>
        <w:rPr>
          <w:rFonts w:ascii="Arial" w:cs="Arial" w:eastAsia="Arial" w:hAnsi="Arial"/>
          <w:sz w:val="20"/>
          <w:szCs w:val="20"/>
          <w:color w:val="auto"/>
        </w:rPr>
        <w:t>of these payments would depend on the trust earnings and fees and the period over which the trust assets were</w:t>
      </w:r>
    </w:p>
    <w:p>
      <w:pPr>
        <w:spacing w:after="0"/>
        <w:rPr>
          <w:sz w:val="20"/>
          <w:szCs w:val="20"/>
          <w:color w:val="auto"/>
        </w:rPr>
      </w:pPr>
      <w:r>
        <w:rPr>
          <w:rFonts w:ascii="Arial" w:cs="Arial" w:eastAsia="Arial" w:hAnsi="Arial"/>
          <w:sz w:val="20"/>
          <w:szCs w:val="20"/>
          <w:color w:val="auto"/>
        </w:rPr>
        <w:t>distributed. Based on current earnings rates, if the trust assets were distributed over a 10-year period, the eligible</w:t>
      </w:r>
    </w:p>
    <w:p>
      <w:pPr>
        <w:spacing w:after="0"/>
        <w:rPr>
          <w:sz w:val="20"/>
          <w:szCs w:val="20"/>
          <w:color w:val="auto"/>
        </w:rPr>
      </w:pPr>
      <w:r>
        <w:rPr>
          <w:rFonts w:ascii="Arial" w:cs="Arial" w:eastAsia="Arial" w:hAnsi="Arial"/>
          <w:sz w:val="20"/>
          <w:szCs w:val="20"/>
          <w:color w:val="auto"/>
        </w:rPr>
        <w:t>NEOs would receive the following average annual earnings payments over such 10-year period: Mr. Michael,</w:t>
      </w:r>
    </w:p>
    <w:p>
      <w:pPr>
        <w:spacing w:after="0"/>
        <w:rPr>
          <w:sz w:val="20"/>
          <w:szCs w:val="20"/>
          <w:color w:val="auto"/>
        </w:rPr>
      </w:pPr>
      <w:r>
        <w:rPr>
          <w:rFonts w:ascii="Arial" w:cs="Arial" w:eastAsia="Arial" w:hAnsi="Arial"/>
          <w:sz w:val="20"/>
          <w:szCs w:val="20"/>
          <w:color w:val="auto"/>
        </w:rPr>
        <w:t>$1,120,589; Mr. Reents, $1,014,234; Mr. Stewart, $1,714,914; and Dr. Saleki-Gerhardt, $1,770,549. In addition,</w:t>
      </w:r>
    </w:p>
    <w:p>
      <w:pPr>
        <w:spacing w:after="0"/>
        <w:rPr>
          <w:sz w:val="20"/>
          <w:szCs w:val="20"/>
          <w:color w:val="auto"/>
        </w:rPr>
      </w:pPr>
      <w:r>
        <w:rPr>
          <w:rFonts w:ascii="Arial" w:cs="Arial" w:eastAsia="Arial" w:hAnsi="Arial"/>
          <w:sz w:val="20"/>
          <w:szCs w:val="20"/>
          <w:color w:val="auto"/>
        </w:rPr>
        <w:t>the following one-time deposits would have been made under the AbbVie Supplemental Pension Plan grantor</w:t>
      </w:r>
    </w:p>
    <w:p>
      <w:pPr>
        <w:spacing w:after="0"/>
        <w:rPr>
          <w:sz w:val="20"/>
          <w:szCs w:val="20"/>
          <w:color w:val="auto"/>
        </w:rPr>
      </w:pPr>
      <w:r>
        <w:rPr>
          <w:rFonts w:ascii="Arial" w:cs="Arial" w:eastAsia="Arial" w:hAnsi="Arial"/>
          <w:sz w:val="20"/>
          <w:szCs w:val="20"/>
          <w:color w:val="auto"/>
        </w:rPr>
        <w:t>trust for each of the following eligible NEOs, respectively: Mr. Michael, $7,253,931; Mr. Reents, $1,455,800;</w:t>
      </w:r>
    </w:p>
    <w:p>
      <w:pPr>
        <w:spacing w:after="0"/>
        <w:rPr>
          <w:sz w:val="20"/>
          <w:szCs w:val="20"/>
          <w:color w:val="auto"/>
        </w:rPr>
      </w:pPr>
      <w:r>
        <w:rPr>
          <w:rFonts w:ascii="Arial" w:cs="Arial" w:eastAsia="Arial" w:hAnsi="Arial"/>
          <w:sz w:val="20"/>
          <w:szCs w:val="20"/>
          <w:color w:val="auto"/>
        </w:rPr>
        <w:t>Mr. Stewart, $1,847,863; and Dr. Saleki-Gerhardt, $0. As of December 31, 2025, Mr. Michael, Mr. Reents,</w:t>
      </w:r>
    </w:p>
    <w:p>
      <w:pPr>
        <w:ind w:right="60"/>
        <w:spacing w:after="0" w:line="256" w:lineRule="auto"/>
        <w:rPr>
          <w:sz w:val="20"/>
          <w:szCs w:val="20"/>
          <w:color w:val="auto"/>
        </w:rPr>
      </w:pPr>
      <w:r>
        <w:rPr>
          <w:rFonts w:ascii="Arial" w:cs="Arial" w:eastAsia="Arial" w:hAnsi="Arial"/>
          <w:sz w:val="20"/>
          <w:szCs w:val="20"/>
          <w:color w:val="auto"/>
        </w:rPr>
        <w:t>Mr. Stewart, Dr. Saleki-Gerhardt, and Dr. Thakkar were eligible to retire, and therefore were eligible to receive the pension benefits previously described.</w:t>
      </w:r>
    </w:p>
    <w:p>
      <w:pPr>
        <w:spacing w:after="0" w:line="44"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If the termination of employment had been due to disability, then the respective NEO also would have received, in addition to AbbVie’s standard disability benefits, a monthly long-term disability benefit in the following amount: Mr. Michael, $260,000; Mr. Reents, $117,500; Mr. Stewart, $147,500; Dr. Saleki-Gerhardt, $110,000; and</w:t>
      </w:r>
    </w:p>
    <w:p>
      <w:pPr>
        <w:ind w:right="180"/>
        <w:spacing w:after="0" w:line="256" w:lineRule="auto"/>
        <w:rPr>
          <w:sz w:val="20"/>
          <w:szCs w:val="20"/>
          <w:color w:val="auto"/>
        </w:rPr>
      </w:pPr>
      <w:r>
        <w:rPr>
          <w:rFonts w:ascii="Arial" w:cs="Arial" w:eastAsia="Arial" w:hAnsi="Arial"/>
          <w:sz w:val="20"/>
          <w:szCs w:val="20"/>
          <w:color w:val="auto"/>
        </w:rPr>
        <w:t>Dr. Thakkar, $117,500. This long-term disability benefit would continue for up to 24 months following termination of employment. It ends if the NEO retires, recovers, dies or ceases to meet eligibility criteria.</w:t>
      </w:r>
    </w:p>
    <w:p>
      <w:pPr>
        <w:spacing w:after="0" w:line="43" w:lineRule="exact"/>
        <w:rPr>
          <w:sz w:val="20"/>
          <w:szCs w:val="20"/>
          <w:color w:val="auto"/>
        </w:rPr>
      </w:pPr>
    </w:p>
    <w:p>
      <w:pPr>
        <w:ind w:right="360"/>
        <w:spacing w:after="0" w:line="262" w:lineRule="auto"/>
        <w:rPr>
          <w:sz w:val="20"/>
          <w:szCs w:val="20"/>
          <w:color w:val="auto"/>
        </w:rPr>
      </w:pPr>
      <w:r>
        <w:rPr>
          <w:rFonts w:ascii="Arial" w:cs="Arial" w:eastAsia="Arial" w:hAnsi="Arial"/>
          <w:sz w:val="20"/>
          <w:szCs w:val="20"/>
          <w:color w:val="auto"/>
        </w:rPr>
        <w:t>If the NEO’s employment had terminated due to death or disability, their unvested stock options, performance-vested restricted stock unit awards and performance shares would have vested on December 31, 2025 with values as set forth below in the subsection of this proxy statement captioned “Equity Awards.”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CHANGE IN CONTROL</w:t>
      </w:r>
    </w:p>
    <w:p>
      <w:pPr>
        <w:spacing w:after="0" w:line="164"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AbbVie has entered into change in control agreements with its NEOs. Each change in control agreement continues in effect until December 31, 2027, and can be renewed for successive five-year terms upon notice prior to the expiration date. If notice of non-renewal is given, the agreement will expire on the later of the scheduled expiration date and the one-year anniversary of the date of such notice. If no notice is given, the agreement will expire on the one-year anniversary of the scheduled expiration date. Each agreement also automatically extends for two years following any change in control (see below) that occurs while the agreement is in effect. As discussed in more detail below, AbbVie’s internal policies and individual change in control agreements with its NEOs prohibit a cash lump sum payment in excess of 2.99 times an NEO’s annual salary and annual incentive (“bonus”) award, unless stockholders ratify an exception.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257">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96" w:name="page197"/>
    <w:bookmarkEnd w:id="196"/>
    <w:p>
      <w:pPr>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agreements provide that if the employee is terminated other than for cause or permanent disability or if the employee elects to terminate employment for good reason (see below) within two years following a change in control, they are entitled to receive a lump sum payment equal to 2.99 their annual salary and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of the bonus assuming achievement of target performance, the average bonus for the past three years or, in the case of the unpaid bonus for any completed performance period, the actual bonus earned). If the employee is terminated other than for cause or permanent disability during a potential change in control (see below), they are entitled to receive a lump sum payment of the annual salary and bonus payments described above, except that the amount of the bonus to which the employee is entitled will be based on the actual achievement of the applicable performance goals. If the potential change in control becomes a “change in control event” (within the meaning of Internal Revenue Code Section 409A), the employee will be entitled to receive the difference between the bonus amounts the employee received upon termination during the potential change in control and the bonus amounts that would have been received had such amounts instead been based on the higher of the employee’s target bonus or the average bonus paid to the employee in the preceding three years. Bonus payments include payments made under the Performance Incentive Plan.</w:t>
      </w:r>
    </w:p>
    <w:p>
      <w:pPr>
        <w:spacing w:after="0" w:line="20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employee also will receive up to two years of additional employee benefits (including welfare benefits, outplacement services and tax and financial counseling) and the value of three more years of pension accruals under the Supplemental Pension Plan. If change in control-related payments and benefits become subject to the excise tax imposed under Internal Revenue Code Section 4999, payments under the agreement will be reduced to prevent application of the excise tax if such a reduction would leave the employee in a better after-tax position than if the payments were not reduced and the tax applied. The agreements also limit the conduct for which awards under AbbVie’s incentive stock programs can be forfeited and generally permit options to remain exercisable for the remainder of their term.</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For purposes of the agreements, the term “change in control” includes the following events: any person becoming the beneficial owner of AbbVie securities representing 20 percent or more of the outstanding voting power (not including an acquisition directly from AbbVie and its affiliates); a change in the majority of the members of the Board of Directors whose appointment was approved by a vote of at least two-thirds of the incumbent directors; and the consummation of certain mergers or similar corporate transactions involving AbbVie. A “potential change in control” under the agreements includes, among other things, AbbVie’s entry into an agreement that would result in a change in control. Finally, the term “good reason” includes: a significant adverse change in the employee’s position, duties, or authority; the company’s failure to pay the employee’s compensation or a reduction in the employee’s base pay or benefits; or the relocation of the company’s principal executive offices to a location that is more than 35 miles from the location of the offices at the time of the change in control.</w:t>
      </w:r>
    </w:p>
    <w:p>
      <w:pPr>
        <w:spacing w:after="0" w:line="163"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If a change in control had occurred on December 31, 2025, immediately followed by one of the covered circumstances described above, Mr. Michael, Mr. Reents, Mr. Stewart, Dr. Saleki-Gerhardt, and Dr. Thakkar would have been entitled to receive the following payments and benefits under the change in control agreements:</w:t>
      </w:r>
    </w:p>
    <w:p>
      <w:pPr>
        <w:spacing w:after="0" w:line="173" w:lineRule="exact"/>
        <w:rPr>
          <w:sz w:val="20"/>
          <w:szCs w:val="20"/>
          <w:color w:val="auto"/>
        </w:rPr>
      </w:pPr>
    </w:p>
    <w:p>
      <w:pPr>
        <w:ind w:left="360" w:right="400" w:hanging="360"/>
        <w:spacing w:after="0" w:line="260" w:lineRule="auto"/>
        <w:tabs>
          <w:tab w:leader="none" w:pos="360" w:val="left"/>
        </w:tabs>
        <w:numPr>
          <w:ilvl w:val="0"/>
          <w:numId w:val="137"/>
        </w:numPr>
        <w:rPr>
          <w:rFonts w:ascii="Arial" w:cs="Arial" w:eastAsia="Arial" w:hAnsi="Arial"/>
          <w:sz w:val="20"/>
          <w:szCs w:val="20"/>
          <w:color w:val="000039"/>
        </w:rPr>
      </w:pPr>
      <w:r>
        <w:rPr>
          <w:rFonts w:ascii="Arial" w:cs="Arial" w:eastAsia="Arial" w:hAnsi="Arial"/>
          <w:sz w:val="20"/>
          <w:szCs w:val="20"/>
          <w:color w:val="auto"/>
        </w:rPr>
        <w:t>Mr. Michael: cash termination payments—$15,149,956; additional Supplemental Pension Plan benefits— $11,180,056; welfare and fringe benefits—$100,344.</w:t>
      </w:r>
    </w:p>
    <w:p>
      <w:pPr>
        <w:spacing w:after="0" w:line="1" w:lineRule="exact"/>
        <w:rPr>
          <w:rFonts w:ascii="Arial" w:cs="Arial" w:eastAsia="Arial" w:hAnsi="Arial"/>
          <w:sz w:val="20"/>
          <w:szCs w:val="20"/>
          <w:color w:val="000039"/>
        </w:rPr>
      </w:pPr>
    </w:p>
    <w:p>
      <w:pPr>
        <w:ind w:left="360" w:right="560" w:hanging="360"/>
        <w:spacing w:after="0" w:line="246" w:lineRule="auto"/>
        <w:tabs>
          <w:tab w:leader="none" w:pos="360" w:val="left"/>
        </w:tabs>
        <w:numPr>
          <w:ilvl w:val="0"/>
          <w:numId w:val="137"/>
        </w:numPr>
        <w:rPr>
          <w:rFonts w:ascii="Arial" w:cs="Arial" w:eastAsia="Arial" w:hAnsi="Arial"/>
          <w:sz w:val="20"/>
          <w:szCs w:val="20"/>
          <w:color w:val="000039"/>
        </w:rPr>
      </w:pPr>
      <w:r>
        <w:rPr>
          <w:rFonts w:ascii="Arial" w:cs="Arial" w:eastAsia="Arial" w:hAnsi="Arial"/>
          <w:sz w:val="20"/>
          <w:szCs w:val="20"/>
          <w:color w:val="auto"/>
        </w:rPr>
        <w:t>Mr. Reents: cash termination payments—$8,869,337; additional Supplemental Pension Plan benefits— $4,998,371; welfare and fringe benefits—$79,500.</w:t>
      </w:r>
    </w:p>
    <w:p>
      <w:pPr>
        <w:spacing w:after="0" w:line="1" w:lineRule="exact"/>
        <w:rPr>
          <w:rFonts w:ascii="Arial" w:cs="Arial" w:eastAsia="Arial" w:hAnsi="Arial"/>
          <w:sz w:val="20"/>
          <w:szCs w:val="20"/>
          <w:color w:val="000039"/>
        </w:rPr>
      </w:pPr>
    </w:p>
    <w:p>
      <w:pPr>
        <w:ind w:left="360" w:right="420" w:hanging="360"/>
        <w:spacing w:after="0" w:line="247" w:lineRule="auto"/>
        <w:tabs>
          <w:tab w:leader="none" w:pos="360" w:val="left"/>
        </w:tabs>
        <w:numPr>
          <w:ilvl w:val="0"/>
          <w:numId w:val="137"/>
        </w:numPr>
        <w:rPr>
          <w:rFonts w:ascii="Arial" w:cs="Arial" w:eastAsia="Arial" w:hAnsi="Arial"/>
          <w:sz w:val="20"/>
          <w:szCs w:val="20"/>
          <w:color w:val="000039"/>
        </w:rPr>
      </w:pPr>
      <w:r>
        <w:rPr>
          <w:rFonts w:ascii="Arial" w:cs="Arial" w:eastAsia="Arial" w:hAnsi="Arial"/>
          <w:sz w:val="20"/>
          <w:szCs w:val="20"/>
          <w:color w:val="auto"/>
        </w:rPr>
        <w:t>Mr. Stewart: cash termination payments—$11,020,724; additional Supplemental Pension Plan benefits— $4,983,424; welfare and fringe benefits—$98,928.</w:t>
      </w:r>
    </w:p>
    <w:p>
      <w:pPr>
        <w:ind w:left="360" w:right="780" w:hanging="360"/>
        <w:spacing w:after="0" w:line="246" w:lineRule="auto"/>
        <w:tabs>
          <w:tab w:leader="none" w:pos="360" w:val="left"/>
        </w:tabs>
        <w:numPr>
          <w:ilvl w:val="0"/>
          <w:numId w:val="137"/>
        </w:numPr>
        <w:rPr>
          <w:rFonts w:ascii="Arial" w:cs="Arial" w:eastAsia="Arial" w:hAnsi="Arial"/>
          <w:sz w:val="20"/>
          <w:szCs w:val="20"/>
          <w:color w:val="000039"/>
        </w:rPr>
      </w:pPr>
      <w:r>
        <w:rPr>
          <w:rFonts w:ascii="Arial" w:cs="Arial" w:eastAsia="Arial" w:hAnsi="Arial"/>
          <w:sz w:val="20"/>
          <w:szCs w:val="20"/>
          <w:color w:val="auto"/>
        </w:rPr>
        <w:t>Dr. Saleki-Gerhardt: cash termination payments—$8,543,382; additional Supplemental Pension Plan benefits—$2,066,415; welfare and fringe benefits—$75,299.</w:t>
      </w:r>
    </w:p>
    <w:p>
      <w:pPr>
        <w:spacing w:after="0" w:line="1" w:lineRule="exact"/>
        <w:rPr>
          <w:rFonts w:ascii="Arial" w:cs="Arial" w:eastAsia="Arial" w:hAnsi="Arial"/>
          <w:sz w:val="20"/>
          <w:szCs w:val="20"/>
          <w:color w:val="000039"/>
        </w:rPr>
      </w:pPr>
    </w:p>
    <w:p>
      <w:pPr>
        <w:ind w:left="360" w:right="500" w:hanging="360"/>
        <w:spacing w:after="0" w:line="256" w:lineRule="auto"/>
        <w:tabs>
          <w:tab w:leader="none" w:pos="360" w:val="left"/>
        </w:tabs>
        <w:numPr>
          <w:ilvl w:val="0"/>
          <w:numId w:val="137"/>
        </w:numPr>
        <w:rPr>
          <w:rFonts w:ascii="Arial" w:cs="Arial" w:eastAsia="Arial" w:hAnsi="Arial"/>
          <w:sz w:val="20"/>
          <w:szCs w:val="20"/>
          <w:color w:val="000039"/>
        </w:rPr>
      </w:pPr>
      <w:r>
        <w:rPr>
          <w:rFonts w:ascii="Arial" w:cs="Arial" w:eastAsia="Arial" w:hAnsi="Arial"/>
          <w:sz w:val="20"/>
          <w:szCs w:val="20"/>
          <w:color w:val="auto"/>
        </w:rPr>
        <w:t>Dr. Thakkar: cash termination payments—$7,534,800; additional Supplemental Pension Plan benefits— $9,165,146; welfare and fringe benefits—$78,094.</w:t>
      </w:r>
    </w:p>
    <w:p>
      <w:pPr>
        <w:spacing w:after="0" w:line="174" w:lineRule="exact"/>
        <w:rPr>
          <w:sz w:val="20"/>
          <w:szCs w:val="20"/>
          <w:color w:val="auto"/>
        </w:rPr>
      </w:pPr>
    </w:p>
    <w:p>
      <w:pPr>
        <w:ind w:right="520"/>
        <w:spacing w:after="0" w:line="283" w:lineRule="auto"/>
        <w:rPr>
          <w:sz w:val="20"/>
          <w:szCs w:val="20"/>
          <w:color w:val="auto"/>
        </w:rPr>
      </w:pPr>
      <w:r>
        <w:rPr>
          <w:rFonts w:ascii="Arial" w:cs="Arial" w:eastAsia="Arial" w:hAnsi="Arial"/>
          <w:sz w:val="20"/>
          <w:szCs w:val="20"/>
          <w:color w:val="auto"/>
        </w:rPr>
        <w:t>Because the termination date is assumed to occur at the end of the 2025 performance period, the cash termination payments include an amount reflecting the excess, if any, of (a) the bonus entitlement under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68  </w:t>
      </w:r>
      <w:r>
        <w:rPr>
          <w:sz w:val="1"/>
          <w:szCs w:val="1"/>
          <w:color w:val="auto"/>
        </w:rPr>
        <w:drawing>
          <wp:inline distT="0" distB="0" distL="0" distR="0">
            <wp:extent cx="991870" cy="200660"/>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258">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40"/>
          </w:cols>
          <w:pgMar w:left="900" w:top="702" w:right="940" w:bottom="0" w:gutter="0" w:footer="0" w:header="0"/>
        </w:sectPr>
      </w:pPr>
    </w:p>
    <w:bookmarkStart w:id="197" w:name="page198"/>
    <w:bookmarkEnd w:id="197"/>
    <w:p>
      <w:pPr>
        <w:ind w:left="7260"/>
        <w:spacing w:after="0"/>
        <w:rPr>
          <w:sz w:val="20"/>
          <w:szCs w:val="20"/>
          <w:color w:val="auto"/>
        </w:rPr>
      </w:pPr>
      <w:r>
        <w:rPr>
          <w:rFonts w:ascii="Arial" w:cs="Arial" w:eastAsia="Arial" w:hAnsi="Arial"/>
          <w:sz w:val="20"/>
          <w:szCs w:val="20"/>
          <w:color w:val="808080"/>
        </w:rPr>
        <w:t>EXECUTIVE COMPENSATION</w:t>
      </w:r>
    </w:p>
    <w:p>
      <w:pPr>
        <w:spacing w:after="0" w:line="231" w:lineRule="exact"/>
        <w:rPr>
          <w:sz w:val="20"/>
          <w:szCs w:val="20"/>
          <w:color w:val="auto"/>
        </w:rPr>
      </w:pPr>
    </w:p>
    <w:p>
      <w:pPr>
        <w:jc w:val="both"/>
        <w:ind w:right="60"/>
        <w:spacing w:after="0" w:line="261" w:lineRule="auto"/>
        <w:rPr>
          <w:sz w:val="20"/>
          <w:szCs w:val="20"/>
          <w:color w:val="auto"/>
        </w:rPr>
      </w:pPr>
      <w:r>
        <w:rPr>
          <w:rFonts w:ascii="Arial" w:cs="Arial" w:eastAsia="Arial" w:hAnsi="Arial"/>
          <w:sz w:val="20"/>
          <w:szCs w:val="20"/>
          <w:color w:val="auto"/>
        </w:rPr>
        <w:t>change in control agreements, which would be based on the higher of target performance and the average bonus for the past three years, over (b) the actual bonus earned by the NEO for the 2025 performance period, as shown in the Summary Compensation Table in the column captioned “Non-Equity Incentive Plan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AWARDS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color w:val="auto"/>
        </w:rPr>
        <w:t>The AbbVie Amended and Restated 2013 Incentive Stock Program was approved by AbbVie’s stockholders and covers approximately 18,000 participants, including a broad group of management and professional staff.</w:t>
      </w:r>
    </w:p>
    <w:p>
      <w:pPr>
        <w:spacing w:after="0" w:line="158"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auto"/>
        </w:rPr>
        <w:t>The NEO award agreements under the AbbVie Amended and Restated 2013 Incentive Stock Program provide that the award may be assumed, converted or replaced on an equivalent basis by the surviving company upon a change in control. If the surviving company does not do so, the vesting of the awards is accelerated. If the surviving company does assume, convert or replace the awards on an equivalent basis, then accelerated vesting of the awards is limited to circumstances in which, during the period from six months before through two years after a change in control, the grantee’s employment is terminated without cause or the grantee resigns for good reason. The terms “cause” and “good reason” have the same definitions as in the change in control agreements.</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If a change in control had occurred on December 31, 2025 and the surviving company did not assume, convert or replace any of the awards, or the surviving company did so and the NEO’s employment had terminated without cause or they had resigned for good reason, as described above, then the unvested equity awards of the NEOs would have vested as follows:</w:t>
      </w:r>
    </w:p>
    <w:p>
      <w:pPr>
        <w:spacing w:after="0" w:line="200" w:lineRule="exact"/>
        <w:rPr>
          <w:sz w:val="20"/>
          <w:szCs w:val="20"/>
          <w:color w:val="auto"/>
        </w:rPr>
      </w:pPr>
    </w:p>
    <w:p>
      <w:pPr>
        <w:ind w:left="360" w:hanging="360"/>
        <w:spacing w:after="0"/>
        <w:tabs>
          <w:tab w:leader="none" w:pos="360" w:val="left"/>
        </w:tabs>
        <w:numPr>
          <w:ilvl w:val="0"/>
          <w:numId w:val="138"/>
        </w:numPr>
        <w:rPr>
          <w:rFonts w:ascii="Arial" w:cs="Arial" w:eastAsia="Arial" w:hAnsi="Arial"/>
          <w:sz w:val="20"/>
          <w:szCs w:val="20"/>
          <w:color w:val="000039"/>
        </w:rPr>
      </w:pPr>
      <w:r>
        <w:rPr>
          <w:rFonts w:ascii="Arial" w:cs="Arial" w:eastAsia="Arial" w:hAnsi="Arial"/>
          <w:sz w:val="20"/>
          <w:szCs w:val="20"/>
          <w:color w:val="auto"/>
        </w:rPr>
        <w:t>Mr. Michael would have vested in (i) 138,450 unvested AbbVie stock options with a value of $6,291,757,</w:t>
      </w:r>
    </w:p>
    <w:p>
      <w:pPr>
        <w:spacing w:after="0" w:line="26" w:lineRule="exact"/>
        <w:rPr>
          <w:rFonts w:ascii="Arial" w:cs="Arial" w:eastAsia="Arial" w:hAnsi="Arial"/>
          <w:sz w:val="20"/>
          <w:szCs w:val="20"/>
          <w:color w:val="000039"/>
        </w:rPr>
      </w:pPr>
    </w:p>
    <w:p>
      <w:pPr>
        <w:ind w:left="360" w:right="380"/>
        <w:spacing w:after="0" w:line="246" w:lineRule="auto"/>
        <w:tabs>
          <w:tab w:leader="none" w:pos="638" w:val="left"/>
        </w:tabs>
        <w:numPr>
          <w:ilvl w:val="1"/>
          <w:numId w:val="138"/>
        </w:numPr>
        <w:rPr>
          <w:rFonts w:ascii="Arial" w:cs="Arial" w:eastAsia="Arial" w:hAnsi="Arial"/>
          <w:sz w:val="20"/>
          <w:szCs w:val="20"/>
          <w:color w:val="auto"/>
        </w:rPr>
      </w:pPr>
      <w:r>
        <w:rPr>
          <w:rFonts w:ascii="Arial" w:cs="Arial" w:eastAsia="Arial" w:hAnsi="Arial"/>
          <w:sz w:val="20"/>
          <w:szCs w:val="20"/>
          <w:color w:val="auto"/>
        </w:rPr>
        <w:t>77,954 AbbVie performance-vested restricted stock units with a value of $18,555,871, and (iii) 167,672 AbbVie performance shares with a value of $40,030,468.</w:t>
      </w:r>
    </w:p>
    <w:p>
      <w:pPr>
        <w:spacing w:after="0" w:line="1" w:lineRule="exact"/>
        <w:rPr>
          <w:rFonts w:ascii="Arial" w:cs="Arial" w:eastAsia="Arial" w:hAnsi="Arial"/>
          <w:sz w:val="20"/>
          <w:szCs w:val="20"/>
          <w:color w:val="auto"/>
        </w:rPr>
      </w:pPr>
    </w:p>
    <w:p>
      <w:pPr>
        <w:ind w:left="360" w:hanging="360"/>
        <w:spacing w:after="0"/>
        <w:tabs>
          <w:tab w:leader="none" w:pos="360" w:val="left"/>
        </w:tabs>
        <w:numPr>
          <w:ilvl w:val="0"/>
          <w:numId w:val="138"/>
        </w:numPr>
        <w:rPr>
          <w:rFonts w:ascii="Arial" w:cs="Arial" w:eastAsia="Arial" w:hAnsi="Arial"/>
          <w:sz w:val="20"/>
          <w:szCs w:val="20"/>
          <w:color w:val="000039"/>
        </w:rPr>
      </w:pPr>
      <w:r>
        <w:rPr>
          <w:rFonts w:ascii="Arial" w:cs="Arial" w:eastAsia="Arial" w:hAnsi="Arial"/>
          <w:sz w:val="20"/>
          <w:szCs w:val="20"/>
          <w:color w:val="auto"/>
        </w:rPr>
        <w:t>Mr. Reents would have vested in (i) 59,609 unvested AbbVie stock options with a value of $2,979,857,</w:t>
      </w:r>
    </w:p>
    <w:p>
      <w:pPr>
        <w:ind w:left="360" w:right="600"/>
        <w:spacing w:after="0" w:line="246" w:lineRule="auto"/>
        <w:tabs>
          <w:tab w:leader="none" w:pos="638" w:val="left"/>
        </w:tabs>
        <w:numPr>
          <w:ilvl w:val="1"/>
          <w:numId w:val="138"/>
        </w:numPr>
        <w:rPr>
          <w:rFonts w:ascii="Arial" w:cs="Arial" w:eastAsia="Arial" w:hAnsi="Arial"/>
          <w:sz w:val="20"/>
          <w:szCs w:val="20"/>
          <w:color w:val="auto"/>
        </w:rPr>
      </w:pPr>
      <w:r>
        <w:rPr>
          <w:rFonts w:ascii="Arial" w:cs="Arial" w:eastAsia="Arial" w:hAnsi="Arial"/>
          <w:sz w:val="20"/>
          <w:szCs w:val="20"/>
          <w:color w:val="auto"/>
        </w:rPr>
        <w:t>34,837 AbbVie performance-vested restricted stock units with a value of $8,337,598, and (iii) 79,718 AbbVie performance shares with a value of $19,139,370.</w:t>
      </w:r>
    </w:p>
    <w:p>
      <w:pPr>
        <w:spacing w:after="0" w:line="1" w:lineRule="exact"/>
        <w:rPr>
          <w:rFonts w:ascii="Arial" w:cs="Arial" w:eastAsia="Arial" w:hAnsi="Arial"/>
          <w:sz w:val="20"/>
          <w:szCs w:val="20"/>
          <w:color w:val="auto"/>
        </w:rPr>
      </w:pPr>
    </w:p>
    <w:p>
      <w:pPr>
        <w:ind w:left="360" w:hanging="360"/>
        <w:spacing w:after="0"/>
        <w:tabs>
          <w:tab w:leader="none" w:pos="360" w:val="left"/>
        </w:tabs>
        <w:numPr>
          <w:ilvl w:val="0"/>
          <w:numId w:val="138"/>
        </w:numPr>
        <w:rPr>
          <w:rFonts w:ascii="Arial" w:cs="Arial" w:eastAsia="Arial" w:hAnsi="Arial"/>
          <w:sz w:val="20"/>
          <w:szCs w:val="20"/>
          <w:color w:val="000039"/>
        </w:rPr>
      </w:pPr>
      <w:r>
        <w:rPr>
          <w:rFonts w:ascii="Arial" w:cs="Arial" w:eastAsia="Arial" w:hAnsi="Arial"/>
          <w:sz w:val="20"/>
          <w:szCs w:val="20"/>
          <w:color w:val="auto"/>
        </w:rPr>
        <w:t>Mr. Stewart would have vested in (i) 71,613 unvested AbbVie stock options with a value of $3,515,673,</w:t>
      </w:r>
    </w:p>
    <w:p>
      <w:pPr>
        <w:ind w:left="360" w:right="600"/>
        <w:spacing w:after="0" w:line="246" w:lineRule="auto"/>
        <w:tabs>
          <w:tab w:leader="none" w:pos="638" w:val="left"/>
        </w:tabs>
        <w:numPr>
          <w:ilvl w:val="1"/>
          <w:numId w:val="138"/>
        </w:numPr>
        <w:rPr>
          <w:rFonts w:ascii="Arial" w:cs="Arial" w:eastAsia="Arial" w:hAnsi="Arial"/>
          <w:sz w:val="20"/>
          <w:szCs w:val="20"/>
          <w:color w:val="auto"/>
        </w:rPr>
      </w:pPr>
      <w:r>
        <w:rPr>
          <w:rFonts w:ascii="Arial" w:cs="Arial" w:eastAsia="Arial" w:hAnsi="Arial"/>
          <w:sz w:val="20"/>
          <w:szCs w:val="20"/>
          <w:color w:val="auto"/>
        </w:rPr>
        <w:t>41,389 AbbVie performance-vested restricted stock units with a value of $9,894,480, and (iii) 93,787 AbbVie performance shares with a value of $22,489,330.</w:t>
      </w:r>
    </w:p>
    <w:p>
      <w:pPr>
        <w:spacing w:after="0" w:line="1" w:lineRule="exact"/>
        <w:rPr>
          <w:rFonts w:ascii="Arial" w:cs="Arial" w:eastAsia="Arial" w:hAnsi="Arial"/>
          <w:sz w:val="20"/>
          <w:szCs w:val="20"/>
          <w:color w:val="auto"/>
        </w:rPr>
      </w:pPr>
    </w:p>
    <w:p>
      <w:pPr>
        <w:ind w:left="360" w:hanging="360"/>
        <w:spacing w:after="0"/>
        <w:tabs>
          <w:tab w:leader="none" w:pos="360" w:val="left"/>
        </w:tabs>
        <w:numPr>
          <w:ilvl w:val="0"/>
          <w:numId w:val="138"/>
        </w:numPr>
        <w:rPr>
          <w:rFonts w:ascii="Arial" w:cs="Arial" w:eastAsia="Arial" w:hAnsi="Arial"/>
          <w:sz w:val="20"/>
          <w:szCs w:val="20"/>
          <w:color w:val="000039"/>
        </w:rPr>
      </w:pPr>
      <w:r>
        <w:rPr>
          <w:rFonts w:ascii="Arial" w:cs="Arial" w:eastAsia="Arial" w:hAnsi="Arial"/>
          <w:sz w:val="20"/>
          <w:szCs w:val="20"/>
          <w:color w:val="auto"/>
        </w:rPr>
        <w:t>Dr. Saleki-Gerhardt would have vested in (i) 52,194 unvested AbbVie stock options with a value of</w:t>
      </w:r>
    </w:p>
    <w:p>
      <w:pPr>
        <w:ind w:left="360"/>
        <w:spacing w:after="0"/>
        <w:rPr>
          <w:rFonts w:ascii="Arial" w:cs="Arial" w:eastAsia="Arial" w:hAnsi="Arial"/>
          <w:sz w:val="20"/>
          <w:szCs w:val="20"/>
          <w:color w:val="000039"/>
        </w:rPr>
      </w:pPr>
      <w:r>
        <w:rPr>
          <w:rFonts w:ascii="Arial" w:cs="Arial" w:eastAsia="Arial" w:hAnsi="Arial"/>
          <w:sz w:val="20"/>
          <w:szCs w:val="20"/>
          <w:color w:val="auto"/>
        </w:rPr>
        <w:t>$2,534,093, (ii) 29,943 AbbVie performance-vested restricted stock units with a value of $7,153,094, and</w:t>
      </w:r>
    </w:p>
    <w:p>
      <w:pPr>
        <w:ind w:left="680" w:hanging="320"/>
        <w:spacing w:after="0"/>
        <w:tabs>
          <w:tab w:leader="none" w:pos="68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67,460 AbbVie performance shares with a value of $16,163,290.</w:t>
      </w:r>
    </w:p>
    <w:p>
      <w:pPr>
        <w:spacing w:after="0" w:line="13" w:lineRule="exact"/>
        <w:rPr>
          <w:rFonts w:ascii="Arial" w:cs="Arial" w:eastAsia="Arial" w:hAnsi="Arial"/>
          <w:sz w:val="20"/>
          <w:szCs w:val="20"/>
          <w:color w:val="auto"/>
        </w:rPr>
      </w:pPr>
    </w:p>
    <w:p>
      <w:pPr>
        <w:ind w:left="360" w:hanging="360"/>
        <w:spacing w:after="0"/>
        <w:tabs>
          <w:tab w:leader="none" w:pos="360" w:val="left"/>
        </w:tabs>
        <w:numPr>
          <w:ilvl w:val="0"/>
          <w:numId w:val="139"/>
        </w:numPr>
        <w:rPr>
          <w:rFonts w:ascii="Arial" w:cs="Arial" w:eastAsia="Arial" w:hAnsi="Arial"/>
          <w:sz w:val="20"/>
          <w:szCs w:val="20"/>
          <w:color w:val="000039"/>
        </w:rPr>
      </w:pPr>
      <w:r>
        <w:rPr>
          <w:rFonts w:ascii="Arial" w:cs="Arial" w:eastAsia="Arial" w:hAnsi="Arial"/>
          <w:sz w:val="20"/>
          <w:szCs w:val="20"/>
          <w:color w:val="auto"/>
        </w:rPr>
        <w:t>Dr. Thakkar would have vested in (i) 36,945 unvested AbbVie stock options with a value of $1,595,625,</w:t>
      </w:r>
    </w:p>
    <w:p>
      <w:pPr>
        <w:ind w:left="360" w:right="600"/>
        <w:spacing w:after="0" w:line="256" w:lineRule="auto"/>
        <w:tabs>
          <w:tab w:leader="none" w:pos="638" w:val="left"/>
        </w:tabs>
        <w:numPr>
          <w:ilvl w:val="1"/>
          <w:numId w:val="140"/>
        </w:numPr>
        <w:rPr>
          <w:rFonts w:ascii="Arial" w:cs="Arial" w:eastAsia="Arial" w:hAnsi="Arial"/>
          <w:sz w:val="20"/>
          <w:szCs w:val="20"/>
          <w:color w:val="auto"/>
        </w:rPr>
      </w:pPr>
      <w:r>
        <w:rPr>
          <w:rFonts w:ascii="Arial" w:cs="Arial" w:eastAsia="Arial" w:hAnsi="Arial"/>
          <w:sz w:val="20"/>
          <w:szCs w:val="20"/>
          <w:color w:val="auto"/>
        </w:rPr>
        <w:t>20,431 AbbVie performance-vested restricted stock units with a value of $4,849,587, and (iii) 42,457 AbbVie performance shares with a value of $10,104,025.</w:t>
      </w:r>
    </w:p>
    <w:p>
      <w:pPr>
        <w:spacing w:after="0" w:line="174"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value of stock options shown is based on the excess of the closing price of one share of AbbVie common stock on December 31, 2025 over the exercise price of such options, multiplied by the number of unvested stock options held by the NEO. The value of performance-based restricted stock units and performance shares shown is determined by multiplying the number of units or shares (at target level) that would vest as of December 31, 2025 in accordance with the applicable equity award agreement terms and the closing price of one share of AbbVie common stock on December 31, 2025. The value of performance-based restricted stock units and performance shares also includes the value of accrued dividends as of December 31, 2025, which would be paid at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259">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198" w:name="page199"/>
    <w:bookmarkEnd w:id="198"/>
    <w:p>
      <w:pPr>
        <w:jc w:val="both"/>
        <w:spacing w:after="0" w:line="261" w:lineRule="auto"/>
        <w:rPr>
          <w:sz w:val="20"/>
          <w:szCs w:val="20"/>
          <w:color w:val="auto"/>
        </w:rPr>
      </w:pPr>
      <w:r>
        <w:rPr>
          <w:rFonts w:ascii="Arial" w:cs="Arial" w:eastAsia="Arial" w:hAnsi="Arial"/>
          <w:sz w:val="40"/>
          <w:szCs w:val="40"/>
          <w:color w:val="000039"/>
        </w:rPr>
        <w:t>RATIFICATION OF ERNST &amp; YOUNG LLP AS ABBVIE’S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-29845</wp:posOffset>
                </wp:positionV>
                <wp:extent cx="6438900" cy="0"/>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75" o:spid="_x0000_s16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3499pt" to="505.5pt,-2.34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1469390</wp:posOffset>
                </wp:positionH>
                <wp:positionV relativeFrom="paragraph">
                  <wp:posOffset>153670</wp:posOffset>
                </wp:positionV>
                <wp:extent cx="4940300" cy="0"/>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03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76" o:spid="_x0000_s16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7pt,12.1pt" to="504.7pt,12.1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0" cy="1390650"/>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0650"/>
                        </a:xfrm>
                        <a:prstGeom prst="line">
                          <a:avLst/>
                        </a:prstGeom>
                        <a:solidFill>
                          <a:srgbClr val="FFFFFF"/>
                        </a:solidFill>
                        <a:ln w="28194">
                          <a:solidFill>
                            <a:srgbClr val="000039"/>
                          </a:solidFill>
                          <a:miter lim="800000"/>
                          <a:headEnd/>
                          <a:tailEnd/>
                        </a:ln>
                      </wps:spPr>
                      <wps:bodyPr/>
                    </wps:wsp>
                  </a:graphicData>
                </a:graphic>
              </wp:anchor>
            </w:drawing>
          </mc:Choice>
          <mc:Fallback>
            <w:pict>
              <v:line id="Shape 577" o:spid="_x0000_s16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0pt,120.85pt" o:allowincell="f" strokecolor="#000039" strokeweight="2.22pt"/>
            </w:pict>
          </mc:Fallback>
        </mc:AlternateContent>
        <mc:AlternateContent>
          <mc:Choice Requires="wps">
            <w:drawing>
              <wp:anchor simplePos="0" relativeHeight="251657728" behindDoc="1" locked="0" layoutInCell="0" allowOverlap="1">
                <wp:simplePos x="0" y="0"/>
                <wp:positionH relativeFrom="column">
                  <wp:posOffset>1478915</wp:posOffset>
                </wp:positionH>
                <wp:positionV relativeFrom="paragraph">
                  <wp:posOffset>144145</wp:posOffset>
                </wp:positionV>
                <wp:extent cx="0" cy="140970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970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78" o:spid="_x0000_s16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5pt,11.35pt" to="116.45pt,122.3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1469390</wp:posOffset>
                </wp:positionH>
                <wp:positionV relativeFrom="paragraph">
                  <wp:posOffset>1544320</wp:posOffset>
                </wp:positionV>
                <wp:extent cx="4940300" cy="0"/>
                <wp:wrapNone/>
                <wp:docPr id="579" name="Shape 5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03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79" o:spid="_x0000_s16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7pt,121.6pt" to="504.7pt,121.6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6400165</wp:posOffset>
                </wp:positionH>
                <wp:positionV relativeFrom="paragraph">
                  <wp:posOffset>144145</wp:posOffset>
                </wp:positionV>
                <wp:extent cx="0" cy="1409700"/>
                <wp:wrapNone/>
                <wp:docPr id="580" name="Shape 5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9700"/>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80" o:spid="_x0000_s16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95pt,11.35pt" to="503.95pt,122.35pt" o:allowincell="f" strokecolor="#000039" strokeweight="1.5pt"/>
            </w:pict>
          </mc:Fallback>
        </mc:AlternateContent>
      </w:r>
    </w:p>
    <w:p>
      <w:pPr>
        <w:sectPr>
          <w:pgSz w:w="11880" w:h="15480" w:orient="portrait"/>
          <w:cols w:equalWidth="0" w:num="1">
            <w:col w:w="10080"/>
          </w:cols>
          <w:pgMar w:left="900" w:top="86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spacing w:after="0" w:line="259" w:lineRule="auto"/>
        <w:rPr>
          <w:sz w:val="20"/>
          <w:szCs w:val="20"/>
          <w:color w:val="auto"/>
        </w:rPr>
      </w:pPr>
      <w:r>
        <w:rPr>
          <w:rFonts w:ascii="Arial" w:cs="Arial" w:eastAsia="Arial" w:hAnsi="Arial"/>
          <w:sz w:val="28"/>
          <w:szCs w:val="28"/>
          <w:b w:val="1"/>
          <w:bCs w:val="1"/>
          <w:color w:val="000039"/>
        </w:rPr>
        <w:t>What am I voting on and how should I vote?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340"/>
        <w:spacing w:after="0" w:line="249" w:lineRule="auto"/>
        <w:rPr>
          <w:sz w:val="20"/>
          <w:szCs w:val="20"/>
          <w:color w:val="auto"/>
        </w:rPr>
      </w:pPr>
      <w:r>
        <w:rPr>
          <w:rFonts w:ascii="Arial" w:cs="Arial" w:eastAsia="Arial" w:hAnsi="Arial"/>
          <w:sz w:val="20"/>
          <w:szCs w:val="20"/>
          <w:i w:val="1"/>
          <w:iCs w:val="1"/>
          <w:color w:val="auto"/>
        </w:rPr>
        <w:t>You are being asked to ratify the appointment of Ernst &amp; Young LLP to perform independent audit services for the fiscal year ending December 31, 2026. Ernst &amp; Young LLP has served as our independent auditor since 2013. The Board and the audit committee believe it is in the best interests of the company and its stockholders to retain Ernst &amp; Young LLP as the company’s independent auditor.</w:t>
      </w:r>
    </w:p>
    <w:p>
      <w:pPr>
        <w:spacing w:after="0" w:line="66" w:lineRule="exact"/>
        <w:rPr>
          <w:sz w:val="20"/>
          <w:szCs w:val="20"/>
          <w:color w:val="auto"/>
        </w:rPr>
      </w:pPr>
    </w:p>
    <w:p>
      <w:pPr>
        <w:ind w:right="320"/>
        <w:spacing w:after="0" w:line="268" w:lineRule="auto"/>
        <w:rPr>
          <w:sz w:val="20"/>
          <w:szCs w:val="20"/>
          <w:color w:val="auto"/>
        </w:rPr>
      </w:pPr>
      <w:r>
        <w:rPr>
          <w:rFonts w:ascii="Arial" w:cs="Arial" w:eastAsia="Arial" w:hAnsi="Arial"/>
          <w:sz w:val="20"/>
          <w:szCs w:val="20"/>
          <w:b w:val="1"/>
          <w:bCs w:val="1"/>
          <w:i w:val="1"/>
          <w:iCs w:val="1"/>
          <w:color w:val="auto"/>
        </w:rPr>
        <w:t xml:space="preserve">The Board of Directors therefore recommends you vote </w:t>
      </w:r>
      <w:r>
        <w:rPr>
          <w:rFonts w:ascii="Arial" w:cs="Arial" w:eastAsia="Arial" w:hAnsi="Arial"/>
          <w:sz w:val="20"/>
          <w:szCs w:val="20"/>
          <w:b w:val="1"/>
          <w:bCs w:val="1"/>
          <w:color w:val="auto"/>
        </w:rPr>
        <w:t>“FOR”</w:t>
      </w:r>
      <w:r>
        <w:rPr>
          <w:rFonts w:ascii="Arial" w:cs="Arial" w:eastAsia="Arial" w:hAnsi="Arial"/>
          <w:sz w:val="20"/>
          <w:szCs w:val="20"/>
          <w:b w:val="1"/>
          <w:bCs w:val="1"/>
          <w:i w:val="1"/>
          <w:iCs w:val="1"/>
          <w:color w:val="auto"/>
        </w:rPr>
        <w:t xml:space="preserve"> ratification of the appointment of Ernst &amp; Young LLP as AbbVie’s independent registered public accounting firm for 2026.</w:t>
      </w:r>
    </w:p>
    <w:p>
      <w:pPr>
        <w:spacing w:after="0" w:line="200" w:lineRule="exact"/>
        <w:rPr>
          <w:sz w:val="20"/>
          <w:szCs w:val="20"/>
          <w:color w:val="auto"/>
        </w:rPr>
      </w:pPr>
    </w:p>
    <w:p>
      <w:pPr>
        <w:sectPr>
          <w:pgSz w:w="11880" w:h="15480" w:orient="portrait"/>
          <w:cols w:equalWidth="0" w:num="2">
            <w:col w:w="2000" w:space="480"/>
            <w:col w:w="7600"/>
          </w:cols>
          <w:pgMar w:left="900" w:top="861" w:right="900" w:bottom="0" w:gutter="0" w:footer="0" w:header="0"/>
          <w:type w:val="continuous"/>
        </w:sectPr>
      </w:pPr>
    </w:p>
    <w:p>
      <w:pPr>
        <w:spacing w:after="0" w:line="11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audit committee of the Board of Directors is directly responsible for the appointment, fees, retention and oversight of the independent registered public accounting firm retained to audit the company’s financial statements. On October 14, 2025, the audit committee appointed Ernst &amp; Young LLP (the independent auditor) to perform independent audit services for the fiscal year ending December 31, 2026. Ernst &amp; Young LLP has served as our independent auditor since 2013. In conjunction with the periodic mandated rotation of the audit firm’s lead engagement partner, the chair of the audit committee would be involved in the selection of a new lead engagement partner. Further, the audit committee will periodically consider whether there should be a regular rotation of the independent auditor.</w:t>
      </w:r>
    </w:p>
    <w:p>
      <w:pPr>
        <w:spacing w:after="0" w:line="194"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Although the audit committee has sole authority to appoint the independent auditor, it would like to know the opinion of the stockholders regarding its appointment of Ernst &amp; Young LLP for 2026. For this reason, stockholders are being asked to ratify this appointment. If the stockholders do not ratify the appointment of Ernst &amp; Young LLP for 2026, the audit committee will take that fact into consideration, but may, nevertheless, continue to retain Ernst &amp; Young LLP. The audit committee and the Board believe that the continued retention of Ernst &amp; Young LLP to serve as the company’s independent auditor is in the best interests of the company and its stockholders.</w:t>
      </w:r>
    </w:p>
    <w:p>
      <w:pPr>
        <w:spacing w:after="0" w:line="194" w:lineRule="exact"/>
        <w:rPr>
          <w:sz w:val="20"/>
          <w:szCs w:val="20"/>
          <w:color w:val="auto"/>
        </w:rPr>
      </w:pPr>
    </w:p>
    <w:p>
      <w:pPr>
        <w:ind w:right="540"/>
        <w:spacing w:after="0" w:line="261" w:lineRule="auto"/>
        <w:rPr>
          <w:sz w:val="20"/>
          <w:szCs w:val="20"/>
          <w:color w:val="auto"/>
        </w:rPr>
      </w:pPr>
      <w:r>
        <w:rPr>
          <w:rFonts w:ascii="Arial" w:cs="Arial" w:eastAsia="Arial" w:hAnsi="Arial"/>
          <w:sz w:val="20"/>
          <w:szCs w:val="20"/>
          <w:color w:val="auto"/>
        </w:rPr>
        <w:t>Representatives of Ernst &amp; Young LLP are expected to attend the Annual Meeting and will be given the opportunity to make a statement if they desire to do so.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70  </w:t>
      </w:r>
      <w:r>
        <w:rPr>
          <w:sz w:val="1"/>
          <w:szCs w:val="1"/>
          <w:color w:val="auto"/>
        </w:rPr>
        <w:drawing>
          <wp:inline distT="0" distB="0" distL="0" distR="0">
            <wp:extent cx="991870" cy="20066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60">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861" w:right="900" w:bottom="0" w:gutter="0" w:footer="0" w:header="0"/>
          <w:type w:val="continuous"/>
        </w:sectPr>
      </w:pPr>
    </w:p>
    <w:bookmarkStart w:id="199" w:name="page200"/>
    <w:bookmarkEnd w:id="199"/>
    <w:p>
      <w:pPr>
        <w:spacing w:after="0"/>
        <w:rPr>
          <w:sz w:val="20"/>
          <w:szCs w:val="20"/>
          <w:color w:val="auto"/>
        </w:rPr>
      </w:pPr>
      <w:r>
        <w:rPr>
          <w:rFonts w:ascii="Arial" w:cs="Arial" w:eastAsia="Arial" w:hAnsi="Arial"/>
          <w:sz w:val="40"/>
          <w:szCs w:val="40"/>
          <w:color w:val="000039"/>
        </w:rPr>
        <w:t>AUDIT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46355</wp:posOffset>
                </wp:positionV>
                <wp:extent cx="6438265" cy="0"/>
                <wp:wrapNone/>
                <wp:docPr id="582" name="Shape 5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82" o:spid="_x0000_s16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65pt" to="505.5pt,3.65pt" o:allowincell="f" strokecolor="#000039" strokeweight="1.5pt"/>
            </w:pict>
          </mc:Fallback>
        </mc:AlternateContent>
      </w:r>
    </w:p>
    <w:p>
      <w:pPr>
        <w:sectPr>
          <w:pgSz w:w="11880" w:h="15480" w:orient="portrait"/>
          <w:cols w:equalWidth="0" w:num="1">
            <w:col w:w="10080"/>
          </w:cols>
          <w:pgMar w:left="900" w:top="861" w:right="900" w:bottom="0" w:gutter="0" w:footer="0" w:header="0"/>
        </w:sectPr>
      </w:pPr>
    </w:p>
    <w:p>
      <w:pPr>
        <w:spacing w:after="0" w:line="300" w:lineRule="exact"/>
        <w:rPr>
          <w:sz w:val="20"/>
          <w:szCs w:val="20"/>
          <w:color w:val="auto"/>
        </w:rPr>
      </w:pPr>
    </w:p>
    <w:p>
      <w:pPr>
        <w:spacing w:after="0"/>
        <w:rPr>
          <w:sz w:val="20"/>
          <w:szCs w:val="20"/>
          <w:color w:val="auto"/>
        </w:rPr>
      </w:pPr>
      <w:r>
        <w:rPr>
          <w:rFonts w:ascii="Arial" w:cs="Arial" w:eastAsia="Arial" w:hAnsi="Arial"/>
          <w:sz w:val="24"/>
          <w:szCs w:val="24"/>
          <w:b w:val="1"/>
          <w:bCs w:val="1"/>
          <w:color w:val="000039"/>
        </w:rPr>
        <w:t>Audit Fees and Non-Audit Fees</w:t>
      </w:r>
    </w:p>
    <w:p>
      <w:pPr>
        <w:spacing w:after="0" w:line="249"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The following table presents fees for professional audit services rendered to AbbVie by Ernst &amp; Young LLP for the years ended December 31, 2025 and December 31, 2024, and fees for other services rendered to AbbVie by Ernst &amp; Young LLP for those periods.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0" w:type="dxa"/>
            <w:vAlign w:val="bottom"/>
          </w:tcPr>
          <w:p>
            <w:pPr>
              <w:jc w:val="right"/>
              <w:ind w:right="86"/>
              <w:spacing w:after="0"/>
              <w:rPr>
                <w:sz w:val="20"/>
                <w:szCs w:val="20"/>
                <w:color w:val="auto"/>
              </w:rPr>
            </w:pPr>
            <w:r>
              <w:rPr>
                <w:rFonts w:ascii="Arial" w:cs="Arial" w:eastAsia="Arial" w:hAnsi="Arial"/>
                <w:sz w:val="16"/>
                <w:szCs w:val="16"/>
                <w:b w:val="1"/>
                <w:bCs w:val="1"/>
                <w:color w:val="000039"/>
              </w:rPr>
              <w:t>2025</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000039"/>
              </w:rPr>
              <w:t>2024</w:t>
            </w:r>
          </w:p>
        </w:tc>
      </w:tr>
      <w:tr>
        <w:trPr>
          <w:trHeight w:val="202"/>
        </w:trPr>
        <w:tc>
          <w:tcPr>
            <w:tcW w:w="4680" w:type="dxa"/>
            <w:vAlign w:val="bottom"/>
            <w:tcBorders>
              <w:bottom w:val="single" w:sz="8" w:color="000039"/>
            </w:tcBorders>
          </w:tcPr>
          <w:p>
            <w:pPr>
              <w:spacing w:after="0"/>
              <w:rPr>
                <w:sz w:val="17"/>
                <w:szCs w:val="17"/>
                <w:color w:val="auto"/>
              </w:rPr>
            </w:pPr>
          </w:p>
        </w:tc>
        <w:tc>
          <w:tcPr>
            <w:tcW w:w="3140" w:type="dxa"/>
            <w:vAlign w:val="bottom"/>
            <w:tcBorders>
              <w:bottom w:val="single" w:sz="8" w:color="000039"/>
            </w:tcBorders>
          </w:tcPr>
          <w:p>
            <w:pPr>
              <w:spacing w:after="0"/>
              <w:rPr>
                <w:sz w:val="17"/>
                <w:szCs w:val="17"/>
                <w:color w:val="auto"/>
              </w:rPr>
            </w:pPr>
          </w:p>
        </w:tc>
        <w:tc>
          <w:tcPr>
            <w:tcW w:w="1000" w:type="dxa"/>
            <w:vAlign w:val="bottom"/>
            <w:tcBorders>
              <w:bottom w:val="single" w:sz="8" w:color="000039"/>
            </w:tcBorders>
          </w:tcPr>
          <w:p>
            <w:pPr>
              <w:jc w:val="right"/>
              <w:ind w:right="86"/>
              <w:spacing w:after="0"/>
              <w:rPr>
                <w:sz w:val="20"/>
                <w:szCs w:val="20"/>
                <w:color w:val="auto"/>
              </w:rPr>
            </w:pPr>
            <w:r>
              <w:rPr>
                <w:rFonts w:ascii="Arial" w:cs="Arial" w:eastAsia="Arial" w:hAnsi="Arial"/>
                <w:sz w:val="16"/>
                <w:szCs w:val="16"/>
                <w:b w:val="1"/>
                <w:bCs w:val="1"/>
                <w:color w:val="000039"/>
              </w:rPr>
              <w:t>(millions)</w:t>
            </w:r>
          </w:p>
        </w:tc>
        <w:tc>
          <w:tcPr>
            <w:tcW w:w="360" w:type="dxa"/>
            <w:vAlign w:val="bottom"/>
            <w:tcBorders>
              <w:bottom w:val="single" w:sz="8" w:color="000039"/>
            </w:tcBorders>
          </w:tcPr>
          <w:p>
            <w:pPr>
              <w:spacing w:after="0"/>
              <w:rPr>
                <w:sz w:val="17"/>
                <w:szCs w:val="17"/>
                <w:color w:val="auto"/>
              </w:rPr>
            </w:pPr>
          </w:p>
        </w:tc>
        <w:tc>
          <w:tcPr>
            <w:tcW w:w="900" w:type="dxa"/>
            <w:vAlign w:val="bottom"/>
            <w:tcBorders>
              <w:bottom w:val="single" w:sz="8" w:color="000039"/>
            </w:tcBorders>
          </w:tcPr>
          <w:p>
            <w:pPr>
              <w:jc w:val="right"/>
              <w:spacing w:after="0"/>
              <w:rPr>
                <w:sz w:val="20"/>
                <w:szCs w:val="20"/>
                <w:color w:val="auto"/>
              </w:rPr>
            </w:pPr>
            <w:r>
              <w:rPr>
                <w:rFonts w:ascii="Arial" w:cs="Arial" w:eastAsia="Arial" w:hAnsi="Arial"/>
                <w:sz w:val="16"/>
                <w:szCs w:val="16"/>
                <w:b w:val="1"/>
                <w:bCs w:val="1"/>
                <w:color w:val="000039"/>
              </w:rPr>
              <w:t>(millions)</w:t>
            </w:r>
          </w:p>
        </w:tc>
      </w:tr>
      <w:tr>
        <w:trPr>
          <w:trHeight w:val="220"/>
        </w:trPr>
        <w:tc>
          <w:tcPr>
            <w:tcW w:w="4680" w:type="dxa"/>
            <w:vAlign w:val="bottom"/>
            <w:shd w:val="clear" w:color="auto" w:fill="D9D9D9"/>
          </w:tcPr>
          <w:p>
            <w:pPr>
              <w:spacing w:after="0" w:line="220" w:lineRule="exact"/>
              <w:rPr>
                <w:sz w:val="20"/>
                <w:szCs w:val="20"/>
                <w:color w:val="auto"/>
              </w:rPr>
            </w:pPr>
            <w:r>
              <w:rPr>
                <w:rFonts w:ascii="Arial" w:cs="Arial" w:eastAsia="Arial" w:hAnsi="Arial"/>
                <w:sz w:val="20"/>
                <w:szCs w:val="20"/>
                <w:color w:val="auto"/>
              </w:rPr>
              <w:t>Audit fees:</w:t>
            </w:r>
            <w:r>
              <w:rPr>
                <w:rFonts w:ascii="Arial" w:cs="Arial" w:eastAsia="Arial" w:hAnsi="Arial"/>
                <w:sz w:val="25"/>
                <w:szCs w:val="25"/>
                <w:color w:val="auto"/>
                <w:vertAlign w:val="superscript"/>
              </w:rPr>
              <w:t>(1)</w:t>
            </w:r>
          </w:p>
        </w:tc>
        <w:tc>
          <w:tcPr>
            <w:tcW w:w="3140" w:type="dxa"/>
            <w:vAlign w:val="bottom"/>
            <w:shd w:val="clear" w:color="auto" w:fill="D9D9D9"/>
          </w:tcPr>
          <w:p>
            <w:pPr>
              <w:jc w:val="right"/>
              <w:ind w:right="40"/>
              <w:spacing w:after="0" w:line="220" w:lineRule="exact"/>
              <w:rPr>
                <w:sz w:val="20"/>
                <w:szCs w:val="20"/>
                <w:color w:val="auto"/>
              </w:rPr>
            </w:pPr>
            <w:r>
              <w:rPr>
                <w:rFonts w:ascii="Arial" w:cs="Arial" w:eastAsia="Arial" w:hAnsi="Arial"/>
                <w:sz w:val="20"/>
                <w:szCs w:val="20"/>
                <w:color w:val="auto"/>
              </w:rPr>
              <w:t>$</w:t>
            </w:r>
          </w:p>
        </w:tc>
        <w:tc>
          <w:tcPr>
            <w:tcW w:w="1000" w:type="dxa"/>
            <w:vAlign w:val="bottom"/>
            <w:shd w:val="clear" w:color="auto" w:fill="D9D9D9"/>
          </w:tcPr>
          <w:p>
            <w:pPr>
              <w:jc w:val="right"/>
              <w:ind w:right="26"/>
              <w:spacing w:after="0" w:line="220" w:lineRule="exact"/>
              <w:rPr>
                <w:sz w:val="20"/>
                <w:szCs w:val="20"/>
                <w:color w:val="auto"/>
              </w:rPr>
            </w:pPr>
            <w:r>
              <w:rPr>
                <w:rFonts w:ascii="Arial" w:cs="Arial" w:eastAsia="Arial" w:hAnsi="Arial"/>
                <w:sz w:val="20"/>
                <w:szCs w:val="20"/>
                <w:color w:val="auto"/>
              </w:rPr>
              <w:t>20.4</w:t>
            </w:r>
          </w:p>
        </w:tc>
        <w:tc>
          <w:tcPr>
            <w:tcW w:w="360" w:type="dxa"/>
            <w:vAlign w:val="bottom"/>
            <w:shd w:val="clear" w:color="auto" w:fill="D9D9D9"/>
          </w:tcPr>
          <w:p>
            <w:pPr>
              <w:jc w:val="right"/>
              <w:ind w:right="20"/>
              <w:spacing w:after="0" w:line="220" w:lineRule="exact"/>
              <w:rPr>
                <w:sz w:val="20"/>
                <w:szCs w:val="20"/>
                <w:color w:val="auto"/>
              </w:rPr>
            </w:pPr>
            <w:r>
              <w:rPr>
                <w:rFonts w:ascii="Arial" w:cs="Arial" w:eastAsia="Arial" w:hAnsi="Arial"/>
                <w:sz w:val="20"/>
                <w:szCs w:val="20"/>
                <w:color w:val="auto"/>
              </w:rPr>
              <w:t>$</w:t>
            </w:r>
          </w:p>
        </w:tc>
        <w:tc>
          <w:tcPr>
            <w:tcW w:w="900" w:type="dxa"/>
            <w:vAlign w:val="bottom"/>
            <w:shd w:val="clear" w:color="auto" w:fill="D9D9D9"/>
          </w:tcPr>
          <w:p>
            <w:pPr>
              <w:jc w:val="right"/>
              <w:spacing w:after="0" w:line="220" w:lineRule="exact"/>
              <w:rPr>
                <w:sz w:val="20"/>
                <w:szCs w:val="20"/>
                <w:color w:val="auto"/>
              </w:rPr>
            </w:pPr>
            <w:r>
              <w:rPr>
                <w:rFonts w:ascii="Arial" w:cs="Arial" w:eastAsia="Arial" w:hAnsi="Arial"/>
                <w:sz w:val="20"/>
                <w:szCs w:val="20"/>
                <w:color w:val="auto"/>
              </w:rPr>
              <w:t>20.6</w:t>
            </w:r>
          </w:p>
        </w:tc>
      </w:tr>
      <w:tr>
        <w:trPr>
          <w:trHeight w:val="230"/>
        </w:trPr>
        <w:tc>
          <w:tcPr>
            <w:tcW w:w="4680" w:type="dxa"/>
            <w:vAlign w:val="bottom"/>
          </w:tcPr>
          <w:p>
            <w:pPr>
              <w:spacing w:after="0" w:line="230" w:lineRule="exact"/>
              <w:rPr>
                <w:sz w:val="20"/>
                <w:szCs w:val="20"/>
                <w:color w:val="auto"/>
              </w:rPr>
            </w:pPr>
            <w:r>
              <w:rPr>
                <w:rFonts w:ascii="Arial" w:cs="Arial" w:eastAsia="Arial" w:hAnsi="Arial"/>
                <w:sz w:val="20"/>
                <w:szCs w:val="20"/>
                <w:color w:val="auto"/>
              </w:rPr>
              <w:t>Audit related fees:</w:t>
            </w:r>
            <w:r>
              <w:rPr>
                <w:rFonts w:ascii="Arial" w:cs="Arial" w:eastAsia="Arial" w:hAnsi="Arial"/>
                <w:sz w:val="25"/>
                <w:szCs w:val="25"/>
                <w:color w:val="auto"/>
                <w:vertAlign w:val="superscript"/>
              </w:rPr>
              <w:t>(2)</w:t>
            </w:r>
          </w:p>
        </w:tc>
        <w:tc>
          <w:tcPr>
            <w:tcW w:w="31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20"/>
                <w:szCs w:val="20"/>
                <w:color w:val="auto"/>
              </w:rPr>
              <w:t>1.0</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0.7</w:t>
            </w:r>
          </w:p>
        </w:tc>
      </w:tr>
      <w:tr>
        <w:trPr>
          <w:trHeight w:val="229"/>
        </w:trPr>
        <w:tc>
          <w:tcPr>
            <w:tcW w:w="4680" w:type="dxa"/>
            <w:vAlign w:val="bottom"/>
            <w:shd w:val="clear" w:color="auto" w:fill="D9D9D9"/>
          </w:tcPr>
          <w:p>
            <w:pPr>
              <w:spacing w:after="0" w:line="229" w:lineRule="exact"/>
              <w:rPr>
                <w:sz w:val="20"/>
                <w:szCs w:val="20"/>
                <w:color w:val="auto"/>
              </w:rPr>
            </w:pPr>
            <w:r>
              <w:rPr>
                <w:rFonts w:ascii="Arial" w:cs="Arial" w:eastAsia="Arial" w:hAnsi="Arial"/>
                <w:sz w:val="20"/>
                <w:szCs w:val="20"/>
                <w:color w:val="auto"/>
              </w:rPr>
              <w:t>Tax fees:</w:t>
            </w:r>
            <w:r>
              <w:rPr>
                <w:rFonts w:ascii="Arial" w:cs="Arial" w:eastAsia="Arial" w:hAnsi="Arial"/>
                <w:sz w:val="25"/>
                <w:szCs w:val="25"/>
                <w:color w:val="auto"/>
                <w:vertAlign w:val="superscript"/>
              </w:rPr>
              <w:t>(3)</w:t>
            </w:r>
          </w:p>
        </w:tc>
        <w:tc>
          <w:tcPr>
            <w:tcW w:w="3140" w:type="dxa"/>
            <w:vAlign w:val="bottom"/>
            <w:shd w:val="clear" w:color="auto" w:fill="D9D9D9"/>
          </w:tcPr>
          <w:p>
            <w:pPr>
              <w:spacing w:after="0"/>
              <w:rPr>
                <w:sz w:val="19"/>
                <w:szCs w:val="19"/>
                <w:color w:val="auto"/>
              </w:rPr>
            </w:pPr>
          </w:p>
        </w:tc>
        <w:tc>
          <w:tcPr>
            <w:tcW w:w="1000" w:type="dxa"/>
            <w:vAlign w:val="bottom"/>
            <w:shd w:val="clear" w:color="auto" w:fill="D9D9D9"/>
          </w:tcPr>
          <w:p>
            <w:pPr>
              <w:jc w:val="right"/>
              <w:ind w:right="26"/>
              <w:spacing w:after="0"/>
              <w:rPr>
                <w:sz w:val="20"/>
                <w:szCs w:val="20"/>
                <w:color w:val="auto"/>
              </w:rPr>
            </w:pPr>
            <w:r>
              <w:rPr>
                <w:rFonts w:ascii="Arial" w:cs="Arial" w:eastAsia="Arial" w:hAnsi="Arial"/>
                <w:sz w:val="20"/>
                <w:szCs w:val="20"/>
                <w:color w:val="auto"/>
              </w:rPr>
              <w:t>4.4</w:t>
            </w:r>
          </w:p>
        </w:tc>
        <w:tc>
          <w:tcPr>
            <w:tcW w:w="360" w:type="dxa"/>
            <w:vAlign w:val="bottom"/>
            <w:shd w:val="clear" w:color="auto" w:fill="D9D9D9"/>
          </w:tcPr>
          <w:p>
            <w:pPr>
              <w:spacing w:after="0"/>
              <w:rPr>
                <w:sz w:val="19"/>
                <w:szCs w:val="19"/>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4680" w:type="dxa"/>
            <w:vAlign w:val="bottom"/>
          </w:tcPr>
          <w:p>
            <w:pPr>
              <w:spacing w:after="0"/>
              <w:rPr>
                <w:sz w:val="20"/>
                <w:szCs w:val="20"/>
                <w:color w:val="auto"/>
              </w:rPr>
            </w:pPr>
            <w:r>
              <w:rPr>
                <w:rFonts w:ascii="Arial" w:cs="Arial" w:eastAsia="Arial" w:hAnsi="Arial"/>
                <w:sz w:val="20"/>
                <w:szCs w:val="20"/>
                <w:color w:val="auto"/>
              </w:rPr>
              <w:t>Other fees:</w:t>
            </w:r>
          </w:p>
        </w:tc>
        <w:tc>
          <w:tcPr>
            <w:tcW w:w="314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20"/>
                <w:szCs w:val="20"/>
                <w:color w:val="auto"/>
              </w:rPr>
              <w:t>0.0</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0.0</w:t>
            </w:r>
          </w:p>
        </w:tc>
      </w:tr>
      <w:tr>
        <w:trPr>
          <w:trHeight w:val="230"/>
        </w:trPr>
        <w:tc>
          <w:tcPr>
            <w:tcW w:w="4680" w:type="dxa"/>
            <w:vAlign w:val="bottom"/>
            <w:shd w:val="clear" w:color="auto" w:fill="D9D9D9"/>
          </w:tcPr>
          <w:p>
            <w:pPr>
              <w:spacing w:after="0"/>
              <w:rPr>
                <w:sz w:val="20"/>
                <w:szCs w:val="20"/>
                <w:color w:val="auto"/>
              </w:rPr>
            </w:pPr>
            <w:r>
              <w:rPr>
                <w:rFonts w:ascii="Arial" w:cs="Arial" w:eastAsia="Arial" w:hAnsi="Arial"/>
                <w:sz w:val="20"/>
                <w:szCs w:val="20"/>
                <w:color w:val="auto"/>
              </w:rPr>
              <w:t>Total</w:t>
            </w:r>
          </w:p>
        </w:tc>
        <w:tc>
          <w:tcPr>
            <w:tcW w:w="3140" w:type="dxa"/>
            <w:vAlign w:val="bottom"/>
            <w:shd w:val="clear" w:color="auto" w:fill="D9D9D9"/>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9D9D9"/>
          </w:tcPr>
          <w:p>
            <w:pPr>
              <w:jc w:val="right"/>
              <w:ind w:right="26"/>
              <w:spacing w:after="0"/>
              <w:rPr>
                <w:sz w:val="20"/>
                <w:szCs w:val="20"/>
                <w:color w:val="auto"/>
              </w:rPr>
            </w:pPr>
            <w:r>
              <w:rPr>
                <w:rFonts w:ascii="Arial" w:cs="Arial" w:eastAsia="Arial" w:hAnsi="Arial"/>
                <w:sz w:val="20"/>
                <w:szCs w:val="20"/>
                <w:color w:val="auto"/>
              </w:rPr>
              <w:t>25.8</w:t>
            </w:r>
          </w:p>
        </w:tc>
        <w:tc>
          <w:tcPr>
            <w:tcW w:w="360" w:type="dxa"/>
            <w:vAlign w:val="bottom"/>
            <w:shd w:val="clear" w:color="auto" w:fill="D9D9D9"/>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25.5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106045</wp:posOffset>
                </wp:positionV>
                <wp:extent cx="1599565" cy="0"/>
                <wp:wrapNone/>
                <wp:docPr id="583" name="Shape 5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583" o:spid="_x0000_s16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5pt" to="125.95pt,8.35pt" o:allowincell="f" strokecolor="#000000" strokeweight="1.02pt"/>
            </w:pict>
          </mc:Fallback>
        </mc:AlternateContent>
      </w:r>
    </w:p>
    <w:p>
      <w:pPr>
        <w:spacing w:after="0" w:line="190" w:lineRule="exact"/>
        <w:rPr>
          <w:sz w:val="20"/>
          <w:szCs w:val="20"/>
          <w:color w:val="auto"/>
        </w:rPr>
      </w:pPr>
    </w:p>
    <w:p>
      <w:pPr>
        <w:ind w:left="360" w:right="20" w:hanging="360"/>
        <w:spacing w:after="0" w:line="250" w:lineRule="auto"/>
        <w:tabs>
          <w:tab w:leader="none" w:pos="361"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Ernst &amp; Young LLP billed or will bill AbbVie for professional services rendered for the audit of AbbVie’s annual financial statements, the review of AbbVie’s financial statements included in AbbVie’s quarterly reports, the audits of AbbVie’s internal control over financial reporting, statutory and subsidiary audits required internationally, the review of documents filed with the Securities and Exchange Commission, comfort letters, consents and certain accounting consultations in connection with the audits.</w:t>
      </w:r>
    </w:p>
    <w:p>
      <w:pPr>
        <w:spacing w:after="0" w:line="191" w:lineRule="exact"/>
        <w:rPr>
          <w:rFonts w:ascii="Arial" w:cs="Arial" w:eastAsia="Arial" w:hAnsi="Arial"/>
          <w:sz w:val="20"/>
          <w:szCs w:val="20"/>
          <w:color w:val="auto"/>
        </w:rPr>
      </w:pPr>
    </w:p>
    <w:p>
      <w:pPr>
        <w:jc w:val="both"/>
        <w:ind w:left="360" w:right="1020" w:hanging="360"/>
        <w:spacing w:after="0" w:line="262" w:lineRule="auto"/>
        <w:tabs>
          <w:tab w:leader="none" w:pos="36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Audit related fees include audits of certain employee benefit plan financial statements, accounting consultations in connection with proposed or pending transactions, and other audit or agreed upon procedures required by statute or regulation not classified as audit fees.</w:t>
      </w:r>
    </w:p>
    <w:p>
      <w:pPr>
        <w:spacing w:after="0" w:line="178" w:lineRule="exact"/>
        <w:rPr>
          <w:rFonts w:ascii="Arial" w:cs="Arial" w:eastAsia="Arial" w:hAnsi="Arial"/>
          <w:sz w:val="20"/>
          <w:szCs w:val="20"/>
          <w:color w:val="auto"/>
        </w:rPr>
      </w:pPr>
    </w:p>
    <w:p>
      <w:pPr>
        <w:ind w:left="360" w:hanging="360"/>
        <w:spacing w:after="0"/>
        <w:tabs>
          <w:tab w:leader="none" w:pos="36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Tax fees consist principally of professional services for corporate tax compliance and tax advisory services.</w:t>
      </w:r>
    </w:p>
    <w:p>
      <w:pPr>
        <w:spacing w:after="0" w:line="230" w:lineRule="exact"/>
        <w:rPr>
          <w:sz w:val="20"/>
          <w:szCs w:val="20"/>
          <w:color w:val="auto"/>
        </w:rPr>
      </w:pPr>
    </w:p>
    <w:p>
      <w:pPr>
        <w:ind w:right="300"/>
        <w:spacing w:after="0" w:line="298" w:lineRule="auto"/>
        <w:rPr>
          <w:sz w:val="20"/>
          <w:szCs w:val="20"/>
          <w:color w:val="auto"/>
        </w:rPr>
      </w:pPr>
      <w:r>
        <w:rPr>
          <w:rFonts w:ascii="Arial" w:cs="Arial" w:eastAsia="Arial" w:hAnsi="Arial"/>
          <w:sz w:val="24"/>
          <w:szCs w:val="24"/>
          <w:b w:val="1"/>
          <w:bCs w:val="1"/>
          <w:color w:val="000039"/>
        </w:rPr>
        <w:t>Policy on Audit Committee Pre -Approval of Audit and Permissible Non-Audit Services of the Independent Registered Public Accounting Firm</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The audit committee has established policies and procedures to pre- approve all audit and permissible non -audit services performed by the independent registered public accounting firm (the independent auditor) and its related affiliates.</w:t>
      </w:r>
    </w:p>
    <w:p>
      <w:pPr>
        <w:spacing w:after="0" w:line="177"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Prior to engagement of the independent auditor for the next year’s audit, management will submit a schedule of all proposed permissible services expected to be rendered during that year for each of four categories of services to the audit committee for approval.</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Prior to engagement, the audit committee pre-approves these services by category of service. The fees are budgeted and the audit committee requires the independent auditor and management to report actual fees versus the budget periodically by category of service. During the year, circumstances may arise when it may become necessary to engage the independent auditor for additional services not contemplated in the original pre -approval. In those instances, the audit committee requires specific pre-approval before engaging the independent auditor.</w:t>
      </w:r>
    </w:p>
    <w:p>
      <w:pPr>
        <w:spacing w:after="0" w:line="174" w:lineRule="exact"/>
        <w:rPr>
          <w:sz w:val="20"/>
          <w:szCs w:val="20"/>
          <w:color w:val="auto"/>
        </w:rPr>
      </w:pPr>
    </w:p>
    <w:p>
      <w:pPr>
        <w:jc w:val="both"/>
        <w:ind w:right="240"/>
        <w:spacing w:after="0" w:line="262" w:lineRule="auto"/>
        <w:rPr>
          <w:sz w:val="20"/>
          <w:szCs w:val="20"/>
          <w:color w:val="auto"/>
        </w:rPr>
      </w:pPr>
      <w:r>
        <w:rPr>
          <w:rFonts w:ascii="Arial" w:cs="Arial" w:eastAsia="Arial" w:hAnsi="Arial"/>
          <w:sz w:val="20"/>
          <w:szCs w:val="20"/>
          <w:color w:val="auto"/>
        </w:rPr>
        <w:t>The audit committee may delegate pre-approval authority to one or more of its members. The member to whom such authority is delegated must report any pre-approval decisions to the audit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-212725</wp:posOffset>
            </wp:positionV>
            <wp:extent cx="991870" cy="20066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261">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861" w:right="900" w:bottom="0" w:gutter="0" w:footer="0" w:header="0"/>
          <w:type w:val="continuous"/>
        </w:sectPr>
      </w:pPr>
    </w:p>
    <w:bookmarkStart w:id="200" w:name="page201"/>
    <w:bookmarkEnd w:id="200"/>
    <w:p>
      <w:pPr>
        <w:spacing w:after="0"/>
        <w:rPr>
          <w:sz w:val="20"/>
          <w:szCs w:val="20"/>
          <w:color w:val="auto"/>
        </w:rPr>
      </w:pPr>
      <w:r>
        <w:rPr>
          <w:rFonts w:ascii="Arial" w:cs="Arial" w:eastAsia="Arial" w:hAnsi="Arial"/>
          <w:sz w:val="20"/>
          <w:szCs w:val="20"/>
          <w:color w:val="808080"/>
        </w:rPr>
        <w:t>AUDIT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Audit Committee Report</w:t>
      </w:r>
    </w:p>
    <w:p>
      <w:pPr>
        <w:spacing w:after="0" w:line="25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audit committee is comprised of six non-employee members of the Board of Directors. Each audit committee member meets the independence requirements of the New York Stock Exchange and Rule 10A-3 of the Exchange Act. The committee operates under a written charter adopted by the Board of Directors. Consistent with the responsibilities set forth in its charter, the audit committee assists the Board of Directors in its oversight of AbbVie’s accounting, auditing and financial reporting practices.</w:t>
      </w:r>
    </w:p>
    <w:p>
      <w:pPr>
        <w:spacing w:after="0" w:line="192"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auto"/>
        </w:rPr>
        <w:t>The audit committee has reviewed and discussed the audited financial statements contained in the 2025 Annual Report on Form 10-K with AbbVie’s management and its independent registered public accounting firm (the independent auditor) . Management is responsible for the preparation and integrity of AbbVie’s consolidated financial statements. The independent auditor is responsible for performing an audit of the consolidated financial statements and expressing an opinion on the conformity of those financial statements with accounting principles generally accepted in the United States of America. The audit committee reviews these processes on behalf of the Board of Directors. Periodically, during the year, the audit committee reviewed and discussed with AbbVie’s management, internal auditors, and independent auditor the effectiveness of AbbVie’s internal control over financial reporting and the overall quality of AbbVie’s financial reporting.</w:t>
      </w:r>
    </w:p>
    <w:p>
      <w:pPr>
        <w:spacing w:after="0" w:line="197"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The audit committee has discussed with the independent auditor the matters required to be discussed by the applicable requirements of the Public Company Accounting Oversight Board (PCAOB) and the Securities and Exchange Commission. In addition, the audit committee has received the written disclosures and the letter from the independent auditor regarding its independence required by the applicable requirements of the PCAOB, and has discussed with the independent auditor the firm’s independence. The audit committee has also considered whether the provision of non-audit services is compatible with maintaining the independence of the independent auditor and concluded the independent auditor’s independence has not been impaired.</w:t>
      </w:r>
    </w:p>
    <w:p>
      <w:pPr>
        <w:spacing w:after="0" w:line="193"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Based on the review and discussions referred to above, the audit committee recommended to the Board of Directors that the audited financial statements be included in AbbVie’s Annual Report on Form 10-K for the year ended December 31, 2025, filed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F. Waddell, Chair, R. Austin, W. Burnside, T. Falk, M. Meyer, E. Rapp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72  </w:t>
      </w:r>
      <w:r>
        <w:rPr>
          <w:sz w:val="1"/>
          <w:szCs w:val="1"/>
          <w:color w:val="auto"/>
        </w:rPr>
        <w:drawing>
          <wp:inline distT="0" distB="0" distL="0" distR="0">
            <wp:extent cx="991870" cy="200660"/>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262">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60"/>
          </w:cols>
          <w:pgMar w:left="900" w:top="702" w:right="920" w:bottom="0" w:gutter="0" w:footer="0" w:header="0"/>
        </w:sectPr>
      </w:pPr>
    </w:p>
    <w:bookmarkStart w:id="201" w:name="page202"/>
    <w:bookmarkEnd w:id="201"/>
    <w:p>
      <w:pPr>
        <w:spacing w:after="0" w:line="282" w:lineRule="auto"/>
        <w:rPr>
          <w:sz w:val="20"/>
          <w:szCs w:val="20"/>
          <w:color w:val="auto"/>
        </w:rPr>
      </w:pPr>
      <w:r>
        <w:rPr>
          <w:rFonts w:ascii="Arial" w:cs="Arial" w:eastAsia="Arial" w:hAnsi="Arial"/>
          <w:sz w:val="40"/>
          <w:szCs w:val="40"/>
          <w:color w:val="000039"/>
        </w:rPr>
        <w:t>SAY ON PAY—ADVISORY VOTE ON THE APPROVAL OF 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-55880</wp:posOffset>
                </wp:positionV>
                <wp:extent cx="6438900" cy="0"/>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4.3999pt" to="505.5pt,-4.39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1299210</wp:posOffset>
                </wp:positionH>
                <wp:positionV relativeFrom="paragraph">
                  <wp:posOffset>128270</wp:posOffset>
                </wp:positionV>
                <wp:extent cx="5110480" cy="0"/>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048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87" o:spid="_x0000_s16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3pt,10.1pt" to="504.7pt,10.1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118745</wp:posOffset>
                </wp:positionV>
                <wp:extent cx="0" cy="1682115"/>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2115"/>
                        </a:xfrm>
                        <a:prstGeom prst="line">
                          <a:avLst/>
                        </a:prstGeom>
                        <a:solidFill>
                          <a:srgbClr val="FFFFFF"/>
                        </a:solidFill>
                        <a:ln w="28194">
                          <a:solidFill>
                            <a:srgbClr val="000039"/>
                          </a:solidFill>
                          <a:miter lim="800000"/>
                          <a:headEnd/>
                          <a:tailEnd/>
                        </a:ln>
                      </wps:spPr>
                      <wps:bodyPr/>
                    </wps:wsp>
                  </a:graphicData>
                </a:graphic>
              </wp:anchor>
            </w:drawing>
          </mc:Choice>
          <mc:Fallback>
            <w:pict>
              <v:line id="Shape 588" o:spid="_x0000_s16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5pt" to="0pt,141.8pt" o:allowincell="f" strokecolor="#000039" strokeweight="2.22pt"/>
            </w:pict>
          </mc:Fallback>
        </mc:AlternateContent>
        <mc:AlternateContent>
          <mc:Choice Requires="wps">
            <w:drawing>
              <wp:anchor simplePos="0" relativeHeight="251657728" behindDoc="1" locked="0" layoutInCell="0" allowOverlap="1">
                <wp:simplePos x="0" y="0"/>
                <wp:positionH relativeFrom="column">
                  <wp:posOffset>1308735</wp:posOffset>
                </wp:positionH>
                <wp:positionV relativeFrom="paragraph">
                  <wp:posOffset>118745</wp:posOffset>
                </wp:positionV>
                <wp:extent cx="0" cy="1701165"/>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0116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05pt,9.35pt" to="103.05pt,143.3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1299210</wp:posOffset>
                </wp:positionH>
                <wp:positionV relativeFrom="paragraph">
                  <wp:posOffset>1810385</wp:posOffset>
                </wp:positionV>
                <wp:extent cx="5110480" cy="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048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3pt,142.55pt" to="504.7pt,142.5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6400165</wp:posOffset>
                </wp:positionH>
                <wp:positionV relativeFrom="paragraph">
                  <wp:posOffset>118745</wp:posOffset>
                </wp:positionV>
                <wp:extent cx="0" cy="1701165"/>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0116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91" o:spid="_x0000_s16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95pt,9.35pt" to="503.95pt,143.3pt" o:allowincell="f" strokecolor="#000039" strokeweight="1.5pt"/>
            </w:pict>
          </mc:Fallback>
        </mc:AlternateContent>
      </w:r>
    </w:p>
    <w:p>
      <w:pPr>
        <w:sectPr>
          <w:pgSz w:w="11880" w:h="15480" w:orient="portrait"/>
          <w:cols w:equalWidth="0" w:num="1">
            <w:col w:w="10080"/>
          </w:cols>
          <w:pgMar w:left="900" w:top="86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line="258" w:lineRule="auto"/>
        <w:rPr>
          <w:sz w:val="20"/>
          <w:szCs w:val="20"/>
          <w:color w:val="auto"/>
        </w:rPr>
      </w:pPr>
      <w:r>
        <w:rPr>
          <w:rFonts w:ascii="Arial" w:cs="Arial" w:eastAsia="Arial" w:hAnsi="Arial"/>
          <w:sz w:val="28"/>
          <w:szCs w:val="28"/>
          <w:b w:val="1"/>
          <w:bCs w:val="1"/>
          <w:color w:val="000039"/>
        </w:rPr>
        <w:t>What am I voting on and how should I vote?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540"/>
        <w:spacing w:after="0" w:line="252" w:lineRule="auto"/>
        <w:rPr>
          <w:sz w:val="20"/>
          <w:szCs w:val="20"/>
          <w:color w:val="auto"/>
        </w:rPr>
      </w:pPr>
      <w:r>
        <w:rPr>
          <w:rFonts w:ascii="Arial" w:cs="Arial" w:eastAsia="Arial" w:hAnsi="Arial"/>
          <w:sz w:val="20"/>
          <w:szCs w:val="20"/>
          <w:i w:val="1"/>
          <w:iCs w:val="1"/>
          <w:color w:val="auto"/>
        </w:rPr>
        <w:t>You are being asked to approve the compensation of AbbVie’s named executive officers described in the “Executive Compensation” section of this proxy statement. This vote is non-binding. The Board will take the results into account when making future compensation decisions.</w:t>
      </w:r>
    </w:p>
    <w:p>
      <w:pPr>
        <w:spacing w:after="0" w:line="71" w:lineRule="exact"/>
        <w:rPr>
          <w:sz w:val="20"/>
          <w:szCs w:val="20"/>
          <w:color w:val="auto"/>
        </w:rPr>
      </w:pPr>
    </w:p>
    <w:p>
      <w:pPr>
        <w:ind w:right="240"/>
        <w:spacing w:after="0" w:line="249" w:lineRule="auto"/>
        <w:rPr>
          <w:sz w:val="20"/>
          <w:szCs w:val="20"/>
          <w:color w:val="auto"/>
        </w:rPr>
      </w:pPr>
      <w:r>
        <w:rPr>
          <w:rFonts w:ascii="Arial" w:cs="Arial" w:eastAsia="Arial" w:hAnsi="Arial"/>
          <w:sz w:val="20"/>
          <w:szCs w:val="20"/>
          <w:b w:val="1"/>
          <w:bCs w:val="1"/>
          <w:i w:val="1"/>
          <w:iCs w:val="1"/>
          <w:color w:val="auto"/>
        </w:rPr>
        <w:t xml:space="preserve">The compensation committee has thoroughly reviewed the company’s compensation program and has determined that the pay decisions for the named executive officers are appropriate given the company’s performance, the executives’ contributions, and our stockholders’ interests. The Board of Directors therefore recommends you vote </w:t>
      </w:r>
      <w:r>
        <w:rPr>
          <w:rFonts w:ascii="Arial" w:cs="Arial" w:eastAsia="Arial" w:hAnsi="Arial"/>
          <w:sz w:val="20"/>
          <w:szCs w:val="20"/>
          <w:b w:val="1"/>
          <w:bCs w:val="1"/>
          <w:color w:val="auto"/>
        </w:rPr>
        <w:t>“FOR”</w:t>
      </w:r>
      <w:r>
        <w:rPr>
          <w:rFonts w:ascii="Arial" w:cs="Arial" w:eastAsia="Arial" w:hAnsi="Arial"/>
          <w:sz w:val="20"/>
          <w:szCs w:val="20"/>
          <w:b w:val="1"/>
          <w:bCs w:val="1"/>
          <w:i w:val="1"/>
          <w:iCs w:val="1"/>
          <w:color w:val="auto"/>
        </w:rPr>
        <w:t xml:space="preserve"> the approval of the named executive officers’ compensation.</w:t>
      </w:r>
    </w:p>
    <w:p>
      <w:pPr>
        <w:spacing w:after="0" w:line="200" w:lineRule="exact"/>
        <w:rPr>
          <w:sz w:val="20"/>
          <w:szCs w:val="20"/>
          <w:color w:val="auto"/>
        </w:rPr>
      </w:pPr>
    </w:p>
    <w:p>
      <w:pPr>
        <w:sectPr>
          <w:pgSz w:w="11880" w:h="15480" w:orient="portrait"/>
          <w:cols w:equalWidth="0" w:num="2">
            <w:col w:w="2000" w:space="220"/>
            <w:col w:w="7860"/>
          </w:cols>
          <w:pgMar w:left="900" w:top="861" w:right="900" w:bottom="0" w:gutter="0" w:footer="0" w:header="0"/>
          <w:type w:val="continuous"/>
        </w:sectPr>
      </w:pPr>
    </w:p>
    <w:p>
      <w:pPr>
        <w:spacing w:after="0" w:line="134"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As required by Section 14A of the Exchange Act, stockholders are being asked to approve the compensation of AbbVie’s named executive officers, as disclosed under Securities and Exchange Commission rules, including the Compensation Discussion and Analysis, the compensation tables and related material included in this proxy statement. The independent compensation committee of the Board of Directors, with the counsel of its independent compensation consultant, has thoroughly examined AbbVie’s programs, the company’s performance related to our industry and peer group, and market factors. The committee has determined that the specific pay decisions for the named executive officers are appropriate given the company’s performance, the executives’ contributions, and our stockholders’ interests. We currently ask our stockholders to vote on executive compensation on an annual basis.</w:t>
      </w:r>
    </w:p>
    <w:p>
      <w:pPr>
        <w:spacing w:after="0" w:line="197"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While this vote is advisory and non- binding, the Board of Directors and the compensation committee value the opinion of the stockholders and will review the voting results and take them into account when future compensation decisions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263">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861" w:right="900" w:bottom="0" w:gutter="0" w:footer="0" w:header="0"/>
          <w:type w:val="continuous"/>
        </w:sectPr>
      </w:pPr>
    </w:p>
    <w:bookmarkStart w:id="202" w:name="page203"/>
    <w:bookmarkEnd w:id="202"/>
    <w:p>
      <w:pPr>
        <w:ind w:right="1980"/>
        <w:spacing w:after="0" w:line="282" w:lineRule="auto"/>
        <w:rPr>
          <w:sz w:val="20"/>
          <w:szCs w:val="20"/>
          <w:color w:val="auto"/>
        </w:rPr>
      </w:pPr>
      <w:r>
        <w:rPr>
          <w:rFonts w:ascii="Arial" w:cs="Arial" w:eastAsia="Arial" w:hAnsi="Arial"/>
          <w:sz w:val="40"/>
          <w:szCs w:val="40"/>
          <w:color w:val="000039"/>
        </w:rPr>
        <w:t>MANAGEMENT PROPOSAL TO ELIMINATE SUPERMAJORITY VOTING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-55880</wp:posOffset>
                </wp:positionV>
                <wp:extent cx="6438265" cy="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4.3999pt" to="505.5pt,-4.3999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1413510</wp:posOffset>
                </wp:positionH>
                <wp:positionV relativeFrom="paragraph">
                  <wp:posOffset>128270</wp:posOffset>
                </wp:positionV>
                <wp:extent cx="4996180" cy="0"/>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9618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94" o:spid="_x0000_s16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3pt,10.1pt" to="504.7pt,10.1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118745</wp:posOffset>
                </wp:positionV>
                <wp:extent cx="0" cy="1948815"/>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48815"/>
                        </a:xfrm>
                        <a:prstGeom prst="line">
                          <a:avLst/>
                        </a:prstGeom>
                        <a:solidFill>
                          <a:srgbClr val="FFFFFF"/>
                        </a:solidFill>
                        <a:ln w="28194">
                          <a:solidFill>
                            <a:srgbClr val="000039"/>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5pt" to="0pt,162.8pt" o:allowincell="f" strokecolor="#000039" strokeweight="2.22pt"/>
            </w:pict>
          </mc:Fallback>
        </mc:AlternateContent>
        <mc:AlternateContent>
          <mc:Choice Requires="wps">
            <w:drawing>
              <wp:anchor simplePos="0" relativeHeight="251657728" behindDoc="1" locked="0" layoutInCell="0" allowOverlap="1">
                <wp:simplePos x="0" y="0"/>
                <wp:positionH relativeFrom="column">
                  <wp:posOffset>1423035</wp:posOffset>
                </wp:positionH>
                <wp:positionV relativeFrom="paragraph">
                  <wp:posOffset>118745</wp:posOffset>
                </wp:positionV>
                <wp:extent cx="0" cy="1967865"/>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786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05pt,9.35pt" to="112.05pt,164.3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6400165</wp:posOffset>
                </wp:positionH>
                <wp:positionV relativeFrom="paragraph">
                  <wp:posOffset>118745</wp:posOffset>
                </wp:positionV>
                <wp:extent cx="0" cy="1967865"/>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786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97" o:spid="_x0000_s1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95pt,9.35pt" to="503.95pt,164.3pt" o:allowincell="f" strokecolor="#000039" strokeweight="1.5pt"/>
            </w:pict>
          </mc:Fallback>
        </mc:AlternateContent>
      </w:r>
    </w:p>
    <w:p>
      <w:pPr>
        <w:sectPr>
          <w:pgSz w:w="11880" w:h="15480" w:orient="portrait"/>
          <w:cols w:equalWidth="0" w:num="1">
            <w:col w:w="10040"/>
          </w:cols>
          <w:pgMar w:left="900" w:top="86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spacing w:after="0" w:line="258" w:lineRule="auto"/>
        <w:rPr>
          <w:sz w:val="20"/>
          <w:szCs w:val="20"/>
          <w:color w:val="auto"/>
        </w:rPr>
      </w:pPr>
      <w:r>
        <w:rPr>
          <w:rFonts w:ascii="Arial" w:cs="Arial" w:eastAsia="Arial" w:hAnsi="Arial"/>
          <w:sz w:val="28"/>
          <w:szCs w:val="28"/>
          <w:b w:val="1"/>
          <w:bCs w:val="1"/>
          <w:color w:val="000039"/>
        </w:rPr>
        <w:t>What am I voting on and how should I vote?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i w:val="1"/>
          <w:iCs w:val="1"/>
          <w:color w:val="auto"/>
        </w:rPr>
        <w:t xml:space="preserve">You are being asked to amend and restate the Certificate of Incorporation to remove the supermajority voting requirement. Currently, certain amendments to the company’s Certificate of Incorporation or By-Laws require the affirmative vote of at least 80 percent of the outstanding shares. The proposed amendment will allow for a regular majority to pass such amendments in the future. </w:t>
      </w:r>
      <w:r>
        <w:rPr>
          <w:rFonts w:ascii="Arial" w:cs="Arial" w:eastAsia="Arial" w:hAnsi="Arial"/>
          <w:sz w:val="20"/>
          <w:szCs w:val="20"/>
          <w:i w:val="1"/>
          <w:iCs w:val="1"/>
          <w:u w:val="single" w:color="auto"/>
          <w:color w:val="auto"/>
        </w:rPr>
        <w:t>If this management</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proposal passes, management will submit a proposal at the next stockholder meeting to declassify the Board into a single class with annual elections. This subsequent management proposal would be subject to the new regular majority vote threshold.</w:t>
      </w:r>
    </w:p>
    <w:p>
      <w:pPr>
        <w:spacing w:after="0" w:line="74" w:lineRule="exact"/>
        <w:rPr>
          <w:sz w:val="20"/>
          <w:szCs w:val="20"/>
          <w:color w:val="auto"/>
        </w:rPr>
      </w:pPr>
    </w:p>
    <w:p>
      <w:pPr>
        <w:ind w:right="220"/>
        <w:spacing w:after="0" w:line="268" w:lineRule="auto"/>
        <w:rPr>
          <w:sz w:val="20"/>
          <w:szCs w:val="20"/>
          <w:color w:val="auto"/>
        </w:rPr>
      </w:pPr>
      <w:r>
        <w:rPr>
          <w:rFonts w:ascii="Arial" w:cs="Arial" w:eastAsia="Arial" w:hAnsi="Arial"/>
          <w:sz w:val="20"/>
          <w:szCs w:val="20"/>
          <w:b w:val="1"/>
          <w:bCs w:val="1"/>
          <w:i w:val="1"/>
          <w:iCs w:val="1"/>
          <w:color w:val="auto"/>
        </w:rPr>
        <w:t xml:space="preserve">The Board of Directors therefore recommends you vote </w:t>
      </w:r>
      <w:r>
        <w:rPr>
          <w:rFonts w:ascii="Arial" w:cs="Arial" w:eastAsia="Arial" w:hAnsi="Arial"/>
          <w:sz w:val="20"/>
          <w:szCs w:val="20"/>
          <w:b w:val="1"/>
          <w:bCs w:val="1"/>
          <w:color w:val="auto"/>
        </w:rPr>
        <w:t>“FOR”</w:t>
      </w:r>
      <w:r>
        <w:rPr>
          <w:rFonts w:ascii="Arial" w:cs="Arial" w:eastAsia="Arial" w:hAnsi="Arial"/>
          <w:sz w:val="20"/>
          <w:szCs w:val="20"/>
          <w:b w:val="1"/>
          <w:bCs w:val="1"/>
          <w:i w:val="1"/>
          <w:iCs w:val="1"/>
          <w:color w:val="auto"/>
        </w:rPr>
        <w:t xml:space="preserve"> the management proposal to amend and restate the Certificate of Incorporation to eliminate supermajority voting.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-109855</wp:posOffset>
                </wp:positionH>
                <wp:positionV relativeFrom="paragraph">
                  <wp:posOffset>23495</wp:posOffset>
                </wp:positionV>
                <wp:extent cx="4995545" cy="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9554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598" o:spid="_x0000_s16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499pt,1.85pt" to="384.7pt,1.85pt" o:allowincell="f" strokecolor="#000039" strokeweight="1.5pt"/>
            </w:pict>
          </mc:Fallback>
        </mc:AlternateContent>
      </w:r>
    </w:p>
    <w:p>
      <w:pPr>
        <w:spacing w:after="0" w:line="200" w:lineRule="exact"/>
        <w:rPr>
          <w:sz w:val="20"/>
          <w:szCs w:val="20"/>
          <w:color w:val="auto"/>
        </w:rPr>
      </w:pPr>
    </w:p>
    <w:p>
      <w:pPr>
        <w:sectPr>
          <w:pgSz w:w="11880" w:h="15480" w:orient="portrait"/>
          <w:cols w:equalWidth="0" w:num="2">
            <w:col w:w="2000" w:space="400"/>
            <w:col w:w="7640"/>
          </w:cols>
          <w:pgMar w:left="900" w:top="861" w:right="940" w:bottom="0" w:gutter="0" w:footer="0" w:header="0"/>
          <w:type w:val="continuous"/>
        </w:sectPr>
      </w:pPr>
    </w:p>
    <w:p>
      <w:pPr>
        <w:spacing w:after="0" w:line="7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Currently, AbbVie’s Amended and Restated Certificate of Incorporation (the “Certificate of Incorporation”) provides that certain amendments to the Certificate of Incorporation or AbbVie’s Amended and Restated By-Laws (the “By-Laws”) require the affirmative vote of shares representing no less than 80 percent of AbbVie’s outstanding shares of stock entitled to vote generally in the election of directors. We refer to these provisions listed below as the “Supermajority Voting Requirement.”</w:t>
      </w:r>
    </w:p>
    <w:p>
      <w:pPr>
        <w:spacing w:after="0" w:line="192"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Specifically, Article VIII of the Certificate of Incorporation provides that any stockholder-approved alteration, amendment, or repeal of any of the By-Law provisions listed below, or the adoption of any stockholder-approved By-Law provision inconsistent with those By- Law provisions, must be approved pursuant to the Supermajority Voting Requirement. The By-Law provisions covered by the Supermajority Voting Requirement are in regards to:</w:t>
      </w:r>
    </w:p>
    <w:p>
      <w:pPr>
        <w:spacing w:after="0" w:line="183" w:lineRule="exact"/>
        <w:rPr>
          <w:sz w:val="20"/>
          <w:szCs w:val="20"/>
          <w:color w:val="auto"/>
        </w:rPr>
      </w:pPr>
    </w:p>
    <w:p>
      <w:pPr>
        <w:ind w:left="360" w:right="500" w:hanging="360"/>
        <w:spacing w:after="0" w:line="260" w:lineRule="auto"/>
        <w:tabs>
          <w:tab w:leader="none" w:pos="360" w:val="left"/>
        </w:tabs>
        <w:numPr>
          <w:ilvl w:val="0"/>
          <w:numId w:val="142"/>
        </w:numPr>
        <w:rPr>
          <w:rFonts w:ascii="Arial" w:cs="Arial" w:eastAsia="Arial" w:hAnsi="Arial"/>
          <w:sz w:val="20"/>
          <w:szCs w:val="20"/>
          <w:color w:val="000039"/>
        </w:rPr>
      </w:pPr>
      <w:r>
        <w:rPr>
          <w:rFonts w:ascii="Arial" w:cs="Arial" w:eastAsia="Arial" w:hAnsi="Arial"/>
          <w:sz w:val="20"/>
          <w:szCs w:val="20"/>
          <w:color w:val="auto"/>
        </w:rPr>
        <w:t>special meetings of stockholders and written consents by stockholders (Article II, Sections 2.2 and 2.12, respectively);</w:t>
      </w:r>
    </w:p>
    <w:p>
      <w:pPr>
        <w:ind w:left="360" w:right="260" w:hanging="360"/>
        <w:spacing w:after="0" w:line="247" w:lineRule="auto"/>
        <w:tabs>
          <w:tab w:leader="none" w:pos="360" w:val="left"/>
        </w:tabs>
        <w:numPr>
          <w:ilvl w:val="0"/>
          <w:numId w:val="142"/>
        </w:numPr>
        <w:rPr>
          <w:rFonts w:ascii="Arial" w:cs="Arial" w:eastAsia="Arial" w:hAnsi="Arial"/>
          <w:sz w:val="20"/>
          <w:szCs w:val="20"/>
          <w:color w:val="000039"/>
        </w:rPr>
      </w:pPr>
      <w:r>
        <w:rPr>
          <w:rFonts w:ascii="Arial" w:cs="Arial" w:eastAsia="Arial" w:hAnsi="Arial"/>
          <w:sz w:val="20"/>
          <w:szCs w:val="20"/>
          <w:color w:val="auto"/>
        </w:rPr>
        <w:t>board size and tenure, classes of directors, board vacancies, and director removal (Article III, Sections 3.2, 3.3, 3.10 and 3.11, respectively);</w:t>
      </w:r>
    </w:p>
    <w:p>
      <w:pPr>
        <w:ind w:left="360" w:hanging="360"/>
        <w:spacing w:after="0"/>
        <w:tabs>
          <w:tab w:leader="none" w:pos="360" w:val="left"/>
        </w:tabs>
        <w:numPr>
          <w:ilvl w:val="0"/>
          <w:numId w:val="142"/>
        </w:numPr>
        <w:rPr>
          <w:rFonts w:ascii="Arial" w:cs="Arial" w:eastAsia="Arial" w:hAnsi="Arial"/>
          <w:sz w:val="20"/>
          <w:szCs w:val="20"/>
          <w:color w:val="000039"/>
        </w:rPr>
      </w:pPr>
      <w:r>
        <w:rPr>
          <w:rFonts w:ascii="Arial" w:cs="Arial" w:eastAsia="Arial" w:hAnsi="Arial"/>
          <w:sz w:val="20"/>
          <w:szCs w:val="20"/>
          <w:color w:val="auto"/>
        </w:rPr>
        <w:t>indemnification of directors and officers (Article VII); and</w:t>
      </w:r>
    </w:p>
    <w:p>
      <w:pPr>
        <w:spacing w:after="0" w:line="13" w:lineRule="exact"/>
        <w:rPr>
          <w:rFonts w:ascii="Arial" w:cs="Arial" w:eastAsia="Arial" w:hAnsi="Arial"/>
          <w:sz w:val="20"/>
          <w:szCs w:val="20"/>
          <w:color w:val="000039"/>
        </w:rPr>
      </w:pPr>
    </w:p>
    <w:p>
      <w:pPr>
        <w:ind w:left="360" w:hanging="360"/>
        <w:spacing w:after="0"/>
        <w:tabs>
          <w:tab w:leader="none" w:pos="360" w:val="left"/>
        </w:tabs>
        <w:numPr>
          <w:ilvl w:val="0"/>
          <w:numId w:val="142"/>
        </w:numPr>
        <w:rPr>
          <w:rFonts w:ascii="Arial" w:cs="Arial" w:eastAsia="Arial" w:hAnsi="Arial"/>
          <w:sz w:val="20"/>
          <w:szCs w:val="20"/>
          <w:color w:val="000039"/>
        </w:rPr>
      </w:pPr>
      <w:r>
        <w:rPr>
          <w:rFonts w:ascii="Arial" w:cs="Arial" w:eastAsia="Arial" w:hAnsi="Arial"/>
          <w:sz w:val="20"/>
          <w:szCs w:val="20"/>
          <w:color w:val="auto"/>
        </w:rPr>
        <w:t>amendments to the By-Laws (Article X).</w:t>
      </w:r>
    </w:p>
    <w:p>
      <w:pPr>
        <w:spacing w:after="0" w:line="213"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Article XI of the Certificate of Incorporation provides that any alteration, amendment, or repeal of any of the provisions of the Certificate of Incorporation listed below, or the adoption of any provision inconsistent with those provisions, must be approved pursuant to the Supermajority Voting Requirement. The provisions covered by the Supermajority Voting Requirement are in regards to:</w:t>
      </w:r>
    </w:p>
    <w:p>
      <w:pPr>
        <w:spacing w:after="0" w:line="200" w:lineRule="exact"/>
        <w:rPr>
          <w:sz w:val="20"/>
          <w:szCs w:val="20"/>
          <w:color w:val="auto"/>
        </w:rPr>
      </w:pPr>
    </w:p>
    <w:p>
      <w:pPr>
        <w:ind w:left="360" w:right="420" w:hanging="360"/>
        <w:spacing w:after="0" w:line="260" w:lineRule="auto"/>
        <w:tabs>
          <w:tab w:leader="none" w:pos="360" w:val="left"/>
        </w:tabs>
        <w:numPr>
          <w:ilvl w:val="0"/>
          <w:numId w:val="143"/>
        </w:numPr>
        <w:rPr>
          <w:rFonts w:ascii="Arial" w:cs="Arial" w:eastAsia="Arial" w:hAnsi="Arial"/>
          <w:sz w:val="20"/>
          <w:szCs w:val="20"/>
          <w:color w:val="000039"/>
        </w:rPr>
      </w:pPr>
      <w:r>
        <w:rPr>
          <w:rFonts w:ascii="Arial" w:cs="Arial" w:eastAsia="Arial" w:hAnsi="Arial"/>
          <w:sz w:val="20"/>
          <w:szCs w:val="20"/>
          <w:color w:val="auto"/>
        </w:rPr>
        <w:t>board size, classes of directors, board vacancies, and director removal (Article VI, Sections 1, 2, 3 and 4, respectively); and</w:t>
      </w:r>
    </w:p>
    <w:p>
      <w:pPr>
        <w:spacing w:after="0" w:line="1" w:lineRule="exact"/>
        <w:rPr>
          <w:rFonts w:ascii="Arial" w:cs="Arial" w:eastAsia="Arial" w:hAnsi="Arial"/>
          <w:sz w:val="20"/>
          <w:szCs w:val="20"/>
          <w:color w:val="000039"/>
        </w:rPr>
      </w:pPr>
    </w:p>
    <w:p>
      <w:pPr>
        <w:ind w:left="360" w:right="820" w:hanging="360"/>
        <w:spacing w:after="0" w:line="256" w:lineRule="auto"/>
        <w:tabs>
          <w:tab w:leader="none" w:pos="360" w:val="left"/>
        </w:tabs>
        <w:numPr>
          <w:ilvl w:val="0"/>
          <w:numId w:val="143"/>
        </w:numPr>
        <w:rPr>
          <w:rFonts w:ascii="Arial" w:cs="Arial" w:eastAsia="Arial" w:hAnsi="Arial"/>
          <w:sz w:val="20"/>
          <w:szCs w:val="20"/>
          <w:color w:val="000039"/>
        </w:rPr>
      </w:pPr>
      <w:r>
        <w:rPr>
          <w:rFonts w:ascii="Arial" w:cs="Arial" w:eastAsia="Arial" w:hAnsi="Arial"/>
          <w:sz w:val="20"/>
          <w:szCs w:val="20"/>
          <w:color w:val="auto"/>
        </w:rPr>
        <w:t>written consents by stockholders and special meetings of stockholders (Article VII, Sections 1 and 2, respectively).</w:t>
      </w:r>
    </w:p>
    <w:p>
      <w:pPr>
        <w:spacing w:after="0" w:line="183" w:lineRule="exact"/>
        <w:rPr>
          <w:sz w:val="20"/>
          <w:szCs w:val="20"/>
          <w:color w:val="auto"/>
        </w:rPr>
      </w:pPr>
    </w:p>
    <w:p>
      <w:pPr>
        <w:ind w:right="260"/>
        <w:spacing w:after="0" w:line="264" w:lineRule="auto"/>
        <w:rPr>
          <w:sz w:val="20"/>
          <w:szCs w:val="20"/>
          <w:color w:val="auto"/>
        </w:rPr>
      </w:pPr>
      <w:r>
        <w:rPr>
          <w:rFonts w:ascii="Arial" w:cs="Arial" w:eastAsia="Arial" w:hAnsi="Arial"/>
          <w:sz w:val="19"/>
          <w:szCs w:val="19"/>
          <w:color w:val="auto"/>
        </w:rPr>
        <w:t>After reviewing the advantages and disadvantages of the Supermajority Voting Requirement at this time, the Board approved, and recommends that stockholders approve, the amendment and restatement of Articles VIII and XI of the Certificate of Incorporation to remove the Supermajority Voting Requirement contained therein. If approved, future stockholder-approved amendments to the By-Law and Certificate of Incorporation provisions listed above will not be subject to the Supermajority Voting Requirement and will instead require the affirmative vote of a majority of AbbVie’s outstanding shares of stock entitled to vote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74  </w:t>
      </w:r>
      <w:r>
        <w:rPr>
          <w:sz w:val="1"/>
          <w:szCs w:val="1"/>
          <w:color w:val="auto"/>
        </w:rPr>
        <w:drawing>
          <wp:inline distT="0" distB="0" distL="0" distR="0">
            <wp:extent cx="991870" cy="20066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264">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40"/>
          </w:cols>
          <w:pgMar w:left="900" w:top="861" w:right="940" w:bottom="0" w:gutter="0" w:footer="0" w:header="0"/>
          <w:type w:val="continuous"/>
        </w:sectPr>
      </w:pPr>
    </w:p>
    <w:bookmarkStart w:id="203" w:name="page204"/>
    <w:bookmarkEnd w:id="203"/>
    <w:p>
      <w:pPr>
        <w:jc w:val="right"/>
        <w:spacing w:after="0"/>
        <w:rPr>
          <w:sz w:val="20"/>
          <w:szCs w:val="20"/>
          <w:color w:val="auto"/>
        </w:rPr>
      </w:pPr>
      <w:r>
        <w:rPr>
          <w:rFonts w:ascii="Arial" w:cs="Arial" w:eastAsia="Arial" w:hAnsi="Arial"/>
          <w:sz w:val="20"/>
          <w:szCs w:val="20"/>
          <w:color w:val="808080"/>
        </w:rPr>
        <w:t>MANAGEMENT PROPOSAL TO ELIMINATE</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0"/>
          <w:szCs w:val="20"/>
          <w:color w:val="808080"/>
        </w:rPr>
        <w:t>SUPERMAJORITY VOTING</w:t>
      </w:r>
    </w:p>
    <w:p>
      <w:pPr>
        <w:spacing w:after="0" w:line="204"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 xml:space="preserve">The proposed Certificate of Amendment to the Certificate of Incorporation is attached to this proxy statement as </w:t>
      </w:r>
      <w:r>
        <w:rPr>
          <w:rFonts w:ascii="Arial" w:cs="Arial" w:eastAsia="Arial" w:hAnsi="Arial"/>
          <w:sz w:val="20"/>
          <w:szCs w:val="20"/>
          <w:b w:val="1"/>
          <w:bCs w:val="1"/>
          <w:u w:val="single" w:color="auto"/>
          <w:color w:val="auto"/>
        </w:rPr>
        <w:t>Appendix A</w:t>
      </w:r>
      <w:r>
        <w:rPr>
          <w:rFonts w:ascii="Arial" w:cs="Arial" w:eastAsia="Arial" w:hAnsi="Arial"/>
          <w:sz w:val="20"/>
          <w:szCs w:val="20"/>
          <w:b w:val="1"/>
          <w:bCs w:val="1"/>
          <w:color w:val="auto"/>
        </w:rPr>
        <w:t xml:space="preserve"> </w:t>
      </w:r>
      <w:r>
        <w:rPr>
          <w:rFonts w:ascii="Arial" w:cs="Arial" w:eastAsia="Arial" w:hAnsi="Arial"/>
          <w:sz w:val="20"/>
          <w:szCs w:val="20"/>
          <w:color w:val="auto"/>
        </w:rPr>
        <w:t>, which the company would file promptly following the 2026 Annual Meeting if our stockholders</w:t>
      </w:r>
      <w:r>
        <w:rPr>
          <w:rFonts w:ascii="Arial" w:cs="Arial" w:eastAsia="Arial" w:hAnsi="Arial"/>
          <w:sz w:val="20"/>
          <w:szCs w:val="20"/>
          <w:b w:val="1"/>
          <w:bCs w:val="1"/>
          <w:color w:val="auto"/>
        </w:rPr>
        <w:t xml:space="preserve"> </w:t>
      </w:r>
      <w:r>
        <w:rPr>
          <w:rFonts w:ascii="Arial" w:cs="Arial" w:eastAsia="Arial" w:hAnsi="Arial"/>
          <w:sz w:val="20"/>
          <w:szCs w:val="20"/>
          <w:color w:val="auto"/>
        </w:rPr>
        <w:t>approve the amendment. The affirmative vote of the holders of 80 percent of the outstanding shares of stock entitled to vote generally in the election of directors on the Record Date is required to approve this proposal pursuant to the Certificate of Incorporation. The Board has approved certain conforming changes to the company’s By -Laws, contingent on the effectiveness of the proposed amendment to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265">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204" w:name="page205"/>
    <w:bookmarkEnd w:id="204"/>
    <w:p>
      <w:pPr>
        <w:spacing w:after="0"/>
        <w:rPr>
          <w:sz w:val="20"/>
          <w:szCs w:val="20"/>
          <w:color w:val="auto"/>
        </w:rPr>
      </w:pPr>
      <w:r>
        <w:rPr>
          <w:rFonts w:ascii="Arial" w:cs="Arial" w:eastAsia="Arial" w:hAnsi="Arial"/>
          <w:sz w:val="40"/>
          <w:szCs w:val="40"/>
          <w:color w:val="000039"/>
        </w:rPr>
        <w:t>STOCKHOLDER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46355</wp:posOffset>
                </wp:positionV>
                <wp:extent cx="6438265" cy="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65pt" to="505.5pt,3.6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1413510</wp:posOffset>
                </wp:positionH>
                <wp:positionV relativeFrom="paragraph">
                  <wp:posOffset>230505</wp:posOffset>
                </wp:positionV>
                <wp:extent cx="4996180" cy="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9618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602" o:spid="_x0000_s16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3pt,18.15pt" to="504.7pt,18.1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220980</wp:posOffset>
                </wp:positionV>
                <wp:extent cx="0" cy="1364615"/>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64615"/>
                        </a:xfrm>
                        <a:prstGeom prst="line">
                          <a:avLst/>
                        </a:prstGeom>
                        <a:solidFill>
                          <a:srgbClr val="FFFFFF"/>
                        </a:solidFill>
                        <a:ln w="28194">
                          <a:solidFill>
                            <a:srgbClr val="000039"/>
                          </a:solidFill>
                          <a:miter lim="800000"/>
                          <a:headEnd/>
                          <a:tailEnd/>
                        </a:ln>
                      </wps:spPr>
                      <wps:bodyPr/>
                    </wps:wsp>
                  </a:graphicData>
                </a:graphic>
              </wp:anchor>
            </w:drawing>
          </mc:Choice>
          <mc:Fallback>
            <w:pict>
              <v:line id="Shape 603" o:spid="_x0000_s16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4pt" to="0pt,124.85pt" o:allowincell="f" strokecolor="#000039" strokeweight="2.22pt"/>
            </w:pict>
          </mc:Fallback>
        </mc:AlternateContent>
        <mc:AlternateContent>
          <mc:Choice Requires="wps">
            <w:drawing>
              <wp:anchor simplePos="0" relativeHeight="251657728" behindDoc="1" locked="0" layoutInCell="0" allowOverlap="1">
                <wp:simplePos x="0" y="0"/>
                <wp:positionH relativeFrom="column">
                  <wp:posOffset>1423035</wp:posOffset>
                </wp:positionH>
                <wp:positionV relativeFrom="paragraph">
                  <wp:posOffset>220980</wp:posOffset>
                </wp:positionV>
                <wp:extent cx="0" cy="1383665"/>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8366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05pt,17.4pt" to="112.05pt,126.35pt" o:allowincell="f" strokecolor="#000039" strokeweight="1.5pt"/>
            </w:pict>
          </mc:Fallback>
        </mc:AlternateContent>
        <mc:AlternateContent>
          <mc:Choice Requires="wps">
            <w:drawing>
              <wp:anchor simplePos="0" relativeHeight="251657728" behindDoc="1" locked="0" layoutInCell="0" allowOverlap="1">
                <wp:simplePos x="0" y="0"/>
                <wp:positionH relativeFrom="column">
                  <wp:posOffset>6400165</wp:posOffset>
                </wp:positionH>
                <wp:positionV relativeFrom="paragraph">
                  <wp:posOffset>220980</wp:posOffset>
                </wp:positionV>
                <wp:extent cx="0" cy="1383665"/>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83665"/>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95pt,17.4pt" to="503.95pt,126.35pt" o:allowincell="f" strokecolor="#000039" strokeweight="1.5pt"/>
            </w:pict>
          </mc:Fallback>
        </mc:AlternateContent>
      </w:r>
    </w:p>
    <w:p>
      <w:pPr>
        <w:sectPr>
          <w:pgSz w:w="11880" w:h="15480" w:orient="portrait"/>
          <w:cols w:equalWidth="0" w:num="1">
            <w:col w:w="10040"/>
          </w:cols>
          <w:pgMar w:left="900" w:top="91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line="259" w:lineRule="auto"/>
        <w:rPr>
          <w:sz w:val="20"/>
          <w:szCs w:val="20"/>
          <w:color w:val="auto"/>
        </w:rPr>
      </w:pPr>
      <w:r>
        <w:rPr>
          <w:rFonts w:ascii="Arial" w:cs="Arial" w:eastAsia="Arial" w:hAnsi="Arial"/>
          <w:sz w:val="28"/>
          <w:szCs w:val="28"/>
          <w:b w:val="1"/>
          <w:bCs w:val="1"/>
          <w:color w:val="000039"/>
        </w:rPr>
        <w:t>What am I voting on and how should I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i w:val="1"/>
          <w:iCs w:val="1"/>
          <w:color w:val="auto"/>
        </w:rPr>
        <w:t>One stockholder proposal will be voted upon at the Annual Meeting if properly presented by or on behalf of the proponent. The address and share ownership information of the proponent is available upon request. The proposed resolution and the statement made in support thereof, as well as the Board of Directors’ statement in opposition to this proposal, is presented on the following pages. The proposal may contain assertions about AbbVie or other statements that we believe are incorrect.</w:t>
      </w:r>
    </w:p>
    <w:p>
      <w:pPr>
        <w:spacing w:after="0" w:line="68" w:lineRule="exact"/>
        <w:rPr>
          <w:sz w:val="20"/>
          <w:szCs w:val="20"/>
          <w:color w:val="auto"/>
        </w:rPr>
      </w:pPr>
    </w:p>
    <w:p>
      <w:pPr>
        <w:ind w:right="200"/>
        <w:spacing w:after="0" w:line="297" w:lineRule="auto"/>
        <w:rPr>
          <w:sz w:val="20"/>
          <w:szCs w:val="20"/>
          <w:color w:val="auto"/>
        </w:rPr>
      </w:pPr>
      <w:r>
        <w:rPr>
          <w:rFonts w:ascii="Arial" w:cs="Arial" w:eastAsia="Arial" w:hAnsi="Arial"/>
          <w:sz w:val="20"/>
          <w:szCs w:val="20"/>
          <w:b w:val="1"/>
          <w:bCs w:val="1"/>
          <w:i w:val="1"/>
          <w:iCs w:val="1"/>
          <w:color w:val="auto"/>
        </w:rPr>
        <w:t xml:space="preserve">The Board of Directors recommends you vote </w:t>
      </w:r>
      <w:r>
        <w:rPr>
          <w:rFonts w:ascii="Arial" w:cs="Arial" w:eastAsia="Arial" w:hAnsi="Arial"/>
          <w:sz w:val="20"/>
          <w:szCs w:val="20"/>
          <w:b w:val="1"/>
          <w:bCs w:val="1"/>
          <w:color w:val="auto"/>
        </w:rPr>
        <w:t>“AGAINST”</w:t>
      </w:r>
      <w:r>
        <w:rPr>
          <w:rFonts w:ascii="Arial" w:cs="Arial" w:eastAsia="Arial" w:hAnsi="Arial"/>
          <w:sz w:val="20"/>
          <w:szCs w:val="20"/>
          <w:b w:val="1"/>
          <w:bCs w:val="1"/>
          <w:i w:val="1"/>
          <w:iCs w:val="1"/>
          <w:color w:val="auto"/>
        </w:rPr>
        <w:t xml:space="preserve"> the proposal for the reasons set forth following the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-109855</wp:posOffset>
                </wp:positionH>
                <wp:positionV relativeFrom="paragraph">
                  <wp:posOffset>5080</wp:posOffset>
                </wp:positionV>
                <wp:extent cx="4995545"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9554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499pt,0.4pt" to="384.7pt,0.4pt" o:allowincell="f" strokecolor="#000039" strokeweight="1.5pt"/>
            </w:pict>
          </mc:Fallback>
        </mc:AlternateContent>
      </w:r>
    </w:p>
    <w:p>
      <w:pPr>
        <w:spacing w:after="0" w:line="200" w:lineRule="exact"/>
        <w:rPr>
          <w:sz w:val="20"/>
          <w:szCs w:val="20"/>
          <w:color w:val="auto"/>
        </w:rPr>
      </w:pPr>
    </w:p>
    <w:p>
      <w:pPr>
        <w:sectPr>
          <w:pgSz w:w="11880" w:h="15480" w:orient="portrait"/>
          <w:cols w:equalWidth="0" w:num="2">
            <w:col w:w="2000" w:space="400"/>
            <w:col w:w="7640"/>
          </w:cols>
          <w:pgMar w:left="900" w:top="913" w:right="940" w:bottom="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36"/>
          <w:szCs w:val="36"/>
          <w:color w:val="808080"/>
        </w:rPr>
        <w:t>Stockholder Proposal on Independent Board Chair</w:t>
      </w:r>
    </w:p>
    <w:p>
      <w:pPr>
        <w:spacing w:after="0" w:line="258"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Mercy Investment Services, Inc. and co- filers Miller/Howard Investments, Inc. (on behalf of Owen Harvey), CommonSpirit Health, Dana Investment Advisors, and Providence St. Joseph Health have notified AbbVie that they intend to present the following proposal at the Annual Meeting and that they own the requisite number of AbbVie shares.</w:t>
      </w:r>
    </w:p>
    <w:p>
      <w:pPr>
        <w:spacing w:after="0" w:line="182" w:lineRule="exact"/>
        <w:rPr>
          <w:sz w:val="20"/>
          <w:szCs w:val="20"/>
          <w:color w:val="auto"/>
        </w:rPr>
      </w:pPr>
    </w:p>
    <w:p>
      <w:pPr>
        <w:ind w:left="20"/>
        <w:spacing w:after="0" w:line="248"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Shareholders request the Board of Directors adopt as policy, and amend the bylaws as necessary,</w:t>
      </w:r>
      <w:r>
        <w:rPr>
          <w:rFonts w:ascii="Arial" w:cs="Arial" w:eastAsia="Arial" w:hAnsi="Arial"/>
          <w:sz w:val="20"/>
          <w:szCs w:val="20"/>
          <w:b w:val="1"/>
          <w:bCs w:val="1"/>
          <w:color w:val="auto"/>
        </w:rPr>
        <w:t xml:space="preserve"> </w:t>
      </w:r>
      <w:r>
        <w:rPr>
          <w:rFonts w:ascii="Arial" w:cs="Arial" w:eastAsia="Arial" w:hAnsi="Arial"/>
          <w:sz w:val="20"/>
          <w:szCs w:val="20"/>
          <w:color w:val="auto"/>
        </w:rPr>
        <w:t>to require henceforth that the Chair of the Board of Directors, whenever possible, be an independent member of the Board. This independence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policy would be phased in for the next chief executive officer (CEO) transition.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WHEREAS: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0"/>
          <w:szCs w:val="20"/>
          <w:color w:val="auto"/>
        </w:rPr>
        <w:t>We believe:</w:t>
      </w:r>
    </w:p>
    <w:p>
      <w:pPr>
        <w:spacing w:after="0" w:line="194" w:lineRule="exact"/>
        <w:rPr>
          <w:sz w:val="20"/>
          <w:szCs w:val="20"/>
          <w:color w:val="auto"/>
        </w:rPr>
      </w:pPr>
    </w:p>
    <w:p>
      <w:pPr>
        <w:ind w:left="360" w:hanging="360"/>
        <w:spacing w:after="0"/>
        <w:tabs>
          <w:tab w:leader="none" w:pos="36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role of the CEO and management is to run the company.</w:t>
      </w:r>
    </w:p>
    <w:p>
      <w:pPr>
        <w:spacing w:after="0" w:line="132" w:lineRule="exact"/>
        <w:rPr>
          <w:rFonts w:ascii="Arial" w:cs="Arial" w:eastAsia="Arial" w:hAnsi="Arial"/>
          <w:sz w:val="20"/>
          <w:szCs w:val="20"/>
          <w:color w:val="auto"/>
        </w:rPr>
      </w:pPr>
    </w:p>
    <w:p>
      <w:pPr>
        <w:ind w:left="360" w:hanging="360"/>
        <w:spacing w:after="0"/>
        <w:tabs>
          <w:tab w:leader="none" w:pos="36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role of the Board of Directors is to provide independent oversight of management and the CEO.</w:t>
      </w:r>
    </w:p>
    <w:p>
      <w:pPr>
        <w:spacing w:after="0" w:line="133" w:lineRule="exact"/>
        <w:rPr>
          <w:rFonts w:ascii="Arial" w:cs="Arial" w:eastAsia="Arial" w:hAnsi="Arial"/>
          <w:sz w:val="20"/>
          <w:szCs w:val="20"/>
          <w:color w:val="auto"/>
        </w:rPr>
      </w:pPr>
    </w:p>
    <w:p>
      <w:pPr>
        <w:ind w:left="360" w:hanging="360"/>
        <w:spacing w:after="0"/>
        <w:tabs>
          <w:tab w:leader="none" w:pos="36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There is a potential conflict of interest for a CEO to have a non-independent director act as Chair.</w:t>
      </w:r>
    </w:p>
    <w:p>
      <w:pPr>
        <w:spacing w:after="0" w:line="120" w:lineRule="exact"/>
        <w:rPr>
          <w:sz w:val="20"/>
          <w:szCs w:val="20"/>
          <w:color w:val="auto"/>
        </w:rPr>
      </w:pPr>
    </w:p>
    <w:p>
      <w:pPr>
        <w:jc w:val="both"/>
        <w:ind w:left="20" w:right="200"/>
        <w:spacing w:after="0" w:line="261" w:lineRule="auto"/>
        <w:rPr>
          <w:sz w:val="20"/>
          <w:szCs w:val="20"/>
          <w:color w:val="auto"/>
        </w:rPr>
      </w:pPr>
      <w:r>
        <w:rPr>
          <w:rFonts w:ascii="Arial" w:cs="Arial" w:eastAsia="Arial" w:hAnsi="Arial"/>
          <w:sz w:val="20"/>
          <w:szCs w:val="20"/>
          <w:color w:val="auto"/>
        </w:rPr>
        <w:t>In our view, shareholders are best served by an independent Board Chair who can provide a balance of power between the CEO and the Board. Taking this step is in the long-term interests of shareholders and will promote effective oversight of management.</w:t>
      </w:r>
    </w:p>
    <w:p>
      <w:pPr>
        <w:spacing w:after="0" w:line="119" w:lineRule="exact"/>
        <w:rPr>
          <w:sz w:val="20"/>
          <w:szCs w:val="20"/>
          <w:color w:val="auto"/>
        </w:rPr>
      </w:pPr>
    </w:p>
    <w:p>
      <w:pPr>
        <w:ind w:left="20"/>
        <w:spacing w:after="0" w:line="269" w:lineRule="auto"/>
        <w:rPr>
          <w:sz w:val="20"/>
          <w:szCs w:val="20"/>
          <w:color w:val="auto"/>
        </w:rPr>
      </w:pPr>
      <w:r>
        <w:rPr>
          <w:rFonts w:ascii="Arial" w:cs="Arial" w:eastAsia="Arial" w:hAnsi="Arial"/>
          <w:sz w:val="19"/>
          <w:szCs w:val="19"/>
          <w:color w:val="auto"/>
        </w:rPr>
        <w:t>As of 2024, approximately 40%</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S&amp;P 500 firms had an independent chair. ISS reported in September 2025 that 81%</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of investors responding to its policy survey indicated that an independent chair is their preferred model.</w:t>
      </w:r>
    </w:p>
    <w:p>
      <w:pPr>
        <w:spacing w:after="0" w:line="21" w:lineRule="exact"/>
        <w:rPr>
          <w:sz w:val="20"/>
          <w:szCs w:val="20"/>
          <w:color w:val="auto"/>
        </w:rPr>
      </w:pPr>
    </w:p>
    <w:p>
      <w:pPr>
        <w:ind w:left="20" w:right="640"/>
        <w:spacing w:after="0" w:line="262" w:lineRule="auto"/>
        <w:rPr>
          <w:sz w:val="20"/>
          <w:szCs w:val="20"/>
          <w:color w:val="auto"/>
        </w:rPr>
      </w:pPr>
      <w:r>
        <w:rPr>
          <w:rFonts w:ascii="Arial" w:cs="Arial" w:eastAsia="Arial" w:hAnsi="Arial"/>
          <w:sz w:val="20"/>
          <w:szCs w:val="20"/>
          <w:color w:val="auto"/>
        </w:rPr>
        <w:t>Pharmaceutical companies are particularly in need of effective and unconflicted oversight because of the industry’s high legal and regulatory risks related to product safety and the industry’s commercial practices. AbbVie is not immune to litigation and regulatory attention.</w:t>
      </w:r>
    </w:p>
    <w:p>
      <w:pPr>
        <w:spacing w:after="0" w:line="130" w:lineRule="exact"/>
        <w:rPr>
          <w:sz w:val="20"/>
          <w:szCs w:val="20"/>
          <w:color w:val="auto"/>
        </w:rPr>
      </w:pPr>
    </w:p>
    <w:p>
      <w:pPr>
        <w:ind w:right="80" w:firstLine="1"/>
        <w:spacing w:after="0" w:line="271" w:lineRule="auto"/>
        <w:tabs>
          <w:tab w:leader="none" w:pos="3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In February of 2023, the Pharmaceutical Accountability Foundation sued AbbVie on the grounds that it had abused its dominant market position to make excessive profits, violating Dutch competition law and human rights principles. The case was dismissed on standing grounds in July 2025.</w:t>
      </w:r>
      <w:r>
        <w:rPr>
          <w:rFonts w:ascii="Arial" w:cs="Arial" w:eastAsia="Arial" w:hAnsi="Arial"/>
          <w:sz w:val="25"/>
          <w:szCs w:val="25"/>
          <w:color w:val="auto"/>
          <w:vertAlign w:val="superscript"/>
        </w:rPr>
        <w:t>3</w:t>
      </w:r>
    </w:p>
    <w:p>
      <w:pPr>
        <w:spacing w:after="0" w:line="39" w:lineRule="exact"/>
        <w:rPr>
          <w:rFonts w:ascii="Arial" w:cs="Arial" w:eastAsia="Arial" w:hAnsi="Arial"/>
          <w:sz w:val="20"/>
          <w:szCs w:val="20"/>
          <w:color w:val="auto"/>
        </w:rPr>
      </w:pPr>
    </w:p>
    <w:p>
      <w:pPr>
        <w:ind w:right="320"/>
        <w:spacing w:after="0" w:line="272" w:lineRule="auto"/>
        <w:tabs>
          <w:tab w:leader="none" w:pos="3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Conversely, just this summer the United States Court of Appeals for the Fifth Circuit affirmed a Mississippi court’s decision to deny AbbVie’s request for a preliminary injunction against enforcement of a state law protecting 340B pricing for contract pharmacy arrangements</w:t>
      </w:r>
      <w:r>
        <w:rPr>
          <w:rFonts w:ascii="Arial" w:cs="Arial" w:eastAsia="Arial" w:hAnsi="Arial"/>
          <w:sz w:val="25"/>
          <w:szCs w:val="25"/>
          <w:color w:val="auto"/>
          <w:vertAlign w:val="superscript"/>
        </w:rPr>
        <w:t>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76  </w:t>
      </w:r>
      <w:r>
        <w:rPr>
          <w:sz w:val="1"/>
          <w:szCs w:val="1"/>
          <w:color w:val="auto"/>
        </w:rPr>
        <w:drawing>
          <wp:inline distT="0" distB="0" distL="0" distR="0">
            <wp:extent cx="991870" cy="200660"/>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266">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40"/>
          </w:cols>
          <w:pgMar w:left="900" w:top="913" w:right="940" w:bottom="0" w:gutter="0" w:footer="0" w:header="0"/>
          <w:type w:val="continuous"/>
        </w:sectPr>
      </w:pPr>
    </w:p>
    <w:bookmarkStart w:id="205" w:name="page206"/>
    <w:bookmarkEnd w:id="205"/>
    <w:p>
      <w:pPr>
        <w:jc w:val="right"/>
        <w:spacing w:after="0"/>
        <w:rPr>
          <w:sz w:val="20"/>
          <w:szCs w:val="20"/>
          <w:color w:val="auto"/>
        </w:rPr>
      </w:pPr>
      <w:r>
        <w:rPr>
          <w:rFonts w:ascii="Arial" w:cs="Arial" w:eastAsia="Arial" w:hAnsi="Arial"/>
          <w:sz w:val="20"/>
          <w:szCs w:val="20"/>
          <w:color w:val="808080"/>
        </w:rPr>
        <w:t>STOCKHOLDER PROPOSAL</w:t>
      </w:r>
    </w:p>
    <w:p>
      <w:pPr>
        <w:spacing w:after="0" w:line="244" w:lineRule="exact"/>
        <w:rPr>
          <w:sz w:val="20"/>
          <w:szCs w:val="20"/>
          <w:color w:val="auto"/>
        </w:rPr>
      </w:pPr>
    </w:p>
    <w:p>
      <w:pPr>
        <w:ind w:right="220"/>
        <w:spacing w:after="0" w:line="310" w:lineRule="auto"/>
        <w:tabs>
          <w:tab w:leader="none" w:pos="36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 2023, the courts settled a several years long dispute over Androgel. While the $448 million judgment was overturned, the ruling remained intact that Abbott violated antitrust law in suing Perrigo to delay its generic</w:t>
      </w:r>
      <w:r>
        <w:rPr>
          <w:rFonts w:ascii="Arial" w:cs="Arial" w:eastAsia="Arial" w:hAnsi="Arial"/>
          <w:sz w:val="24"/>
          <w:szCs w:val="24"/>
          <w:color w:val="auto"/>
          <w:vertAlign w:val="superscript"/>
        </w:rPr>
        <w:t>5</w:t>
      </w:r>
      <w:r>
        <w:rPr>
          <w:rFonts w:ascii="Arial" w:cs="Arial" w:eastAsia="Arial" w:hAnsi="Arial"/>
          <w:sz w:val="19"/>
          <w:szCs w:val="19"/>
          <w:color w:val="auto"/>
        </w:rPr>
        <w:t>.</w:t>
      </w:r>
    </w:p>
    <w:p>
      <w:pPr>
        <w:spacing w:after="0" w:line="1" w:lineRule="exact"/>
        <w:rPr>
          <w:sz w:val="20"/>
          <w:szCs w:val="20"/>
          <w:color w:val="auto"/>
        </w:rPr>
      </w:pPr>
    </w:p>
    <w:p>
      <w:pPr>
        <w:ind w:right="360"/>
        <w:spacing w:after="0" w:line="262" w:lineRule="auto"/>
        <w:rPr>
          <w:sz w:val="20"/>
          <w:szCs w:val="20"/>
          <w:color w:val="auto"/>
        </w:rPr>
      </w:pPr>
      <w:r>
        <w:rPr>
          <w:rFonts w:ascii="Arial" w:cs="Arial" w:eastAsia="Arial" w:hAnsi="Arial"/>
          <w:sz w:val="20"/>
          <w:szCs w:val="20"/>
          <w:color w:val="auto"/>
        </w:rPr>
        <w:t>The risk of lawsuits, sustained public controversy and regulatory intervention, whether ultimately found to be justified or not, are strong arguments for the need for continuous, effective and unconflicted board oversight of corporate management.</w:t>
      </w:r>
    </w:p>
    <w:p>
      <w:pPr>
        <w:spacing w:after="0" w:line="117" w:lineRule="exact"/>
        <w:rPr>
          <w:sz w:val="20"/>
          <w:szCs w:val="20"/>
          <w:color w:val="auto"/>
        </w:rPr>
      </w:pPr>
    </w:p>
    <w:p>
      <w:pPr>
        <w:ind w:right="100"/>
        <w:spacing w:after="0" w:line="283" w:lineRule="auto"/>
        <w:rPr>
          <w:sz w:val="20"/>
          <w:szCs w:val="20"/>
          <w:color w:val="auto"/>
        </w:rPr>
      </w:pPr>
      <w:r>
        <w:rPr>
          <w:rFonts w:ascii="Arial" w:cs="Arial" w:eastAsia="Arial" w:hAnsi="Arial"/>
          <w:sz w:val="20"/>
          <w:szCs w:val="20"/>
          <w:color w:val="auto"/>
        </w:rPr>
        <w:t>In order to ensure that our Board can provide rigorous oversight for our Company with greater independence and accountability, we urge a vote FOR this shareholder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212725</wp:posOffset>
                </wp:positionV>
                <wp:extent cx="1599565" cy="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6.75pt" to="125.9pt,16.75pt" o:allowincell="f" strokecolor="#000000" strokeweight="1.02pt"/>
            </w:pict>
          </mc:Fallback>
        </mc:AlternateContent>
      </w:r>
    </w:p>
    <w:p>
      <w:pPr>
        <w:spacing w:after="0" w:line="314" w:lineRule="exact"/>
        <w:rPr>
          <w:sz w:val="20"/>
          <w:szCs w:val="20"/>
          <w:color w:val="auto"/>
        </w:rPr>
      </w:pPr>
    </w:p>
    <w:p>
      <w:pPr>
        <w:ind w:left="120" w:hanging="120"/>
        <w:spacing w:after="0"/>
        <w:tabs>
          <w:tab w:leader="none" w:pos="120" w:val="left"/>
        </w:tabs>
        <w:numPr>
          <w:ilvl w:val="0"/>
          <w:numId w:val="147"/>
        </w:numPr>
        <w:rPr>
          <w:rFonts w:ascii="Arial" w:cs="Arial" w:eastAsia="Arial" w:hAnsi="Arial"/>
          <w:sz w:val="26"/>
          <w:szCs w:val="26"/>
          <w:color w:val="auto"/>
          <w:vertAlign w:val="superscript"/>
        </w:rPr>
      </w:pPr>
      <w:r>
        <w:rPr>
          <w:rFonts w:ascii="Arial" w:cs="Arial" w:eastAsia="Arial" w:hAnsi="Arial"/>
          <w:sz w:val="20"/>
          <w:szCs w:val="20"/>
          <w:color w:val="auto"/>
        </w:rPr>
        <w:t>https://www.conference-board.org/publications/Board-Practices-and-Composition-2024-Edition</w:t>
      </w:r>
    </w:p>
    <w:p>
      <w:pPr>
        <w:ind w:left="120" w:hanging="120"/>
        <w:spacing w:after="0" w:line="184" w:lineRule="auto"/>
        <w:tabs>
          <w:tab w:leader="none" w:pos="120" w:val="left"/>
        </w:tabs>
        <w:numPr>
          <w:ilvl w:val="0"/>
          <w:numId w:val="147"/>
        </w:numPr>
        <w:rPr>
          <w:rFonts w:ascii="Arial" w:cs="Arial" w:eastAsia="Arial" w:hAnsi="Arial"/>
          <w:sz w:val="26"/>
          <w:szCs w:val="26"/>
          <w:color w:val="auto"/>
          <w:vertAlign w:val="superscript"/>
        </w:rPr>
      </w:pPr>
      <w:r>
        <w:rPr>
          <w:rFonts w:ascii="Arial" w:cs="Arial" w:eastAsia="Arial" w:hAnsi="Arial"/>
          <w:sz w:val="20"/>
          <w:szCs w:val="20"/>
          <w:color w:val="auto"/>
        </w:rPr>
        <w:t>https://www.issgovernance.com/file/policy/active/policy-survey-summary-2025.pdf</w:t>
      </w:r>
    </w:p>
    <w:p>
      <w:pPr>
        <w:spacing w:after="0" w:line="1" w:lineRule="exact"/>
        <w:rPr>
          <w:rFonts w:ascii="Arial" w:cs="Arial" w:eastAsia="Arial" w:hAnsi="Arial"/>
          <w:sz w:val="26"/>
          <w:szCs w:val="26"/>
          <w:color w:val="auto"/>
          <w:vertAlign w:val="superscript"/>
        </w:rPr>
      </w:pPr>
    </w:p>
    <w:p>
      <w:pPr>
        <w:ind w:right="580"/>
        <w:spacing w:after="0" w:line="208" w:lineRule="auto"/>
        <w:tabs>
          <w:tab w:leader="none" w:pos="127" w:val="left"/>
        </w:tabs>
        <w:numPr>
          <w:ilvl w:val="0"/>
          <w:numId w:val="147"/>
        </w:numPr>
        <w:rPr>
          <w:rFonts w:ascii="Arial" w:cs="Arial" w:eastAsia="Arial" w:hAnsi="Arial"/>
          <w:sz w:val="26"/>
          <w:szCs w:val="26"/>
          <w:color w:val="auto"/>
          <w:vertAlign w:val="superscript"/>
        </w:rPr>
      </w:pPr>
      <w:r>
        <w:rPr>
          <w:rFonts w:ascii="Arial" w:cs="Arial" w:eastAsia="Arial" w:hAnsi="Arial"/>
          <w:sz w:val="20"/>
          <w:szCs w:val="20"/>
          <w:color w:val="auto"/>
        </w:rPr>
        <w:t>https://www.pharmaceuticalaccountability.org/2025/07/09/amsterdam-court-gives-no-substantive-ruling-in-pharmaceutical-accountability-foundation-abbvie-excessive-pricing-case-on-humira/</w:t>
      </w:r>
    </w:p>
    <w:p>
      <w:pPr>
        <w:spacing w:after="0" w:line="1" w:lineRule="exact"/>
        <w:rPr>
          <w:rFonts w:ascii="Arial" w:cs="Arial" w:eastAsia="Arial" w:hAnsi="Arial"/>
          <w:sz w:val="26"/>
          <w:szCs w:val="26"/>
          <w:color w:val="auto"/>
          <w:vertAlign w:val="superscript"/>
        </w:rPr>
      </w:pPr>
    </w:p>
    <w:p>
      <w:pPr>
        <w:ind w:left="120" w:hanging="120"/>
        <w:spacing w:after="0" w:line="184" w:lineRule="auto"/>
        <w:tabs>
          <w:tab w:leader="none" w:pos="120" w:val="left"/>
        </w:tabs>
        <w:numPr>
          <w:ilvl w:val="0"/>
          <w:numId w:val="147"/>
        </w:numPr>
        <w:rPr>
          <w:rFonts w:ascii="Arial" w:cs="Arial" w:eastAsia="Arial" w:hAnsi="Arial"/>
          <w:sz w:val="26"/>
          <w:szCs w:val="26"/>
          <w:color w:val="auto"/>
          <w:vertAlign w:val="superscript"/>
        </w:rPr>
      </w:pPr>
      <w:r>
        <w:rPr>
          <w:rFonts w:ascii="Arial" w:cs="Arial" w:eastAsia="Arial" w:hAnsi="Arial"/>
          <w:sz w:val="20"/>
          <w:szCs w:val="20"/>
          <w:color w:val="auto"/>
        </w:rPr>
        <w:t>https://www.aha.org/news/headline/2025-07-14-missouri-district-court-rules-favor-states-340b-law</w:t>
      </w:r>
    </w:p>
    <w:p>
      <w:pPr>
        <w:spacing w:after="0" w:line="1" w:lineRule="exact"/>
        <w:rPr>
          <w:rFonts w:ascii="Arial" w:cs="Arial" w:eastAsia="Arial" w:hAnsi="Arial"/>
          <w:sz w:val="26"/>
          <w:szCs w:val="26"/>
          <w:color w:val="auto"/>
          <w:vertAlign w:val="superscript"/>
        </w:rPr>
      </w:pPr>
    </w:p>
    <w:p>
      <w:pPr>
        <w:ind w:right="600"/>
        <w:spacing w:after="0" w:line="215" w:lineRule="auto"/>
        <w:tabs>
          <w:tab w:leader="none" w:pos="127" w:val="left"/>
        </w:tabs>
        <w:numPr>
          <w:ilvl w:val="0"/>
          <w:numId w:val="147"/>
        </w:numPr>
        <w:rPr>
          <w:rFonts w:ascii="Arial" w:cs="Arial" w:eastAsia="Arial" w:hAnsi="Arial"/>
          <w:sz w:val="26"/>
          <w:szCs w:val="26"/>
          <w:color w:val="auto"/>
          <w:vertAlign w:val="superscript"/>
        </w:rPr>
      </w:pPr>
      <w:r>
        <w:rPr>
          <w:rFonts w:ascii="Arial" w:cs="Arial" w:eastAsia="Arial" w:hAnsi="Arial"/>
          <w:sz w:val="20"/>
          <w:szCs w:val="20"/>
          <w:color w:val="auto"/>
        </w:rPr>
        <w:t>https://www.reuters.com/legal/litigation/column-heres-what-abbvie-doesnt-want-you-know-about-its-sham-androgel-patent-2023-07-25/</w:t>
      </w:r>
    </w:p>
    <w:p>
      <w:pPr>
        <w:spacing w:after="0" w:line="373" w:lineRule="exact"/>
        <w:rPr>
          <w:sz w:val="20"/>
          <w:szCs w:val="20"/>
          <w:color w:val="auto"/>
        </w:rPr>
      </w:pPr>
    </w:p>
    <w:p>
      <w:pPr>
        <w:ind w:right="240"/>
        <w:spacing w:after="0" w:line="283" w:lineRule="auto"/>
        <w:rPr>
          <w:sz w:val="20"/>
          <w:szCs w:val="20"/>
          <w:color w:val="auto"/>
        </w:rPr>
      </w:pPr>
      <w:r>
        <w:rPr>
          <w:rFonts w:ascii="Arial" w:cs="Arial" w:eastAsia="Arial" w:hAnsi="Arial"/>
          <w:sz w:val="36"/>
          <w:szCs w:val="36"/>
          <w:color w:val="000039"/>
        </w:rPr>
        <w:t>Board of Directors Statement in Opposition to the Stockholder Proposal on Independent Board Chair</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Board of Directors recommends that stockholders vote </w:t>
      </w:r>
      <w:r>
        <w:rPr>
          <w:rFonts w:ascii="Arial" w:cs="Arial" w:eastAsia="Arial" w:hAnsi="Arial"/>
          <w:sz w:val="20"/>
          <w:szCs w:val="20"/>
          <w:b w:val="1"/>
          <w:bCs w:val="1"/>
          <w:color w:val="auto"/>
        </w:rPr>
        <w:t>AGAINST</w:t>
      </w:r>
      <w:r>
        <w:rPr>
          <w:rFonts w:ascii="Arial" w:cs="Arial" w:eastAsia="Arial" w:hAnsi="Arial"/>
          <w:sz w:val="20"/>
          <w:szCs w:val="20"/>
          <w:color w:val="auto"/>
        </w:rPr>
        <w:t xml:space="preserve"> this proposal.</w:t>
      </w:r>
    </w:p>
    <w:p>
      <w:pPr>
        <w:spacing w:after="0" w:line="24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AbbVie’s Board of Directors (the “Board”) believes that it is in the best interests of the company and its stockholders to maintain the flexibility to determine the ideal board leadership structure at any given time. This proposal would dramatically hamstring the Board by mandating a leadership structure that may not be optimal for the company or its stockholders. Such a mandate suggests that there is only one optimal leadership structure, which is not supported by empirical evidence or prevailing governance trends.</w:t>
      </w:r>
    </w:p>
    <w:p>
      <w:pPr>
        <w:spacing w:after="0" w:line="18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As discussed elsewhere in this proxy statement, AbbVie’s Board has determined that the current leadership structure, in which the offices of chairman of the board and CEO are held by one individual with a Board appointed lead independent director, ensures the appropriate level of oversight, independence, and responsibility is applied to all Board decisions, and is in the best interests of AbbVie and its stockholders. The Board regularly reviews its leadership structure and effectiveness. In determining its present leadership structure, the board weighed numerous factors, such as:</w:t>
      </w:r>
    </w:p>
    <w:p>
      <w:pPr>
        <w:spacing w:after="0" w:line="198" w:lineRule="exact"/>
        <w:rPr>
          <w:sz w:val="20"/>
          <w:szCs w:val="20"/>
          <w:color w:val="auto"/>
        </w:rPr>
      </w:pPr>
    </w:p>
    <w:p>
      <w:pPr>
        <w:ind w:left="720" w:right="460" w:hanging="361"/>
        <w:spacing w:after="0" w:line="260" w:lineRule="auto"/>
        <w:tabs>
          <w:tab w:leader="none" w:pos="7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qualifications of the lead independent director and performance in the role, including stockholder votes in favor of re-election</w:t>
      </w:r>
    </w:p>
    <w:p>
      <w:pPr>
        <w:ind w:left="720" w:hanging="361"/>
        <w:spacing w:after="0"/>
        <w:tabs>
          <w:tab w:leader="none" w:pos="7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historical performance of the company under this leadership structure</w:t>
      </w:r>
    </w:p>
    <w:p>
      <w:pPr>
        <w:spacing w:after="0" w:line="13" w:lineRule="exact"/>
        <w:rPr>
          <w:rFonts w:ascii="Arial" w:cs="Arial" w:eastAsia="Arial" w:hAnsi="Arial"/>
          <w:sz w:val="20"/>
          <w:szCs w:val="20"/>
          <w:color w:val="auto"/>
        </w:rPr>
      </w:pPr>
    </w:p>
    <w:p>
      <w:pPr>
        <w:ind w:left="720" w:hanging="361"/>
        <w:spacing w:after="0"/>
        <w:tabs>
          <w:tab w:leader="none" w:pos="7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performance and evaluation of Mr. Michael in his roles as CEO and Chair</w:t>
      </w:r>
    </w:p>
    <w:p>
      <w:pPr>
        <w:spacing w:after="0" w:line="13" w:lineRule="exact"/>
        <w:rPr>
          <w:rFonts w:ascii="Arial" w:cs="Arial" w:eastAsia="Arial" w:hAnsi="Arial"/>
          <w:sz w:val="20"/>
          <w:szCs w:val="20"/>
          <w:color w:val="auto"/>
        </w:rPr>
      </w:pPr>
    </w:p>
    <w:p>
      <w:pPr>
        <w:ind w:left="720" w:hanging="361"/>
        <w:spacing w:after="0"/>
        <w:tabs>
          <w:tab w:leader="none" w:pos="7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Investor feedback on this topic</w:t>
      </w:r>
    </w:p>
    <w:p>
      <w:pPr>
        <w:spacing w:after="0" w:line="13" w:lineRule="exact"/>
        <w:rPr>
          <w:rFonts w:ascii="Arial" w:cs="Arial" w:eastAsia="Arial" w:hAnsi="Arial"/>
          <w:sz w:val="20"/>
          <w:szCs w:val="20"/>
          <w:color w:val="auto"/>
        </w:rPr>
      </w:pPr>
    </w:p>
    <w:p>
      <w:pPr>
        <w:ind w:left="720" w:hanging="361"/>
        <w:spacing w:after="0"/>
        <w:tabs>
          <w:tab w:leader="none" w:pos="7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Other Board leadership and independence considerations</w:t>
      </w:r>
    </w:p>
    <w:p>
      <w:pPr>
        <w:spacing w:after="0" w:line="13" w:lineRule="exact"/>
        <w:rPr>
          <w:rFonts w:ascii="Arial" w:cs="Arial" w:eastAsia="Arial" w:hAnsi="Arial"/>
          <w:sz w:val="20"/>
          <w:szCs w:val="20"/>
          <w:color w:val="auto"/>
        </w:rPr>
      </w:pPr>
    </w:p>
    <w:p>
      <w:pPr>
        <w:ind w:left="720" w:hanging="361"/>
        <w:spacing w:after="0"/>
        <w:tabs>
          <w:tab w:leader="none" w:pos="7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Practices at peer companies and trends across the S&amp;P 500</w:t>
      </w:r>
    </w:p>
    <w:p>
      <w:pPr>
        <w:spacing w:after="0" w:line="204"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The lead independent director plays an important role in promoting independent leadership on the Board. The responsibilities of the lead independent director are explained on page 19 of this proxy statement. The lead independent director is chosen annually by and from the independent members of the Board. In addition, each member of the Board except for Mr. Michael is independent. All members of our audit, compensation, nominations and governance, and public policy and sustainability committees are independent. Our independent directors meet regularly in executive session, which is presided over by the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267">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206" w:name="page207"/>
    <w:bookmarkEnd w:id="206"/>
    <w:p>
      <w:pPr>
        <w:spacing w:after="0"/>
        <w:rPr>
          <w:sz w:val="20"/>
          <w:szCs w:val="20"/>
          <w:color w:val="auto"/>
        </w:rPr>
      </w:pPr>
      <w:r>
        <w:rPr>
          <w:rFonts w:ascii="Arial" w:cs="Arial" w:eastAsia="Arial" w:hAnsi="Arial"/>
          <w:sz w:val="20"/>
          <w:szCs w:val="20"/>
          <w:color w:val="808080"/>
        </w:rPr>
        <w:t>STOCKHOLDER PROPOSAL</w:t>
      </w:r>
    </w:p>
    <w:p>
      <w:pPr>
        <w:spacing w:after="0" w:line="231" w:lineRule="exact"/>
        <w:rPr>
          <w:sz w:val="20"/>
          <w:szCs w:val="20"/>
          <w:color w:val="auto"/>
        </w:rPr>
      </w:pPr>
    </w:p>
    <w:p>
      <w:pPr>
        <w:ind w:right="240"/>
        <w:spacing w:after="0" w:line="249" w:lineRule="auto"/>
        <w:rPr>
          <w:sz w:val="20"/>
          <w:szCs w:val="20"/>
          <w:color w:val="auto"/>
        </w:rPr>
      </w:pPr>
      <w:r>
        <w:rPr>
          <w:rFonts w:ascii="Arial" w:cs="Arial" w:eastAsia="Arial" w:hAnsi="Arial"/>
          <w:sz w:val="20"/>
          <w:szCs w:val="20"/>
          <w:color w:val="auto"/>
        </w:rPr>
        <w:t>The Board’s ability to determine the optimal leadership structure has contributed to AbbVie’s track record of strong performance. AbbVie’s CEO and chair role has been combined since its inception in 2013 except for the one-year period after Mr. Gonzalez retired as CEO on July 1, 2024, when Mr. Michael was CEO and</w:t>
      </w:r>
    </w:p>
    <w:p>
      <w:pPr>
        <w:ind w:right="420"/>
        <w:spacing w:after="0" w:line="247" w:lineRule="auto"/>
        <w:rPr>
          <w:sz w:val="20"/>
          <w:szCs w:val="20"/>
          <w:color w:val="auto"/>
        </w:rPr>
      </w:pPr>
      <w:r>
        <w:rPr>
          <w:rFonts w:ascii="Arial" w:cs="Arial" w:eastAsia="Arial" w:hAnsi="Arial"/>
          <w:sz w:val="20"/>
          <w:szCs w:val="20"/>
          <w:color w:val="auto"/>
        </w:rPr>
        <w:t>Mr. Gonzalez was named Executive Chairman. With this leadership structure over the past decade, AbbVie increased its market capitalization by $309 billion, raised its quarterly dividend by 204%, and delivered a total stockholder return of 485%.</w:t>
      </w:r>
    </w:p>
    <w:p>
      <w:pPr>
        <w:spacing w:after="0" w:line="18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Despite this effective oversight and success, the proponent believes that only an independent chair provides effective oversight of management. Evidence suggests otherwise. As of 2025, approximately 58% of S&amp;P 500 boards have chosen a combined CEO/chair or otherwise non- independent chair.</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The mix of combined CEO/chairs, non-independent chairs, and independent chairs suggests that boards acknowledge that different leadership structures are appropriate depending on the company and its circumstances. Furthermore, the proponent indicates that investors prefer the independent chair model. For the 2025 proxy season, however, all of the 28 stockholder proposals related to requiring an independent chair failed and only averaged approximately 30% support.</w:t>
      </w:r>
      <w:r>
        <w:rPr>
          <w:rFonts w:ascii="Arial" w:cs="Arial" w:eastAsia="Arial" w:hAnsi="Arial"/>
          <w:sz w:val="25"/>
          <w:szCs w:val="25"/>
          <w:color w:val="auto"/>
          <w:vertAlign w:val="superscript"/>
        </w:rPr>
        <w:t>2</w:t>
      </w:r>
    </w:p>
    <w:p>
      <w:pPr>
        <w:spacing w:after="0" w:line="107"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In summary, the proposal would unnecessarily restrict the Board’s flexibility, regardless of circumstances, to appoint the individual they think is the most appropriate person to serve as chair, even with a balanced, strong lead independent director structure. These undue restrictions on the Board, considering AbbVie’s robust independent oversight mechanisms, are not in the best interests of stockholders and not in alignment with prevailing governance trends and investor sentiment.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Board of Directors recommends that you vote </w:t>
      </w:r>
      <w:r>
        <w:rPr>
          <w:rFonts w:ascii="Arial" w:cs="Arial" w:eastAsia="Arial" w:hAnsi="Arial"/>
          <w:sz w:val="20"/>
          <w:szCs w:val="20"/>
          <w:b w:val="1"/>
          <w:bCs w:val="1"/>
          <w:color w:val="auto"/>
        </w:rPr>
        <w:t>AGAINST</w:t>
      </w:r>
      <w:r>
        <w:rPr>
          <w:rFonts w:ascii="Arial" w:cs="Arial" w:eastAsia="Arial" w:hAnsi="Arial"/>
          <w:sz w:val="20"/>
          <w:szCs w:val="20"/>
          <w:color w:val="auto"/>
        </w:rPr>
        <w:t xml:space="preserve"> the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121285</wp:posOffset>
                </wp:positionV>
                <wp:extent cx="1599565" cy="0"/>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9.55pt" to="125.9pt,9.55pt" o:allowincell="f" strokecolor="#000000" strokeweight="1.0199pt"/>
            </w:pict>
          </mc:Fallback>
        </mc:AlternateContent>
      </w:r>
    </w:p>
    <w:p>
      <w:pPr>
        <w:spacing w:after="0" w:line="351" w:lineRule="exact"/>
        <w:rPr>
          <w:sz w:val="20"/>
          <w:szCs w:val="20"/>
          <w:color w:val="auto"/>
        </w:rPr>
      </w:pPr>
    </w:p>
    <w:p>
      <w:pPr>
        <w:ind w:left="160" w:hanging="131"/>
        <w:spacing w:after="0"/>
        <w:tabs>
          <w:tab w:leader="none" w:pos="160" w:val="left"/>
        </w:tabs>
        <w:numPr>
          <w:ilvl w:val="0"/>
          <w:numId w:val="149"/>
        </w:numPr>
        <w:rPr>
          <w:rFonts w:ascii="Arial" w:cs="Arial" w:eastAsia="Arial" w:hAnsi="Arial"/>
          <w:sz w:val="26"/>
          <w:szCs w:val="26"/>
          <w:color w:val="auto"/>
          <w:vertAlign w:val="superscript"/>
        </w:rPr>
      </w:pPr>
      <w:r>
        <w:rPr>
          <w:rFonts w:ascii="Arial" w:cs="Arial" w:eastAsia="Arial" w:hAnsi="Arial"/>
          <w:sz w:val="20"/>
          <w:szCs w:val="20"/>
          <w:color w:val="auto"/>
        </w:rPr>
        <w:t>https://www.spencerstuart.com/-/media/2025/10/ssbi2025/2025-us-board-index.pdf</w:t>
      </w:r>
    </w:p>
    <w:p>
      <w:pPr>
        <w:ind w:left="20" w:right="220" w:firstLine="9"/>
        <w:spacing w:after="0" w:line="215" w:lineRule="auto"/>
        <w:tabs>
          <w:tab w:leader="none" w:pos="147" w:val="left"/>
        </w:tabs>
        <w:numPr>
          <w:ilvl w:val="0"/>
          <w:numId w:val="149"/>
        </w:numPr>
        <w:rPr>
          <w:rFonts w:ascii="Arial" w:cs="Arial" w:eastAsia="Arial" w:hAnsi="Arial"/>
          <w:sz w:val="26"/>
          <w:szCs w:val="26"/>
          <w:color w:val="auto"/>
          <w:vertAlign w:val="superscript"/>
        </w:rPr>
      </w:pPr>
      <w:r>
        <w:rPr>
          <w:rFonts w:ascii="Arial" w:cs="Arial" w:eastAsia="Arial" w:hAnsi="Arial"/>
          <w:sz w:val="20"/>
          <w:szCs w:val="20"/>
          <w:color w:val="auto"/>
        </w:rPr>
        <w:t>https://corpgov.law.harvard.edu/2025/07/22/proxy-season-highlights-shareholder-and-management-proposals/#:~:text=Proposals%20requesting%20the%20appointment%20of,(none%20passing)%20in%202024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78  </w:t>
      </w:r>
      <w:r>
        <w:rPr>
          <w:sz w:val="1"/>
          <w:szCs w:val="1"/>
          <w:color w:val="auto"/>
        </w:rPr>
        <w:drawing>
          <wp:inline distT="0" distB="0" distL="0" distR="0">
            <wp:extent cx="991870" cy="200660"/>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268">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40"/>
          </w:cols>
          <w:pgMar w:left="900" w:top="702" w:right="940" w:bottom="0" w:gutter="0" w:footer="0" w:header="0"/>
        </w:sectPr>
      </w:pPr>
    </w:p>
    <w:bookmarkStart w:id="207" w:name="page208"/>
    <w:bookmarkEnd w:id="207"/>
    <w:p>
      <w:pPr>
        <w:spacing w:after="0"/>
        <w:rPr>
          <w:sz w:val="20"/>
          <w:szCs w:val="20"/>
          <w:color w:val="auto"/>
        </w:rPr>
      </w:pPr>
      <w:r>
        <w:rPr>
          <w:rFonts w:ascii="Arial" w:cs="Arial" w:eastAsia="Arial" w:hAnsi="Arial"/>
          <w:sz w:val="40"/>
          <w:szCs w:val="40"/>
          <w:color w:val="000039"/>
        </w:rPr>
        <w:t>ADDITIONAL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46355</wp:posOffset>
                </wp:positionV>
                <wp:extent cx="6438265" cy="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65pt" to="505.5pt,3.65pt" o:allowincell="f" strokecolor="#000039" strokeweight="1.5pt"/>
            </w:pict>
          </mc:Fallback>
        </mc:AlternateContent>
      </w:r>
    </w:p>
    <w:p>
      <w:pPr>
        <w:sectPr>
          <w:pgSz w:w="11880" w:h="15480" w:orient="portrait"/>
          <w:cols w:equalWidth="0" w:num="1">
            <w:col w:w="10080"/>
          </w:cols>
          <w:pgMar w:left="900" w:top="861" w:right="900" w:bottom="0" w:gutter="0" w:footer="0" w:header="0"/>
        </w:sect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Materials</w:t>
      </w:r>
    </w:p>
    <w:p>
      <w:pPr>
        <w:spacing w:after="0" w:line="24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 xml:space="preserve">AbbVie’s corporate governance guidelines with the outline of directorship qualifications; director independence guidelines; code of business conduct; and audit committee, compensation committee, nominations and governance committee, and public policy and sustainability committee charters are all available in the governance section of AbbVie’s investor relations website at </w:t>
      </w:r>
      <w:r>
        <w:rPr>
          <w:rFonts w:ascii="Arial" w:cs="Arial" w:eastAsia="Arial" w:hAnsi="Arial"/>
          <w:sz w:val="20"/>
          <w:szCs w:val="20"/>
          <w:i w:val="1"/>
          <w:iCs w:val="1"/>
          <w:color w:val="auto"/>
        </w:rPr>
        <w:t>www.abbvieinvestor.com</w:t>
      </w:r>
      <w:r>
        <w:rPr>
          <w:rFonts w:ascii="Arial" w:cs="Arial" w:eastAsia="Arial" w:hAnsi="Arial"/>
          <w:sz w:val="20"/>
          <w:szCs w:val="20"/>
          <w:color w:val="auto"/>
        </w:rPr>
        <w:t>. We are providing our website address in this proxy statement solely for the information of investors. We do not intend the address to be an active link or to otherwise incorporate the contents of the website, including any materials that are noted in this proxy statement as being posted on the website, into this proxy statement or into any of our other filings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Procedures for Approval of Related Person Transactions</w:t>
      </w:r>
    </w:p>
    <w:p>
      <w:pPr>
        <w:spacing w:after="0" w:line="244"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It is AbbVie’s policy that the nominations and governance committee conduct a reasonable prior review and approve or disapprove of all transactions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are identified in:</w:t>
      </w:r>
    </w:p>
    <w:p>
      <w:pPr>
        <w:spacing w:after="0" w:line="205" w:lineRule="exact"/>
        <w:rPr>
          <w:sz w:val="20"/>
          <w:szCs w:val="20"/>
          <w:color w:val="auto"/>
        </w:rPr>
      </w:pPr>
    </w:p>
    <w:p>
      <w:pPr>
        <w:ind w:left="360" w:hanging="360"/>
        <w:spacing w:after="0"/>
        <w:tabs>
          <w:tab w:leader="none" w:pos="360" w:val="left"/>
        </w:tabs>
        <w:numPr>
          <w:ilvl w:val="0"/>
          <w:numId w:val="150"/>
        </w:numPr>
        <w:rPr>
          <w:rFonts w:ascii="Arial" w:cs="Arial" w:eastAsia="Arial" w:hAnsi="Arial"/>
          <w:sz w:val="20"/>
          <w:szCs w:val="20"/>
          <w:color w:val="000039"/>
        </w:rPr>
      </w:pPr>
      <w:r>
        <w:rPr>
          <w:rFonts w:ascii="Arial" w:cs="Arial" w:eastAsia="Arial" w:hAnsi="Arial"/>
          <w:sz w:val="20"/>
          <w:szCs w:val="20"/>
          <w:color w:val="auto"/>
        </w:rPr>
        <w:t>questionnaires annually distributed to AbbVie’s directors and executive officers;</w:t>
      </w:r>
    </w:p>
    <w:p>
      <w:pPr>
        <w:spacing w:after="0" w:line="39" w:lineRule="exact"/>
        <w:rPr>
          <w:rFonts w:ascii="Arial" w:cs="Arial" w:eastAsia="Arial" w:hAnsi="Arial"/>
          <w:sz w:val="20"/>
          <w:szCs w:val="20"/>
          <w:color w:val="000039"/>
        </w:rPr>
      </w:pPr>
    </w:p>
    <w:p>
      <w:pPr>
        <w:ind w:left="360" w:right="120" w:hanging="360"/>
        <w:spacing w:after="0" w:line="247" w:lineRule="auto"/>
        <w:tabs>
          <w:tab w:leader="none" w:pos="360" w:val="left"/>
        </w:tabs>
        <w:numPr>
          <w:ilvl w:val="0"/>
          <w:numId w:val="150"/>
        </w:numPr>
        <w:rPr>
          <w:rFonts w:ascii="Arial" w:cs="Arial" w:eastAsia="Arial" w:hAnsi="Arial"/>
          <w:sz w:val="20"/>
          <w:szCs w:val="20"/>
          <w:color w:val="000039"/>
        </w:rPr>
      </w:pPr>
      <w:r>
        <w:rPr>
          <w:rFonts w:ascii="Arial" w:cs="Arial" w:eastAsia="Arial" w:hAnsi="Arial"/>
          <w:sz w:val="20"/>
          <w:szCs w:val="20"/>
          <w:color w:val="auto"/>
        </w:rPr>
        <w:t>certifications submitted annually by AbbVie executive officers related to their compliance with AbbVie’s Code of Business Conduct; or</w:t>
      </w:r>
    </w:p>
    <w:p>
      <w:pPr>
        <w:ind w:left="360" w:hanging="360"/>
        <w:spacing w:after="0"/>
        <w:tabs>
          <w:tab w:leader="none" w:pos="360" w:val="left"/>
        </w:tabs>
        <w:numPr>
          <w:ilvl w:val="0"/>
          <w:numId w:val="150"/>
        </w:numPr>
        <w:rPr>
          <w:rFonts w:ascii="Arial" w:cs="Arial" w:eastAsia="Arial" w:hAnsi="Arial"/>
          <w:sz w:val="20"/>
          <w:szCs w:val="20"/>
          <w:color w:val="000039"/>
        </w:rPr>
      </w:pPr>
      <w:r>
        <w:rPr>
          <w:rFonts w:ascii="Arial" w:cs="Arial" w:eastAsia="Arial" w:hAnsi="Arial"/>
          <w:sz w:val="20"/>
          <w:szCs w:val="20"/>
          <w:color w:val="auto"/>
        </w:rPr>
        <w:t>communications made directly by the related person to the chief financial officer or general counsel.</w:t>
      </w:r>
    </w:p>
    <w:p>
      <w:pPr>
        <w:spacing w:after="0" w:line="213"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color w:val="auto"/>
        </w:rPr>
        <w:t>In determining whether to approve or disapprove a related person transaction, the nominations and governance committee will consider the following items, among others:</w:t>
      </w:r>
    </w:p>
    <w:p>
      <w:pPr>
        <w:spacing w:after="0" w:line="172" w:lineRule="exact"/>
        <w:rPr>
          <w:sz w:val="20"/>
          <w:szCs w:val="20"/>
          <w:color w:val="auto"/>
        </w:rPr>
      </w:pPr>
    </w:p>
    <w:p>
      <w:pPr>
        <w:ind w:left="360" w:hanging="360"/>
        <w:spacing w:after="0"/>
        <w:tabs>
          <w:tab w:leader="none" w:pos="360" w:val="left"/>
        </w:tabs>
        <w:numPr>
          <w:ilvl w:val="0"/>
          <w:numId w:val="151"/>
        </w:numPr>
        <w:rPr>
          <w:rFonts w:ascii="Arial" w:cs="Arial" w:eastAsia="Arial" w:hAnsi="Arial"/>
          <w:sz w:val="20"/>
          <w:szCs w:val="20"/>
          <w:color w:val="000039"/>
        </w:rPr>
      </w:pPr>
      <w:r>
        <w:rPr>
          <w:rFonts w:ascii="Arial" w:cs="Arial" w:eastAsia="Arial" w:hAnsi="Arial"/>
          <w:sz w:val="20"/>
          <w:szCs w:val="20"/>
          <w:color w:val="auto"/>
        </w:rPr>
        <w:t>the related person’s relationship to AbbVie and interest in the transaction;</w:t>
      </w:r>
    </w:p>
    <w:p>
      <w:pPr>
        <w:spacing w:after="0" w:line="39" w:lineRule="exact"/>
        <w:rPr>
          <w:rFonts w:ascii="Arial" w:cs="Arial" w:eastAsia="Arial" w:hAnsi="Arial"/>
          <w:sz w:val="20"/>
          <w:szCs w:val="20"/>
          <w:color w:val="000039"/>
        </w:rPr>
      </w:pPr>
    </w:p>
    <w:p>
      <w:pPr>
        <w:ind w:left="360" w:right="620" w:hanging="360"/>
        <w:spacing w:after="0" w:line="246" w:lineRule="auto"/>
        <w:tabs>
          <w:tab w:leader="none" w:pos="360" w:val="left"/>
        </w:tabs>
        <w:numPr>
          <w:ilvl w:val="0"/>
          <w:numId w:val="151"/>
        </w:numPr>
        <w:rPr>
          <w:rFonts w:ascii="Arial" w:cs="Arial" w:eastAsia="Arial" w:hAnsi="Arial"/>
          <w:sz w:val="20"/>
          <w:szCs w:val="20"/>
          <w:color w:val="000039"/>
        </w:rPr>
      </w:pPr>
      <w:r>
        <w:rPr>
          <w:rFonts w:ascii="Arial" w:cs="Arial" w:eastAsia="Arial" w:hAnsi="Arial"/>
          <w:sz w:val="20"/>
          <w:szCs w:val="20"/>
          <w:color w:val="auto"/>
        </w:rPr>
        <w:t>the material facts of the transaction, including the aggregate value of such transaction or, in the case of indebtedness, the amount of principal involved;</w:t>
      </w:r>
    </w:p>
    <w:p>
      <w:pPr>
        <w:spacing w:after="0" w:line="1" w:lineRule="exact"/>
        <w:rPr>
          <w:rFonts w:ascii="Arial" w:cs="Arial" w:eastAsia="Arial" w:hAnsi="Arial"/>
          <w:sz w:val="20"/>
          <w:szCs w:val="20"/>
          <w:color w:val="000039"/>
        </w:rPr>
      </w:pPr>
    </w:p>
    <w:p>
      <w:pPr>
        <w:ind w:left="360" w:hanging="360"/>
        <w:spacing w:after="0"/>
        <w:tabs>
          <w:tab w:leader="none" w:pos="360" w:val="left"/>
        </w:tabs>
        <w:numPr>
          <w:ilvl w:val="0"/>
          <w:numId w:val="151"/>
        </w:numPr>
        <w:rPr>
          <w:rFonts w:ascii="Arial" w:cs="Arial" w:eastAsia="Arial" w:hAnsi="Arial"/>
          <w:sz w:val="20"/>
          <w:szCs w:val="20"/>
          <w:color w:val="000039"/>
        </w:rPr>
      </w:pPr>
      <w:r>
        <w:rPr>
          <w:rFonts w:ascii="Arial" w:cs="Arial" w:eastAsia="Arial" w:hAnsi="Arial"/>
          <w:sz w:val="20"/>
          <w:szCs w:val="20"/>
          <w:color w:val="auto"/>
        </w:rPr>
        <w:t>the benefits to AbbVie of the transaction;</w:t>
      </w:r>
    </w:p>
    <w:p>
      <w:pPr>
        <w:spacing w:after="0" w:line="13" w:lineRule="exact"/>
        <w:rPr>
          <w:rFonts w:ascii="Arial" w:cs="Arial" w:eastAsia="Arial" w:hAnsi="Arial"/>
          <w:sz w:val="20"/>
          <w:szCs w:val="20"/>
          <w:color w:val="000039"/>
        </w:rPr>
      </w:pPr>
    </w:p>
    <w:p>
      <w:pPr>
        <w:ind w:left="360" w:hanging="360"/>
        <w:spacing w:after="0"/>
        <w:tabs>
          <w:tab w:leader="none" w:pos="360" w:val="left"/>
        </w:tabs>
        <w:numPr>
          <w:ilvl w:val="0"/>
          <w:numId w:val="151"/>
        </w:numPr>
        <w:rPr>
          <w:rFonts w:ascii="Arial" w:cs="Arial" w:eastAsia="Arial" w:hAnsi="Arial"/>
          <w:sz w:val="20"/>
          <w:szCs w:val="20"/>
          <w:color w:val="000039"/>
        </w:rPr>
      </w:pPr>
      <w:r>
        <w:rPr>
          <w:rFonts w:ascii="Arial" w:cs="Arial" w:eastAsia="Arial" w:hAnsi="Arial"/>
          <w:sz w:val="20"/>
          <w:szCs w:val="20"/>
          <w:color w:val="auto"/>
        </w:rPr>
        <w:t>if applicable, the availability of other sources of comparable products or services;</w:t>
      </w:r>
    </w:p>
    <w:p>
      <w:pPr>
        <w:spacing w:after="0" w:line="13" w:lineRule="exact"/>
        <w:rPr>
          <w:rFonts w:ascii="Arial" w:cs="Arial" w:eastAsia="Arial" w:hAnsi="Arial"/>
          <w:sz w:val="20"/>
          <w:szCs w:val="20"/>
          <w:color w:val="000039"/>
        </w:rPr>
      </w:pPr>
    </w:p>
    <w:p>
      <w:pPr>
        <w:ind w:left="360" w:right="700" w:hanging="360"/>
        <w:spacing w:after="0" w:line="247" w:lineRule="auto"/>
        <w:tabs>
          <w:tab w:leader="none" w:pos="360" w:val="left"/>
        </w:tabs>
        <w:numPr>
          <w:ilvl w:val="0"/>
          <w:numId w:val="151"/>
        </w:numPr>
        <w:rPr>
          <w:rFonts w:ascii="Arial" w:cs="Arial" w:eastAsia="Arial" w:hAnsi="Arial"/>
          <w:sz w:val="20"/>
          <w:szCs w:val="20"/>
          <w:color w:val="000039"/>
        </w:rPr>
      </w:pPr>
      <w:r>
        <w:rPr>
          <w:rFonts w:ascii="Arial" w:cs="Arial" w:eastAsia="Arial" w:hAnsi="Arial"/>
          <w:sz w:val="20"/>
          <w:szCs w:val="20"/>
          <w:color w:val="auto"/>
        </w:rPr>
        <w:t>an assessment of whether the transaction is on terms that are comparable to the terms available to an unrelated third party or to employees generally;</w:t>
      </w:r>
    </w:p>
    <w:p>
      <w:pPr>
        <w:ind w:left="360" w:hanging="360"/>
        <w:spacing w:after="0"/>
        <w:tabs>
          <w:tab w:leader="none" w:pos="360" w:val="left"/>
        </w:tabs>
        <w:numPr>
          <w:ilvl w:val="0"/>
          <w:numId w:val="151"/>
        </w:numPr>
        <w:rPr>
          <w:rFonts w:ascii="Arial" w:cs="Arial" w:eastAsia="Arial" w:hAnsi="Arial"/>
          <w:sz w:val="20"/>
          <w:szCs w:val="20"/>
          <w:color w:val="000039"/>
        </w:rPr>
      </w:pPr>
      <w:r>
        <w:rPr>
          <w:rFonts w:ascii="Arial" w:cs="Arial" w:eastAsia="Arial" w:hAnsi="Arial"/>
          <w:sz w:val="20"/>
          <w:szCs w:val="20"/>
          <w:color w:val="auto"/>
        </w:rPr>
        <w:t>whether a transaction has the potential to impair director independence; and</w:t>
      </w:r>
    </w:p>
    <w:p>
      <w:pPr>
        <w:spacing w:after="0" w:line="13" w:lineRule="exact"/>
        <w:rPr>
          <w:rFonts w:ascii="Arial" w:cs="Arial" w:eastAsia="Arial" w:hAnsi="Arial"/>
          <w:sz w:val="20"/>
          <w:szCs w:val="20"/>
          <w:color w:val="000039"/>
        </w:rPr>
      </w:pPr>
    </w:p>
    <w:p>
      <w:pPr>
        <w:ind w:left="360" w:hanging="360"/>
        <w:spacing w:after="0"/>
        <w:tabs>
          <w:tab w:leader="none" w:pos="360" w:val="left"/>
        </w:tabs>
        <w:numPr>
          <w:ilvl w:val="0"/>
          <w:numId w:val="151"/>
        </w:numPr>
        <w:rPr>
          <w:rFonts w:ascii="Arial" w:cs="Arial" w:eastAsia="Arial" w:hAnsi="Arial"/>
          <w:sz w:val="20"/>
          <w:szCs w:val="20"/>
          <w:color w:val="000039"/>
        </w:rPr>
      </w:pPr>
      <w:r>
        <w:rPr>
          <w:rFonts w:ascii="Arial" w:cs="Arial" w:eastAsia="Arial" w:hAnsi="Arial"/>
          <w:sz w:val="20"/>
          <w:szCs w:val="20"/>
          <w:color w:val="auto"/>
        </w:rPr>
        <w:t>whether the transaction constitutes a conflict of interest.</w:t>
      </w:r>
    </w:p>
    <w:p>
      <w:pPr>
        <w:spacing w:after="0" w:line="213" w:lineRule="exact"/>
        <w:rPr>
          <w:sz w:val="20"/>
          <w:szCs w:val="20"/>
          <w:color w:val="auto"/>
        </w:rPr>
      </w:pPr>
    </w:p>
    <w:p>
      <w:pPr>
        <w:ind w:right="60"/>
        <w:spacing w:after="0" w:line="283" w:lineRule="auto"/>
        <w:rPr>
          <w:sz w:val="20"/>
          <w:szCs w:val="20"/>
          <w:color w:val="auto"/>
        </w:rPr>
      </w:pPr>
      <w:r>
        <w:rPr>
          <w:rFonts w:ascii="Arial" w:cs="Arial" w:eastAsia="Arial" w:hAnsi="Arial"/>
          <w:sz w:val="20"/>
          <w:szCs w:val="20"/>
          <w:color w:val="auto"/>
        </w:rPr>
        <w:t xml:space="preserve">This process is included in the nominations and governance committee’s written charter, which is available on the governance section of AbbVie’s investor relations website at </w:t>
      </w:r>
      <w:r>
        <w:rPr>
          <w:rFonts w:ascii="Arial" w:cs="Arial" w:eastAsia="Arial" w:hAnsi="Arial"/>
          <w:sz w:val="20"/>
          <w:szCs w:val="20"/>
          <w:i w:val="1"/>
          <w:iCs w:val="1"/>
          <w:color w:val="auto"/>
        </w:rPr>
        <w:t>www.abbvieinvestor.com</w:t>
      </w:r>
      <w:r>
        <w:rPr>
          <w:rFonts w:ascii="Arial" w:cs="Arial" w:eastAsia="Arial" w:hAnsi="Arial"/>
          <w:sz w:val="20"/>
          <w:szCs w:val="20"/>
          <w:color w:val="auto"/>
        </w:rPr>
        <w:t>.</w:t>
      </w:r>
    </w:p>
    <w:p>
      <w:pPr>
        <w:spacing w:after="0" w:line="157"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Nicholas Donoghoe, M.D., Executive Vice President, Chief Business and Strategy Officer, was appointed as an executive officer of AbbVie during 2023. Dr. Donoghoe’s wife, Jessica Heckmann Donoghoe, is a minority equity owner in LaserAway, a chain of aesthetics clinics. Dr. Donoghoe’s brothers-in-law Brock Heckmann, Scott Heckmann, and Todd Heckmann are also equity owners, as well as executives, at LaserAway. LaserAway purchased $17.7 million worth of AbbVie products during 2025, including Botox Cosmetic, Juvederm, and Coolsculpting. LaserAway also receives product samples for educational and other training purposes.</w:t>
      </w:r>
    </w:p>
    <w:p>
      <w:pPr>
        <w:spacing w:after="0" w:line="3"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Dr. Donoghoe does not have any visibility to or control or influence over the terms of the LaserAway transactions. LaserAway first became a customer of the Allergan group of companies before AbbVie acquired Allergan in 2020. Our nominations and governance committee, pursuant to its committee charter, has reviewed and approved the foregoing arrangement with LaserAway.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-212725</wp:posOffset>
            </wp:positionV>
            <wp:extent cx="991870" cy="2006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269">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861" w:right="900" w:bottom="0" w:gutter="0" w:footer="0" w:header="0"/>
          <w:type w:val="continuous"/>
        </w:sectPr>
      </w:pPr>
    </w:p>
    <w:bookmarkStart w:id="208" w:name="page209"/>
    <w:bookmarkEnd w:id="208"/>
    <w:p>
      <w:pPr>
        <w:spacing w:after="0"/>
        <w:rPr>
          <w:sz w:val="20"/>
          <w:szCs w:val="20"/>
          <w:color w:val="auto"/>
        </w:rPr>
      </w:pPr>
      <w:r>
        <w:rPr>
          <w:rFonts w:ascii="Arial" w:cs="Arial" w:eastAsia="Arial" w:hAnsi="Arial"/>
          <w:sz w:val="20"/>
          <w:szCs w:val="20"/>
          <w:color w:val="808080"/>
        </w:rPr>
        <w:t>ADDITIONAL INFORMATION</w:t>
      </w:r>
    </w:p>
    <w:p>
      <w:pPr>
        <w:spacing w:after="0" w:line="231"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auto"/>
        </w:rPr>
        <w:t>Alexander Freyman, who is the son of Thomas Freyman, a director of the company, is an employee at AbbVie. Alexander earned $145,293.47 in total compensation in 2025. Thomas Freyman has no role in setting Alexander’s compensation, performance evaluations, or any other aspects of his employment. Alexander’s compensation is on terms that are comparable to the terms available to similarly situated employees. Our nominations and governance committee, pursuant to its committee charter, has reviewed and approved Alexander’s compensation. Thomas Freyman recused himself from this review and approval.</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204" w:lineRule="exact"/>
        <w:rPr>
          <w:sz w:val="20"/>
          <w:szCs w:val="20"/>
          <w:color w:val="auto"/>
        </w:rPr>
      </w:pPr>
    </w:p>
    <w:p>
      <w:pPr>
        <w:ind w:right="260"/>
        <w:spacing w:after="0" w:line="283" w:lineRule="auto"/>
        <w:rPr>
          <w:sz w:val="20"/>
          <w:szCs w:val="20"/>
          <w:color w:val="auto"/>
        </w:rPr>
      </w:pPr>
      <w:r>
        <w:rPr>
          <w:rFonts w:ascii="Arial" w:cs="Arial" w:eastAsia="Arial" w:hAnsi="Arial"/>
          <w:sz w:val="20"/>
          <w:szCs w:val="20"/>
          <w:color w:val="auto"/>
        </w:rPr>
        <w:t>AbbVie believes that during 2025 its executive officers and directors timely complied with all filing requirements under Section 16(a) of the Securities Exchange Act of 1934.</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Exclusive Forum</w:t>
      </w:r>
    </w:p>
    <w:p>
      <w:pPr>
        <w:spacing w:after="0" w:line="205"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AbbVie is incorporated in the state of Delaware and Delaware law governs the relationship among its directors, officers, and stockholders (also known as the internal affairs doctrine). To provide for the orderly, efficient and cost-effective resolution of Delaware-law issues affecting AbbVie, the company’s Certificate of Incorporation provides that unless the Board of Directors otherwise determines, Delaware courts are the exclusive forum for cases involving the internal affairs doctrine, derivative actions brought on behalf of the company, claims for breach of fiduciary duty, and other matters concerning Delaware statutory and common law. The provision does not apply to any other cases brought against AbbVie. There is uncertainty as to whether a court would enforce the exclusive forum provision with respect to claims under the federal securities laws. The preceding paragraph is not an exhaustive description.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05"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The Board of Directors knows of no other business to be transacted at the 2026 Annual Meeting of Stockholders, but if any other matters do come before the meeting, it is the intention of the persons named in the accompanying proxy to vote or act with respect to them in accordance with their best judgment.</w:t>
      </w:r>
    </w:p>
    <w:p>
      <w:pPr>
        <w:spacing w:after="0" w:line="138" w:lineRule="exact"/>
        <w:rPr>
          <w:sz w:val="20"/>
          <w:szCs w:val="20"/>
          <w:color w:val="auto"/>
        </w:rPr>
      </w:pPr>
    </w:p>
    <w:p>
      <w:pPr>
        <w:spacing w:after="0" w:line="451" w:lineRule="auto"/>
        <w:rPr>
          <w:sz w:val="20"/>
          <w:szCs w:val="20"/>
          <w:color w:val="auto"/>
        </w:rPr>
      </w:pPr>
      <w:r>
        <w:rPr>
          <w:rFonts w:ascii="Arial" w:cs="Arial" w:eastAsia="Arial" w:hAnsi="Arial"/>
          <w:sz w:val="20"/>
          <w:szCs w:val="20"/>
          <w:b w:val="1"/>
          <w:bCs w:val="1"/>
          <w:color w:val="auto"/>
        </w:rPr>
        <w:t xml:space="preserve">Deadlines for Notice of Stockholder Actions to be Considered at the 2027 Annual Meeting of Stockholders </w:t>
      </w:r>
      <w:r>
        <w:rPr>
          <w:rFonts w:ascii="Arial" w:cs="Arial" w:eastAsia="Arial" w:hAnsi="Arial"/>
          <w:sz w:val="20"/>
          <w:szCs w:val="20"/>
          <w:i w:val="1"/>
          <w:iCs w:val="1"/>
          <w:color w:val="auto"/>
        </w:rPr>
        <w:t>Stockholder Proposals to be Included in AbbVie’s 2027 Proxy Statement (Rule 14a-8)</w:t>
      </w:r>
    </w:p>
    <w:p>
      <w:pPr>
        <w:ind w:right="140"/>
        <w:spacing w:after="0" w:line="254" w:lineRule="auto"/>
        <w:rPr>
          <w:sz w:val="20"/>
          <w:szCs w:val="20"/>
          <w:color w:val="auto"/>
        </w:rPr>
      </w:pPr>
      <w:r>
        <w:rPr>
          <w:rFonts w:ascii="Arial" w:cs="Arial" w:eastAsia="Arial" w:hAnsi="Arial"/>
          <w:sz w:val="20"/>
          <w:szCs w:val="20"/>
          <w:color w:val="auto"/>
        </w:rPr>
        <w:t>Stockholders interested in submitting proposals for inclusion in our proxy materials and for presentation at the 2027 Annual Meeting may do so by following the procedures set forth in Rule 14a -8 under the Exchange Act. In general, to be eligible for inclusion in our proxy materials, Rule 14a-8 stockholder proposals must be received by AbbVie no later than November 23, 2026.</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Nominations to be Included in AbbVie’s 2027 Proxy Statement (“Proxy Access”)</w:t>
      </w:r>
    </w:p>
    <w:p>
      <w:pPr>
        <w:spacing w:after="0" w:line="232"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AbbVie adopted a proxy access By-Law provision to permit a stockholder, or a group of up to 20 stockholders, continuously owning shares of our company for at least 3 years and representing an aggregate of at least 3% of the outstanding shares of common stock, to nominate and include in our proxy materials director nominee(s) constituting up to 25% of the total number of the directors in office, provided that the stockholder(s) and the nominee(s) satisfy the requirements in our By-Laws. Notice must include certain information required by Section 2.13 of AbbVie’s By-Laws. To be timely for the 2027 Annual Meeting, this written notice must be received by AbbVie no earlier than October 24, 2026 and no later than November 23, 2026 and must include the specific information required by, and otherwise comply with the requirements of,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80  </w:t>
      </w:r>
      <w:r>
        <w:rPr>
          <w:sz w:val="1"/>
          <w:szCs w:val="1"/>
          <w:color w:val="auto"/>
        </w:rPr>
        <w:drawing>
          <wp:inline distT="0" distB="0" distL="0" distR="0">
            <wp:extent cx="991870" cy="20066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270">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60"/>
          </w:cols>
          <w:pgMar w:left="900" w:top="702" w:right="920" w:bottom="0" w:gutter="0" w:footer="0" w:header="0"/>
        </w:sectPr>
      </w:pPr>
    </w:p>
    <w:bookmarkStart w:id="209" w:name="page210"/>
    <w:bookmarkEnd w:id="209"/>
    <w:p>
      <w:pPr>
        <w:ind w:left="7420"/>
        <w:spacing w:after="0"/>
        <w:rPr>
          <w:sz w:val="20"/>
          <w:szCs w:val="20"/>
          <w:color w:val="auto"/>
        </w:rPr>
      </w:pPr>
      <w:r>
        <w:rPr>
          <w:rFonts w:ascii="Arial" w:cs="Arial" w:eastAsia="Arial" w:hAnsi="Arial"/>
          <w:sz w:val="20"/>
          <w:szCs w:val="20"/>
          <w:color w:val="808080"/>
        </w:rPr>
        <w:t>ADDITIONAL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Nominations and Stockholder Proposals for Presentation at AbbVie’s 2027 Annual Meeting</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Stockholders who wish to nominate one or more individuals to serve as directors or to bring a proposal of business before the 2027 Annual Meeting (other than nominations pursuant to the “proxy access” provisions of our By-Laws or a stockholder proposal in accordance with Rule 14a-8), must be a stockholder of record and must notify AbbVie and provide the information required by Sections 2.8 and 2.9, if applicable, of our By-Laws. The notice must be delivered to AbbVie no earlier than the close of business on January 8, 2027 and no later than the close of business on February 5, 2027. However, if the date of our 2027 Annual Meeting is more than 30 days before or more than 60 days after the first anniversary of the date of the 2026 Annual Meeting, then such notice must be delivered to AbbVie no earlier than the close of business on the 120th calendar day prior to the date of the 2027 Annual Meeting and not later than the close of business on the later of the 90th calendar day prior to the date of the 2027 Annual Meeting or, if the first public announcement of the date of such annual meeting is less than 100 days prior to the date of the 2027 Annual Meeting, the 10th day following the day on which we first publicly announce the date of such meeting. Any such notice must also comply with the timing, disclosure, procedural and other requirements as set forth in our By-Laws.</w:t>
      </w:r>
    </w:p>
    <w:p>
      <w:pPr>
        <w:spacing w:after="0" w:line="204"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In addition to satisfying the requirements under the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no later than March 9, 2027. However, if the date of the 2027 Annual Meeting is more than 30 days before or after the anniversary of the date of the 2026 Annual Meeting, then such notice must be delivered by the later of (x) the 10th day following the day we first publicly announce the date of the 2027 Annual Meeting and (y) the date which is 60 days prior to the date of the 2027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 of Proxy Materials</w:t>
      </w:r>
    </w:p>
    <w:p>
      <w:pPr>
        <w:spacing w:after="0" w:line="24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Securities and Exchange Commission has adopted rules that permit companies and intermediaries (such as brokers or banks) to satisfy the delivery requirements for proxy statements with respect to two or more security holders sharing the same address by delivering a single Notice or proxy statement addressed to those security holders. This process, which is commonly referred to as “householding,” potentially provides extra convenience for security holders and cost savings for companies.</w:t>
      </w:r>
    </w:p>
    <w:p>
      <w:pPr>
        <w:spacing w:after="0" w:line="19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Several brokers and banks with accountholders who are AbbVie stockholders will be “householding” our proxy materials. As indicated in the notice provided by these brokers to AbbVie stockholders, a single proxy statement will be delivered to multiple stockholders sharing an address unless contrary instructions have been received from an affected stockholder. Once you have received notice from your broker that it will be “householding” communications to your address, “householding” will continue until you are notified otherwise or until you revoke your consent. If, at any time, you no longer wish to participate in “householding” and you prefer to receive a separate proxy statement, please notify your broker, or contact Broadridge Financial Solutions at 1-866-540-7095, or write to us at Investor Relations, AbbVie Inc., 1 North Waukegan Road, North Chicago, Illinois 60064. Stockholders who currently receive multiple copies of the proxy statement at their address and would like to request “householding” of their communications should contact their broker or bank.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Report on Form 10-K</w:t>
      </w:r>
    </w:p>
    <w:p>
      <w:pPr>
        <w:spacing w:after="0" w:line="243"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AbbVie filed its Annual Report on Form 10 -K for the fiscal year ended December 31, 2025 with the SEC on February 20, 2026. The Annual Report on Form 10-K, including all exhibits, is also available free of charge on AbbVie’s investor relations website (</w:t>
      </w:r>
      <w:r>
        <w:rPr>
          <w:rFonts w:ascii="Arial" w:cs="Arial" w:eastAsia="Arial" w:hAnsi="Arial"/>
          <w:sz w:val="20"/>
          <w:szCs w:val="20"/>
          <w:i w:val="1"/>
          <w:iCs w:val="1"/>
          <w:color w:val="auto"/>
        </w:rPr>
        <w:t>www.abbvieinvestor.com</w:t>
      </w:r>
      <w:r>
        <w:rPr>
          <w:rFonts w:ascii="Arial" w:cs="Arial" w:eastAsia="Arial" w:hAnsi="Arial"/>
          <w:sz w:val="20"/>
          <w:szCs w:val="20"/>
          <w:color w:val="auto"/>
        </w:rPr>
        <w:t>). Paper copies of the Annual Report on Form 10-K, including the financial statements and schedules, may be obtained free of charge from AbbVie. Paper copies of exhibits to the Annual Report on Form 10-K are available, but a reasonable fee per page will be charged to the requesting stockholder. Stockholders may make requests in writing to us at Investor Relations, AbbVie Inc., 1 North Waukegan Road, North Chicago, Illinois 60064.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271">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2" w:right="900" w:bottom="0" w:gutter="0" w:footer="0" w:header="0"/>
        </w:sectPr>
      </w:pPr>
    </w:p>
    <w:bookmarkStart w:id="210" w:name="page211"/>
    <w:bookmarkEnd w:id="210"/>
    <w:p>
      <w:pPr>
        <w:spacing w:after="0"/>
        <w:rPr>
          <w:sz w:val="20"/>
          <w:szCs w:val="20"/>
          <w:color w:val="auto"/>
        </w:rPr>
      </w:pPr>
      <w:r>
        <w:rPr>
          <w:rFonts w:ascii="Arial" w:cs="Arial" w:eastAsia="Arial" w:hAnsi="Arial"/>
          <w:sz w:val="20"/>
          <w:szCs w:val="20"/>
          <w:color w:val="808080"/>
        </w:rPr>
        <w:t>ADDITIONAL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4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Some statements in this proxy statement are, or may be considered, forward-looking statements for purposes of the Private Securities Litigation Reform Act of 1995. The words "believe," "expect," "anticipate," "project" and similar expressions and uses of future or conditional verbs, generally identify forward -looking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2025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3"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It is important that proxies be returned promptly. Stockholders are urged to vote, regardless of the number of shares of AbbVie common stock owned. Stockholders may vote by telephone, by Internet, or by mail if a printed version of the proxy card was received or requested. Stockholders who vote by telephone or the Internet do not need to return a proxy card.</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Annual Meeting will be held on Friday, May 8, 2026 at 9:00 a.m. CT. This year’s Annual Meeting will be a virtual meeting of stockholders. It is important to us that our stockholders be able to engage with the company and its executives during the annual meeting. AbbVie held virtual stockholder meetings in recent years and generally received positive feedback from investors. We found that more stockholders were able to attend and our executive leadership team was able to answer more stockholder questions than in prior years, when the company held in-person meetings. A virtual meeting allows more stockholders to attend the meeting equally and without cost, from anywhere around the globe. At the 2026 virtual meeting, stockholders will be able to attend the Annual Meeting, vote, and submit questions via live webcast by visiting www.virtualshareholdermeeting.com/ ABBV2026. Consistent with prior practice at our in-person meetings, we will address as many stockholder-submitted question topics as time permits. If we do not have time to address a specific question, a member of our governance team will follow- up with the stockholder(s) after the meeting. The virtual meeting website can be accessed on a computer, tablet, or phone with Internet connection. For stockholders without access to the Internet, you may listen to the Annual Meeting by telephone at 1-877-328-2502 (USA) or 1-412-317-5419 (International). AbbVie will make any required list of stockholders available during the meeting. Closed captioning will be available on the meeting platform.</w:t>
      </w:r>
    </w:p>
    <w:p>
      <w:pPr>
        <w:spacing w:after="0" w:line="196"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On the day of the Annual Meeting, stockholders may begin to log in to the online virtual annual meeting platform beginning at 8:45 a.m. Central Time, and the meeting will begin promptly at 9:00 a.m. Central Time. Please allow ample time for online login. If you encounter any difficulties accessing the virtual meeting or during the meeting time, please call 1-844-986-0822 (USA) or 1-303-562-9302 (International) for technical support.</w:t>
      </w:r>
    </w:p>
    <w:p>
      <w:pPr>
        <w:spacing w:after="0" w:line="187"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To be admitted to the Annual Meeting at www.virtualshareholdermeeting.com/ABBV2026, you must enter the control number found on your proxy card, voting instruction form or notice you received. You may vote during the Annual Meeting by following the instructions available on the meeting website during the meeting.</w:t>
      </w:r>
    </w:p>
    <w:p>
      <w:pPr>
        <w:spacing w:after="0" w:line="197"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order of the Board of Directors.</w:t>
      </w:r>
    </w:p>
    <w:p>
      <w:pPr>
        <w:spacing w:after="0" w:line="25"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PERRY C. SIATIS</w:t>
      </w:r>
    </w:p>
    <w:p>
      <w:pPr>
        <w:ind w:left="5040"/>
        <w:spacing w:after="0"/>
        <w:rPr>
          <w:sz w:val="20"/>
          <w:szCs w:val="20"/>
          <w:color w:val="auto"/>
        </w:rPr>
      </w:pPr>
      <w:r>
        <w:rPr>
          <w:rFonts w:ascii="Arial" w:cs="Arial" w:eastAsia="Arial" w:hAnsi="Arial"/>
          <w:sz w:val="20"/>
          <w:szCs w:val="20"/>
          <w:i w:val="1"/>
          <w:i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82  </w:t>
      </w:r>
      <w:r>
        <w:rPr>
          <w:sz w:val="1"/>
          <w:szCs w:val="1"/>
          <w:color w:val="auto"/>
        </w:rPr>
        <w:drawing>
          <wp:inline distT="0" distB="0" distL="0" distR="0">
            <wp:extent cx="991870" cy="20066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272">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702" w:right="900" w:bottom="0" w:gutter="0" w:footer="0" w:header="0"/>
        </w:sectPr>
      </w:pPr>
    </w:p>
    <w:bookmarkStart w:id="211" w:name="page212"/>
    <w:bookmarkEnd w:id="211"/>
    <w:p>
      <w:pPr>
        <w:spacing w:after="0"/>
        <w:rPr>
          <w:sz w:val="20"/>
          <w:szCs w:val="20"/>
          <w:color w:val="auto"/>
        </w:rPr>
      </w:pPr>
      <w:r>
        <w:rPr>
          <w:rFonts w:ascii="Arial" w:cs="Arial" w:eastAsia="Arial" w:hAnsi="Arial"/>
          <w:sz w:val="39"/>
          <w:szCs w:val="39"/>
          <w:color w:val="000039"/>
        </w:rPr>
        <w:t>INFORMATION ABOUT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53340</wp:posOffset>
                </wp:positionV>
                <wp:extent cx="6438900" cy="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9050">
                          <a:solidFill>
                            <a:srgbClr val="000039"/>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4.2pt" to="505.5pt,4.2pt" o:allowincell="f" strokecolor="#000039" strokeweight="1.5pt"/>
            </w:pict>
          </mc:Fallback>
        </mc:AlternateContent>
      </w:r>
    </w:p>
    <w:p>
      <w:pPr>
        <w:sectPr>
          <w:pgSz w:w="11880" w:h="15480" w:orient="portrait"/>
          <w:cols w:equalWidth="0" w:num="1">
            <w:col w:w="10080"/>
          </w:cols>
          <w:pgMar w:left="900" w:top="861" w:right="900" w:bottom="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Vote</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Stockholders of record at the close of business on March 9, 2026 will be entitled to notice of and to vote during the Annual Meeting. As of March 9, 2026, AbbVie had 1,768,762,377 outstanding shares of common stock, which are AbbVie’s only outstanding voting securities. Each stockholder has one vote per share. Stockholders do not have the right to vote cumulatively in electing directors.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and Access</w:t>
      </w:r>
    </w:p>
    <w:p>
      <w:pPr>
        <w:spacing w:after="0" w:line="244" w:lineRule="exact"/>
        <w:rPr>
          <w:sz w:val="20"/>
          <w:szCs w:val="20"/>
          <w:color w:val="auto"/>
        </w:rPr>
      </w:pPr>
    </w:p>
    <w:p>
      <w:pPr>
        <w:ind w:right="340"/>
        <w:spacing w:after="0" w:line="248" w:lineRule="auto"/>
        <w:rPr>
          <w:sz w:val="20"/>
          <w:szCs w:val="20"/>
          <w:color w:val="auto"/>
        </w:rPr>
      </w:pPr>
      <w:r>
        <w:rPr>
          <w:rFonts w:ascii="Arial" w:cs="Arial" w:eastAsia="Arial" w:hAnsi="Arial"/>
          <w:sz w:val="20"/>
          <w:szCs w:val="20"/>
          <w:color w:val="auto"/>
        </w:rPr>
        <w:t>In accordance with the Securities and Exchange Commission (SEC) e- proxy rules, AbbVie mailed a Notice of Internet Availability of Proxy Materials (the “Notice”) to stockholders on or around March 23, 2026. The Notice describes the matters to be considered at the Annual Meeting and how stockholders can access the proxy materials online. It also provides instructions on how stockholders can vote their shares. If you received the Notice, you will not receive a printed version of the proxy materials unless you request one. If you would like to receive a printed version of the proxy materials, free of charge, please follow the instructions on the Notice.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by Proxy</w:t>
      </w:r>
    </w:p>
    <w:p>
      <w:pPr>
        <w:spacing w:after="0" w:line="243"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AbbVie’s stockholders may vote their shares by telephone, the Internet, or during the Annual Meeting. If you vote by telephone or the Internet, you do not need to return your proxy card. The instructions for voting can be found on the Notice, on the website listed in the Notice, and, if you received one, on your proxy card. If you requested a printed version of the proxy card, you may also vote by mail.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Revoking a Proxy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You may revoke your proxy by voting during the Annual Meeting or, at any time prior to the meeting:</w:t>
      </w:r>
    </w:p>
    <w:p>
      <w:pPr>
        <w:spacing w:after="0" w:line="214" w:lineRule="exact"/>
        <w:rPr>
          <w:sz w:val="20"/>
          <w:szCs w:val="20"/>
          <w:color w:val="auto"/>
        </w:rPr>
      </w:pPr>
    </w:p>
    <w:p>
      <w:pPr>
        <w:ind w:left="360" w:hanging="360"/>
        <w:spacing w:after="0"/>
        <w:tabs>
          <w:tab w:leader="none" w:pos="360" w:val="left"/>
        </w:tabs>
        <w:numPr>
          <w:ilvl w:val="0"/>
          <w:numId w:val="152"/>
        </w:numPr>
        <w:rPr>
          <w:rFonts w:ascii="Arial" w:cs="Arial" w:eastAsia="Arial" w:hAnsi="Arial"/>
          <w:sz w:val="20"/>
          <w:szCs w:val="20"/>
          <w:color w:val="000039"/>
        </w:rPr>
      </w:pPr>
      <w:r>
        <w:rPr>
          <w:rFonts w:ascii="Arial" w:cs="Arial" w:eastAsia="Arial" w:hAnsi="Arial"/>
          <w:sz w:val="20"/>
          <w:szCs w:val="20"/>
          <w:color w:val="auto"/>
        </w:rPr>
        <w:t>by delivering a written notice to the secretary of AbbVie,</w:t>
      </w:r>
    </w:p>
    <w:p>
      <w:pPr>
        <w:spacing w:after="0" w:line="39" w:lineRule="exact"/>
        <w:rPr>
          <w:rFonts w:ascii="Arial" w:cs="Arial" w:eastAsia="Arial" w:hAnsi="Arial"/>
          <w:sz w:val="20"/>
          <w:szCs w:val="20"/>
          <w:color w:val="000039"/>
        </w:rPr>
      </w:pPr>
    </w:p>
    <w:p>
      <w:pPr>
        <w:ind w:left="360" w:hanging="360"/>
        <w:spacing w:after="0"/>
        <w:tabs>
          <w:tab w:leader="none" w:pos="360" w:val="left"/>
        </w:tabs>
        <w:numPr>
          <w:ilvl w:val="0"/>
          <w:numId w:val="152"/>
        </w:numPr>
        <w:rPr>
          <w:rFonts w:ascii="Arial" w:cs="Arial" w:eastAsia="Arial" w:hAnsi="Arial"/>
          <w:sz w:val="20"/>
          <w:szCs w:val="20"/>
          <w:color w:val="000039"/>
        </w:rPr>
      </w:pPr>
      <w:r>
        <w:rPr>
          <w:rFonts w:ascii="Arial" w:cs="Arial" w:eastAsia="Arial" w:hAnsi="Arial"/>
          <w:sz w:val="20"/>
          <w:szCs w:val="20"/>
          <w:color w:val="auto"/>
        </w:rPr>
        <w:t>by delivering an authorized proxy with a later date, or</w:t>
      </w:r>
    </w:p>
    <w:p>
      <w:pPr>
        <w:spacing w:after="0" w:line="13" w:lineRule="exact"/>
        <w:rPr>
          <w:rFonts w:ascii="Arial" w:cs="Arial" w:eastAsia="Arial" w:hAnsi="Arial"/>
          <w:sz w:val="20"/>
          <w:szCs w:val="20"/>
          <w:color w:val="000039"/>
        </w:rPr>
      </w:pPr>
    </w:p>
    <w:p>
      <w:pPr>
        <w:ind w:left="360" w:hanging="360"/>
        <w:spacing w:after="0"/>
        <w:tabs>
          <w:tab w:leader="none" w:pos="360" w:val="left"/>
        </w:tabs>
        <w:numPr>
          <w:ilvl w:val="0"/>
          <w:numId w:val="152"/>
        </w:numPr>
        <w:rPr>
          <w:rFonts w:ascii="Arial" w:cs="Arial" w:eastAsia="Arial" w:hAnsi="Arial"/>
          <w:sz w:val="20"/>
          <w:szCs w:val="20"/>
          <w:color w:val="000039"/>
        </w:rPr>
      </w:pPr>
      <w:r>
        <w:rPr>
          <w:rFonts w:ascii="Arial" w:cs="Arial" w:eastAsia="Arial" w:hAnsi="Arial"/>
          <w:sz w:val="20"/>
          <w:szCs w:val="20"/>
          <w:color w:val="auto"/>
        </w:rPr>
        <w:t>by voting by telephone or the Internet after you have given your proxy.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Discretionary Voting Authority</w:t>
      </w:r>
    </w:p>
    <w:p>
      <w:pPr>
        <w:spacing w:after="0" w:line="24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Unless otherwise specified in accordance with the instructions on the proxy, the persons named in the proxy will vote the shares of AbbVie common stock covered by proxies they receive to elect the four nominees named in Item 1 on the proxy card. If a nominee becomes unavailable to serve, the shares will be voted for a substitute designated by the Board of Directors or for fewer than four nominees if, in the judgment of the proxy holders, such action is necessary or desirable.</w:t>
      </w:r>
    </w:p>
    <w:p>
      <w:pPr>
        <w:spacing w:after="0" w:line="19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Where a stockholder has specified a choice for or against the proposals to be presented at the Annual Meeting or if the stockholder has chosen to abstain, the shares of AbbVie common stock represented by the proxy will be voted (or not voted) as specified. Where no choice has been specified, the proxy will be voted FOR the ratification of Ernst &amp; Young LLP as auditors, FOR the approval of executive compensation, FOR the management proposal to eliminate supermajority voting, and AGAINST the stockholder proposal.</w:t>
      </w:r>
    </w:p>
    <w:p>
      <w:pPr>
        <w:spacing w:after="0" w:line="192"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The Board of Directors is not aware of any other issue that may properly be brought before the meeting. If other matters are properly brought before the meeting, the accompanying proxy will be voted in accordance with the judgment of the proxy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273">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861" w:right="900" w:bottom="0" w:gutter="0" w:footer="0" w:header="0"/>
          <w:type w:val="continuous"/>
        </w:sectPr>
      </w:pPr>
    </w:p>
    <w:bookmarkStart w:id="212" w:name="page213"/>
    <w:bookmarkEnd w:id="212"/>
    <w:p>
      <w:pPr>
        <w:spacing w:after="0"/>
        <w:rPr>
          <w:sz w:val="20"/>
          <w:szCs w:val="20"/>
          <w:color w:val="auto"/>
        </w:rPr>
      </w:pPr>
      <w:r>
        <w:rPr>
          <w:rFonts w:ascii="Arial" w:cs="Arial" w:eastAsia="Arial" w:hAnsi="Arial"/>
          <w:sz w:val="20"/>
          <w:szCs w:val="20"/>
          <w:color w:val="808080"/>
        </w:rPr>
        <w:t>INFORMATION ABOUT THE ANNUAL MEETING</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The presence of the holders of a majority of the outstanding shares entitled to vote generally in the election of directors constitutes a quorum, which is required to hold and conduct business at the Annual Meeting. Shares are counted as present at the Annual Meeting if:</w:t>
      </w:r>
    </w:p>
    <w:p>
      <w:pPr>
        <w:spacing w:after="0" w:line="154" w:lineRule="exact"/>
        <w:rPr>
          <w:sz w:val="20"/>
          <w:szCs w:val="20"/>
          <w:color w:val="auto"/>
        </w:rPr>
      </w:pPr>
    </w:p>
    <w:p>
      <w:pPr>
        <w:ind w:left="360" w:hanging="360"/>
        <w:spacing w:after="0"/>
        <w:tabs>
          <w:tab w:leader="none" w:pos="36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You are represented in person at the Annual Meeting; or</w:t>
      </w:r>
    </w:p>
    <w:p>
      <w:pPr>
        <w:spacing w:after="0" w:line="39" w:lineRule="exact"/>
        <w:rPr>
          <w:rFonts w:ascii="Arial" w:cs="Arial" w:eastAsia="Arial" w:hAnsi="Arial"/>
          <w:sz w:val="20"/>
          <w:szCs w:val="20"/>
          <w:color w:val="auto"/>
        </w:rPr>
      </w:pPr>
    </w:p>
    <w:p>
      <w:pPr>
        <w:ind w:left="360" w:right="80" w:hanging="360"/>
        <w:spacing w:after="0" w:line="256" w:lineRule="auto"/>
        <w:tabs>
          <w:tab w:leader="none" w:pos="36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Your shares are represented by a properly authorized and submitted proxy (submitted by mail, by telephone, or over the Internet)</w:t>
      </w:r>
    </w:p>
    <w:p>
      <w:pPr>
        <w:spacing w:after="0" w:line="183"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Abstentions and broker non-votes will count towards shares present at the Annual Meeting for the purpose of determining a quorum. In the absence of a quorum, the Annual Meeting may be adjourned, from time to time, by the Chairman of the Board of Directors or the President, but no other business shall be transacted at such meeting.</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Votes Required for Each Item</w:t>
      </w:r>
    </w:p>
    <w:p>
      <w:pPr>
        <w:spacing w:after="0" w:line="205" w:lineRule="exact"/>
        <w:rPr>
          <w:sz w:val="20"/>
          <w:szCs w:val="20"/>
          <w:color w:val="auto"/>
        </w:rPr>
      </w:pPr>
    </w:p>
    <w:p>
      <w:pPr>
        <w:ind w:right="40"/>
        <w:spacing w:after="0" w:line="248" w:lineRule="auto"/>
        <w:tabs>
          <w:tab w:leader="none" w:pos="222" w:val="left"/>
        </w:tabs>
        <w:numPr>
          <w:ilvl w:val="0"/>
          <w:numId w:val="15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Election of Directors</w:t>
      </w:r>
      <w:r>
        <w:rPr>
          <w:rFonts w:ascii="Arial" w:cs="Arial" w:eastAsia="Arial" w:hAnsi="Arial"/>
          <w:sz w:val="20"/>
          <w:szCs w:val="20"/>
          <w:color w:val="auto"/>
        </w:rPr>
        <w:t>: In uncontested elections such as this one, the affirmative vote of a majority of the votes cast is required to elect each director. This means that the number of votes cast “FOR” a director’s election exceeds 50% of the number of votes cast with respect to that director’s election. Abstentions and broker non-votes will not be counted as a vote cast either “FOR” or “AGAINST” with respect to the director or directors indicated and therefore will have no effect on this proposal. Brokers do not have discretionary authority to vote on this proposal.</w:t>
      </w:r>
    </w:p>
    <w:p>
      <w:pPr>
        <w:spacing w:after="0" w:line="152" w:lineRule="exact"/>
        <w:rPr>
          <w:rFonts w:ascii="Arial" w:cs="Arial" w:eastAsia="Arial" w:hAnsi="Arial"/>
          <w:sz w:val="20"/>
          <w:szCs w:val="20"/>
          <w:u w:val="single" w:color="auto"/>
          <w:color w:val="auto"/>
        </w:rPr>
      </w:pPr>
    </w:p>
    <w:p>
      <w:pPr>
        <w:ind w:right="220"/>
        <w:spacing w:after="0" w:line="250" w:lineRule="auto"/>
        <w:tabs>
          <w:tab w:leader="none" w:pos="222" w:val="left"/>
        </w:tabs>
        <w:numPr>
          <w:ilvl w:val="0"/>
          <w:numId w:val="15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Ratification of Independent Auditor</w:t>
      </w:r>
      <w:r>
        <w:rPr>
          <w:rFonts w:ascii="Arial" w:cs="Arial" w:eastAsia="Arial" w:hAnsi="Arial"/>
          <w:sz w:val="20"/>
          <w:szCs w:val="20"/>
          <w:color w:val="auto"/>
        </w:rPr>
        <w:t>: The affirmative vote of a majority of shares present in person or by proxy and entitled to vote on the matter is required for the ratification of the appointment of Ernst &amp; Young LLP as AbbVie’s independent registered public accounting firm. Abstentions will be counted as votes “AGAINST” this proposal. A broker or other nominee may generally vote on routine matters such as this one, and therefore no broker non-votes are expected to exist in connection with this proposal.</w:t>
      </w:r>
    </w:p>
    <w:p>
      <w:pPr>
        <w:spacing w:after="0" w:line="152" w:lineRule="exact"/>
        <w:rPr>
          <w:rFonts w:ascii="Arial" w:cs="Arial" w:eastAsia="Arial" w:hAnsi="Arial"/>
          <w:sz w:val="20"/>
          <w:szCs w:val="20"/>
          <w:u w:val="single" w:color="auto"/>
          <w:color w:val="auto"/>
        </w:rPr>
      </w:pPr>
    </w:p>
    <w:p>
      <w:pPr>
        <w:spacing w:after="0" w:line="250" w:lineRule="auto"/>
        <w:tabs>
          <w:tab w:leader="none" w:pos="223" w:val="left"/>
        </w:tabs>
        <w:numPr>
          <w:ilvl w:val="0"/>
          <w:numId w:val="15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Say on Pay: Advisory Vote on Executive Compensation</w:t>
      </w:r>
      <w:r>
        <w:rPr>
          <w:rFonts w:ascii="Arial" w:cs="Arial" w:eastAsia="Arial" w:hAnsi="Arial"/>
          <w:sz w:val="20"/>
          <w:szCs w:val="20"/>
          <w:color w:val="auto"/>
        </w:rPr>
        <w:t>: The affirmative vote of a majority of shares present in person or by proxy and entitled to vote on the matter is required for the approval of the advisory vote to approve the compensation of AbbVie’s named executive officers. Because your vote is advisory, it will not be binding upon AbbVie’s Board of Directors. Abstentions will be counted as votes “AGAINST” this proposal and broker non-votes will have no effect on this proposal. Brokers do not have discretionary authority to vote on this proposal.</w:t>
      </w:r>
    </w:p>
    <w:p>
      <w:pPr>
        <w:spacing w:after="0" w:line="152" w:lineRule="exact"/>
        <w:rPr>
          <w:rFonts w:ascii="Arial" w:cs="Arial" w:eastAsia="Arial" w:hAnsi="Arial"/>
          <w:sz w:val="20"/>
          <w:szCs w:val="20"/>
          <w:u w:val="single" w:color="auto"/>
          <w:color w:val="auto"/>
        </w:rPr>
      </w:pPr>
    </w:p>
    <w:p>
      <w:pPr>
        <w:ind w:right="140"/>
        <w:spacing w:after="0" w:line="248" w:lineRule="auto"/>
        <w:tabs>
          <w:tab w:leader="none" w:pos="222" w:val="left"/>
        </w:tabs>
        <w:numPr>
          <w:ilvl w:val="0"/>
          <w:numId w:val="15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Management Proposal to Eliminate Supermajority Voting</w:t>
      </w:r>
      <w:r>
        <w:rPr>
          <w:rFonts w:ascii="Arial" w:cs="Arial" w:eastAsia="Arial" w:hAnsi="Arial"/>
          <w:sz w:val="20"/>
          <w:szCs w:val="20"/>
          <w:color w:val="auto"/>
        </w:rPr>
        <w:t>: The affirmative vote of shares representing not less than eighty percent (80%) of the outstanding shares of capital stock of AbbVie entitled to vote generally in the election of directors is required for the approval of the management proposal to eliminate supermajority voting pursuant to Article XI of AbbVie’s Amended and Restated Certificate of Incorporation. Abstentions and broker non-votes will be counted as votes “AGAINST” this proposal. Brokers do not have discretionary authority to vote on this proposal.</w:t>
      </w:r>
    </w:p>
    <w:p>
      <w:pPr>
        <w:spacing w:after="0" w:line="154" w:lineRule="exact"/>
        <w:rPr>
          <w:rFonts w:ascii="Arial" w:cs="Arial" w:eastAsia="Arial" w:hAnsi="Arial"/>
          <w:sz w:val="20"/>
          <w:szCs w:val="20"/>
          <w:u w:val="single" w:color="auto"/>
          <w:color w:val="auto"/>
        </w:rPr>
      </w:pPr>
    </w:p>
    <w:p>
      <w:pPr>
        <w:jc w:val="both"/>
        <w:ind w:right="80"/>
        <w:spacing w:after="0" w:line="261" w:lineRule="auto"/>
        <w:tabs>
          <w:tab w:leader="none" w:pos="223" w:val="left"/>
        </w:tabs>
        <w:numPr>
          <w:ilvl w:val="0"/>
          <w:numId w:val="1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Stockholder Proposal</w:t>
      </w:r>
      <w:r>
        <w:rPr>
          <w:rFonts w:ascii="Arial" w:cs="Arial" w:eastAsia="Arial" w:hAnsi="Arial"/>
          <w:sz w:val="19"/>
          <w:szCs w:val="19"/>
          <w:color w:val="auto"/>
        </w:rPr>
        <w:t>: The affirmative vote of a majority of shares present in person or by proxy and entitled to vote on the matter is required for the approval of the stockholder proposal presented at the meeting. Abstentions will be counted as votes “AGAINST” this proposal and broker non-votes will have no effect on this proposal.</w:t>
      </w:r>
    </w:p>
    <w:p>
      <w:pPr>
        <w:spacing w:after="0" w:line="1" w:lineRule="exact"/>
        <w:rPr>
          <w:rFonts w:ascii="Arial" w:cs="Arial" w:eastAsia="Arial" w:hAnsi="Arial"/>
          <w:sz w:val="19"/>
          <w:szCs w:val="19"/>
          <w:u w:val="single" w:color="auto"/>
          <w:color w:val="auto"/>
        </w:rPr>
      </w:pPr>
    </w:p>
    <w:p>
      <w:pPr>
        <w:spacing w:after="0"/>
        <w:rPr>
          <w:rFonts w:ascii="Arial" w:cs="Arial" w:eastAsia="Arial" w:hAnsi="Arial"/>
          <w:sz w:val="19"/>
          <w:szCs w:val="19"/>
          <w:u w:val="single" w:color="auto"/>
          <w:color w:val="auto"/>
        </w:rPr>
      </w:pPr>
      <w:r>
        <w:rPr>
          <w:rFonts w:ascii="Arial" w:cs="Arial" w:eastAsia="Arial" w:hAnsi="Arial"/>
          <w:sz w:val="20"/>
          <w:szCs w:val="20"/>
          <w:color w:val="auto"/>
        </w:rPr>
        <w:t>Brokers do not have discretionary authority to vote on this proposal.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Inspectors of Election</w:t>
      </w:r>
    </w:p>
    <w:p>
      <w:pPr>
        <w:spacing w:after="0" w:line="243" w:lineRule="exact"/>
        <w:rPr>
          <w:sz w:val="20"/>
          <w:szCs w:val="20"/>
          <w:color w:val="auto"/>
        </w:rPr>
      </w:pPr>
    </w:p>
    <w:p>
      <w:pPr>
        <w:ind w:right="1100"/>
        <w:spacing w:after="0" w:line="283" w:lineRule="auto"/>
        <w:rPr>
          <w:sz w:val="20"/>
          <w:szCs w:val="20"/>
          <w:color w:val="auto"/>
        </w:rPr>
      </w:pPr>
      <w:r>
        <w:rPr>
          <w:rFonts w:ascii="Arial" w:cs="Arial" w:eastAsia="Arial" w:hAnsi="Arial"/>
          <w:sz w:val="20"/>
          <w:szCs w:val="20"/>
          <w:color w:val="auto"/>
        </w:rPr>
        <w:t>The inspectors of election and the tabulators of all proxies, ballots, and voting tabulations that identify stockholders are independent and are not AbbVie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color w:val="auto"/>
        </w:rPr>
        <w:t xml:space="preserve">84  </w:t>
      </w:r>
      <w:r>
        <w:rPr>
          <w:sz w:val="1"/>
          <w:szCs w:val="1"/>
          <w:color w:val="auto"/>
        </w:rPr>
        <w:drawing>
          <wp:inline distT="0" distB="0" distL="0" distR="0">
            <wp:extent cx="991870" cy="20066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274">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i w:val="1"/>
          <w:iCs w:val="1"/>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40"/>
          </w:cols>
          <w:pgMar w:left="900" w:top="702" w:right="940" w:bottom="0" w:gutter="0" w:footer="0" w:header="0"/>
        </w:sectPr>
      </w:pPr>
    </w:p>
    <w:bookmarkStart w:id="213" w:name="page214"/>
    <w:bookmarkEnd w:id="213"/>
    <w:p>
      <w:pPr>
        <w:jc w:val="right"/>
        <w:spacing w:after="0"/>
        <w:rPr>
          <w:sz w:val="20"/>
          <w:szCs w:val="20"/>
          <w:color w:val="auto"/>
        </w:rPr>
      </w:pPr>
      <w:r>
        <w:rPr>
          <w:rFonts w:ascii="Arial" w:cs="Arial" w:eastAsia="Arial" w:hAnsi="Arial"/>
          <w:sz w:val="20"/>
          <w:szCs w:val="20"/>
          <w:color w:val="808080"/>
        </w:rPr>
        <w:t>INFORMATION ABOUT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Soliciting Proxies</w:t>
      </w:r>
    </w:p>
    <w:p>
      <w:pPr>
        <w:spacing w:after="0" w:line="244" w:lineRule="exact"/>
        <w:rPr>
          <w:sz w:val="20"/>
          <w:szCs w:val="20"/>
          <w:color w:val="auto"/>
        </w:rPr>
      </w:pPr>
    </w:p>
    <w:p>
      <w:pPr>
        <w:jc w:val="both"/>
        <w:ind w:right="380"/>
        <w:spacing w:after="0" w:line="261" w:lineRule="auto"/>
        <w:rPr>
          <w:sz w:val="20"/>
          <w:szCs w:val="20"/>
          <w:color w:val="auto"/>
        </w:rPr>
      </w:pPr>
      <w:r>
        <w:rPr>
          <w:rFonts w:ascii="Arial" w:cs="Arial" w:eastAsia="Arial" w:hAnsi="Arial"/>
          <w:sz w:val="20"/>
          <w:szCs w:val="20"/>
          <w:color w:val="auto"/>
        </w:rPr>
        <w:t>AbbVie will bear the cost of making solicitations from its stockholders and will reimburse banks and brokerage firms for out-of-pocket expenses incurred in connection with this solicitation. Proxies may be solicited by mail, telephone, Internet, or in person by directors, officers, or employees of AbbVie and its subsidiaries.</w:t>
      </w:r>
    </w:p>
    <w:p>
      <w:pPr>
        <w:spacing w:after="0" w:line="180" w:lineRule="exact"/>
        <w:rPr>
          <w:sz w:val="20"/>
          <w:szCs w:val="20"/>
          <w:color w:val="auto"/>
        </w:rPr>
      </w:pPr>
    </w:p>
    <w:p>
      <w:pPr>
        <w:jc w:val="both"/>
        <w:ind w:right="380"/>
        <w:spacing w:after="0" w:line="283" w:lineRule="auto"/>
        <w:rPr>
          <w:sz w:val="20"/>
          <w:szCs w:val="20"/>
          <w:color w:val="auto"/>
        </w:rPr>
      </w:pPr>
      <w:r>
        <w:rPr>
          <w:rFonts w:ascii="Arial" w:cs="Arial" w:eastAsia="Arial" w:hAnsi="Arial"/>
          <w:sz w:val="20"/>
          <w:szCs w:val="20"/>
          <w:color w:val="auto"/>
        </w:rPr>
        <w:t>AbbVie has retained Alliance Advisors LLC to aid in the solicitation of proxies, at an estimated cost of $25,000 plus reimbursement for reasonable out-of-pocket expenses.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AbbVie Savings Plan</w:t>
      </w:r>
    </w:p>
    <w:p>
      <w:pPr>
        <w:spacing w:after="0" w:line="244"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Participants in the AbbVie Savings Plan will receive voting instructions for their shares of AbbVie common stock held in the AbbVie Savings Plan Trust. Broadridge Financial Solutions, Inc. will solicit the voting instructions from participants and, with respect to those shares of AbbVie common stock for which voting instructions are received, provide a voting tally to Empower Trust Company (the trustee of the AbbVie Savings Plan Trust) to vote the shares as directed by participants. The AbbVie Retirement Plans Investment Committee may use its own discretion with respect to those shares of AbbVie common stock for which no voting instructions are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5500" w:type="dxa"/>
        <w:tblCellMar>
          <w:top w:w="0" w:type="dxa"/>
          <w:left w:w="0" w:type="dxa"/>
          <w:bottom w:w="0" w:type="dxa"/>
          <w:right w:w="0" w:type="dxa"/>
        </w:tblCellMar>
      </w:tblPr>
      <w:tr>
        <w:trPr>
          <w:trHeight w:val="408"/>
        </w:trPr>
        <w:tc>
          <w:tcPr>
            <w:tcW w:w="334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-212725</wp:posOffset>
            </wp:positionV>
            <wp:extent cx="991870" cy="2006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275">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703" w:right="900" w:bottom="0" w:gutter="0" w:footer="0" w:header="0"/>
        </w:sectPr>
      </w:pPr>
    </w:p>
    <w:bookmarkStart w:id="214" w:name="page215"/>
    <w:bookmarkEnd w:id="214"/>
    <w:p>
      <w:pPr>
        <w:ind w:left="9060"/>
        <w:spacing w:after="0"/>
        <w:rPr>
          <w:sz w:val="20"/>
          <w:szCs w:val="20"/>
          <w:color w:val="auto"/>
        </w:rPr>
      </w:pPr>
      <w:r>
        <w:rPr>
          <w:rFonts w:ascii="Arial" w:cs="Arial" w:eastAsia="Arial" w:hAnsi="Arial"/>
          <w:sz w:val="19"/>
          <w:szCs w:val="19"/>
          <w:color w:val="FFFFFF"/>
          <w:shd w:val="clear" w:color="auto" w:fill="000039"/>
        </w:rPr>
        <w:t>Appendix A</w:t>
      </w:r>
    </w:p>
    <w:p>
      <w:pPr>
        <w:spacing w:after="0" w:line="148" w:lineRule="exact"/>
        <w:rPr>
          <w:sz w:val="20"/>
          <w:szCs w:val="20"/>
          <w:color w:val="auto"/>
        </w:rPr>
      </w:pPr>
    </w:p>
    <w:p>
      <w:pPr>
        <w:jc w:val="center"/>
        <w:spacing w:after="0" w:line="297" w:lineRule="auto"/>
        <w:rPr>
          <w:sz w:val="20"/>
          <w:szCs w:val="20"/>
          <w:color w:val="auto"/>
        </w:rPr>
      </w:pPr>
      <w:r>
        <w:rPr>
          <w:rFonts w:ascii="Arial" w:cs="Arial" w:eastAsia="Arial" w:hAnsi="Arial"/>
          <w:sz w:val="20"/>
          <w:szCs w:val="20"/>
          <w:b w:val="1"/>
          <w:bCs w:val="1"/>
          <w:color w:val="auto"/>
        </w:rPr>
        <w:t>Proposed Certificate of Amendment to the Amended and Restated Certificate of Incorporation of AbbVie Inc.</w:t>
      </w:r>
    </w:p>
    <w:p>
      <w:pPr>
        <w:spacing w:after="0" w:line="3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text of the proposed amendment is marked to reflect the proposed changes.</w:t>
      </w:r>
    </w:p>
    <w:p>
      <w:pPr>
        <w:spacing w:after="0" w:line="141" w:lineRule="exact"/>
        <w:rPr>
          <w:sz w:val="20"/>
          <w:szCs w:val="20"/>
          <w:color w:val="auto"/>
        </w:rPr>
      </w:pPr>
    </w:p>
    <w:p>
      <w:pPr>
        <w:ind w:right="160" w:firstLine="720"/>
        <w:spacing w:after="0" w:line="283" w:lineRule="auto"/>
        <w:rPr>
          <w:sz w:val="20"/>
          <w:szCs w:val="20"/>
          <w:color w:val="auto"/>
        </w:rPr>
      </w:pPr>
      <w:r>
        <w:rPr>
          <w:rFonts w:ascii="Arial" w:cs="Arial" w:eastAsia="Arial" w:hAnsi="Arial"/>
          <w:sz w:val="20"/>
          <w:szCs w:val="20"/>
          <w:color w:val="auto"/>
        </w:rPr>
        <w:t>AbbVie Inc., a corporation organized and existing under and by virtue of the General Corporation Law of the State of Delaware (the “</w:t>
      </w:r>
      <w:r>
        <w:rPr>
          <w:rFonts w:ascii="Arial" w:cs="Arial" w:eastAsia="Arial" w:hAnsi="Arial"/>
          <w:sz w:val="20"/>
          <w:szCs w:val="20"/>
          <w:u w:val="single" w:color="auto"/>
          <w:color w:val="auto"/>
        </w:rPr>
        <w:t>Corporation</w:t>
      </w:r>
      <w:r>
        <w:rPr>
          <w:rFonts w:ascii="Arial" w:cs="Arial" w:eastAsia="Arial" w:hAnsi="Arial"/>
          <w:sz w:val="20"/>
          <w:szCs w:val="20"/>
          <w:color w:val="auto"/>
        </w:rPr>
        <w:t>”), does hereby certify:</w:t>
      </w:r>
    </w:p>
    <w:p>
      <w:pPr>
        <w:spacing w:after="0" w:line="78" w:lineRule="exact"/>
        <w:rPr>
          <w:sz w:val="20"/>
          <w:szCs w:val="20"/>
          <w:color w:val="auto"/>
        </w:rPr>
      </w:pPr>
    </w:p>
    <w:p>
      <w:pPr>
        <w:ind w:right="360"/>
        <w:spacing w:after="0" w:line="282" w:lineRule="auto"/>
        <w:tabs>
          <w:tab w:leader="none" w:pos="277" w:val="left"/>
        </w:tabs>
        <w:numPr>
          <w:ilvl w:val="0"/>
          <w:numId w:val="155"/>
        </w:numPr>
        <w:rPr>
          <w:rFonts w:ascii="Arial" w:cs="Arial" w:eastAsia="Arial" w:hAnsi="Arial"/>
          <w:sz w:val="20"/>
          <w:szCs w:val="20"/>
          <w:color w:val="auto"/>
        </w:rPr>
      </w:pPr>
      <w:r>
        <w:rPr>
          <w:rFonts w:ascii="Arial" w:cs="Arial" w:eastAsia="Arial" w:hAnsi="Arial"/>
          <w:sz w:val="20"/>
          <w:szCs w:val="20"/>
          <w:color w:val="auto"/>
        </w:rPr>
        <w:t>Articles VIII and XI of AbbVie’s Amended and Restated Certificate of Incorporation are amended to read as follows: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BY-LAWS</w:t>
      </w:r>
    </w:p>
    <w:p>
      <w:pPr>
        <w:spacing w:after="0" w:line="115" w:lineRule="exact"/>
        <w:rPr>
          <w:sz w:val="20"/>
          <w:szCs w:val="20"/>
          <w:color w:val="auto"/>
        </w:rPr>
      </w:pPr>
    </w:p>
    <w:p>
      <w:pPr>
        <w:ind w:right="100" w:firstLine="720"/>
        <w:spacing w:after="0" w:line="243" w:lineRule="auto"/>
        <w:rPr>
          <w:sz w:val="20"/>
          <w:szCs w:val="20"/>
          <w:color w:val="auto"/>
        </w:rPr>
      </w:pPr>
      <w:r>
        <w:rPr>
          <w:rFonts w:ascii="Arial" w:cs="Arial" w:eastAsia="Arial" w:hAnsi="Arial"/>
          <w:sz w:val="20"/>
          <w:szCs w:val="20"/>
          <w:color w:val="auto"/>
        </w:rPr>
        <w:t>In furtherance and not in limitation of the powers conferred by the laws of the State of Delaware, the By-laws of the Corporation (the “</w:t>
      </w:r>
      <w:r>
        <w:rPr>
          <w:rFonts w:ascii="Arial" w:cs="Arial" w:eastAsia="Arial" w:hAnsi="Arial"/>
          <w:sz w:val="20"/>
          <w:szCs w:val="20"/>
          <w:u w:val="single" w:color="auto"/>
          <w:color w:val="auto"/>
        </w:rPr>
        <w:t>By -laws</w:t>
      </w:r>
      <w:r>
        <w:rPr>
          <w:rFonts w:ascii="Arial" w:cs="Arial" w:eastAsia="Arial" w:hAnsi="Arial"/>
          <w:sz w:val="20"/>
          <w:szCs w:val="20"/>
          <w:color w:val="auto"/>
        </w:rPr>
        <w:t xml:space="preserve">”) may be altered, amended or repealed, in whole or in part, and new By-laws may be adopted, (i) by the affirmative vote of shares representing a majority of the outstanding shares of capital stock of the Corporation entitled to vote generally in the election of directors;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 </w:t>
      </w:r>
      <w:r>
        <w:rPr>
          <w:rFonts w:ascii="Arial" w:cs="Arial" w:eastAsia="Arial" w:hAnsi="Arial"/>
          <w:sz w:val="20"/>
          <w:szCs w:val="20"/>
          <w:color w:val="auto"/>
          <w:strike w:val="1"/>
        </w:rPr>
        <w:t>that any</w:t>
      </w:r>
      <w:r>
        <w:rPr>
          <w:rFonts w:ascii="Arial" w:cs="Arial" w:eastAsia="Arial" w:hAnsi="Arial"/>
          <w:sz w:val="20"/>
          <w:szCs w:val="20"/>
          <w:color w:val="auto"/>
        </w:rPr>
        <w:t xml:space="preserve"> </w:t>
      </w:r>
      <w:r>
        <w:rPr>
          <w:rFonts w:ascii="Arial" w:cs="Arial" w:eastAsia="Arial" w:hAnsi="Arial"/>
          <w:sz w:val="20"/>
          <w:szCs w:val="20"/>
          <w:color w:val="auto"/>
          <w:strike w:val="1"/>
        </w:rPr>
        <w:t xml:space="preserve">proposed alteration, amendment or repeal of, or the adoption of any By-law inconsistent with, Sections 2.2, 2.12, 3.2, 3.3, 3.10 or 3.11, Article VII or Article X of the By- laws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 and </w:t>
      </w:r>
      <w:r>
        <w:rPr>
          <w:rFonts w:ascii="Arial" w:cs="Arial" w:eastAsia="Arial" w:hAnsi="Arial"/>
          <w:sz w:val="20"/>
          <w:szCs w:val="20"/>
          <w:u w:val="single" w:color="auto"/>
          <w:color w:val="auto"/>
          <w:strike w:val="1"/>
        </w:rPr>
        <w:t>provided</w:t>
      </w:r>
      <w:r>
        <w:rPr>
          <w:rFonts w:ascii="Arial" w:cs="Arial" w:eastAsia="Arial" w:hAnsi="Arial"/>
          <w:sz w:val="20"/>
          <w:szCs w:val="20"/>
          <w:color w:val="auto"/>
          <w:strike w:val="1"/>
        </w:rPr>
        <w:t xml:space="preserve"> further, </w:t>
      </w:r>
      <w:r>
        <w:rPr>
          <w:rFonts w:ascii="Arial" w:cs="Arial" w:eastAsia="Arial" w:hAnsi="Arial"/>
          <w:sz w:val="20"/>
          <w:szCs w:val="20"/>
          <w:u w:val="single" w:color="auto"/>
          <w:color w:val="auto"/>
          <w:strike w:val="1"/>
        </w:rPr>
        <w:t>however</w:t>
      </w:r>
      <w:r>
        <w:rPr>
          <w:rFonts w:ascii="Arial" w:cs="Arial" w:eastAsia="Arial" w:hAnsi="Arial"/>
          <w:sz w:val="20"/>
          <w:szCs w:val="20"/>
          <w:color w:val="auto"/>
          <w:strike w:val="1"/>
        </w:rPr>
        <w:t xml:space="preserve">, that in the case of any such stockholder action at a meeting of stockholders, notice of the proposed alteration, amendment, repeal or adoption of the new By-law or By-laws must be contained in the notice of such meeting, or (ii) by action of the Board of Directors of the Corporation; </w:t>
      </w:r>
      <w:r>
        <w:rPr>
          <w:rFonts w:ascii="Arial" w:cs="Arial" w:eastAsia="Arial" w:hAnsi="Arial"/>
          <w:sz w:val="20"/>
          <w:szCs w:val="20"/>
          <w:u w:val="single" w:color="auto"/>
          <w:color w:val="auto"/>
          <w:strike w:val="1"/>
        </w:rPr>
        <w:t>provided</w:t>
      </w:r>
      <w:r>
        <w:rPr>
          <w:rFonts w:ascii="Arial" w:cs="Arial" w:eastAsia="Arial" w:hAnsi="Arial"/>
          <w:sz w:val="20"/>
          <w:szCs w:val="20"/>
          <w:color w:val="auto"/>
          <w:strike w:val="1"/>
        </w:rPr>
        <w:t xml:space="preserve">, </w:t>
      </w:r>
      <w:r>
        <w:rPr>
          <w:rFonts w:ascii="Arial" w:cs="Arial" w:eastAsia="Arial" w:hAnsi="Arial"/>
          <w:sz w:val="20"/>
          <w:szCs w:val="20"/>
          <w:u w:val="single" w:color="auto"/>
          <w:color w:val="auto"/>
          <w:strike w:val="1"/>
        </w:rPr>
        <w:t>however</w:t>
      </w:r>
      <w:r>
        <w:rPr>
          <w:rFonts w:ascii="Arial" w:cs="Arial" w:eastAsia="Arial" w:hAnsi="Arial"/>
          <w:sz w:val="20"/>
          <w:szCs w:val="20"/>
          <w:color w:val="auto"/>
          <w:strike w:val="1"/>
        </w:rPr>
        <w:t>, that the case of any such action at a meeting of the Board of Directors, notice of the proposed alteration, amendment, repeal or adoption of the new By-law or By-laws must be given not less than two days prior to the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5626100</wp:posOffset>
                </wp:positionH>
                <wp:positionV relativeFrom="paragraph">
                  <wp:posOffset>-751840</wp:posOffset>
                </wp:positionV>
                <wp:extent cx="367665"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66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pt,-59.1999pt" to="471.95pt,-59.19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-653415</wp:posOffset>
                </wp:positionV>
                <wp:extent cx="480695" cy="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6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4499pt" to="37.85pt,-51.4499pt" o:allowincell="f" strokecolor="#000000" strokeweight="0.4799pt"/>
            </w:pict>
          </mc:Fallback>
        </mc:AlternateContent>
      </w:r>
    </w:p>
    <w:p>
      <w:pPr>
        <w:spacing w:after="0" w:line="7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 * *</w:t>
      </w:r>
    </w:p>
    <w:p>
      <w:pPr>
        <w:spacing w:after="0" w:line="137"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ARTICLE XI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w:t>
      </w:r>
    </w:p>
    <w:p>
      <w:pPr>
        <w:spacing w:after="0" w:line="115" w:lineRule="exact"/>
        <w:rPr>
          <w:sz w:val="20"/>
          <w:szCs w:val="20"/>
          <w:color w:val="auto"/>
        </w:rPr>
      </w:pPr>
    </w:p>
    <w:p>
      <w:pPr>
        <w:ind w:right="40" w:firstLine="720"/>
        <w:spacing w:after="0" w:line="243" w:lineRule="auto"/>
        <w:rPr>
          <w:sz w:val="20"/>
          <w:szCs w:val="20"/>
          <w:color w:val="auto"/>
        </w:rPr>
      </w:pPr>
      <w:r>
        <w:rPr>
          <w:rFonts w:ascii="Arial" w:cs="Arial" w:eastAsia="Arial" w:hAnsi="Arial"/>
          <w:sz w:val="20"/>
          <w:szCs w:val="20"/>
          <w:u w:val="single" w:color="auto"/>
          <w:color w:val="auto"/>
        </w:rPr>
        <w:t>The Corporation reserves the right to amend, alter or repeal any provision contained in this Amended and Restated Certificate of Incorporation, in the manner now or hereafter prescribed by statute, and all rights conferred upon stockholders herein are subject to this reservation</w:t>
      </w:r>
      <w:r>
        <w:rPr>
          <w:rFonts w:ascii="Arial" w:cs="Arial" w:eastAsia="Arial" w:hAnsi="Arial"/>
          <w:sz w:val="20"/>
          <w:szCs w:val="20"/>
          <w:color w:val="auto"/>
        </w:rPr>
        <w:t xml:space="preserve">. </w:t>
      </w:r>
      <w:r>
        <w:rPr>
          <w:rFonts w:ascii="Arial" w:cs="Arial" w:eastAsia="Arial" w:hAnsi="Arial"/>
          <w:sz w:val="20"/>
          <w:szCs w:val="20"/>
          <w:color w:val="auto"/>
          <w:strike w:val="1"/>
        </w:rPr>
        <w:t>In furtherance and not in limitation of the</w:t>
      </w:r>
      <w:r>
        <w:rPr>
          <w:rFonts w:ascii="Arial" w:cs="Arial" w:eastAsia="Arial" w:hAnsi="Arial"/>
          <w:sz w:val="20"/>
          <w:szCs w:val="20"/>
          <w:color w:val="auto"/>
        </w:rPr>
        <w:t xml:space="preserve"> </w:t>
      </w:r>
      <w:r>
        <w:rPr>
          <w:rFonts w:ascii="Arial" w:cs="Arial" w:eastAsia="Arial" w:hAnsi="Arial"/>
          <w:sz w:val="20"/>
          <w:szCs w:val="20"/>
          <w:color w:val="auto"/>
          <w:strike w:val="1"/>
        </w:rPr>
        <w:t>powers conferred by the laws of the State of Delaware as they presently exist or may hereafter be amended, subject to any limitations contained elsewhere in this Amended and Restated Certificate of Incorporation, the Corporation may from time to time adopt, amend or repeal any provisions of this Amended and Restated Certificate of Incorporation; provided, however, that any proposed alteration, amendment or repeal of, or the adoption of any provision inconsistent with, Article VI and Article VII of this Amended and Restated Certificate of Incorporation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w:t>
      </w:r>
    </w:p>
    <w:p>
      <w:pPr>
        <w:spacing w:after="0" w:line="105" w:lineRule="exact"/>
        <w:rPr>
          <w:sz w:val="20"/>
          <w:szCs w:val="20"/>
          <w:color w:val="auto"/>
        </w:rPr>
      </w:pPr>
    </w:p>
    <w:p>
      <w:pPr>
        <w:ind w:right="280"/>
        <w:spacing w:after="0" w:line="282" w:lineRule="auto"/>
        <w:tabs>
          <w:tab w:leader="none" w:pos="278"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foregoing amendment to the Amended and Restated Certificate of Incorporation of the Corporation was duly adopted in accordance with the provisions of Section 242 of the Delaware General Corporation Law.</w:t>
      </w:r>
    </w:p>
    <w:p>
      <w:pPr>
        <w:spacing w:after="0" w:line="56"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Corporation has caused this Certificate of Amendment to the Amended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Restated Certificate of Incorporation to be executed by the undersigned officer, duly authorized, as of the day</w:t>
      </w:r>
    </w:p>
    <w:p>
      <w:pPr>
        <w:spacing w:after="0"/>
        <w:tabs>
          <w:tab w:leader="none" w:pos="700" w:val="left"/>
        </w:tabs>
        <w:rPr>
          <w:sz w:val="20"/>
          <w:szCs w:val="20"/>
          <w:color w:val="auto"/>
        </w:rPr>
      </w:pP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2026.</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AbbVie Inc.</w:t>
      </w:r>
    </w:p>
    <w:p>
      <w:pPr>
        <w:spacing w:after="0" w:line="163"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3657600</wp:posOffset>
                </wp:positionH>
                <wp:positionV relativeFrom="paragraph">
                  <wp:posOffset>15240</wp:posOffset>
                </wp:positionV>
                <wp:extent cx="2743200" cy="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pt,1.2pt" to="504pt,1.2pt" o:allowincell="f" strokecolor="#000000" strokeweight="0.48pt"/>
            </w:pict>
          </mc:Fallback>
        </mc:AlternateContent>
      </w:r>
    </w:p>
    <w:p>
      <w:pPr>
        <w:spacing w:after="0" w:line="17"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Name:</w:t>
      </w:r>
    </w:p>
    <w:p>
      <w:pPr>
        <w:ind w:left="51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5400" w:type="dxa"/>
        <w:tblCellMar>
          <w:top w:w="0" w:type="dxa"/>
          <w:left w:w="0" w:type="dxa"/>
          <w:bottom w:w="0" w:type="dxa"/>
          <w:right w:w="0" w:type="dxa"/>
        </w:tblCellMar>
      </w:tblPr>
      <w:tr>
        <w:trPr>
          <w:trHeight w:val="394"/>
        </w:trPr>
        <w:tc>
          <w:tcPr>
            <w:tcW w:w="336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i w:val="1"/>
                <w:iCs w:val="1"/>
                <w:color w:val="auto"/>
              </w:rPr>
              <w:t>|</w:t>
            </w:r>
          </w:p>
        </w:tc>
        <w:tc>
          <w:tcPr>
            <w:tcW w:w="1320" w:type="dxa"/>
            <w:vAlign w:val="bottom"/>
          </w:tcPr>
          <w:p>
            <w:pPr>
              <w:ind w:left="1000"/>
              <w:spacing w:after="0"/>
              <w:rPr>
                <w:sz w:val="20"/>
                <w:szCs w:val="20"/>
                <w:color w:val="auto"/>
              </w:rPr>
            </w:pPr>
            <w:r>
              <w:rPr>
                <w:rFonts w:ascii="Arial" w:cs="Arial" w:eastAsia="Arial" w:hAnsi="Arial"/>
                <w:sz w:val="20"/>
                <w:szCs w:val="20"/>
                <w:color w:val="auto"/>
                <w:w w:val="96"/>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-212725</wp:posOffset>
            </wp:positionV>
            <wp:extent cx="991870" cy="2006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276">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080"/>
          </w:cols>
          <w:pgMar w:left="900" w:top="879" w:right="900" w:bottom="0" w:gutter="0" w:footer="0" w:header="0"/>
        </w:sectPr>
      </w:pPr>
    </w:p>
    <w:bookmarkStart w:id="215" w:name="page216"/>
    <w:bookmarkEnd w:id="215"/>
    <w:p>
      <w:pPr>
        <w:ind w:left="20"/>
        <w:spacing w:after="0"/>
        <w:rPr>
          <w:sz w:val="20"/>
          <w:szCs w:val="20"/>
          <w:color w:val="auto"/>
        </w:rPr>
      </w:pPr>
      <w:r>
        <w:rPr>
          <w:rFonts w:ascii="Arial" w:cs="Arial" w:eastAsia="Arial" w:hAnsi="Arial"/>
          <w:sz w:val="20"/>
          <w:szCs w:val="20"/>
          <w:color w:val="FFFFFF"/>
          <w:shd w:val="clear" w:color="auto" w:fill="000039"/>
        </w:rPr>
        <w:t>Appendix B</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AbbVie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Reconciliation of GAAP Reported to Non-GAAP Adjusted Information</w:t>
      </w:r>
    </w:p>
    <w:p>
      <w:pPr>
        <w:jc w:val="center"/>
        <w:ind w:right="-19"/>
        <w:spacing w:after="0"/>
        <w:rPr>
          <w:sz w:val="20"/>
          <w:szCs w:val="20"/>
          <w:color w:val="auto"/>
        </w:rPr>
      </w:pPr>
      <w:r>
        <w:rPr>
          <w:rFonts w:ascii="Arial" w:cs="Arial" w:eastAsia="Arial" w:hAnsi="Arial"/>
          <w:sz w:val="20"/>
          <w:szCs w:val="20"/>
          <w:b w:val="1"/>
          <w:bCs w:val="1"/>
          <w:color w:val="auto"/>
        </w:rPr>
        <w:t>Year Ended December 31, 2025</w:t>
      </w:r>
    </w:p>
    <w:p>
      <w:pPr>
        <w:jc w:val="center"/>
        <w:ind w:right="-19"/>
        <w:spacing w:after="0"/>
        <w:rPr>
          <w:sz w:val="20"/>
          <w:szCs w:val="20"/>
          <w:color w:val="auto"/>
        </w:rPr>
      </w:pPr>
      <w:r>
        <w:rPr>
          <w:rFonts w:ascii="Arial" w:cs="Arial" w:eastAsia="Arial" w:hAnsi="Arial"/>
          <w:sz w:val="20"/>
          <w:szCs w:val="20"/>
          <w:b w:val="1"/>
          <w:bCs w:val="1"/>
          <w:color w:val="auto"/>
        </w:rPr>
        <w:t>(Unaudited) (In millions, except per share data)</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Non-GAAP Financial Results</w:t>
      </w:r>
    </w:p>
    <w:p>
      <w:pPr>
        <w:spacing w:after="0" w:line="234" w:lineRule="exact"/>
        <w:rPr>
          <w:sz w:val="20"/>
          <w:szCs w:val="20"/>
          <w:color w:val="auto"/>
        </w:rPr>
      </w:pPr>
    </w:p>
    <w:p>
      <w:pPr>
        <w:ind w:left="20" w:right="180"/>
        <w:spacing w:after="0" w:line="262" w:lineRule="auto"/>
        <w:rPr>
          <w:sz w:val="20"/>
          <w:szCs w:val="20"/>
          <w:color w:val="auto"/>
        </w:rPr>
      </w:pPr>
      <w:r>
        <w:rPr>
          <w:rFonts w:ascii="Arial" w:cs="Arial" w:eastAsia="Arial" w:hAnsi="Arial"/>
          <w:sz w:val="19"/>
          <w:szCs w:val="19"/>
          <w:color w:val="auto"/>
        </w:rPr>
        <w:t>Financial results are presented on both a reported and a non-GAAP basis. Reported results were prepared in accordance with GAAP and include all revenues and expenses recognized during the period. Non-GAAP results adjust for certain non-cash items and for factors that are unusual or unpredictable, and exclude those costs, expenses, and other specified items.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spacing w:after="0" w:line="170" w:lineRule="exact"/>
        <w:rPr>
          <w:sz w:val="20"/>
          <w:szCs w:val="20"/>
          <w:color w:val="auto"/>
        </w:rPr>
      </w:pPr>
    </w:p>
    <w:p>
      <w:pPr>
        <w:ind w:left="740" w:hanging="721"/>
        <w:spacing w:after="0"/>
        <w:tabs>
          <w:tab w:leader="none" w:pos="74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2025 Net Revenue Growth compared to 2024</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E7E7E7"/>
          </w:tcPr>
          <w:p>
            <w:pPr>
              <w:spacing w:after="0"/>
              <w:rPr>
                <w:sz w:val="20"/>
                <w:szCs w:val="20"/>
                <w:color w:val="auto"/>
              </w:rPr>
            </w:pPr>
            <w:r>
              <w:rPr>
                <w:rFonts w:ascii="Arial" w:cs="Arial" w:eastAsia="Arial" w:hAnsi="Arial"/>
                <w:sz w:val="18"/>
                <w:szCs w:val="18"/>
                <w:b w:val="1"/>
                <w:bCs w:val="1"/>
                <w:color w:val="auto"/>
              </w:rPr>
              <w:t>At actual currency rates (GAAP)</w:t>
            </w:r>
          </w:p>
        </w:tc>
        <w:tc>
          <w:tcPr>
            <w:tcW w:w="1520" w:type="dxa"/>
            <w:vAlign w:val="bottom"/>
            <w:tcBorders>
              <w:top w:val="single" w:sz="8" w:color="auto"/>
            </w:tcBorders>
            <w:shd w:val="clear" w:color="auto" w:fill="E7E7E7"/>
          </w:tcPr>
          <w:p>
            <w:pPr>
              <w:jc w:val="right"/>
              <w:spacing w:after="0"/>
              <w:rPr>
                <w:sz w:val="20"/>
                <w:szCs w:val="20"/>
                <w:color w:val="auto"/>
              </w:rPr>
            </w:pPr>
            <w:r>
              <w:rPr>
                <w:rFonts w:ascii="Arial" w:cs="Arial" w:eastAsia="Arial" w:hAnsi="Arial"/>
                <w:sz w:val="18"/>
                <w:szCs w:val="18"/>
                <w:color w:val="auto"/>
              </w:rPr>
              <w:t>8.6%</w:t>
            </w:r>
          </w:p>
        </w:tc>
      </w:tr>
      <w:tr>
        <w:trPr>
          <w:trHeight w:val="209"/>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Impact of foreign exchange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197"/>
        </w:trPr>
        <w:tc>
          <w:tcPr>
            <w:tcW w:w="20" w:type="dxa"/>
            <w:vAlign w:val="bottom"/>
          </w:tcPr>
          <w:p>
            <w:pPr>
              <w:spacing w:after="0"/>
              <w:rPr>
                <w:sz w:val="17"/>
                <w:szCs w:val="17"/>
                <w:color w:val="auto"/>
              </w:rPr>
            </w:pPr>
          </w:p>
        </w:tc>
        <w:tc>
          <w:tcPr>
            <w:tcW w:w="3880" w:type="dxa"/>
            <w:vAlign w:val="bottom"/>
            <w:shd w:val="clear" w:color="auto" w:fill="E7E7E7"/>
          </w:tcPr>
          <w:p>
            <w:pPr>
              <w:spacing w:after="0" w:line="197" w:lineRule="exact"/>
              <w:rPr>
                <w:sz w:val="20"/>
                <w:szCs w:val="20"/>
                <w:color w:val="auto"/>
              </w:rPr>
            </w:pPr>
            <w:r>
              <w:rPr>
                <w:rFonts w:ascii="Arial" w:cs="Arial" w:eastAsia="Arial" w:hAnsi="Arial"/>
                <w:sz w:val="18"/>
                <w:szCs w:val="18"/>
                <w:b w:val="1"/>
                <w:bCs w:val="1"/>
                <w:color w:val="auto"/>
              </w:rPr>
              <w:t>Operational net revenue growth at constant</w:t>
            </w:r>
          </w:p>
        </w:tc>
        <w:tc>
          <w:tcPr>
            <w:tcW w:w="1520" w:type="dxa"/>
            <w:vAlign w:val="bottom"/>
            <w:shd w:val="clear" w:color="auto" w:fill="E7E7E7"/>
          </w:tcPr>
          <w:p>
            <w:pPr>
              <w:spacing w:after="0"/>
              <w:rPr>
                <w:sz w:val="17"/>
                <w:szCs w:val="17"/>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shd w:val="clear" w:color="auto" w:fill="E7E7E7"/>
          </w:tcPr>
          <w:p>
            <w:pPr>
              <w:spacing w:after="0"/>
              <w:rPr>
                <w:sz w:val="20"/>
                <w:szCs w:val="20"/>
                <w:color w:val="auto"/>
              </w:rPr>
            </w:pPr>
            <w:r>
              <w:rPr>
                <w:rFonts w:ascii="Arial" w:cs="Arial" w:eastAsia="Arial" w:hAnsi="Arial"/>
                <w:sz w:val="18"/>
                <w:szCs w:val="18"/>
                <w:b w:val="1"/>
                <w:bCs w:val="1"/>
                <w:color w:val="auto"/>
              </w:rPr>
              <w:t>currency rates (non-GAAP)</w:t>
            </w:r>
          </w:p>
        </w:tc>
        <w:tc>
          <w:tcPr>
            <w:tcW w:w="15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8"/>
                <w:szCs w:val="18"/>
                <w:color w:val="auto"/>
              </w:rPr>
              <w:t>8.5%</w:t>
            </w:r>
          </w:p>
        </w:tc>
      </w:tr>
    </w:tbl>
    <w:p>
      <w:pPr>
        <w:spacing w:after="0" w:line="211" w:lineRule="exact"/>
        <w:rPr>
          <w:sz w:val="20"/>
          <w:szCs w:val="20"/>
          <w:color w:val="auto"/>
        </w:rPr>
      </w:pPr>
    </w:p>
    <w:p>
      <w:pPr>
        <w:ind w:left="740" w:hanging="720"/>
        <w:spacing w:after="0"/>
        <w:tabs>
          <w:tab w:leader="none" w:pos="7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Diluted Earnings Per Share since 2021</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4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000039"/>
              </w:rPr>
              <w:t xml:space="preserve">2025 </w:t>
            </w:r>
            <w:r>
              <w:rPr>
                <w:rFonts w:ascii="Arial" w:cs="Arial" w:eastAsia="Arial" w:hAnsi="Arial"/>
                <w:sz w:val="19"/>
                <w:szCs w:val="19"/>
                <w:b w:val="1"/>
                <w:bCs w:val="1"/>
                <w:color w:val="000039"/>
                <w:vertAlign w:val="superscript"/>
              </w:rPr>
              <w:t>1</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000039"/>
              </w:rPr>
              <w:t xml:space="preserve">2024 </w:t>
            </w:r>
            <w:r>
              <w:rPr>
                <w:rFonts w:ascii="Arial" w:cs="Arial" w:eastAsia="Arial" w:hAnsi="Arial"/>
                <w:sz w:val="19"/>
                <w:szCs w:val="19"/>
                <w:b w:val="1"/>
                <w:bCs w:val="1"/>
                <w:color w:val="000039"/>
                <w:vertAlign w:val="superscript"/>
              </w:rPr>
              <w:t>2</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000039"/>
              </w:rPr>
              <w:t xml:space="preserve">2023 </w:t>
            </w:r>
            <w:r>
              <w:rPr>
                <w:rFonts w:ascii="Arial" w:cs="Arial" w:eastAsia="Arial" w:hAnsi="Arial"/>
                <w:sz w:val="19"/>
                <w:szCs w:val="19"/>
                <w:b w:val="1"/>
                <w:bCs w:val="1"/>
                <w:color w:val="000039"/>
                <w:vertAlign w:val="superscript"/>
              </w:rPr>
              <w:t>3</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000039"/>
              </w:rPr>
              <w:t xml:space="preserve">2022 </w:t>
            </w:r>
            <w:r>
              <w:rPr>
                <w:rFonts w:ascii="Arial" w:cs="Arial" w:eastAsia="Arial" w:hAnsi="Arial"/>
                <w:sz w:val="19"/>
                <w:szCs w:val="19"/>
                <w:b w:val="1"/>
                <w:bCs w:val="1"/>
                <w:color w:val="000039"/>
                <w:vertAlign w:val="superscript"/>
              </w:rPr>
              <w:t>4</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0039"/>
              </w:rPr>
              <w:t xml:space="preserve">2021 </w:t>
            </w:r>
            <w:r>
              <w:rPr>
                <w:rFonts w:ascii="Arial" w:cs="Arial" w:eastAsia="Arial" w:hAnsi="Arial"/>
                <w:sz w:val="19"/>
                <w:szCs w:val="19"/>
                <w:b w:val="1"/>
                <w:bCs w:val="1"/>
                <w:color w:val="000039"/>
                <w:vertAlign w:val="superscript"/>
              </w:rPr>
              <w:t>5</w:t>
            </w:r>
          </w:p>
        </w:tc>
      </w:tr>
      <w:tr>
        <w:trPr>
          <w:trHeight w:val="197"/>
        </w:trPr>
        <w:tc>
          <w:tcPr>
            <w:tcW w:w="4520" w:type="dxa"/>
            <w:vAlign w:val="bottom"/>
            <w:shd w:val="clear" w:color="auto" w:fill="E7E7E7"/>
          </w:tcPr>
          <w:p>
            <w:pPr>
              <w:spacing w:after="0" w:line="197" w:lineRule="exact"/>
              <w:rPr>
                <w:sz w:val="20"/>
                <w:szCs w:val="20"/>
                <w:color w:val="auto"/>
              </w:rPr>
            </w:pPr>
            <w:r>
              <w:rPr>
                <w:rFonts w:ascii="Arial" w:cs="Arial" w:eastAsia="Arial" w:hAnsi="Arial"/>
                <w:sz w:val="18"/>
                <w:szCs w:val="18"/>
                <w:b w:val="1"/>
                <w:bCs w:val="1"/>
                <w:color w:val="auto"/>
              </w:rPr>
              <w:t>As reported (GAAP)</w:t>
            </w:r>
          </w:p>
        </w:tc>
        <w:tc>
          <w:tcPr>
            <w:tcW w:w="500" w:type="dxa"/>
            <w:vAlign w:val="bottom"/>
            <w:shd w:val="clear" w:color="auto" w:fill="E7E7E7"/>
          </w:tcPr>
          <w:p>
            <w:pPr>
              <w:jc w:val="right"/>
              <w:ind w:right="30"/>
              <w:spacing w:after="0" w:line="197" w:lineRule="exact"/>
              <w:rPr>
                <w:sz w:val="20"/>
                <w:szCs w:val="20"/>
                <w:color w:val="auto"/>
              </w:rPr>
            </w:pPr>
            <w:r>
              <w:rPr>
                <w:rFonts w:ascii="Arial" w:cs="Arial" w:eastAsia="Arial" w:hAnsi="Arial"/>
                <w:sz w:val="18"/>
                <w:szCs w:val="18"/>
                <w:color w:val="auto"/>
              </w:rPr>
              <w:t>$</w:t>
            </w:r>
          </w:p>
        </w:tc>
        <w:tc>
          <w:tcPr>
            <w:tcW w:w="720" w:type="dxa"/>
            <w:vAlign w:val="bottom"/>
            <w:shd w:val="clear" w:color="auto" w:fill="E7E7E7"/>
          </w:tcPr>
          <w:p>
            <w:pPr>
              <w:jc w:val="right"/>
              <w:ind w:right="73"/>
              <w:spacing w:after="0" w:line="197" w:lineRule="exact"/>
              <w:rPr>
                <w:sz w:val="20"/>
                <w:szCs w:val="20"/>
                <w:color w:val="auto"/>
              </w:rPr>
            </w:pPr>
            <w:r>
              <w:rPr>
                <w:rFonts w:ascii="Arial" w:cs="Arial" w:eastAsia="Arial" w:hAnsi="Arial"/>
                <w:sz w:val="18"/>
                <w:szCs w:val="18"/>
                <w:color w:val="auto"/>
              </w:rPr>
              <w:t>2.36</w:t>
            </w:r>
          </w:p>
        </w:tc>
        <w:tc>
          <w:tcPr>
            <w:tcW w:w="380" w:type="dxa"/>
            <w:vAlign w:val="bottom"/>
            <w:shd w:val="clear" w:color="auto" w:fill="E7E7E7"/>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740" w:type="dxa"/>
            <w:vAlign w:val="bottom"/>
            <w:shd w:val="clear" w:color="auto" w:fill="E7E7E7"/>
          </w:tcPr>
          <w:p>
            <w:pPr>
              <w:jc w:val="right"/>
              <w:ind w:right="93"/>
              <w:spacing w:after="0" w:line="197" w:lineRule="exact"/>
              <w:rPr>
                <w:sz w:val="20"/>
                <w:szCs w:val="20"/>
                <w:color w:val="auto"/>
              </w:rPr>
            </w:pPr>
            <w:r>
              <w:rPr>
                <w:rFonts w:ascii="Arial" w:cs="Arial" w:eastAsia="Arial" w:hAnsi="Arial"/>
                <w:sz w:val="18"/>
                <w:szCs w:val="18"/>
                <w:color w:val="auto"/>
              </w:rPr>
              <w:t>2.39</w:t>
            </w:r>
          </w:p>
        </w:tc>
        <w:tc>
          <w:tcPr>
            <w:tcW w:w="380" w:type="dxa"/>
            <w:vAlign w:val="bottom"/>
            <w:shd w:val="clear" w:color="auto" w:fill="E7E7E7"/>
          </w:tcPr>
          <w:p>
            <w:pPr>
              <w:jc w:val="right"/>
              <w:ind w:right="30"/>
              <w:spacing w:after="0" w:line="197" w:lineRule="exact"/>
              <w:rPr>
                <w:sz w:val="20"/>
                <w:szCs w:val="20"/>
                <w:color w:val="auto"/>
              </w:rPr>
            </w:pPr>
            <w:r>
              <w:rPr>
                <w:rFonts w:ascii="Arial" w:cs="Arial" w:eastAsia="Arial" w:hAnsi="Arial"/>
                <w:sz w:val="18"/>
                <w:szCs w:val="18"/>
                <w:color w:val="auto"/>
              </w:rPr>
              <w:t>$</w:t>
            </w:r>
          </w:p>
        </w:tc>
        <w:tc>
          <w:tcPr>
            <w:tcW w:w="720" w:type="dxa"/>
            <w:vAlign w:val="bottom"/>
            <w:shd w:val="clear" w:color="auto" w:fill="E7E7E7"/>
          </w:tcPr>
          <w:p>
            <w:pPr>
              <w:jc w:val="right"/>
              <w:ind w:right="73"/>
              <w:spacing w:after="0" w:line="197" w:lineRule="exact"/>
              <w:rPr>
                <w:sz w:val="20"/>
                <w:szCs w:val="20"/>
                <w:color w:val="auto"/>
              </w:rPr>
            </w:pPr>
            <w:r>
              <w:rPr>
                <w:rFonts w:ascii="Arial" w:cs="Arial" w:eastAsia="Arial" w:hAnsi="Arial"/>
                <w:sz w:val="18"/>
                <w:szCs w:val="18"/>
                <w:color w:val="auto"/>
              </w:rPr>
              <w:t>2.72</w:t>
            </w:r>
          </w:p>
        </w:tc>
        <w:tc>
          <w:tcPr>
            <w:tcW w:w="380" w:type="dxa"/>
            <w:vAlign w:val="bottom"/>
            <w:shd w:val="clear" w:color="auto" w:fill="E7E7E7"/>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740" w:type="dxa"/>
            <w:vAlign w:val="bottom"/>
            <w:shd w:val="clear" w:color="auto" w:fill="E7E7E7"/>
          </w:tcPr>
          <w:p>
            <w:pPr>
              <w:jc w:val="right"/>
              <w:ind w:right="93"/>
              <w:spacing w:after="0" w:line="197" w:lineRule="exact"/>
              <w:rPr>
                <w:sz w:val="20"/>
                <w:szCs w:val="20"/>
                <w:color w:val="auto"/>
              </w:rPr>
            </w:pPr>
            <w:r>
              <w:rPr>
                <w:rFonts w:ascii="Arial" w:cs="Arial" w:eastAsia="Arial" w:hAnsi="Arial"/>
                <w:sz w:val="18"/>
                <w:szCs w:val="18"/>
                <w:color w:val="auto"/>
              </w:rPr>
              <w:t>6.63</w:t>
            </w:r>
          </w:p>
        </w:tc>
        <w:tc>
          <w:tcPr>
            <w:tcW w:w="380" w:type="dxa"/>
            <w:vAlign w:val="bottom"/>
            <w:shd w:val="clear" w:color="auto" w:fill="E7E7E7"/>
          </w:tcPr>
          <w:p>
            <w:pPr>
              <w:jc w:val="right"/>
              <w:ind w:right="30"/>
              <w:spacing w:after="0" w:line="197" w:lineRule="exact"/>
              <w:rPr>
                <w:sz w:val="20"/>
                <w:szCs w:val="20"/>
                <w:color w:val="auto"/>
              </w:rPr>
            </w:pPr>
            <w:r>
              <w:rPr>
                <w:rFonts w:ascii="Arial" w:cs="Arial" w:eastAsia="Arial" w:hAnsi="Arial"/>
                <w:sz w:val="18"/>
                <w:szCs w:val="18"/>
                <w:color w:val="auto"/>
              </w:rPr>
              <w:t>$</w:t>
            </w:r>
          </w:p>
        </w:tc>
        <w:tc>
          <w:tcPr>
            <w:tcW w:w="62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6.45</w:t>
            </w: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50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7.64</w:t>
            </w:r>
          </w:p>
        </w:tc>
        <w:tc>
          <w:tcPr>
            <w:tcW w:w="38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7.73</w:t>
            </w:r>
          </w:p>
        </w:tc>
        <w:tc>
          <w:tcPr>
            <w:tcW w:w="38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8.39</w:t>
            </w:r>
          </w:p>
        </w:tc>
        <w:tc>
          <w:tcPr>
            <w:tcW w:w="38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7.14</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2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adjusted (non</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color w:val="auto"/>
              </w:rPr>
              <w:t>GAAP)</w:t>
            </w:r>
          </w:p>
        </w:tc>
        <w:tc>
          <w:tcPr>
            <w:tcW w:w="500" w:type="dxa"/>
            <w:vAlign w:val="bottom"/>
            <w:tcBorders>
              <w:bottom w:val="single" w:sz="8" w:color="auto"/>
            </w:tcBorders>
            <w:shd w:val="clear" w:color="auto" w:fill="E7E7E7"/>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7E7E7"/>
          </w:tcPr>
          <w:p>
            <w:pPr>
              <w:jc w:val="right"/>
              <w:ind w:right="73"/>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shd w:val="clear" w:color="auto" w:fill="E7E7E7"/>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7E7E7"/>
          </w:tcPr>
          <w:p>
            <w:pPr>
              <w:jc w:val="right"/>
              <w:ind w:right="93"/>
              <w:spacing w:after="0"/>
              <w:rPr>
                <w:sz w:val="20"/>
                <w:szCs w:val="20"/>
                <w:color w:val="auto"/>
              </w:rPr>
            </w:pPr>
            <w:r>
              <w:rPr>
                <w:rFonts w:ascii="Arial" w:cs="Arial" w:eastAsia="Arial" w:hAnsi="Arial"/>
                <w:sz w:val="18"/>
                <w:szCs w:val="18"/>
                <w:color w:val="auto"/>
              </w:rPr>
              <w:t>10.12</w:t>
            </w:r>
          </w:p>
        </w:tc>
        <w:tc>
          <w:tcPr>
            <w:tcW w:w="380" w:type="dxa"/>
            <w:vAlign w:val="bottom"/>
            <w:tcBorders>
              <w:bottom w:val="single" w:sz="8" w:color="auto"/>
            </w:tcBorders>
            <w:shd w:val="clear" w:color="auto" w:fill="E7E7E7"/>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7E7E7"/>
          </w:tcPr>
          <w:p>
            <w:pPr>
              <w:jc w:val="right"/>
              <w:ind w:right="73"/>
              <w:spacing w:after="0"/>
              <w:rPr>
                <w:sz w:val="20"/>
                <w:szCs w:val="20"/>
                <w:color w:val="auto"/>
              </w:rPr>
            </w:pPr>
            <w:r>
              <w:rPr>
                <w:rFonts w:ascii="Arial" w:cs="Arial" w:eastAsia="Arial" w:hAnsi="Arial"/>
                <w:sz w:val="18"/>
                <w:szCs w:val="18"/>
                <w:color w:val="auto"/>
              </w:rPr>
              <w:t>11.11</w:t>
            </w:r>
          </w:p>
        </w:tc>
        <w:tc>
          <w:tcPr>
            <w:tcW w:w="380" w:type="dxa"/>
            <w:vAlign w:val="bottom"/>
            <w:tcBorders>
              <w:bottom w:val="single" w:sz="8" w:color="auto"/>
            </w:tcBorders>
            <w:shd w:val="clear" w:color="auto" w:fill="E7E7E7"/>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7E7E7"/>
          </w:tcPr>
          <w:p>
            <w:pPr>
              <w:jc w:val="right"/>
              <w:ind w:right="93"/>
              <w:spacing w:after="0"/>
              <w:rPr>
                <w:sz w:val="20"/>
                <w:szCs w:val="20"/>
                <w:color w:val="auto"/>
              </w:rPr>
            </w:pPr>
            <w:r>
              <w:rPr>
                <w:rFonts w:ascii="Arial" w:cs="Arial" w:eastAsia="Arial" w:hAnsi="Arial"/>
                <w:sz w:val="18"/>
                <w:szCs w:val="18"/>
                <w:color w:val="auto"/>
              </w:rPr>
              <w:t>13.77</w:t>
            </w:r>
          </w:p>
        </w:tc>
        <w:tc>
          <w:tcPr>
            <w:tcW w:w="380" w:type="dxa"/>
            <w:vAlign w:val="bottom"/>
            <w:tcBorders>
              <w:bottom w:val="single" w:sz="8" w:color="auto"/>
            </w:tcBorders>
            <w:shd w:val="clear" w:color="auto" w:fill="E7E7E7"/>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8"/>
                <w:szCs w:val="18"/>
                <w:color w:val="auto"/>
              </w:rPr>
              <w:t>11.83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-139700</wp:posOffset>
                </wp:positionV>
                <wp:extent cx="6400800" cy="133985"/>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33985"/>
                        </a:xfrm>
                        <a:prstGeom prst="rect">
                          <a:avLst/>
                        </a:prstGeom>
                        <a:solidFill>
                          <a:srgbClr val="E7E7E7"/>
                        </a:solidFill>
                      </wps:spPr>
                      <wps:bodyPr/>
                    </wps:wsp>
                  </a:graphicData>
                </a:graphic>
              </wp:anchor>
            </w:drawing>
          </mc:Choice>
          <mc:Fallback>
            <w:pict>
              <v:rect id="Shape 625" o:spid="_x0000_s1650" style="position:absolute;margin-left:1pt;margin-top:-11pt;width:504pt;height:1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7" stroked="f"/>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-142875</wp:posOffset>
                </wp:positionV>
                <wp:extent cx="6400800" cy="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1.2499pt" to="505pt,-11.2499pt" o:allowincell="f" strokecolor="#000000" strokeweight="0.4799pt"/>
            </w:pict>
          </mc:Fallback>
        </mc:AlternateContent>
      </w:r>
    </w:p>
    <w:p>
      <w:pPr>
        <w:spacing w:after="0" w:line="219" w:lineRule="exact"/>
        <w:rPr>
          <w:sz w:val="20"/>
          <w:szCs w:val="20"/>
          <w:color w:val="auto"/>
        </w:rPr>
      </w:pPr>
    </w:p>
    <w:p>
      <w:pPr>
        <w:ind w:left="20" w:right="580"/>
        <w:spacing w:after="0" w:line="225" w:lineRule="auto"/>
        <w:tabs>
          <w:tab w:leader="none" w:pos="120" w:val="left"/>
        </w:tabs>
        <w:numPr>
          <w:ilvl w:val="0"/>
          <w:numId w:val="159"/>
        </w:numPr>
        <w:rPr>
          <w:rFonts w:ascii="Arial" w:cs="Arial" w:eastAsia="Arial" w:hAnsi="Arial"/>
          <w:sz w:val="20"/>
          <w:szCs w:val="20"/>
          <w:color w:val="auto"/>
          <w:vertAlign w:val="superscript"/>
        </w:rPr>
      </w:pPr>
      <w:r>
        <w:rPr>
          <w:rFonts w:ascii="Arial" w:cs="Arial" w:eastAsia="Arial" w:hAnsi="Arial"/>
          <w:sz w:val="16"/>
          <w:szCs w:val="16"/>
          <w:color w:val="auto"/>
        </w:rPr>
        <w:t>2025 specified items – Intangible asset amortization - $3.50, change in fair value of contingent consideration - $3.56, intangible asset impairment - $0.39, acquisition and integration costs - $0.15, and other - $0.04.</w:t>
      </w:r>
    </w:p>
    <w:p>
      <w:pPr>
        <w:ind w:left="20" w:right="580"/>
        <w:spacing w:after="0" w:line="212" w:lineRule="auto"/>
        <w:tabs>
          <w:tab w:leader="none" w:pos="120" w:val="left"/>
        </w:tabs>
        <w:numPr>
          <w:ilvl w:val="0"/>
          <w:numId w:val="159"/>
        </w:numPr>
        <w:rPr>
          <w:rFonts w:ascii="Arial" w:cs="Arial" w:eastAsia="Arial" w:hAnsi="Arial"/>
          <w:sz w:val="20"/>
          <w:szCs w:val="20"/>
          <w:color w:val="auto"/>
          <w:vertAlign w:val="superscript"/>
        </w:rPr>
      </w:pPr>
      <w:r>
        <w:rPr>
          <w:rFonts w:ascii="Arial" w:cs="Arial" w:eastAsia="Arial" w:hAnsi="Arial"/>
          <w:sz w:val="16"/>
          <w:szCs w:val="16"/>
          <w:color w:val="auto"/>
        </w:rPr>
        <w:t>2024 specified items – Intangible asset amortization - $3.63, change in fair value of contingent consideration - $2.07, intangible asset impairment - $1.98, acquisition related costs - $0.55, litigation matters - $0.41, income tax items - ($1.02), and other - $0.11.</w:t>
      </w:r>
    </w:p>
    <w:p>
      <w:pPr>
        <w:spacing w:after="0" w:line="1" w:lineRule="exact"/>
        <w:rPr>
          <w:rFonts w:ascii="Arial" w:cs="Arial" w:eastAsia="Arial" w:hAnsi="Arial"/>
          <w:sz w:val="20"/>
          <w:szCs w:val="20"/>
          <w:color w:val="auto"/>
          <w:vertAlign w:val="superscript"/>
        </w:rPr>
      </w:pPr>
    </w:p>
    <w:p>
      <w:pPr>
        <w:ind w:left="20" w:right="580"/>
        <w:spacing w:after="0" w:line="213" w:lineRule="auto"/>
        <w:tabs>
          <w:tab w:leader="none" w:pos="120" w:val="left"/>
        </w:tabs>
        <w:numPr>
          <w:ilvl w:val="0"/>
          <w:numId w:val="159"/>
        </w:numPr>
        <w:rPr>
          <w:rFonts w:ascii="Arial" w:cs="Arial" w:eastAsia="Arial" w:hAnsi="Arial"/>
          <w:sz w:val="20"/>
          <w:szCs w:val="20"/>
          <w:color w:val="auto"/>
          <w:vertAlign w:val="superscript"/>
        </w:rPr>
      </w:pPr>
      <w:r>
        <w:rPr>
          <w:rFonts w:ascii="Arial" w:cs="Arial" w:eastAsia="Arial" w:hAnsi="Arial"/>
          <w:sz w:val="16"/>
          <w:szCs w:val="16"/>
          <w:color w:val="auto"/>
        </w:rPr>
        <w:t>2023 specified items – Intangible asset amortization - $3.76, change in fair value of contingent consideration - $2.81, intangible asset impairment - $1.96, litigation matters - ($0.22), acquisition related costs - $0.07, and other - $0.01.</w:t>
      </w:r>
    </w:p>
    <w:p>
      <w:pPr>
        <w:spacing w:after="0" w:line="1" w:lineRule="exact"/>
        <w:rPr>
          <w:rFonts w:ascii="Arial" w:cs="Arial" w:eastAsia="Arial" w:hAnsi="Arial"/>
          <w:sz w:val="20"/>
          <w:szCs w:val="20"/>
          <w:color w:val="auto"/>
          <w:vertAlign w:val="superscript"/>
        </w:rPr>
      </w:pPr>
    </w:p>
    <w:p>
      <w:pPr>
        <w:ind w:left="20" w:right="440"/>
        <w:spacing w:after="0" w:line="221" w:lineRule="auto"/>
        <w:tabs>
          <w:tab w:leader="none" w:pos="120" w:val="left"/>
        </w:tabs>
        <w:numPr>
          <w:ilvl w:val="0"/>
          <w:numId w:val="159"/>
        </w:numPr>
        <w:rPr>
          <w:rFonts w:ascii="Arial" w:cs="Arial" w:eastAsia="Arial" w:hAnsi="Arial"/>
          <w:sz w:val="20"/>
          <w:szCs w:val="20"/>
          <w:color w:val="auto"/>
          <w:vertAlign w:val="superscript"/>
        </w:rPr>
      </w:pPr>
      <w:r>
        <w:rPr>
          <w:rFonts w:ascii="Arial" w:cs="Arial" w:eastAsia="Arial" w:hAnsi="Arial"/>
          <w:sz w:val="16"/>
          <w:szCs w:val="16"/>
          <w:color w:val="auto"/>
        </w:rPr>
        <w:t>2022 specified items – Intangible asset amortization - $3.61, change in fair value of contingent consideration - $1.55, litigation matters - $1.13, acquisition related costs - $0.43, intangible asset impairment - $0.34, income tax items - ($0.18), Pylera divestiture - ($0.07), and other - $0.33.</w:t>
      </w:r>
    </w:p>
    <w:p>
      <w:pPr>
        <w:spacing w:after="0" w:line="1" w:lineRule="exact"/>
        <w:rPr>
          <w:rFonts w:ascii="Arial" w:cs="Arial" w:eastAsia="Arial" w:hAnsi="Arial"/>
          <w:sz w:val="20"/>
          <w:szCs w:val="20"/>
          <w:color w:val="auto"/>
          <w:vertAlign w:val="superscript"/>
        </w:rPr>
      </w:pPr>
    </w:p>
    <w:p>
      <w:pPr>
        <w:ind w:left="20" w:right="440"/>
        <w:spacing w:after="0" w:line="219" w:lineRule="auto"/>
        <w:tabs>
          <w:tab w:leader="none" w:pos="120" w:val="left"/>
        </w:tabs>
        <w:numPr>
          <w:ilvl w:val="0"/>
          <w:numId w:val="159"/>
        </w:numPr>
        <w:rPr>
          <w:rFonts w:ascii="Arial" w:cs="Arial" w:eastAsia="Arial" w:hAnsi="Arial"/>
          <w:sz w:val="20"/>
          <w:szCs w:val="20"/>
          <w:color w:val="auto"/>
          <w:vertAlign w:val="superscript"/>
        </w:rPr>
      </w:pPr>
      <w:r>
        <w:rPr>
          <w:rFonts w:ascii="Arial" w:cs="Arial" w:eastAsia="Arial" w:hAnsi="Arial"/>
          <w:sz w:val="16"/>
          <w:szCs w:val="16"/>
          <w:color w:val="auto"/>
        </w:rPr>
        <w:t>2021 specified items – Intangible asset amortization - $3.60, change in fair value of contingent consideration - $1.50, litigation matters - $0.14, acquisition related costs - $0.12, income tax items - ($0.15), and other - $0.17.</w:t>
      </w:r>
    </w:p>
    <w:p>
      <w:pPr>
        <w:spacing w:after="0" w:line="195" w:lineRule="exact"/>
        <w:rPr>
          <w:sz w:val="20"/>
          <w:szCs w:val="20"/>
          <w:color w:val="auto"/>
        </w:rPr>
      </w:pPr>
    </w:p>
    <w:p>
      <w:pPr>
        <w:ind w:left="740" w:hanging="720"/>
        <w:spacing w:after="0"/>
        <w:tabs>
          <w:tab w:leader="none" w:pos="7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R&amp;D Expense since 2013 Inception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000039"/>
              </w:rPr>
              <w:t>2025</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000039"/>
              </w:rPr>
              <w:t>2024</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000039"/>
              </w:rPr>
              <w:t>2023</w:t>
            </w:r>
          </w:p>
        </w:tc>
        <w:tc>
          <w:tcPr>
            <w:tcW w:w="13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b w:val="1"/>
                <w:bCs w:val="1"/>
                <w:color w:val="000039"/>
              </w:rPr>
              <w:t>2013 - 2022</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000039"/>
              </w:rPr>
              <w:t>Total</w:t>
            </w:r>
          </w:p>
        </w:tc>
      </w:tr>
      <w:tr>
        <w:trPr>
          <w:trHeight w:val="197"/>
        </w:trPr>
        <w:tc>
          <w:tcPr>
            <w:tcW w:w="20" w:type="dxa"/>
            <w:vAlign w:val="bottom"/>
          </w:tcPr>
          <w:p>
            <w:pPr>
              <w:spacing w:after="0"/>
              <w:rPr>
                <w:sz w:val="17"/>
                <w:szCs w:val="17"/>
                <w:color w:val="auto"/>
              </w:rPr>
            </w:pPr>
          </w:p>
        </w:tc>
        <w:tc>
          <w:tcPr>
            <w:tcW w:w="2460" w:type="dxa"/>
            <w:vAlign w:val="bottom"/>
            <w:shd w:val="clear" w:color="auto" w:fill="E7E7E7"/>
          </w:tcPr>
          <w:p>
            <w:pPr>
              <w:spacing w:after="0" w:line="197" w:lineRule="exact"/>
              <w:rPr>
                <w:sz w:val="20"/>
                <w:szCs w:val="20"/>
                <w:color w:val="auto"/>
              </w:rPr>
            </w:pPr>
            <w:r>
              <w:rPr>
                <w:rFonts w:ascii="Arial" w:cs="Arial" w:eastAsia="Arial" w:hAnsi="Arial"/>
                <w:sz w:val="18"/>
                <w:szCs w:val="18"/>
                <w:b w:val="1"/>
                <w:bCs w:val="1"/>
                <w:color w:val="auto"/>
              </w:rPr>
              <w:t>As reported (GAAP)</w:t>
            </w:r>
          </w:p>
        </w:tc>
        <w:tc>
          <w:tcPr>
            <w:tcW w:w="500" w:type="dxa"/>
            <w:vAlign w:val="bottom"/>
            <w:shd w:val="clear" w:color="auto" w:fill="E7E7E7"/>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940" w:type="dxa"/>
            <w:vAlign w:val="bottom"/>
            <w:shd w:val="clear" w:color="auto" w:fill="E7E7E7"/>
          </w:tcPr>
          <w:p>
            <w:pPr>
              <w:jc w:val="right"/>
              <w:ind w:right="113"/>
              <w:spacing w:after="0" w:line="197" w:lineRule="exact"/>
              <w:rPr>
                <w:sz w:val="20"/>
                <w:szCs w:val="20"/>
                <w:color w:val="auto"/>
              </w:rPr>
            </w:pPr>
            <w:r>
              <w:rPr>
                <w:rFonts w:ascii="Arial" w:cs="Arial" w:eastAsia="Arial" w:hAnsi="Arial"/>
                <w:sz w:val="18"/>
                <w:szCs w:val="18"/>
                <w:color w:val="auto"/>
              </w:rPr>
              <w:t>9,096</w:t>
            </w:r>
          </w:p>
        </w:tc>
        <w:tc>
          <w:tcPr>
            <w:tcW w:w="360" w:type="dxa"/>
            <w:vAlign w:val="bottom"/>
            <w:shd w:val="clear" w:color="auto" w:fill="E7E7E7"/>
          </w:tcPr>
          <w:p>
            <w:pPr>
              <w:jc w:val="right"/>
              <w:ind w:right="30"/>
              <w:spacing w:after="0" w:line="197" w:lineRule="exact"/>
              <w:rPr>
                <w:sz w:val="20"/>
                <w:szCs w:val="20"/>
                <w:color w:val="auto"/>
              </w:rPr>
            </w:pPr>
            <w:r>
              <w:rPr>
                <w:rFonts w:ascii="Arial" w:cs="Arial" w:eastAsia="Arial" w:hAnsi="Arial"/>
                <w:sz w:val="18"/>
                <w:szCs w:val="18"/>
                <w:color w:val="auto"/>
              </w:rPr>
              <w:t>$</w:t>
            </w:r>
          </w:p>
        </w:tc>
        <w:tc>
          <w:tcPr>
            <w:tcW w:w="940" w:type="dxa"/>
            <w:vAlign w:val="bottom"/>
            <w:shd w:val="clear" w:color="auto" w:fill="E7E7E7"/>
          </w:tcPr>
          <w:p>
            <w:pPr>
              <w:jc w:val="right"/>
              <w:ind w:right="113"/>
              <w:spacing w:after="0" w:line="197" w:lineRule="exact"/>
              <w:rPr>
                <w:sz w:val="20"/>
                <w:szCs w:val="20"/>
                <w:color w:val="auto"/>
              </w:rPr>
            </w:pPr>
            <w:r>
              <w:rPr>
                <w:rFonts w:ascii="Arial" w:cs="Arial" w:eastAsia="Arial" w:hAnsi="Arial"/>
                <w:sz w:val="18"/>
                <w:szCs w:val="18"/>
                <w:color w:val="auto"/>
              </w:rPr>
              <w:t>12,791</w:t>
            </w:r>
          </w:p>
        </w:tc>
        <w:tc>
          <w:tcPr>
            <w:tcW w:w="360" w:type="dxa"/>
            <w:vAlign w:val="bottom"/>
            <w:shd w:val="clear" w:color="auto" w:fill="E7E7E7"/>
          </w:tcPr>
          <w:p>
            <w:pPr>
              <w:jc w:val="right"/>
              <w:ind w:right="30"/>
              <w:spacing w:after="0" w:line="197" w:lineRule="exact"/>
              <w:rPr>
                <w:sz w:val="20"/>
                <w:szCs w:val="20"/>
                <w:color w:val="auto"/>
              </w:rPr>
            </w:pPr>
            <w:r>
              <w:rPr>
                <w:rFonts w:ascii="Arial" w:cs="Arial" w:eastAsia="Arial" w:hAnsi="Arial"/>
                <w:sz w:val="18"/>
                <w:szCs w:val="18"/>
                <w:color w:val="auto"/>
              </w:rPr>
              <w:t>$</w:t>
            </w:r>
          </w:p>
        </w:tc>
        <w:tc>
          <w:tcPr>
            <w:tcW w:w="920" w:type="dxa"/>
            <w:vAlign w:val="bottom"/>
            <w:shd w:val="clear" w:color="auto" w:fill="E7E7E7"/>
          </w:tcPr>
          <w:p>
            <w:pPr>
              <w:jc w:val="right"/>
              <w:ind w:right="113"/>
              <w:spacing w:after="0" w:line="197" w:lineRule="exact"/>
              <w:rPr>
                <w:sz w:val="20"/>
                <w:szCs w:val="20"/>
                <w:color w:val="auto"/>
              </w:rPr>
            </w:pPr>
            <w:r>
              <w:rPr>
                <w:rFonts w:ascii="Arial" w:cs="Arial" w:eastAsia="Arial" w:hAnsi="Arial"/>
                <w:sz w:val="18"/>
                <w:szCs w:val="18"/>
                <w:color w:val="auto"/>
              </w:rPr>
              <w:t>7,675</w:t>
            </w:r>
          </w:p>
        </w:tc>
        <w:tc>
          <w:tcPr>
            <w:tcW w:w="400" w:type="dxa"/>
            <w:vAlign w:val="bottom"/>
            <w:shd w:val="clear" w:color="auto" w:fill="E7E7E7"/>
          </w:tcPr>
          <w:p>
            <w:pPr>
              <w:jc w:val="right"/>
              <w:ind w:right="73"/>
              <w:spacing w:after="0" w:line="197" w:lineRule="exact"/>
              <w:rPr>
                <w:sz w:val="20"/>
                <w:szCs w:val="20"/>
                <w:color w:val="auto"/>
              </w:rPr>
            </w:pPr>
            <w:r>
              <w:rPr>
                <w:rFonts w:ascii="Arial" w:cs="Arial" w:eastAsia="Arial" w:hAnsi="Arial"/>
                <w:sz w:val="18"/>
                <w:szCs w:val="18"/>
                <w:color w:val="auto"/>
              </w:rPr>
              <w:t>$</w:t>
            </w:r>
          </w:p>
        </w:tc>
        <w:tc>
          <w:tcPr>
            <w:tcW w:w="900" w:type="dxa"/>
            <w:vAlign w:val="bottom"/>
            <w:shd w:val="clear" w:color="auto" w:fill="E7E7E7"/>
          </w:tcPr>
          <w:p>
            <w:pPr>
              <w:jc w:val="right"/>
              <w:ind w:right="110"/>
              <w:spacing w:after="0" w:line="197" w:lineRule="exact"/>
              <w:rPr>
                <w:sz w:val="20"/>
                <w:szCs w:val="20"/>
                <w:color w:val="auto"/>
              </w:rPr>
            </w:pPr>
            <w:r>
              <w:rPr>
                <w:rFonts w:ascii="Arial" w:cs="Arial" w:eastAsia="Arial" w:hAnsi="Arial"/>
                <w:sz w:val="18"/>
                <w:szCs w:val="18"/>
                <w:color w:val="auto"/>
              </w:rPr>
              <w:t>55,741</w:t>
            </w:r>
          </w:p>
        </w:tc>
        <w:tc>
          <w:tcPr>
            <w:tcW w:w="340" w:type="dxa"/>
            <w:vAlign w:val="bottom"/>
            <w:shd w:val="clear" w:color="auto" w:fill="E7E7E7"/>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80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85,303</w:t>
            </w: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500" w:type="dxa"/>
            <w:vAlign w:val="bottom"/>
          </w:tcPr>
          <w:p>
            <w:pPr>
              <w:spacing w:after="0"/>
              <w:rPr>
                <w:sz w:val="17"/>
                <w:szCs w:val="17"/>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7"/>
                <w:szCs w:val="17"/>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(4,735)</w:t>
            </w:r>
          </w:p>
        </w:tc>
        <w:tc>
          <w:tcPr>
            <w:tcW w:w="360" w:type="dxa"/>
            <w:vAlign w:val="bottom"/>
          </w:tcPr>
          <w:p>
            <w:pPr>
              <w:spacing w:after="0"/>
              <w:rPr>
                <w:sz w:val="17"/>
                <w:szCs w:val="17"/>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(646)</w:t>
            </w:r>
          </w:p>
        </w:tc>
        <w:tc>
          <w:tcPr>
            <w:tcW w:w="40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(8,151)</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(13,643)</w:t>
            </w:r>
          </w:p>
        </w:tc>
      </w:tr>
      <w:tr>
        <w:trPr>
          <w:trHeight w:val="221"/>
        </w:trPr>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adjusted (non</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color w:val="auto"/>
              </w:rPr>
              <w:t>GAAP)</w:t>
            </w:r>
          </w:p>
        </w:tc>
        <w:tc>
          <w:tcPr>
            <w:tcW w:w="500" w:type="dxa"/>
            <w:vAlign w:val="bottom"/>
            <w:tcBorders>
              <w:bottom w:val="single" w:sz="8" w:color="auto"/>
            </w:tcBorders>
            <w:shd w:val="clear" w:color="auto" w:fill="E7E7E7"/>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7E7E7"/>
          </w:tcPr>
          <w:p>
            <w:pPr>
              <w:jc w:val="right"/>
              <w:ind w:right="113"/>
              <w:spacing w:after="0"/>
              <w:rPr>
                <w:sz w:val="20"/>
                <w:szCs w:val="20"/>
                <w:color w:val="auto"/>
              </w:rPr>
            </w:pPr>
            <w:r>
              <w:rPr>
                <w:rFonts w:ascii="Arial" w:cs="Arial" w:eastAsia="Arial" w:hAnsi="Arial"/>
                <w:sz w:val="18"/>
                <w:szCs w:val="18"/>
                <w:color w:val="auto"/>
              </w:rPr>
              <w:t>8,985</w:t>
            </w:r>
          </w:p>
        </w:tc>
        <w:tc>
          <w:tcPr>
            <w:tcW w:w="360" w:type="dxa"/>
            <w:vAlign w:val="bottom"/>
            <w:tcBorders>
              <w:bottom w:val="single" w:sz="8" w:color="auto"/>
            </w:tcBorders>
            <w:shd w:val="clear" w:color="auto" w:fill="E7E7E7"/>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7E7E7"/>
          </w:tcPr>
          <w:p>
            <w:pPr>
              <w:jc w:val="right"/>
              <w:ind w:right="113"/>
              <w:spacing w:after="0"/>
              <w:rPr>
                <w:sz w:val="20"/>
                <w:szCs w:val="20"/>
                <w:color w:val="auto"/>
              </w:rPr>
            </w:pPr>
            <w:r>
              <w:rPr>
                <w:rFonts w:ascii="Arial" w:cs="Arial" w:eastAsia="Arial" w:hAnsi="Arial"/>
                <w:sz w:val="18"/>
                <w:szCs w:val="18"/>
                <w:color w:val="auto"/>
              </w:rPr>
              <w:t>8,056</w:t>
            </w:r>
          </w:p>
        </w:tc>
        <w:tc>
          <w:tcPr>
            <w:tcW w:w="360" w:type="dxa"/>
            <w:vAlign w:val="bottom"/>
            <w:tcBorders>
              <w:bottom w:val="single" w:sz="8" w:color="auto"/>
            </w:tcBorders>
            <w:shd w:val="clear" w:color="auto" w:fill="E7E7E7"/>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7E7E7"/>
          </w:tcPr>
          <w:p>
            <w:pPr>
              <w:jc w:val="right"/>
              <w:ind w:right="113"/>
              <w:spacing w:after="0"/>
              <w:rPr>
                <w:sz w:val="20"/>
                <w:szCs w:val="20"/>
                <w:color w:val="auto"/>
              </w:rPr>
            </w:pPr>
            <w:r>
              <w:rPr>
                <w:rFonts w:ascii="Arial" w:cs="Arial" w:eastAsia="Arial" w:hAnsi="Arial"/>
                <w:sz w:val="18"/>
                <w:szCs w:val="18"/>
                <w:color w:val="auto"/>
              </w:rPr>
              <w:t>7,029</w:t>
            </w:r>
          </w:p>
        </w:tc>
        <w:tc>
          <w:tcPr>
            <w:tcW w:w="400" w:type="dxa"/>
            <w:vAlign w:val="bottom"/>
            <w:tcBorders>
              <w:bottom w:val="single" w:sz="8" w:color="auto"/>
            </w:tcBorders>
            <w:shd w:val="clear" w:color="auto" w:fill="E7E7E7"/>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7E7E7"/>
          </w:tcPr>
          <w:p>
            <w:pPr>
              <w:jc w:val="right"/>
              <w:ind w:right="110"/>
              <w:spacing w:after="0"/>
              <w:rPr>
                <w:sz w:val="20"/>
                <w:szCs w:val="20"/>
                <w:color w:val="auto"/>
              </w:rPr>
            </w:pPr>
            <w:r>
              <w:rPr>
                <w:rFonts w:ascii="Arial" w:cs="Arial" w:eastAsia="Arial" w:hAnsi="Arial"/>
                <w:sz w:val="18"/>
                <w:szCs w:val="18"/>
                <w:color w:val="auto"/>
              </w:rPr>
              <w:t>47,590</w:t>
            </w:r>
          </w:p>
        </w:tc>
        <w:tc>
          <w:tcPr>
            <w:tcW w:w="340" w:type="dxa"/>
            <w:vAlign w:val="bottom"/>
            <w:tcBorders>
              <w:bottom w:val="single" w:sz="8" w:color="auto"/>
            </w:tcBorders>
            <w:shd w:val="clear" w:color="auto" w:fill="E7E7E7"/>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8"/>
                <w:szCs w:val="18"/>
                <w:color w:val="auto"/>
              </w:rPr>
              <w:t>71,660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-139700</wp:posOffset>
                </wp:positionV>
                <wp:extent cx="5662295" cy="133350"/>
                <wp:wrapNone/>
                <wp:docPr id="627" name="Shape 6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62295" cy="133350"/>
                        </a:xfrm>
                        <a:prstGeom prst="rect">
                          <a:avLst/>
                        </a:prstGeom>
                        <a:solidFill>
                          <a:srgbClr val="E7E7E7"/>
                        </a:solidFill>
                      </wps:spPr>
                      <wps:bodyPr/>
                    </wps:wsp>
                  </a:graphicData>
                </a:graphic>
              </wp:anchor>
            </w:drawing>
          </mc:Choice>
          <mc:Fallback>
            <w:pict>
              <v:rect id="Shape 627" o:spid="_x0000_s1652" style="position:absolute;margin-left:1pt;margin-top:-11pt;width:445.8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7" stroked="f"/>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-143510</wp:posOffset>
                </wp:positionV>
                <wp:extent cx="5662295" cy="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622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28" o:spid="_x0000_s16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1.2999pt" to="446.85pt,-11.2999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2700" w:val="left"/>
        </w:tabs>
        <w:rPr>
          <w:sz w:val="20"/>
          <w:szCs w:val="20"/>
          <w:color w:val="auto"/>
        </w:rPr>
      </w:pPr>
      <w:r>
        <w:rPr>
          <w:rFonts w:ascii="Arial" w:cs="Arial" w:eastAsia="Arial" w:hAnsi="Arial"/>
          <w:sz w:val="20"/>
          <w:szCs w:val="20"/>
          <w:color w:val="auto"/>
        </w:rPr>
        <w:t xml:space="preserve">B-1  </w:t>
      </w:r>
      <w:r>
        <w:rPr>
          <w:sz w:val="1"/>
          <w:szCs w:val="1"/>
          <w:color w:val="auto"/>
        </w:rPr>
        <w:drawing>
          <wp:inline distT="0" distB="0" distL="0" distR="0">
            <wp:extent cx="991870" cy="200660"/>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277">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100"/>
          </w:cols>
          <w:pgMar w:left="880" w:top="879" w:right="900" w:bottom="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20"/>
                <w:szCs w:val="20"/>
                <w:color w:val="auto"/>
              </w:rPr>
              <w:t>4.</w:t>
            </w:r>
          </w:p>
        </w:tc>
        <w:tc>
          <w:tcPr>
            <w:tcW w:w="4660" w:type="dxa"/>
            <w:vAlign w:val="bottom"/>
          </w:tcPr>
          <w:p>
            <w:pPr>
              <w:ind w:left="280"/>
              <w:spacing w:after="0"/>
              <w:rPr>
                <w:sz w:val="20"/>
                <w:szCs w:val="20"/>
                <w:color w:val="auto"/>
              </w:rPr>
            </w:pPr>
            <w:r>
              <w:rPr>
                <w:rFonts w:ascii="Arial" w:cs="Arial" w:eastAsia="Arial" w:hAnsi="Arial"/>
                <w:sz w:val="20"/>
                <w:szCs w:val="20"/>
                <w:color w:val="auto"/>
              </w:rPr>
              <w:t>Adjusted R&amp;D Investment since 2013 Inception</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66"/>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000039"/>
              </w:rPr>
              <w:t>2025</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000039"/>
              </w:rPr>
              <w:t>2024</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000039"/>
              </w:rPr>
              <w:t>2023</w:t>
            </w: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000039"/>
              </w:rPr>
              <w:t>2013 - 2022</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000039"/>
              </w:rPr>
              <w:t>Total</w:t>
            </w:r>
          </w:p>
        </w:tc>
      </w:tr>
      <w:tr>
        <w:trPr>
          <w:trHeight w:val="197"/>
        </w:trPr>
        <w:tc>
          <w:tcPr>
            <w:tcW w:w="20" w:type="dxa"/>
            <w:vAlign w:val="bottom"/>
          </w:tcPr>
          <w:p>
            <w:pPr>
              <w:spacing w:after="0"/>
              <w:rPr>
                <w:sz w:val="17"/>
                <w:szCs w:val="17"/>
                <w:color w:val="auto"/>
              </w:rPr>
            </w:pPr>
          </w:p>
        </w:tc>
        <w:tc>
          <w:tcPr>
            <w:tcW w:w="5100" w:type="dxa"/>
            <w:vAlign w:val="bottom"/>
            <w:gridSpan w:val="2"/>
            <w:shd w:val="clear" w:color="auto" w:fill="E7E7E7"/>
          </w:tcPr>
          <w:p>
            <w:pPr>
              <w:spacing w:after="0" w:line="197" w:lineRule="exact"/>
              <w:rPr>
                <w:sz w:val="20"/>
                <w:szCs w:val="20"/>
                <w:color w:val="auto"/>
              </w:rPr>
            </w:pPr>
            <w:r>
              <w:rPr>
                <w:rFonts w:ascii="Arial" w:cs="Arial" w:eastAsia="Arial" w:hAnsi="Arial"/>
                <w:sz w:val="18"/>
                <w:szCs w:val="18"/>
                <w:b w:val="1"/>
                <w:bCs w:val="1"/>
                <w:color w:val="auto"/>
              </w:rPr>
              <w:t>R&amp;D Expense as adjusted (non-GAAP)</w:t>
            </w:r>
          </w:p>
        </w:tc>
        <w:tc>
          <w:tcPr>
            <w:tcW w:w="26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760" w:type="dxa"/>
            <w:vAlign w:val="bottom"/>
            <w:shd w:val="clear" w:color="auto" w:fill="E7E7E7"/>
          </w:tcPr>
          <w:p>
            <w:pPr>
              <w:jc w:val="right"/>
              <w:ind w:right="92"/>
              <w:spacing w:after="0" w:line="197" w:lineRule="exact"/>
              <w:rPr>
                <w:sz w:val="20"/>
                <w:szCs w:val="20"/>
                <w:color w:val="auto"/>
              </w:rPr>
            </w:pPr>
            <w:r>
              <w:rPr>
                <w:rFonts w:ascii="Arial" w:cs="Arial" w:eastAsia="Arial" w:hAnsi="Arial"/>
                <w:sz w:val="18"/>
                <w:szCs w:val="18"/>
                <w:color w:val="auto"/>
              </w:rPr>
              <w:t>8,985</w:t>
            </w:r>
          </w:p>
        </w:tc>
        <w:tc>
          <w:tcPr>
            <w:tcW w:w="26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720" w:type="dxa"/>
            <w:vAlign w:val="bottom"/>
            <w:shd w:val="clear" w:color="auto" w:fill="E7E7E7"/>
          </w:tcPr>
          <w:p>
            <w:pPr>
              <w:jc w:val="right"/>
              <w:ind w:right="52"/>
              <w:spacing w:after="0" w:line="197" w:lineRule="exact"/>
              <w:rPr>
                <w:sz w:val="20"/>
                <w:szCs w:val="20"/>
                <w:color w:val="auto"/>
              </w:rPr>
            </w:pPr>
            <w:r>
              <w:rPr>
                <w:rFonts w:ascii="Arial" w:cs="Arial" w:eastAsia="Arial" w:hAnsi="Arial"/>
                <w:sz w:val="18"/>
                <w:szCs w:val="18"/>
                <w:color w:val="auto"/>
              </w:rPr>
              <w:t>8,056</w:t>
            </w:r>
          </w:p>
        </w:tc>
        <w:tc>
          <w:tcPr>
            <w:tcW w:w="30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820" w:type="dxa"/>
            <w:vAlign w:val="bottom"/>
            <w:shd w:val="clear" w:color="auto" w:fill="E7E7E7"/>
          </w:tcPr>
          <w:p>
            <w:pPr>
              <w:jc w:val="right"/>
              <w:ind w:right="212"/>
              <w:spacing w:after="0" w:line="197" w:lineRule="exact"/>
              <w:rPr>
                <w:sz w:val="20"/>
                <w:szCs w:val="20"/>
                <w:color w:val="auto"/>
              </w:rPr>
            </w:pPr>
            <w:r>
              <w:rPr>
                <w:rFonts w:ascii="Arial" w:cs="Arial" w:eastAsia="Arial" w:hAnsi="Arial"/>
                <w:sz w:val="18"/>
                <w:szCs w:val="18"/>
                <w:color w:val="auto"/>
              </w:rPr>
              <w:t>7,029</w:t>
            </w:r>
          </w:p>
        </w:tc>
        <w:tc>
          <w:tcPr>
            <w:tcW w:w="160" w:type="dxa"/>
            <w:vAlign w:val="bottom"/>
            <w:shd w:val="clear" w:color="auto" w:fill="E7E7E7"/>
          </w:tcPr>
          <w:p>
            <w:pPr>
              <w:spacing w:after="0" w:line="197" w:lineRule="exact"/>
              <w:rPr>
                <w:sz w:val="20"/>
                <w:szCs w:val="20"/>
                <w:color w:val="auto"/>
              </w:rPr>
            </w:pPr>
            <w:r>
              <w:rPr>
                <w:rFonts w:ascii="Arial" w:cs="Arial" w:eastAsia="Arial" w:hAnsi="Arial"/>
                <w:sz w:val="18"/>
                <w:szCs w:val="18"/>
                <w:color w:val="auto"/>
                <w:shd w:val="clear" w:color="auto" w:fill="E7E7E7"/>
              </w:rPr>
              <w:t>$</w:t>
            </w:r>
          </w:p>
        </w:tc>
        <w:tc>
          <w:tcPr>
            <w:tcW w:w="800" w:type="dxa"/>
            <w:vAlign w:val="bottom"/>
            <w:shd w:val="clear" w:color="auto" w:fill="E7E7E7"/>
          </w:tcPr>
          <w:p>
            <w:pPr>
              <w:jc w:val="right"/>
              <w:ind w:right="90"/>
              <w:spacing w:after="0" w:line="197" w:lineRule="exact"/>
              <w:rPr>
                <w:sz w:val="20"/>
                <w:szCs w:val="20"/>
                <w:color w:val="auto"/>
              </w:rPr>
            </w:pPr>
            <w:r>
              <w:rPr>
                <w:rFonts w:ascii="Arial" w:cs="Arial" w:eastAsia="Arial" w:hAnsi="Arial"/>
                <w:sz w:val="18"/>
                <w:szCs w:val="18"/>
                <w:color w:val="auto"/>
                <w:shd w:val="clear" w:color="auto" w:fill="E7E7E7"/>
              </w:rPr>
              <w:t>47,590</w:t>
            </w:r>
          </w:p>
        </w:tc>
        <w:tc>
          <w:tcPr>
            <w:tcW w:w="90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shd w:val="clear" w:color="auto" w:fill="E7E7E7"/>
              </w:rPr>
              <w:t>$ 71,660</w:t>
            </w:r>
          </w:p>
        </w:tc>
      </w:tr>
      <w:tr>
        <w:trPr>
          <w:trHeight w:val="206"/>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Acquired IPR&amp;D and milestones expense, as reported (GAAP)</w:t>
            </w:r>
          </w:p>
        </w:tc>
        <w:tc>
          <w:tcPr>
            <w:tcW w:w="26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5,016</w:t>
            </w:r>
          </w:p>
        </w:tc>
        <w:tc>
          <w:tcPr>
            <w:tcW w:w="260" w:type="dxa"/>
            <w:vAlign w:val="bottom"/>
          </w:tcPr>
          <w:p>
            <w:pPr>
              <w:spacing w:after="0"/>
              <w:rPr>
                <w:sz w:val="17"/>
                <w:szCs w:val="17"/>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2,757</w:t>
            </w:r>
          </w:p>
        </w:tc>
        <w:tc>
          <w:tcPr>
            <w:tcW w:w="300" w:type="dxa"/>
            <w:vAlign w:val="bottom"/>
          </w:tcPr>
          <w:p>
            <w:pPr>
              <w:spacing w:after="0"/>
              <w:rPr>
                <w:sz w:val="17"/>
                <w:szCs w:val="17"/>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778</w:t>
            </w:r>
          </w:p>
        </w:tc>
        <w:tc>
          <w:tcPr>
            <w:tcW w:w="160" w:type="dxa"/>
            <w:vAlign w:val="bottom"/>
          </w:tcPr>
          <w:p>
            <w:pPr>
              <w:spacing w:after="0"/>
              <w:rPr>
                <w:sz w:val="17"/>
                <w:szCs w:val="17"/>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6,008</w:t>
            </w:r>
          </w:p>
        </w:tc>
        <w:tc>
          <w:tcPr>
            <w:tcW w:w="900" w:type="dxa"/>
            <w:vAlign w:val="bottom"/>
          </w:tcPr>
          <w:p>
            <w:pPr>
              <w:jc w:val="right"/>
              <w:spacing w:after="0"/>
              <w:rPr>
                <w:sz w:val="20"/>
                <w:szCs w:val="20"/>
                <w:color w:val="auto"/>
              </w:rPr>
            </w:pPr>
            <w:r>
              <w:rPr>
                <w:rFonts w:ascii="Arial" w:cs="Arial" w:eastAsia="Arial" w:hAnsi="Arial"/>
                <w:sz w:val="18"/>
                <w:szCs w:val="18"/>
                <w:color w:val="auto"/>
              </w:rPr>
              <w:t>14,559</w:t>
            </w:r>
          </w:p>
        </w:tc>
      </w:tr>
      <w:tr>
        <w:trPr>
          <w:trHeight w:val="208"/>
        </w:trPr>
        <w:tc>
          <w:tcPr>
            <w:tcW w:w="20" w:type="dxa"/>
            <w:vAlign w:val="bottom"/>
          </w:tcPr>
          <w:p>
            <w:pPr>
              <w:spacing w:after="0"/>
              <w:rPr>
                <w:sz w:val="18"/>
                <w:szCs w:val="18"/>
                <w:color w:val="auto"/>
              </w:rPr>
            </w:pPr>
          </w:p>
        </w:tc>
        <w:tc>
          <w:tcPr>
            <w:tcW w:w="5100" w:type="dxa"/>
            <w:vAlign w:val="bottom"/>
            <w:tcBorders>
              <w:bottom w:val="single" w:sz="8" w:color="auto"/>
            </w:tcBorders>
            <w:gridSpan w:val="2"/>
            <w:shd w:val="clear" w:color="auto" w:fill="E7E7E7"/>
          </w:tcPr>
          <w:p>
            <w:pPr>
              <w:spacing w:after="0"/>
              <w:rPr>
                <w:sz w:val="20"/>
                <w:szCs w:val="20"/>
                <w:color w:val="auto"/>
              </w:rPr>
            </w:pPr>
            <w:r>
              <w:rPr>
                <w:rFonts w:ascii="Arial" w:cs="Arial" w:eastAsia="Arial" w:hAnsi="Arial"/>
                <w:sz w:val="18"/>
                <w:szCs w:val="18"/>
                <w:color w:val="auto"/>
              </w:rPr>
              <w:t>Calico collaboration expense/(gain), as reported (GAAP)</w:t>
            </w:r>
          </w:p>
        </w:tc>
        <w:tc>
          <w:tcPr>
            <w:tcW w:w="260" w:type="dxa"/>
            <w:vAlign w:val="bottom"/>
            <w:tcBorders>
              <w:bottom w:val="single" w:sz="8" w:color="auto"/>
            </w:tcBorders>
            <w:shd w:val="clear" w:color="auto" w:fill="E7E7E7"/>
          </w:tcPr>
          <w:p>
            <w:pPr>
              <w:spacing w:after="0"/>
              <w:rPr>
                <w:sz w:val="18"/>
                <w:szCs w:val="18"/>
                <w:color w:val="auto"/>
              </w:rPr>
            </w:pPr>
          </w:p>
        </w:tc>
        <w:tc>
          <w:tcPr>
            <w:tcW w:w="760" w:type="dxa"/>
            <w:vAlign w:val="bottom"/>
            <w:tcBorders>
              <w:bottom w:val="single" w:sz="8" w:color="auto"/>
            </w:tcBorders>
            <w:shd w:val="clear" w:color="auto" w:fill="E7E7E7"/>
          </w:tcPr>
          <w:p>
            <w:pPr>
              <w:jc w:val="right"/>
              <w:ind w:right="32"/>
              <w:spacing w:after="0"/>
              <w:rPr>
                <w:sz w:val="20"/>
                <w:szCs w:val="20"/>
                <w:color w:val="auto"/>
              </w:rPr>
            </w:pPr>
            <w:r>
              <w:rPr>
                <w:rFonts w:ascii="Arial" w:cs="Arial" w:eastAsia="Arial" w:hAnsi="Arial"/>
                <w:sz w:val="18"/>
                <w:szCs w:val="18"/>
                <w:color w:val="auto"/>
              </w:rPr>
              <w:t>(217)</w:t>
            </w:r>
          </w:p>
        </w:tc>
        <w:tc>
          <w:tcPr>
            <w:tcW w:w="260" w:type="dxa"/>
            <w:vAlign w:val="bottom"/>
            <w:tcBorders>
              <w:bottom w:val="single" w:sz="8" w:color="auto"/>
            </w:tcBorders>
            <w:shd w:val="clear" w:color="auto" w:fill="E7E7E7"/>
          </w:tcPr>
          <w:p>
            <w:pPr>
              <w:spacing w:after="0"/>
              <w:rPr>
                <w:sz w:val="18"/>
                <w:szCs w:val="18"/>
                <w:color w:val="auto"/>
              </w:rPr>
            </w:pPr>
          </w:p>
        </w:tc>
        <w:tc>
          <w:tcPr>
            <w:tcW w:w="720" w:type="dxa"/>
            <w:vAlign w:val="bottom"/>
            <w:tcBorders>
              <w:bottom w:val="single" w:sz="8" w:color="auto"/>
            </w:tcBorders>
            <w:shd w:val="clear" w:color="auto" w:fill="E7E7E7"/>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7E7E7"/>
          </w:tcPr>
          <w:p>
            <w:pPr>
              <w:spacing w:after="0"/>
              <w:rPr>
                <w:sz w:val="18"/>
                <w:szCs w:val="18"/>
                <w:color w:val="auto"/>
              </w:rPr>
            </w:pPr>
          </w:p>
        </w:tc>
        <w:tc>
          <w:tcPr>
            <w:tcW w:w="820" w:type="dxa"/>
            <w:vAlign w:val="bottom"/>
            <w:tcBorders>
              <w:bottom w:val="single" w:sz="8" w:color="auto"/>
            </w:tcBorders>
            <w:shd w:val="clear" w:color="auto" w:fill="E7E7E7"/>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7E7E7"/>
          </w:tcPr>
          <w:p>
            <w:pPr>
              <w:spacing w:after="0"/>
              <w:rPr>
                <w:sz w:val="18"/>
                <w:szCs w:val="18"/>
                <w:color w:val="auto"/>
              </w:rPr>
            </w:pPr>
          </w:p>
        </w:tc>
        <w:tc>
          <w:tcPr>
            <w:tcW w:w="800" w:type="dxa"/>
            <w:vAlign w:val="bottom"/>
            <w:tcBorders>
              <w:bottom w:val="single" w:sz="8" w:color="auto"/>
            </w:tcBorders>
            <w:shd w:val="clear" w:color="auto" w:fill="E7E7E7"/>
          </w:tcPr>
          <w:p>
            <w:pPr>
              <w:jc w:val="right"/>
              <w:ind w:right="90"/>
              <w:spacing w:after="0"/>
              <w:rPr>
                <w:sz w:val="20"/>
                <w:szCs w:val="20"/>
                <w:color w:val="auto"/>
              </w:rPr>
            </w:pPr>
            <w:r>
              <w:rPr>
                <w:rFonts w:ascii="Arial" w:cs="Arial" w:eastAsia="Arial" w:hAnsi="Arial"/>
                <w:sz w:val="18"/>
                <w:szCs w:val="18"/>
                <w:color w:val="auto"/>
              </w:rPr>
              <w:t>1,750</w:t>
            </w:r>
          </w:p>
        </w:tc>
        <w:tc>
          <w:tcPr>
            <w:tcW w:w="90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8"/>
                <w:szCs w:val="18"/>
                <w:color w:val="auto"/>
              </w:rPr>
              <w:t>1,533</w:t>
            </w:r>
          </w:p>
        </w:tc>
      </w:tr>
      <w:tr>
        <w:trPr>
          <w:trHeight w:val="197"/>
        </w:trPr>
        <w:tc>
          <w:tcPr>
            <w:tcW w:w="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gridSpan w:val="2"/>
          </w:tcPr>
          <w:p>
            <w:pPr>
              <w:spacing w:after="0" w:line="197" w:lineRule="exact"/>
              <w:rPr>
                <w:sz w:val="20"/>
                <w:szCs w:val="20"/>
                <w:color w:val="auto"/>
              </w:rPr>
            </w:pPr>
            <w:r>
              <w:rPr>
                <w:rFonts w:ascii="Arial" w:cs="Arial" w:eastAsia="Arial" w:hAnsi="Arial"/>
                <w:sz w:val="18"/>
                <w:szCs w:val="18"/>
                <w:b w:val="1"/>
                <w:bCs w:val="1"/>
                <w:color w:val="auto"/>
              </w:rPr>
              <w:t>As adjusted R&amp;D investment (non-GAAP)</w:t>
            </w:r>
          </w:p>
        </w:tc>
        <w:tc>
          <w:tcPr>
            <w:tcW w:w="2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2"/>
              <w:spacing w:after="0" w:line="197" w:lineRule="exact"/>
              <w:rPr>
                <w:sz w:val="20"/>
                <w:szCs w:val="20"/>
                <w:color w:val="auto"/>
              </w:rPr>
            </w:pPr>
            <w:r>
              <w:rPr>
                <w:rFonts w:ascii="Arial" w:cs="Arial" w:eastAsia="Arial" w:hAnsi="Arial"/>
                <w:sz w:val="18"/>
                <w:szCs w:val="18"/>
                <w:color w:val="auto"/>
              </w:rPr>
              <w:t>13,784</w:t>
            </w:r>
          </w:p>
        </w:tc>
        <w:tc>
          <w:tcPr>
            <w:tcW w:w="2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2"/>
              <w:spacing w:after="0" w:line="197" w:lineRule="exact"/>
              <w:rPr>
                <w:sz w:val="20"/>
                <w:szCs w:val="20"/>
                <w:color w:val="auto"/>
              </w:rPr>
            </w:pPr>
            <w:r>
              <w:rPr>
                <w:rFonts w:ascii="Arial" w:cs="Arial" w:eastAsia="Arial" w:hAnsi="Arial"/>
                <w:sz w:val="18"/>
                <w:szCs w:val="18"/>
                <w:color w:val="auto"/>
              </w:rPr>
              <w:t>10,813</w:t>
            </w:r>
          </w:p>
        </w:tc>
        <w:tc>
          <w:tcPr>
            <w:tcW w:w="3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2"/>
              <w:spacing w:after="0" w:line="197" w:lineRule="exact"/>
              <w:rPr>
                <w:sz w:val="20"/>
                <w:szCs w:val="20"/>
                <w:color w:val="auto"/>
              </w:rPr>
            </w:pPr>
            <w:r>
              <w:rPr>
                <w:rFonts w:ascii="Arial" w:cs="Arial" w:eastAsia="Arial" w:hAnsi="Arial"/>
                <w:sz w:val="18"/>
                <w:szCs w:val="18"/>
                <w:color w:val="auto"/>
              </w:rPr>
              <w:t>7,807</w:t>
            </w:r>
          </w:p>
        </w:tc>
        <w:tc>
          <w:tcPr>
            <w:tcW w:w="16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line="197" w:lineRule="exact"/>
              <w:rPr>
                <w:sz w:val="20"/>
                <w:szCs w:val="20"/>
                <w:color w:val="auto"/>
              </w:rPr>
            </w:pPr>
            <w:r>
              <w:rPr>
                <w:rFonts w:ascii="Arial" w:cs="Arial" w:eastAsia="Arial" w:hAnsi="Arial"/>
                <w:sz w:val="18"/>
                <w:szCs w:val="18"/>
                <w:color w:val="auto"/>
              </w:rPr>
              <w:t>55,348</w:t>
            </w:r>
          </w:p>
        </w:tc>
        <w:tc>
          <w:tcPr>
            <w:tcW w:w="9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$ 87,752</w:t>
            </w:r>
          </w:p>
        </w:tc>
      </w:tr>
    </w:tbl>
    <w:p>
      <w:pPr>
        <w:spacing w:after="0" w:line="20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2025 Performance Results for Financial Goals Reconciliations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Arial" w:cs="Arial" w:eastAsia="Arial" w:hAnsi="Arial"/>
                <w:sz w:val="16"/>
                <w:szCs w:val="16"/>
                <w:b w:val="1"/>
                <w:bCs w:val="1"/>
                <w:color w:val="000039"/>
              </w:rPr>
              <w:t>Net</w:t>
            </w:r>
          </w:p>
        </w:tc>
        <w:tc>
          <w:tcPr>
            <w:tcW w:w="480" w:type="dxa"/>
            <w:vAlign w:val="bottom"/>
          </w:tcPr>
          <w:p>
            <w:pPr>
              <w:spacing w:after="0"/>
              <w:rPr>
                <w:sz w:val="16"/>
                <w:szCs w:val="16"/>
                <w:color w:val="auto"/>
              </w:rPr>
            </w:pPr>
          </w:p>
        </w:tc>
        <w:tc>
          <w:tcPr>
            <w:tcW w:w="1060" w:type="dxa"/>
            <w:vAlign w:val="bottom"/>
          </w:tcPr>
          <w:p>
            <w:pPr>
              <w:jc w:val="right"/>
              <w:ind w:right="112"/>
              <w:spacing w:after="0"/>
              <w:rPr>
                <w:sz w:val="20"/>
                <w:szCs w:val="20"/>
                <w:color w:val="auto"/>
              </w:rPr>
            </w:pPr>
            <w:r>
              <w:rPr>
                <w:rFonts w:ascii="Arial" w:cs="Arial" w:eastAsia="Arial" w:hAnsi="Arial"/>
                <w:sz w:val="16"/>
                <w:szCs w:val="16"/>
                <w:b w:val="1"/>
                <w:bCs w:val="1"/>
                <w:color w:val="000039"/>
              </w:rPr>
              <w:t>Operating</w:t>
            </w:r>
          </w:p>
        </w:tc>
        <w:tc>
          <w:tcPr>
            <w:tcW w:w="240" w:type="dxa"/>
            <w:vAlign w:val="bottom"/>
          </w:tcPr>
          <w:p>
            <w:pPr>
              <w:spacing w:after="0"/>
              <w:rPr>
                <w:sz w:val="16"/>
                <w:szCs w:val="16"/>
                <w:color w:val="auto"/>
              </w:rPr>
            </w:pPr>
          </w:p>
        </w:tc>
        <w:tc>
          <w:tcPr>
            <w:tcW w:w="1120" w:type="dxa"/>
            <w:vAlign w:val="bottom"/>
          </w:tcPr>
          <w:p>
            <w:pPr>
              <w:jc w:val="right"/>
              <w:ind w:right="272"/>
              <w:spacing w:after="0"/>
              <w:rPr>
                <w:sz w:val="20"/>
                <w:szCs w:val="20"/>
                <w:color w:val="auto"/>
              </w:rPr>
            </w:pPr>
            <w:r>
              <w:rPr>
                <w:rFonts w:ascii="Arial" w:cs="Arial" w:eastAsia="Arial" w:hAnsi="Arial"/>
                <w:sz w:val="16"/>
                <w:szCs w:val="16"/>
                <w:b w:val="1"/>
                <w:bCs w:val="1"/>
                <w:color w:val="000039"/>
              </w:rPr>
              <w:t>Income</w:t>
            </w:r>
          </w:p>
        </w:tc>
        <w:tc>
          <w:tcPr>
            <w:tcW w:w="220" w:type="dxa"/>
            <w:vAlign w:val="bottom"/>
          </w:tcPr>
          <w:p>
            <w:pPr>
              <w:spacing w:after="0"/>
              <w:rPr>
                <w:sz w:val="16"/>
                <w:szCs w:val="16"/>
                <w:color w:val="auto"/>
              </w:rPr>
            </w:pPr>
          </w:p>
        </w:tc>
        <w:tc>
          <w:tcPr>
            <w:tcW w:w="900" w:type="dxa"/>
            <w:vAlign w:val="bottom"/>
          </w:tcPr>
          <w:p>
            <w:pPr>
              <w:jc w:val="right"/>
              <w:ind w:right="252"/>
              <w:spacing w:after="0"/>
              <w:rPr>
                <w:sz w:val="20"/>
                <w:szCs w:val="20"/>
                <w:color w:val="auto"/>
              </w:rPr>
            </w:pPr>
            <w:r>
              <w:rPr>
                <w:rFonts w:ascii="Arial" w:cs="Arial" w:eastAsia="Arial" w:hAnsi="Arial"/>
                <w:sz w:val="16"/>
                <w:szCs w:val="16"/>
                <w:b w:val="1"/>
                <w:bCs w:val="1"/>
                <w:color w:val="000039"/>
              </w:rPr>
              <w:t>Net</w:t>
            </w:r>
          </w:p>
        </w:tc>
      </w:tr>
      <w:tr>
        <w:trPr>
          <w:trHeight w:val="202"/>
        </w:trPr>
        <w:tc>
          <w:tcPr>
            <w:tcW w:w="44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000039"/>
              </w:rPr>
              <w:t>Revenues*</w:t>
            </w: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000039"/>
              </w:rPr>
              <w:t>Margin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000039"/>
                <w:w w:val="97"/>
              </w:rPr>
              <w:t>Before Taxes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0039"/>
              </w:rPr>
              <w:t>Earnings**</w:t>
            </w:r>
          </w:p>
        </w:tc>
      </w:tr>
      <w:tr>
        <w:trPr>
          <w:trHeight w:val="197"/>
        </w:trPr>
        <w:tc>
          <w:tcPr>
            <w:tcW w:w="4440" w:type="dxa"/>
            <w:vAlign w:val="bottom"/>
            <w:shd w:val="clear" w:color="auto" w:fill="E7E7E7"/>
          </w:tcPr>
          <w:p>
            <w:pPr>
              <w:spacing w:after="0" w:line="197" w:lineRule="exact"/>
              <w:rPr>
                <w:sz w:val="20"/>
                <w:szCs w:val="20"/>
                <w:color w:val="auto"/>
              </w:rPr>
            </w:pPr>
            <w:r>
              <w:rPr>
                <w:rFonts w:ascii="Arial" w:cs="Arial" w:eastAsia="Arial" w:hAnsi="Arial"/>
                <w:sz w:val="18"/>
                <w:szCs w:val="18"/>
                <w:b w:val="1"/>
                <w:bCs w:val="1"/>
                <w:color w:val="auto"/>
              </w:rPr>
              <w:t>As reported (GAAP)</w:t>
            </w:r>
          </w:p>
        </w:tc>
        <w:tc>
          <w:tcPr>
            <w:tcW w:w="56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106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61,160</w:t>
            </w:r>
          </w:p>
        </w:tc>
        <w:tc>
          <w:tcPr>
            <w:tcW w:w="480" w:type="dxa"/>
            <w:vAlign w:val="bottom"/>
            <w:shd w:val="clear" w:color="auto" w:fill="E7E7E7"/>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1060" w:type="dxa"/>
            <w:vAlign w:val="bottom"/>
            <w:shd w:val="clear" w:color="auto" w:fill="E7E7E7"/>
          </w:tcPr>
          <w:p>
            <w:pPr>
              <w:jc w:val="right"/>
              <w:ind w:right="32"/>
              <w:spacing w:after="0" w:line="197" w:lineRule="exact"/>
              <w:rPr>
                <w:sz w:val="20"/>
                <w:szCs w:val="20"/>
                <w:color w:val="auto"/>
              </w:rPr>
            </w:pPr>
            <w:r>
              <w:rPr>
                <w:rFonts w:ascii="Arial" w:cs="Arial" w:eastAsia="Arial" w:hAnsi="Arial"/>
                <w:sz w:val="18"/>
                <w:szCs w:val="18"/>
                <w:color w:val="auto"/>
              </w:rPr>
              <w:t>15,075</w:t>
            </w:r>
          </w:p>
        </w:tc>
        <w:tc>
          <w:tcPr>
            <w:tcW w:w="24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1120" w:type="dxa"/>
            <w:vAlign w:val="bottom"/>
            <w:shd w:val="clear" w:color="auto" w:fill="E7E7E7"/>
          </w:tcPr>
          <w:p>
            <w:pPr>
              <w:jc w:val="right"/>
              <w:ind w:right="72"/>
              <w:spacing w:after="0" w:line="197" w:lineRule="exact"/>
              <w:rPr>
                <w:sz w:val="20"/>
                <w:szCs w:val="20"/>
                <w:color w:val="auto"/>
              </w:rPr>
            </w:pPr>
            <w:r>
              <w:rPr>
                <w:rFonts w:ascii="Arial" w:cs="Arial" w:eastAsia="Arial" w:hAnsi="Arial"/>
                <w:sz w:val="18"/>
                <w:szCs w:val="18"/>
                <w:color w:val="auto"/>
              </w:rPr>
              <w:t>6,597</w:t>
            </w:r>
          </w:p>
        </w:tc>
        <w:tc>
          <w:tcPr>
            <w:tcW w:w="22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900" w:type="dxa"/>
            <w:vAlign w:val="bottom"/>
            <w:shd w:val="clear" w:color="auto" w:fill="E7E7E7"/>
          </w:tcPr>
          <w:p>
            <w:pPr>
              <w:jc w:val="right"/>
              <w:spacing w:after="0" w:line="197" w:lineRule="exact"/>
              <w:rPr>
                <w:sz w:val="20"/>
                <w:szCs w:val="20"/>
                <w:color w:val="auto"/>
              </w:rPr>
            </w:pPr>
            <w:r>
              <w:rPr>
                <w:rFonts w:ascii="Arial" w:cs="Arial" w:eastAsia="Arial" w:hAnsi="Arial"/>
                <w:sz w:val="18"/>
                <w:szCs w:val="18"/>
                <w:color w:val="auto"/>
              </w:rPr>
              <w:t>4,226</w:t>
            </w:r>
          </w:p>
        </w:tc>
      </w:tr>
      <w:tr>
        <w:trPr>
          <w:trHeight w:val="206"/>
        </w:trPr>
        <w:tc>
          <w:tcPr>
            <w:tcW w:w="444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8"/>
        </w:trPr>
        <w:tc>
          <w:tcPr>
            <w:tcW w:w="4440" w:type="dxa"/>
            <w:vAlign w:val="bottom"/>
            <w:shd w:val="clear" w:color="auto" w:fill="E7E7E7"/>
          </w:tcPr>
          <w:p>
            <w:pPr>
              <w:ind w:left="240"/>
              <w:spacing w:after="0"/>
              <w:rPr>
                <w:sz w:val="20"/>
                <w:szCs w:val="20"/>
                <w:color w:val="auto"/>
              </w:rPr>
            </w:pPr>
            <w:r>
              <w:rPr>
                <w:rFonts w:ascii="Arial" w:cs="Arial" w:eastAsia="Arial" w:hAnsi="Arial"/>
                <w:sz w:val="18"/>
                <w:szCs w:val="18"/>
                <w:color w:val="auto"/>
              </w:rPr>
              <w:t>Intangible asset amortization</w:t>
            </w:r>
          </w:p>
        </w:tc>
        <w:tc>
          <w:tcPr>
            <w:tcW w:w="560" w:type="dxa"/>
            <w:vAlign w:val="bottom"/>
            <w:shd w:val="clear" w:color="auto" w:fill="E7E7E7"/>
          </w:tcPr>
          <w:p>
            <w:pPr>
              <w:spacing w:after="0"/>
              <w:rPr>
                <w:sz w:val="18"/>
                <w:szCs w:val="18"/>
                <w:color w:val="auto"/>
              </w:rPr>
            </w:pPr>
          </w:p>
        </w:tc>
        <w:tc>
          <w:tcPr>
            <w:tcW w:w="1060" w:type="dxa"/>
            <w:vAlign w:val="bottom"/>
            <w:shd w:val="clear" w:color="auto" w:fill="E7E7E7"/>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7E7E7"/>
          </w:tcPr>
          <w:p>
            <w:pPr>
              <w:spacing w:after="0"/>
              <w:rPr>
                <w:sz w:val="18"/>
                <w:szCs w:val="18"/>
                <w:color w:val="auto"/>
              </w:rPr>
            </w:pPr>
          </w:p>
        </w:tc>
        <w:tc>
          <w:tcPr>
            <w:tcW w:w="1060" w:type="dxa"/>
            <w:vAlign w:val="bottom"/>
            <w:shd w:val="clear" w:color="auto" w:fill="E7E7E7"/>
          </w:tcPr>
          <w:p>
            <w:pPr>
              <w:jc w:val="right"/>
              <w:ind w:right="32"/>
              <w:spacing w:after="0"/>
              <w:rPr>
                <w:sz w:val="20"/>
                <w:szCs w:val="20"/>
                <w:color w:val="auto"/>
              </w:rPr>
            </w:pPr>
            <w:r>
              <w:rPr>
                <w:rFonts w:ascii="Arial" w:cs="Arial" w:eastAsia="Arial" w:hAnsi="Arial"/>
                <w:sz w:val="18"/>
                <w:szCs w:val="18"/>
                <w:color w:val="auto"/>
              </w:rPr>
              <w:t>7,377</w:t>
            </w:r>
          </w:p>
        </w:tc>
        <w:tc>
          <w:tcPr>
            <w:tcW w:w="240" w:type="dxa"/>
            <w:vAlign w:val="bottom"/>
            <w:shd w:val="clear" w:color="auto" w:fill="E7E7E7"/>
          </w:tcPr>
          <w:p>
            <w:pPr>
              <w:spacing w:after="0"/>
              <w:rPr>
                <w:sz w:val="18"/>
                <w:szCs w:val="18"/>
                <w:color w:val="auto"/>
              </w:rPr>
            </w:pPr>
          </w:p>
        </w:tc>
        <w:tc>
          <w:tcPr>
            <w:tcW w:w="1120" w:type="dxa"/>
            <w:vAlign w:val="bottom"/>
            <w:shd w:val="clear" w:color="auto" w:fill="E7E7E7"/>
          </w:tcPr>
          <w:p>
            <w:pPr>
              <w:jc w:val="right"/>
              <w:ind w:right="72"/>
              <w:spacing w:after="0"/>
              <w:rPr>
                <w:sz w:val="20"/>
                <w:szCs w:val="20"/>
                <w:color w:val="auto"/>
              </w:rPr>
            </w:pPr>
            <w:r>
              <w:rPr>
                <w:rFonts w:ascii="Arial" w:cs="Arial" w:eastAsia="Arial" w:hAnsi="Arial"/>
                <w:sz w:val="18"/>
                <w:szCs w:val="18"/>
                <w:color w:val="auto"/>
              </w:rPr>
              <w:t>7,377</w:t>
            </w:r>
          </w:p>
        </w:tc>
        <w:tc>
          <w:tcPr>
            <w:tcW w:w="220" w:type="dxa"/>
            <w:vAlign w:val="bottom"/>
            <w:shd w:val="clear" w:color="auto" w:fill="E7E7E7"/>
          </w:tcPr>
          <w:p>
            <w:pPr>
              <w:spacing w:after="0"/>
              <w:rPr>
                <w:sz w:val="18"/>
                <w:szCs w:val="18"/>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6,221</w:t>
            </w:r>
          </w:p>
        </w:tc>
      </w:tr>
      <w:tr>
        <w:trPr>
          <w:trHeight w:val="206"/>
        </w:trPr>
        <w:tc>
          <w:tcPr>
            <w:tcW w:w="4440" w:type="dxa"/>
            <w:vAlign w:val="bottom"/>
          </w:tcPr>
          <w:p>
            <w:pPr>
              <w:ind w:left="240"/>
              <w:spacing w:after="0"/>
              <w:rPr>
                <w:sz w:val="20"/>
                <w:szCs w:val="20"/>
                <w:color w:val="auto"/>
              </w:rPr>
            </w:pPr>
            <w:r>
              <w:rPr>
                <w:rFonts w:ascii="Arial" w:cs="Arial" w:eastAsia="Arial" w:hAnsi="Arial"/>
                <w:sz w:val="18"/>
                <w:szCs w:val="18"/>
                <w:color w:val="auto"/>
              </w:rPr>
              <w:t>Acquisition and integration costs</w:t>
            </w: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7"/>
                <w:szCs w:val="17"/>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08"/>
        </w:trPr>
        <w:tc>
          <w:tcPr>
            <w:tcW w:w="4440" w:type="dxa"/>
            <w:vAlign w:val="bottom"/>
            <w:shd w:val="clear" w:color="auto" w:fill="E7E7E7"/>
          </w:tcPr>
          <w:p>
            <w:pPr>
              <w:ind w:left="240"/>
              <w:spacing w:after="0"/>
              <w:rPr>
                <w:sz w:val="20"/>
                <w:szCs w:val="20"/>
                <w:color w:val="auto"/>
              </w:rPr>
            </w:pPr>
            <w:r>
              <w:rPr>
                <w:rFonts w:ascii="Arial" w:cs="Arial" w:eastAsia="Arial" w:hAnsi="Arial"/>
                <w:sz w:val="18"/>
                <w:szCs w:val="18"/>
                <w:color w:val="auto"/>
              </w:rPr>
              <w:t>Acquired IPR&amp;D and milestones</w:t>
            </w:r>
          </w:p>
        </w:tc>
        <w:tc>
          <w:tcPr>
            <w:tcW w:w="560" w:type="dxa"/>
            <w:vAlign w:val="bottom"/>
            <w:shd w:val="clear" w:color="auto" w:fill="E7E7E7"/>
          </w:tcPr>
          <w:p>
            <w:pPr>
              <w:spacing w:after="0"/>
              <w:rPr>
                <w:sz w:val="18"/>
                <w:szCs w:val="18"/>
                <w:color w:val="auto"/>
              </w:rPr>
            </w:pPr>
          </w:p>
        </w:tc>
        <w:tc>
          <w:tcPr>
            <w:tcW w:w="1060" w:type="dxa"/>
            <w:vAlign w:val="bottom"/>
            <w:shd w:val="clear" w:color="auto" w:fill="E7E7E7"/>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7E7E7"/>
          </w:tcPr>
          <w:p>
            <w:pPr>
              <w:spacing w:after="0"/>
              <w:rPr>
                <w:sz w:val="18"/>
                <w:szCs w:val="18"/>
                <w:color w:val="auto"/>
              </w:rPr>
            </w:pPr>
          </w:p>
        </w:tc>
        <w:tc>
          <w:tcPr>
            <w:tcW w:w="1060" w:type="dxa"/>
            <w:vAlign w:val="bottom"/>
            <w:shd w:val="clear" w:color="auto" w:fill="E7E7E7"/>
          </w:tcPr>
          <w:p>
            <w:pPr>
              <w:jc w:val="right"/>
              <w:ind w:right="32"/>
              <w:spacing w:after="0"/>
              <w:rPr>
                <w:sz w:val="20"/>
                <w:szCs w:val="20"/>
                <w:color w:val="auto"/>
              </w:rPr>
            </w:pPr>
            <w:r>
              <w:rPr>
                <w:rFonts w:ascii="Arial" w:cs="Arial" w:eastAsia="Arial" w:hAnsi="Arial"/>
                <w:sz w:val="18"/>
                <w:szCs w:val="18"/>
                <w:color w:val="auto"/>
              </w:rPr>
              <w:t>5,016</w:t>
            </w:r>
          </w:p>
        </w:tc>
        <w:tc>
          <w:tcPr>
            <w:tcW w:w="240" w:type="dxa"/>
            <w:vAlign w:val="bottom"/>
            <w:shd w:val="clear" w:color="auto" w:fill="E7E7E7"/>
          </w:tcPr>
          <w:p>
            <w:pPr>
              <w:spacing w:after="0"/>
              <w:rPr>
                <w:sz w:val="18"/>
                <w:szCs w:val="18"/>
                <w:color w:val="auto"/>
              </w:rPr>
            </w:pPr>
          </w:p>
        </w:tc>
        <w:tc>
          <w:tcPr>
            <w:tcW w:w="1120" w:type="dxa"/>
            <w:vAlign w:val="bottom"/>
            <w:shd w:val="clear" w:color="auto" w:fill="E7E7E7"/>
          </w:tcPr>
          <w:p>
            <w:pPr>
              <w:jc w:val="right"/>
              <w:ind w:right="72"/>
              <w:spacing w:after="0"/>
              <w:rPr>
                <w:sz w:val="20"/>
                <w:szCs w:val="20"/>
                <w:color w:val="auto"/>
              </w:rPr>
            </w:pPr>
            <w:r>
              <w:rPr>
                <w:rFonts w:ascii="Arial" w:cs="Arial" w:eastAsia="Arial" w:hAnsi="Arial"/>
                <w:sz w:val="18"/>
                <w:szCs w:val="18"/>
                <w:color w:val="auto"/>
              </w:rPr>
              <w:t>5,016</w:t>
            </w:r>
          </w:p>
        </w:tc>
        <w:tc>
          <w:tcPr>
            <w:tcW w:w="220" w:type="dxa"/>
            <w:vAlign w:val="bottom"/>
            <w:shd w:val="clear" w:color="auto" w:fill="E7E7E7"/>
          </w:tcPr>
          <w:p>
            <w:pPr>
              <w:spacing w:after="0"/>
              <w:rPr>
                <w:sz w:val="18"/>
                <w:szCs w:val="18"/>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4,903</w:t>
            </w:r>
          </w:p>
        </w:tc>
      </w:tr>
      <w:tr>
        <w:trPr>
          <w:trHeight w:val="206"/>
        </w:trPr>
        <w:tc>
          <w:tcPr>
            <w:tcW w:w="4440" w:type="dxa"/>
            <w:vAlign w:val="bottom"/>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6,495</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6,309</w:t>
            </w:r>
          </w:p>
        </w:tc>
      </w:tr>
      <w:tr>
        <w:trPr>
          <w:trHeight w:val="208"/>
        </w:trPr>
        <w:tc>
          <w:tcPr>
            <w:tcW w:w="4440" w:type="dxa"/>
            <w:vAlign w:val="bottom"/>
            <w:shd w:val="clear" w:color="auto" w:fill="E7E7E7"/>
          </w:tcPr>
          <w:p>
            <w:pPr>
              <w:ind w:left="240"/>
              <w:spacing w:after="0"/>
              <w:rPr>
                <w:sz w:val="20"/>
                <w:szCs w:val="20"/>
                <w:color w:val="auto"/>
              </w:rPr>
            </w:pPr>
            <w:r>
              <w:rPr>
                <w:rFonts w:ascii="Arial" w:cs="Arial" w:eastAsia="Arial" w:hAnsi="Arial"/>
                <w:sz w:val="18"/>
                <w:szCs w:val="18"/>
                <w:color w:val="auto"/>
              </w:rPr>
              <w:t>Intangible asset impairment</w:t>
            </w:r>
          </w:p>
        </w:tc>
        <w:tc>
          <w:tcPr>
            <w:tcW w:w="560" w:type="dxa"/>
            <w:vAlign w:val="bottom"/>
            <w:shd w:val="clear" w:color="auto" w:fill="E7E7E7"/>
          </w:tcPr>
          <w:p>
            <w:pPr>
              <w:spacing w:after="0"/>
              <w:rPr>
                <w:sz w:val="18"/>
                <w:szCs w:val="18"/>
                <w:color w:val="auto"/>
              </w:rPr>
            </w:pPr>
          </w:p>
        </w:tc>
        <w:tc>
          <w:tcPr>
            <w:tcW w:w="1060" w:type="dxa"/>
            <w:vAlign w:val="bottom"/>
            <w:shd w:val="clear" w:color="auto" w:fill="E7E7E7"/>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7E7E7"/>
          </w:tcPr>
          <w:p>
            <w:pPr>
              <w:spacing w:after="0"/>
              <w:rPr>
                <w:sz w:val="18"/>
                <w:szCs w:val="18"/>
                <w:color w:val="auto"/>
              </w:rPr>
            </w:pPr>
          </w:p>
        </w:tc>
        <w:tc>
          <w:tcPr>
            <w:tcW w:w="1060" w:type="dxa"/>
            <w:vAlign w:val="bottom"/>
            <w:shd w:val="clear" w:color="auto" w:fill="E7E7E7"/>
          </w:tcPr>
          <w:p>
            <w:pPr>
              <w:jc w:val="right"/>
              <w:ind w:right="32"/>
              <w:spacing w:after="0"/>
              <w:rPr>
                <w:sz w:val="20"/>
                <w:szCs w:val="20"/>
                <w:color w:val="auto"/>
              </w:rPr>
            </w:pPr>
            <w:r>
              <w:rPr>
                <w:rFonts w:ascii="Arial" w:cs="Arial" w:eastAsia="Arial" w:hAnsi="Arial"/>
                <w:sz w:val="18"/>
                <w:szCs w:val="18"/>
                <w:color w:val="auto"/>
              </w:rPr>
              <w:t>847</w:t>
            </w:r>
          </w:p>
        </w:tc>
        <w:tc>
          <w:tcPr>
            <w:tcW w:w="240" w:type="dxa"/>
            <w:vAlign w:val="bottom"/>
            <w:shd w:val="clear" w:color="auto" w:fill="E7E7E7"/>
          </w:tcPr>
          <w:p>
            <w:pPr>
              <w:spacing w:after="0"/>
              <w:rPr>
                <w:sz w:val="18"/>
                <w:szCs w:val="18"/>
                <w:color w:val="auto"/>
              </w:rPr>
            </w:pPr>
          </w:p>
        </w:tc>
        <w:tc>
          <w:tcPr>
            <w:tcW w:w="1120" w:type="dxa"/>
            <w:vAlign w:val="bottom"/>
            <w:shd w:val="clear" w:color="auto" w:fill="E7E7E7"/>
          </w:tcPr>
          <w:p>
            <w:pPr>
              <w:jc w:val="right"/>
              <w:ind w:right="72"/>
              <w:spacing w:after="0"/>
              <w:rPr>
                <w:sz w:val="20"/>
                <w:szCs w:val="20"/>
                <w:color w:val="auto"/>
              </w:rPr>
            </w:pPr>
            <w:r>
              <w:rPr>
                <w:rFonts w:ascii="Arial" w:cs="Arial" w:eastAsia="Arial" w:hAnsi="Arial"/>
                <w:sz w:val="18"/>
                <w:szCs w:val="18"/>
                <w:color w:val="auto"/>
              </w:rPr>
              <w:t>847</w:t>
            </w:r>
          </w:p>
        </w:tc>
        <w:tc>
          <w:tcPr>
            <w:tcW w:w="220" w:type="dxa"/>
            <w:vAlign w:val="bottom"/>
            <w:shd w:val="clear" w:color="auto" w:fill="E7E7E7"/>
          </w:tcPr>
          <w:p>
            <w:pPr>
              <w:spacing w:after="0"/>
              <w:rPr>
                <w:sz w:val="18"/>
                <w:szCs w:val="18"/>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701</w:t>
            </w:r>
          </w:p>
        </w:tc>
      </w:tr>
      <w:tr>
        <w:trPr>
          <w:trHeight w:val="206"/>
        </w:trPr>
        <w:tc>
          <w:tcPr>
            <w:tcW w:w="4440" w:type="dxa"/>
            <w:vAlign w:val="bottom"/>
          </w:tcPr>
          <w:p>
            <w:pPr>
              <w:ind w:left="24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7"/>
                <w:szCs w:val="17"/>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8"/>
        </w:trPr>
        <w:tc>
          <w:tcPr>
            <w:tcW w:w="4440" w:type="dxa"/>
            <w:vAlign w:val="bottom"/>
            <w:shd w:val="clear" w:color="auto" w:fill="E7E7E7"/>
          </w:tcPr>
          <w:p>
            <w:pPr>
              <w:spacing w:after="0"/>
              <w:rPr>
                <w:sz w:val="20"/>
                <w:szCs w:val="20"/>
                <w:color w:val="auto"/>
              </w:rPr>
            </w:pPr>
            <w:r>
              <w:rPr>
                <w:rFonts w:ascii="Arial" w:cs="Arial" w:eastAsia="Arial" w:hAnsi="Arial"/>
                <w:sz w:val="18"/>
                <w:szCs w:val="18"/>
                <w:color w:val="auto"/>
              </w:rPr>
              <w:t>Adjusted for Humira net revenues</w:t>
            </w:r>
          </w:p>
        </w:tc>
        <w:tc>
          <w:tcPr>
            <w:tcW w:w="560" w:type="dxa"/>
            <w:vAlign w:val="bottom"/>
            <w:shd w:val="clear" w:color="auto" w:fill="E7E7E7"/>
          </w:tcPr>
          <w:p>
            <w:pPr>
              <w:spacing w:after="0"/>
              <w:rPr>
                <w:sz w:val="18"/>
                <w:szCs w:val="18"/>
                <w:color w:val="auto"/>
              </w:rPr>
            </w:pPr>
          </w:p>
        </w:tc>
        <w:tc>
          <w:tcPr>
            <w:tcW w:w="1060" w:type="dxa"/>
            <w:vAlign w:val="bottom"/>
            <w:shd w:val="clear" w:color="auto" w:fill="E7E7E7"/>
          </w:tcPr>
          <w:p>
            <w:pPr>
              <w:jc w:val="right"/>
              <w:spacing w:after="0"/>
              <w:rPr>
                <w:sz w:val="20"/>
                <w:szCs w:val="20"/>
                <w:color w:val="auto"/>
              </w:rPr>
            </w:pPr>
            <w:r>
              <w:rPr>
                <w:rFonts w:ascii="Arial" w:cs="Arial" w:eastAsia="Arial" w:hAnsi="Arial"/>
                <w:sz w:val="18"/>
                <w:szCs w:val="18"/>
                <w:color w:val="auto"/>
              </w:rPr>
              <w:t>(4,540)</w:t>
            </w:r>
          </w:p>
        </w:tc>
        <w:tc>
          <w:tcPr>
            <w:tcW w:w="480" w:type="dxa"/>
            <w:vAlign w:val="bottom"/>
            <w:shd w:val="clear" w:color="auto" w:fill="E7E7E7"/>
          </w:tcPr>
          <w:p>
            <w:pPr>
              <w:spacing w:after="0"/>
              <w:rPr>
                <w:sz w:val="18"/>
                <w:szCs w:val="18"/>
                <w:color w:val="auto"/>
              </w:rPr>
            </w:pPr>
          </w:p>
        </w:tc>
        <w:tc>
          <w:tcPr>
            <w:tcW w:w="1060" w:type="dxa"/>
            <w:vAlign w:val="bottom"/>
            <w:shd w:val="clear" w:color="auto" w:fill="E7E7E7"/>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7E7E7"/>
          </w:tcPr>
          <w:p>
            <w:pPr>
              <w:spacing w:after="0"/>
              <w:rPr>
                <w:sz w:val="18"/>
                <w:szCs w:val="18"/>
                <w:color w:val="auto"/>
              </w:rPr>
            </w:pPr>
          </w:p>
        </w:tc>
        <w:tc>
          <w:tcPr>
            <w:tcW w:w="1120" w:type="dxa"/>
            <w:vAlign w:val="bottom"/>
            <w:shd w:val="clear" w:color="auto" w:fill="E7E7E7"/>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E7E7E7"/>
          </w:tcPr>
          <w:p>
            <w:pPr>
              <w:spacing w:after="0"/>
              <w:rPr>
                <w:sz w:val="18"/>
                <w:szCs w:val="18"/>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for foreign exchange</w:t>
            </w: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4440" w:type="dxa"/>
            <w:vAlign w:val="bottom"/>
            <w:tcBorders>
              <w:bottom w:val="single" w:sz="8" w:color="auto"/>
            </w:tcBorders>
            <w:shd w:val="clear" w:color="auto" w:fill="E7E7E7"/>
          </w:tcPr>
          <w:p>
            <w:pPr>
              <w:spacing w:after="0" w:line="197" w:lineRule="exact"/>
              <w:rPr>
                <w:sz w:val="20"/>
                <w:szCs w:val="20"/>
                <w:color w:val="auto"/>
              </w:rPr>
            </w:pPr>
            <w:r>
              <w:rPr>
                <w:rFonts w:ascii="Arial" w:cs="Arial" w:eastAsia="Arial" w:hAnsi="Arial"/>
                <w:sz w:val="18"/>
                <w:szCs w:val="18"/>
                <w:b w:val="1"/>
                <w:bCs w:val="1"/>
                <w:color w:val="auto"/>
              </w:rPr>
              <w:t>As adjusted (non-GAAP)</w:t>
            </w:r>
          </w:p>
        </w:tc>
        <w:tc>
          <w:tcPr>
            <w:tcW w:w="560" w:type="dxa"/>
            <w:vAlign w:val="bottom"/>
            <w:tcBorders>
              <w:bottom w:val="single" w:sz="8" w:color="auto"/>
            </w:tcBorders>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7E7E7"/>
          </w:tcPr>
          <w:p>
            <w:pPr>
              <w:jc w:val="right"/>
              <w:spacing w:after="0" w:line="197" w:lineRule="exact"/>
              <w:rPr>
                <w:sz w:val="20"/>
                <w:szCs w:val="20"/>
                <w:color w:val="auto"/>
              </w:rPr>
            </w:pPr>
            <w:r>
              <w:rPr>
                <w:rFonts w:ascii="Arial" w:cs="Arial" w:eastAsia="Arial" w:hAnsi="Arial"/>
                <w:sz w:val="18"/>
                <w:szCs w:val="18"/>
                <w:color w:val="auto"/>
              </w:rPr>
              <w:t>56,338</w:t>
            </w:r>
          </w:p>
        </w:tc>
        <w:tc>
          <w:tcPr>
            <w:tcW w:w="480" w:type="dxa"/>
            <w:vAlign w:val="bottom"/>
            <w:tcBorders>
              <w:bottom w:val="single" w:sz="8" w:color="auto"/>
            </w:tcBorders>
            <w:shd w:val="clear" w:color="auto" w:fill="E7E7E7"/>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7E7E7"/>
          </w:tcPr>
          <w:p>
            <w:pPr>
              <w:jc w:val="right"/>
              <w:ind w:right="32"/>
              <w:spacing w:after="0" w:line="197" w:lineRule="exact"/>
              <w:rPr>
                <w:sz w:val="20"/>
                <w:szCs w:val="20"/>
                <w:color w:val="auto"/>
              </w:rPr>
            </w:pPr>
            <w:r>
              <w:rPr>
                <w:rFonts w:ascii="Arial" w:cs="Arial" w:eastAsia="Arial" w:hAnsi="Arial"/>
                <w:sz w:val="18"/>
                <w:szCs w:val="18"/>
                <w:color w:val="auto"/>
              </w:rPr>
              <w:t>28,959</w:t>
            </w:r>
          </w:p>
        </w:tc>
        <w:tc>
          <w:tcPr>
            <w:tcW w:w="240" w:type="dxa"/>
            <w:vAlign w:val="bottom"/>
            <w:tcBorders>
              <w:bottom w:val="single" w:sz="8" w:color="auto"/>
            </w:tcBorders>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7E7E7"/>
          </w:tcPr>
          <w:p>
            <w:pPr>
              <w:jc w:val="right"/>
              <w:ind w:right="72"/>
              <w:spacing w:after="0" w:line="197" w:lineRule="exact"/>
              <w:rPr>
                <w:sz w:val="20"/>
                <w:szCs w:val="20"/>
                <w:color w:val="auto"/>
              </w:rPr>
            </w:pPr>
            <w:r>
              <w:rPr>
                <w:rFonts w:ascii="Arial" w:cs="Arial" w:eastAsia="Arial" w:hAnsi="Arial"/>
                <w:sz w:val="18"/>
                <w:szCs w:val="18"/>
                <w:color w:val="auto"/>
              </w:rPr>
              <w:t>26,941</w:t>
            </w:r>
          </w:p>
        </w:tc>
        <w:tc>
          <w:tcPr>
            <w:tcW w:w="220" w:type="dxa"/>
            <w:vAlign w:val="bottom"/>
            <w:tcBorders>
              <w:bottom w:val="single" w:sz="8" w:color="auto"/>
            </w:tcBorders>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7E7E7"/>
          </w:tcPr>
          <w:p>
            <w:pPr>
              <w:jc w:val="right"/>
              <w:spacing w:after="0" w:line="197" w:lineRule="exact"/>
              <w:rPr>
                <w:sz w:val="20"/>
                <w:szCs w:val="20"/>
                <w:color w:val="auto"/>
              </w:rPr>
            </w:pPr>
            <w:r>
              <w:rPr>
                <w:rFonts w:ascii="Arial" w:cs="Arial" w:eastAsia="Arial" w:hAnsi="Arial"/>
                <w:sz w:val="18"/>
                <w:szCs w:val="18"/>
                <w:color w:val="auto"/>
              </w:rPr>
              <w:t>22,687</w:t>
            </w:r>
          </w:p>
        </w:tc>
      </w:tr>
    </w:tbl>
    <w:p>
      <w:pPr>
        <w:spacing w:after="0" w:line="3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revenues are adjusted as outlined in the table to calculate the Platform Revenue performance results.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**Represents net earnings attributable to AbbVie Inc.</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Intangible asset impairment reflects impairment charges of $847 million related to the Resonic and Durysta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1007745</wp:posOffset>
                </wp:positionH>
                <wp:positionV relativeFrom="paragraph">
                  <wp:posOffset>12065</wp:posOffset>
                </wp:positionV>
                <wp:extent cx="0" cy="146050"/>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28194">
                          <a:solidFill>
                            <a:srgbClr val="FEFEFE"/>
                          </a:solidFill>
                          <a:miter lim="800000"/>
                          <a:headEnd/>
                          <a:tailEnd/>
                        </a:ln>
                      </wps:spPr>
                      <wps:bodyPr/>
                    </wps:wsp>
                  </a:graphicData>
                </a:graphic>
              </wp:anchor>
            </w:drawing>
          </mc:Choice>
          <mc:Fallback>
            <w:pict>
              <v:line id="Shape 630" o:spid="_x0000_s16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35pt,0.95pt" to="79.35pt,12.45pt" o:allowincell="f" strokecolor="#FEFEFE" strokeweight="2.22pt"/>
            </w:pict>
          </mc:Fallback>
        </mc:AlternateContent>
      </w:r>
    </w:p>
    <w:p>
      <w:pPr>
        <w:spacing w:after="0" w:line="6"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intangible assets. Acquisition and integration costs primarily reflect costs related to the Capstan</w:t>
      </w:r>
    </w:p>
    <w:p>
      <w:pPr>
        <w:ind w:left="20"/>
        <w:spacing w:after="0"/>
        <w:rPr>
          <w:sz w:val="20"/>
          <w:szCs w:val="20"/>
          <w:color w:val="auto"/>
        </w:rPr>
      </w:pPr>
      <w:r>
        <w:rPr>
          <w:rFonts w:ascii="Arial" w:cs="Arial" w:eastAsia="Arial" w:hAnsi="Arial"/>
          <w:sz w:val="20"/>
          <w:szCs w:val="20"/>
          <w:color w:val="auto"/>
        </w:rPr>
        <w:t>Therapeutics acquisition. Acquired IPR&amp;D and milestones represents initial costs and subsequent development</w:t>
      </w:r>
    </w:p>
    <w:p>
      <w:pPr>
        <w:ind w:left="20"/>
        <w:spacing w:after="0"/>
        <w:rPr>
          <w:sz w:val="20"/>
          <w:szCs w:val="20"/>
          <w:color w:val="auto"/>
        </w:rPr>
      </w:pPr>
      <w:r>
        <w:rPr>
          <w:rFonts w:ascii="Arial" w:cs="Arial" w:eastAsia="Arial" w:hAnsi="Arial"/>
          <w:sz w:val="20"/>
          <w:szCs w:val="20"/>
          <w:color w:val="auto"/>
        </w:rPr>
        <w:t>milestones incurred to acquire rights to in-process R&amp;D projects through R&amp;D collaborations, licensing</w:t>
      </w:r>
    </w:p>
    <w:p>
      <w:pPr>
        <w:ind w:left="20"/>
        <w:spacing w:after="0"/>
        <w:rPr>
          <w:sz w:val="20"/>
          <w:szCs w:val="20"/>
          <w:color w:val="auto"/>
        </w:rPr>
      </w:pPr>
      <w:r>
        <w:rPr>
          <w:rFonts w:ascii="Arial" w:cs="Arial" w:eastAsia="Arial" w:hAnsi="Arial"/>
          <w:sz w:val="20"/>
          <w:szCs w:val="20"/>
          <w:color w:val="auto"/>
        </w:rPr>
        <w:t>arrangements or other asset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5420" w:type="dxa"/>
        <w:tblCellMar>
          <w:top w:w="0" w:type="dxa"/>
          <w:left w:w="0" w:type="dxa"/>
          <w:bottom w:w="0" w:type="dxa"/>
          <w:right w:w="0" w:type="dxa"/>
        </w:tblCellMar>
      </w:tblPr>
      <w:tr>
        <w:trPr>
          <w:trHeight w:val="408"/>
        </w:trPr>
        <w:tc>
          <w:tcPr>
            <w:tcW w:w="3360" w:type="dxa"/>
            <w:vAlign w:val="bottom"/>
          </w:tcPr>
          <w:p>
            <w:pPr>
              <w:spacing w:after="0"/>
              <w:rPr>
                <w:sz w:val="20"/>
                <w:szCs w:val="20"/>
                <w:color w:val="auto"/>
              </w:rPr>
            </w:pPr>
            <w:r>
              <w:rPr>
                <w:rFonts w:ascii="Arial" w:cs="Arial" w:eastAsia="Arial" w:hAnsi="Arial"/>
                <w:sz w:val="20"/>
                <w:szCs w:val="20"/>
                <w:i w:val="1"/>
                <w:iCs w:val="1"/>
                <w:color w:val="auto"/>
              </w:rPr>
              <w:t xml:space="preserve">2026 Proxy Statement   </w:t>
            </w:r>
            <w:r>
              <w:rPr>
                <w:rFonts w:ascii="Arial" w:cs="Arial" w:eastAsia="Arial" w:hAnsi="Arial"/>
                <w:sz w:val="30"/>
                <w:szCs w:val="30"/>
                <w:color w:val="auto"/>
              </w:rPr>
              <w:t>|</w:t>
            </w:r>
          </w:p>
        </w:tc>
        <w:tc>
          <w:tcPr>
            <w:tcW w:w="1320" w:type="dxa"/>
            <w:vAlign w:val="bottom"/>
          </w:tcPr>
          <w:p>
            <w:pPr>
              <w:ind w:left="1000"/>
              <w:spacing w:after="0"/>
              <w:rPr>
                <w:sz w:val="20"/>
                <w:szCs w:val="20"/>
                <w:color w:val="auto"/>
              </w:rPr>
            </w:pPr>
            <w:r>
              <w:rPr>
                <w:rFonts w:ascii="Arial" w:cs="Arial" w:eastAsia="Arial" w:hAnsi="Arial"/>
                <w:sz w:val="20"/>
                <w:szCs w:val="20"/>
                <w:color w:val="auto"/>
                <w:w w:val="96"/>
              </w:rPr>
              <w:t>B-2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-212725</wp:posOffset>
            </wp:positionV>
            <wp:extent cx="991870" cy="20066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278">
                      <a:extLst>
                        <a:ext uri="{28A0092B-C50C-407E-A947-70E740481C1C}"/>
                      </a:extLst>
                    </a:blip>
                    <a:srcRect/>
                    <a:stretch>
                      <a:fillRect/>
                    </a:stretch>
                  </pic:blipFill>
                  <pic:spPr bwMode="auto">
                    <a:xfrm>
                      <a:off x="0" y="0"/>
                      <a:ext cx="991870" cy="200660"/>
                    </a:xfrm>
                    <a:prstGeom prst="rect">
                      <a:avLst/>
                    </a:prstGeom>
                    <a:noFill/>
                  </pic:spPr>
                </pic:pic>
              </a:graphicData>
            </a:graphic>
          </wp:anchor>
        </w:drawing>
      </w:r>
    </w:p>
    <w:p>
      <w:pPr>
        <w:sectPr>
          <w:pgSz w:w="11880" w:h="15480" w:orient="portrait"/>
          <w:cols w:equalWidth="0" w:num="1">
            <w:col w:w="10100"/>
          </w:cols>
          <w:pgMar w:left="880" w:top="881" w:right="900" w:bottom="0" w:gutter="0" w:footer="0" w:header="0"/>
        </w:sectPr>
      </w:pPr>
    </w:p>
    <w:bookmarkStart w:id="217" w:name="page218"/>
    <w:bookmarkEnd w:id="217"/>
    <w:p>
      <w:pPr>
        <w:spacing w:after="0"/>
        <w:rPr>
          <w:sz w:val="20"/>
          <w:szCs w:val="20"/>
          <w:color w:val="auto"/>
        </w:rPr>
      </w:pPr>
      <w:r>
        <w:rPr>
          <w:rFonts w:ascii="Arial" w:cs="Arial" w:eastAsia="Arial" w:hAnsi="Arial"/>
          <w:sz w:val="20"/>
          <w:szCs w:val="20"/>
          <w:b w:val="1"/>
          <w:bCs w:val="1"/>
          <w:color w:val="auto"/>
        </w:rPr>
        <w:t>2024 Performance Results for Financial Goals Reconciliations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ind w:right="531"/>
              <w:spacing w:after="0"/>
              <w:rPr>
                <w:sz w:val="20"/>
                <w:szCs w:val="20"/>
                <w:color w:val="auto"/>
              </w:rPr>
            </w:pPr>
            <w:r>
              <w:rPr>
                <w:rFonts w:ascii="Arial" w:cs="Arial" w:eastAsia="Arial" w:hAnsi="Arial"/>
                <w:sz w:val="16"/>
                <w:szCs w:val="16"/>
                <w:b w:val="1"/>
                <w:bCs w:val="1"/>
                <w:color w:val="000039"/>
              </w:rPr>
              <w:t>Net</w:t>
            </w:r>
          </w:p>
        </w:tc>
        <w:tc>
          <w:tcPr>
            <w:tcW w:w="340" w:type="dxa"/>
            <w:vAlign w:val="bottom"/>
          </w:tcPr>
          <w:p>
            <w:pPr>
              <w:spacing w:after="0"/>
              <w:rPr>
                <w:sz w:val="16"/>
                <w:szCs w:val="16"/>
                <w:color w:val="auto"/>
              </w:rPr>
            </w:pPr>
          </w:p>
        </w:tc>
        <w:tc>
          <w:tcPr>
            <w:tcW w:w="1060" w:type="dxa"/>
            <w:vAlign w:val="bottom"/>
          </w:tcPr>
          <w:p>
            <w:pPr>
              <w:jc w:val="right"/>
              <w:ind w:right="111"/>
              <w:spacing w:after="0"/>
              <w:rPr>
                <w:sz w:val="20"/>
                <w:szCs w:val="20"/>
                <w:color w:val="auto"/>
              </w:rPr>
            </w:pPr>
            <w:r>
              <w:rPr>
                <w:rFonts w:ascii="Arial" w:cs="Arial" w:eastAsia="Arial" w:hAnsi="Arial"/>
                <w:sz w:val="16"/>
                <w:szCs w:val="16"/>
                <w:b w:val="1"/>
                <w:bCs w:val="1"/>
                <w:color w:val="000039"/>
              </w:rPr>
              <w:t>Operating</w:t>
            </w:r>
          </w:p>
        </w:tc>
        <w:tc>
          <w:tcPr>
            <w:tcW w:w="240" w:type="dxa"/>
            <w:vAlign w:val="bottom"/>
          </w:tcPr>
          <w:p>
            <w:pPr>
              <w:spacing w:after="0"/>
              <w:rPr>
                <w:sz w:val="16"/>
                <w:szCs w:val="16"/>
                <w:color w:val="auto"/>
              </w:rPr>
            </w:pPr>
          </w:p>
        </w:tc>
        <w:tc>
          <w:tcPr>
            <w:tcW w:w="1120" w:type="dxa"/>
            <w:vAlign w:val="bottom"/>
          </w:tcPr>
          <w:p>
            <w:pPr>
              <w:jc w:val="right"/>
              <w:ind w:right="271"/>
              <w:spacing w:after="0"/>
              <w:rPr>
                <w:sz w:val="20"/>
                <w:szCs w:val="20"/>
                <w:color w:val="auto"/>
              </w:rPr>
            </w:pPr>
            <w:r>
              <w:rPr>
                <w:rFonts w:ascii="Arial" w:cs="Arial" w:eastAsia="Arial" w:hAnsi="Arial"/>
                <w:sz w:val="16"/>
                <w:szCs w:val="16"/>
                <w:b w:val="1"/>
                <w:bCs w:val="1"/>
                <w:color w:val="000039"/>
              </w:rPr>
              <w:t>Income</w:t>
            </w:r>
          </w:p>
        </w:tc>
        <w:tc>
          <w:tcPr>
            <w:tcW w:w="220" w:type="dxa"/>
            <w:vAlign w:val="bottom"/>
          </w:tcPr>
          <w:p>
            <w:pPr>
              <w:spacing w:after="0"/>
              <w:rPr>
                <w:sz w:val="16"/>
                <w:szCs w:val="16"/>
                <w:color w:val="auto"/>
              </w:rPr>
            </w:pPr>
          </w:p>
        </w:tc>
        <w:tc>
          <w:tcPr>
            <w:tcW w:w="900" w:type="dxa"/>
            <w:vAlign w:val="bottom"/>
          </w:tcPr>
          <w:p>
            <w:pPr>
              <w:jc w:val="right"/>
              <w:ind w:right="251"/>
              <w:spacing w:after="0"/>
              <w:rPr>
                <w:sz w:val="20"/>
                <w:szCs w:val="20"/>
                <w:color w:val="auto"/>
              </w:rPr>
            </w:pPr>
            <w:r>
              <w:rPr>
                <w:rFonts w:ascii="Arial" w:cs="Arial" w:eastAsia="Arial" w:hAnsi="Arial"/>
                <w:sz w:val="16"/>
                <w:szCs w:val="16"/>
                <w:b w:val="1"/>
                <w:bCs w:val="1"/>
                <w:color w:val="000039"/>
              </w:rPr>
              <w:t>Net</w:t>
            </w:r>
          </w:p>
        </w:tc>
      </w:tr>
      <w:tr>
        <w:trPr>
          <w:trHeight w:val="203"/>
        </w:trPr>
        <w:tc>
          <w:tcPr>
            <w:tcW w:w="44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000039"/>
              </w:rPr>
              <w:t>Revenues*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000039"/>
              </w:rPr>
              <w:t>Margin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000039"/>
                <w:w w:val="97"/>
              </w:rPr>
              <w:t>Before Taxes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0039"/>
              </w:rPr>
              <w:t>Earnings**</w:t>
            </w:r>
          </w:p>
        </w:tc>
      </w:tr>
      <w:tr>
        <w:trPr>
          <w:trHeight w:val="196"/>
        </w:trPr>
        <w:tc>
          <w:tcPr>
            <w:tcW w:w="4440" w:type="dxa"/>
            <w:vAlign w:val="bottom"/>
            <w:shd w:val="clear" w:color="auto" w:fill="E7E7E7"/>
          </w:tcPr>
          <w:p>
            <w:pPr>
              <w:spacing w:after="0" w:line="196" w:lineRule="exact"/>
              <w:rPr>
                <w:sz w:val="20"/>
                <w:szCs w:val="20"/>
                <w:color w:val="auto"/>
              </w:rPr>
            </w:pPr>
            <w:r>
              <w:rPr>
                <w:rFonts w:ascii="Arial" w:cs="Arial" w:eastAsia="Arial" w:hAnsi="Arial"/>
                <w:sz w:val="18"/>
                <w:szCs w:val="18"/>
                <w:b w:val="1"/>
                <w:bCs w:val="1"/>
                <w:color w:val="auto"/>
              </w:rPr>
              <w:t>As reported (GAAP)</w:t>
            </w:r>
          </w:p>
        </w:tc>
        <w:tc>
          <w:tcPr>
            <w:tcW w:w="560" w:type="dxa"/>
            <w:vAlign w:val="bottom"/>
            <w:shd w:val="clear" w:color="auto" w:fill="E7E7E7"/>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E7E7E7"/>
          </w:tcPr>
          <w:p>
            <w:pPr>
              <w:jc w:val="right"/>
              <w:ind w:right="111"/>
              <w:spacing w:after="0" w:line="196" w:lineRule="exact"/>
              <w:rPr>
                <w:sz w:val="20"/>
                <w:szCs w:val="20"/>
                <w:color w:val="auto"/>
              </w:rPr>
            </w:pPr>
            <w:r>
              <w:rPr>
                <w:rFonts w:ascii="Arial" w:cs="Arial" w:eastAsia="Arial" w:hAnsi="Arial"/>
                <w:sz w:val="18"/>
                <w:szCs w:val="18"/>
                <w:color w:val="auto"/>
              </w:rPr>
              <w:t>56,334</w:t>
            </w:r>
          </w:p>
        </w:tc>
        <w:tc>
          <w:tcPr>
            <w:tcW w:w="340" w:type="dxa"/>
            <w:vAlign w:val="bottom"/>
            <w:shd w:val="clear" w:color="auto" w:fill="E7E7E7"/>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E7E7E7"/>
          </w:tcPr>
          <w:p>
            <w:pPr>
              <w:jc w:val="right"/>
              <w:ind w:right="31"/>
              <w:spacing w:after="0" w:line="196" w:lineRule="exact"/>
              <w:rPr>
                <w:sz w:val="20"/>
                <w:szCs w:val="20"/>
                <w:color w:val="auto"/>
              </w:rPr>
            </w:pPr>
            <w:r>
              <w:rPr>
                <w:rFonts w:ascii="Arial" w:cs="Arial" w:eastAsia="Arial" w:hAnsi="Arial"/>
                <w:sz w:val="18"/>
                <w:szCs w:val="18"/>
                <w:color w:val="auto"/>
              </w:rPr>
              <w:t>9,137</w:t>
            </w:r>
          </w:p>
        </w:tc>
        <w:tc>
          <w:tcPr>
            <w:tcW w:w="240" w:type="dxa"/>
            <w:vAlign w:val="bottom"/>
            <w:shd w:val="clear" w:color="auto" w:fill="E7E7E7"/>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E7E7E7"/>
          </w:tcPr>
          <w:p>
            <w:pPr>
              <w:jc w:val="right"/>
              <w:ind w:right="71"/>
              <w:spacing w:after="0" w:line="196" w:lineRule="exact"/>
              <w:rPr>
                <w:sz w:val="20"/>
                <w:szCs w:val="20"/>
                <w:color w:val="auto"/>
              </w:rPr>
            </w:pPr>
            <w:r>
              <w:rPr>
                <w:rFonts w:ascii="Arial" w:cs="Arial" w:eastAsia="Arial" w:hAnsi="Arial"/>
                <w:sz w:val="18"/>
                <w:szCs w:val="18"/>
                <w:color w:val="auto"/>
              </w:rPr>
              <w:t>3,716</w:t>
            </w:r>
          </w:p>
        </w:tc>
        <w:tc>
          <w:tcPr>
            <w:tcW w:w="220" w:type="dxa"/>
            <w:vAlign w:val="bottom"/>
            <w:shd w:val="clear" w:color="auto" w:fill="E7E7E7"/>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E7E7E7"/>
          </w:tcPr>
          <w:p>
            <w:pPr>
              <w:jc w:val="right"/>
              <w:spacing w:after="0" w:line="196" w:lineRule="exact"/>
              <w:rPr>
                <w:sz w:val="20"/>
                <w:szCs w:val="20"/>
                <w:color w:val="auto"/>
              </w:rPr>
            </w:pPr>
            <w:r>
              <w:rPr>
                <w:rFonts w:ascii="Arial" w:cs="Arial" w:eastAsia="Arial" w:hAnsi="Arial"/>
                <w:sz w:val="18"/>
                <w:szCs w:val="18"/>
                <w:color w:val="auto"/>
              </w:rPr>
              <w:t>4,278</w:t>
            </w:r>
          </w:p>
        </w:tc>
      </w:tr>
      <w:tr>
        <w:trPr>
          <w:trHeight w:val="208"/>
        </w:trPr>
        <w:tc>
          <w:tcPr>
            <w:tcW w:w="444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6"/>
        </w:trPr>
        <w:tc>
          <w:tcPr>
            <w:tcW w:w="4440" w:type="dxa"/>
            <w:vAlign w:val="bottom"/>
            <w:shd w:val="clear" w:color="auto" w:fill="E7E7E7"/>
          </w:tcPr>
          <w:p>
            <w:pPr>
              <w:ind w:left="240"/>
              <w:spacing w:after="0"/>
              <w:rPr>
                <w:sz w:val="20"/>
                <w:szCs w:val="20"/>
                <w:color w:val="auto"/>
              </w:rPr>
            </w:pPr>
            <w:r>
              <w:rPr>
                <w:rFonts w:ascii="Arial" w:cs="Arial" w:eastAsia="Arial" w:hAnsi="Arial"/>
                <w:sz w:val="18"/>
                <w:szCs w:val="18"/>
                <w:color w:val="auto"/>
              </w:rPr>
              <w:t>Intangible asset amortization</w:t>
            </w:r>
          </w:p>
        </w:tc>
        <w:tc>
          <w:tcPr>
            <w:tcW w:w="560" w:type="dxa"/>
            <w:vAlign w:val="bottom"/>
            <w:shd w:val="clear" w:color="auto" w:fill="E7E7E7"/>
          </w:tcPr>
          <w:p>
            <w:pPr>
              <w:spacing w:after="0"/>
              <w:rPr>
                <w:sz w:val="17"/>
                <w:szCs w:val="17"/>
                <w:color w:val="auto"/>
              </w:rPr>
            </w:pPr>
          </w:p>
        </w:tc>
        <w:tc>
          <w:tcPr>
            <w:tcW w:w="1200" w:type="dxa"/>
            <w:vAlign w:val="bottom"/>
            <w:shd w:val="clear" w:color="auto" w:fill="E7E7E7"/>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shd w:val="clear" w:color="auto" w:fill="E7E7E7"/>
          </w:tcPr>
          <w:p>
            <w:pPr>
              <w:spacing w:after="0"/>
              <w:rPr>
                <w:sz w:val="17"/>
                <w:szCs w:val="17"/>
                <w:color w:val="auto"/>
              </w:rPr>
            </w:pPr>
          </w:p>
        </w:tc>
        <w:tc>
          <w:tcPr>
            <w:tcW w:w="1060" w:type="dxa"/>
            <w:vAlign w:val="bottom"/>
            <w:shd w:val="clear" w:color="auto" w:fill="E7E7E7"/>
          </w:tcPr>
          <w:p>
            <w:pPr>
              <w:jc w:val="right"/>
              <w:ind w:right="31"/>
              <w:spacing w:after="0"/>
              <w:rPr>
                <w:sz w:val="20"/>
                <w:szCs w:val="20"/>
                <w:color w:val="auto"/>
              </w:rPr>
            </w:pPr>
            <w:r>
              <w:rPr>
                <w:rFonts w:ascii="Arial" w:cs="Arial" w:eastAsia="Arial" w:hAnsi="Arial"/>
                <w:sz w:val="18"/>
                <w:szCs w:val="18"/>
                <w:color w:val="auto"/>
              </w:rPr>
              <w:t>7,622</w:t>
            </w:r>
          </w:p>
        </w:tc>
        <w:tc>
          <w:tcPr>
            <w:tcW w:w="240" w:type="dxa"/>
            <w:vAlign w:val="bottom"/>
            <w:shd w:val="clear" w:color="auto" w:fill="E7E7E7"/>
          </w:tcPr>
          <w:p>
            <w:pPr>
              <w:spacing w:after="0"/>
              <w:rPr>
                <w:sz w:val="17"/>
                <w:szCs w:val="17"/>
                <w:color w:val="auto"/>
              </w:rPr>
            </w:pPr>
          </w:p>
        </w:tc>
        <w:tc>
          <w:tcPr>
            <w:tcW w:w="1120" w:type="dxa"/>
            <w:vAlign w:val="bottom"/>
            <w:shd w:val="clear" w:color="auto" w:fill="E7E7E7"/>
          </w:tcPr>
          <w:p>
            <w:pPr>
              <w:jc w:val="right"/>
              <w:ind w:right="71"/>
              <w:spacing w:after="0"/>
              <w:rPr>
                <w:sz w:val="20"/>
                <w:szCs w:val="20"/>
                <w:color w:val="auto"/>
              </w:rPr>
            </w:pPr>
            <w:r>
              <w:rPr>
                <w:rFonts w:ascii="Arial" w:cs="Arial" w:eastAsia="Arial" w:hAnsi="Arial"/>
                <w:sz w:val="18"/>
                <w:szCs w:val="18"/>
                <w:color w:val="auto"/>
              </w:rPr>
              <w:t>7,622</w:t>
            </w:r>
          </w:p>
        </w:tc>
        <w:tc>
          <w:tcPr>
            <w:tcW w:w="220" w:type="dxa"/>
            <w:vAlign w:val="bottom"/>
            <w:shd w:val="clear" w:color="auto" w:fill="E7E7E7"/>
          </w:tcPr>
          <w:p>
            <w:pPr>
              <w:spacing w:after="0"/>
              <w:rPr>
                <w:sz w:val="17"/>
                <w:szCs w:val="17"/>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6,461</w:t>
            </w:r>
          </w:p>
        </w:tc>
      </w:tr>
      <w:tr>
        <w:trPr>
          <w:trHeight w:val="208"/>
        </w:trPr>
        <w:tc>
          <w:tcPr>
            <w:tcW w:w="4440" w:type="dxa"/>
            <w:vAlign w:val="bottom"/>
          </w:tcPr>
          <w:p>
            <w:pPr>
              <w:ind w:left="240"/>
              <w:spacing w:after="0"/>
              <w:rPr>
                <w:sz w:val="20"/>
                <w:szCs w:val="20"/>
                <w:color w:val="auto"/>
              </w:rPr>
            </w:pPr>
            <w:r>
              <w:rPr>
                <w:rFonts w:ascii="Arial" w:cs="Arial" w:eastAsia="Arial" w:hAnsi="Arial"/>
                <w:sz w:val="18"/>
                <w:szCs w:val="18"/>
                <w:color w:val="auto"/>
              </w:rPr>
              <w:t>Acquisition and integration costs</w:t>
            </w:r>
          </w:p>
        </w:tc>
        <w:tc>
          <w:tcPr>
            <w:tcW w:w="560" w:type="dxa"/>
            <w:vAlign w:val="bottom"/>
          </w:tcPr>
          <w:p>
            <w:pPr>
              <w:spacing w:after="0"/>
              <w:rPr>
                <w:sz w:val="18"/>
                <w:szCs w:val="18"/>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06"/>
        </w:trPr>
        <w:tc>
          <w:tcPr>
            <w:tcW w:w="4440" w:type="dxa"/>
            <w:vAlign w:val="bottom"/>
            <w:shd w:val="clear" w:color="auto" w:fill="E7E7E7"/>
          </w:tcPr>
          <w:p>
            <w:pPr>
              <w:ind w:left="240"/>
              <w:spacing w:after="0"/>
              <w:rPr>
                <w:sz w:val="20"/>
                <w:szCs w:val="20"/>
                <w:color w:val="auto"/>
              </w:rPr>
            </w:pPr>
            <w:r>
              <w:rPr>
                <w:rFonts w:ascii="Arial" w:cs="Arial" w:eastAsia="Arial" w:hAnsi="Arial"/>
                <w:sz w:val="18"/>
                <w:szCs w:val="18"/>
                <w:color w:val="auto"/>
              </w:rPr>
              <w:t>Acquired IPR&amp;D and milestones</w:t>
            </w:r>
          </w:p>
        </w:tc>
        <w:tc>
          <w:tcPr>
            <w:tcW w:w="560" w:type="dxa"/>
            <w:vAlign w:val="bottom"/>
            <w:shd w:val="clear" w:color="auto" w:fill="E7E7E7"/>
          </w:tcPr>
          <w:p>
            <w:pPr>
              <w:spacing w:after="0"/>
              <w:rPr>
                <w:sz w:val="17"/>
                <w:szCs w:val="17"/>
                <w:color w:val="auto"/>
              </w:rPr>
            </w:pPr>
          </w:p>
        </w:tc>
        <w:tc>
          <w:tcPr>
            <w:tcW w:w="1200" w:type="dxa"/>
            <w:vAlign w:val="bottom"/>
            <w:shd w:val="clear" w:color="auto" w:fill="E7E7E7"/>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shd w:val="clear" w:color="auto" w:fill="E7E7E7"/>
          </w:tcPr>
          <w:p>
            <w:pPr>
              <w:spacing w:after="0"/>
              <w:rPr>
                <w:sz w:val="17"/>
                <w:szCs w:val="17"/>
                <w:color w:val="auto"/>
              </w:rPr>
            </w:pPr>
          </w:p>
        </w:tc>
        <w:tc>
          <w:tcPr>
            <w:tcW w:w="1060" w:type="dxa"/>
            <w:vAlign w:val="bottom"/>
            <w:shd w:val="clear" w:color="auto" w:fill="E7E7E7"/>
          </w:tcPr>
          <w:p>
            <w:pPr>
              <w:jc w:val="right"/>
              <w:ind w:right="31"/>
              <w:spacing w:after="0"/>
              <w:rPr>
                <w:sz w:val="20"/>
                <w:szCs w:val="20"/>
                <w:color w:val="auto"/>
              </w:rPr>
            </w:pPr>
            <w:r>
              <w:rPr>
                <w:rFonts w:ascii="Arial" w:cs="Arial" w:eastAsia="Arial" w:hAnsi="Arial"/>
                <w:sz w:val="18"/>
                <w:szCs w:val="18"/>
                <w:color w:val="auto"/>
              </w:rPr>
              <w:t>2,757</w:t>
            </w:r>
          </w:p>
        </w:tc>
        <w:tc>
          <w:tcPr>
            <w:tcW w:w="240" w:type="dxa"/>
            <w:vAlign w:val="bottom"/>
            <w:shd w:val="clear" w:color="auto" w:fill="E7E7E7"/>
          </w:tcPr>
          <w:p>
            <w:pPr>
              <w:spacing w:after="0"/>
              <w:rPr>
                <w:sz w:val="17"/>
                <w:szCs w:val="17"/>
                <w:color w:val="auto"/>
              </w:rPr>
            </w:pPr>
          </w:p>
        </w:tc>
        <w:tc>
          <w:tcPr>
            <w:tcW w:w="1120" w:type="dxa"/>
            <w:vAlign w:val="bottom"/>
            <w:shd w:val="clear" w:color="auto" w:fill="E7E7E7"/>
          </w:tcPr>
          <w:p>
            <w:pPr>
              <w:jc w:val="right"/>
              <w:ind w:right="71"/>
              <w:spacing w:after="0"/>
              <w:rPr>
                <w:sz w:val="20"/>
                <w:szCs w:val="20"/>
                <w:color w:val="auto"/>
              </w:rPr>
            </w:pPr>
            <w:r>
              <w:rPr>
                <w:rFonts w:ascii="Arial" w:cs="Arial" w:eastAsia="Arial" w:hAnsi="Arial"/>
                <w:sz w:val="18"/>
                <w:szCs w:val="18"/>
                <w:color w:val="auto"/>
              </w:rPr>
              <w:t>2,757</w:t>
            </w:r>
          </w:p>
        </w:tc>
        <w:tc>
          <w:tcPr>
            <w:tcW w:w="220" w:type="dxa"/>
            <w:vAlign w:val="bottom"/>
            <w:shd w:val="clear" w:color="auto" w:fill="E7E7E7"/>
          </w:tcPr>
          <w:p>
            <w:pPr>
              <w:spacing w:after="0"/>
              <w:rPr>
                <w:sz w:val="17"/>
                <w:szCs w:val="17"/>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2,704</w:t>
            </w:r>
          </w:p>
        </w:tc>
      </w:tr>
      <w:tr>
        <w:trPr>
          <w:trHeight w:val="208"/>
        </w:trPr>
        <w:tc>
          <w:tcPr>
            <w:tcW w:w="4440" w:type="dxa"/>
            <w:vAlign w:val="bottom"/>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560" w:type="dxa"/>
            <w:vAlign w:val="bottom"/>
          </w:tcPr>
          <w:p>
            <w:pPr>
              <w:spacing w:after="0"/>
              <w:rPr>
                <w:sz w:val="18"/>
                <w:szCs w:val="18"/>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3,771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3,673</w:t>
            </w:r>
          </w:p>
        </w:tc>
      </w:tr>
      <w:tr>
        <w:trPr>
          <w:trHeight w:val="206"/>
        </w:trPr>
        <w:tc>
          <w:tcPr>
            <w:tcW w:w="4440" w:type="dxa"/>
            <w:vAlign w:val="bottom"/>
            <w:shd w:val="clear" w:color="auto" w:fill="E7E7E7"/>
          </w:tcPr>
          <w:p>
            <w:pPr>
              <w:ind w:left="240"/>
              <w:spacing w:after="0"/>
              <w:rPr>
                <w:sz w:val="20"/>
                <w:szCs w:val="20"/>
                <w:color w:val="auto"/>
              </w:rPr>
            </w:pPr>
            <w:r>
              <w:rPr>
                <w:rFonts w:ascii="Arial" w:cs="Arial" w:eastAsia="Arial" w:hAnsi="Arial"/>
                <w:sz w:val="18"/>
                <w:szCs w:val="18"/>
                <w:color w:val="auto"/>
              </w:rPr>
              <w:t>Litigation matters</w:t>
            </w:r>
          </w:p>
        </w:tc>
        <w:tc>
          <w:tcPr>
            <w:tcW w:w="560" w:type="dxa"/>
            <w:vAlign w:val="bottom"/>
            <w:shd w:val="clear" w:color="auto" w:fill="E7E7E7"/>
          </w:tcPr>
          <w:p>
            <w:pPr>
              <w:spacing w:after="0"/>
              <w:rPr>
                <w:sz w:val="17"/>
                <w:szCs w:val="17"/>
                <w:color w:val="auto"/>
              </w:rPr>
            </w:pPr>
          </w:p>
        </w:tc>
        <w:tc>
          <w:tcPr>
            <w:tcW w:w="1200" w:type="dxa"/>
            <w:vAlign w:val="bottom"/>
            <w:shd w:val="clear" w:color="auto" w:fill="E7E7E7"/>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shd w:val="clear" w:color="auto" w:fill="E7E7E7"/>
          </w:tcPr>
          <w:p>
            <w:pPr>
              <w:spacing w:after="0"/>
              <w:rPr>
                <w:sz w:val="17"/>
                <w:szCs w:val="17"/>
                <w:color w:val="auto"/>
              </w:rPr>
            </w:pPr>
          </w:p>
        </w:tc>
        <w:tc>
          <w:tcPr>
            <w:tcW w:w="1060" w:type="dxa"/>
            <w:vAlign w:val="bottom"/>
            <w:shd w:val="clear" w:color="auto" w:fill="E7E7E7"/>
          </w:tcPr>
          <w:p>
            <w:pPr>
              <w:jc w:val="right"/>
              <w:ind w:right="31"/>
              <w:spacing w:after="0"/>
              <w:rPr>
                <w:sz w:val="20"/>
                <w:szCs w:val="20"/>
                <w:color w:val="auto"/>
              </w:rPr>
            </w:pPr>
            <w:r>
              <w:rPr>
                <w:rFonts w:ascii="Arial" w:cs="Arial" w:eastAsia="Arial" w:hAnsi="Arial"/>
                <w:sz w:val="18"/>
                <w:szCs w:val="18"/>
                <w:color w:val="auto"/>
              </w:rPr>
              <w:t>910</w:t>
            </w:r>
          </w:p>
        </w:tc>
        <w:tc>
          <w:tcPr>
            <w:tcW w:w="240" w:type="dxa"/>
            <w:vAlign w:val="bottom"/>
            <w:shd w:val="clear" w:color="auto" w:fill="E7E7E7"/>
          </w:tcPr>
          <w:p>
            <w:pPr>
              <w:spacing w:after="0"/>
              <w:rPr>
                <w:sz w:val="17"/>
                <w:szCs w:val="17"/>
                <w:color w:val="auto"/>
              </w:rPr>
            </w:pPr>
          </w:p>
        </w:tc>
        <w:tc>
          <w:tcPr>
            <w:tcW w:w="1120" w:type="dxa"/>
            <w:vAlign w:val="bottom"/>
            <w:shd w:val="clear" w:color="auto" w:fill="E7E7E7"/>
          </w:tcPr>
          <w:p>
            <w:pPr>
              <w:jc w:val="right"/>
              <w:ind w:right="71"/>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E7E7E7"/>
          </w:tcPr>
          <w:p>
            <w:pPr>
              <w:spacing w:after="0"/>
              <w:rPr>
                <w:sz w:val="17"/>
                <w:szCs w:val="17"/>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721</w:t>
            </w:r>
          </w:p>
        </w:tc>
      </w:tr>
      <w:tr>
        <w:trPr>
          <w:trHeight w:val="208"/>
        </w:trPr>
        <w:tc>
          <w:tcPr>
            <w:tcW w:w="4440" w:type="dxa"/>
            <w:vAlign w:val="bottom"/>
          </w:tcPr>
          <w:p>
            <w:pPr>
              <w:ind w:left="240"/>
              <w:spacing w:after="0"/>
              <w:rPr>
                <w:sz w:val="20"/>
                <w:szCs w:val="20"/>
                <w:color w:val="auto"/>
              </w:rPr>
            </w:pPr>
            <w:r>
              <w:rPr>
                <w:rFonts w:ascii="Arial" w:cs="Arial" w:eastAsia="Arial" w:hAnsi="Arial"/>
                <w:sz w:val="18"/>
                <w:szCs w:val="18"/>
                <w:color w:val="auto"/>
              </w:rPr>
              <w:t>Intangible asset impairment</w:t>
            </w:r>
          </w:p>
        </w:tc>
        <w:tc>
          <w:tcPr>
            <w:tcW w:w="560" w:type="dxa"/>
            <w:vAlign w:val="bottom"/>
          </w:tcPr>
          <w:p>
            <w:pPr>
              <w:spacing w:after="0"/>
              <w:rPr>
                <w:sz w:val="18"/>
                <w:szCs w:val="18"/>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4,476</w:t>
            </w:r>
          </w:p>
        </w:tc>
        <w:tc>
          <w:tcPr>
            <w:tcW w:w="24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4,476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3,512</w:t>
            </w:r>
          </w:p>
        </w:tc>
      </w:tr>
      <w:tr>
        <w:trPr>
          <w:trHeight w:val="206"/>
        </w:trPr>
        <w:tc>
          <w:tcPr>
            <w:tcW w:w="4440" w:type="dxa"/>
            <w:vAlign w:val="bottom"/>
            <w:shd w:val="clear" w:color="auto" w:fill="E7E7E7"/>
          </w:tcPr>
          <w:p>
            <w:pPr>
              <w:ind w:left="240"/>
              <w:spacing w:after="0"/>
              <w:rPr>
                <w:sz w:val="20"/>
                <w:szCs w:val="20"/>
                <w:color w:val="auto"/>
              </w:rPr>
            </w:pPr>
            <w:r>
              <w:rPr>
                <w:rFonts w:ascii="Arial" w:cs="Arial" w:eastAsia="Arial" w:hAnsi="Arial"/>
                <w:sz w:val="18"/>
                <w:szCs w:val="18"/>
                <w:color w:val="auto"/>
              </w:rPr>
              <w:t>Income tax items</w:t>
            </w:r>
          </w:p>
        </w:tc>
        <w:tc>
          <w:tcPr>
            <w:tcW w:w="560" w:type="dxa"/>
            <w:vAlign w:val="bottom"/>
            <w:shd w:val="clear" w:color="auto" w:fill="E7E7E7"/>
          </w:tcPr>
          <w:p>
            <w:pPr>
              <w:spacing w:after="0"/>
              <w:rPr>
                <w:sz w:val="17"/>
                <w:szCs w:val="17"/>
                <w:color w:val="auto"/>
              </w:rPr>
            </w:pPr>
          </w:p>
        </w:tc>
        <w:tc>
          <w:tcPr>
            <w:tcW w:w="1200" w:type="dxa"/>
            <w:vAlign w:val="bottom"/>
            <w:shd w:val="clear" w:color="auto" w:fill="E7E7E7"/>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shd w:val="clear" w:color="auto" w:fill="E7E7E7"/>
          </w:tcPr>
          <w:p>
            <w:pPr>
              <w:spacing w:after="0"/>
              <w:rPr>
                <w:sz w:val="17"/>
                <w:szCs w:val="17"/>
                <w:color w:val="auto"/>
              </w:rPr>
            </w:pPr>
          </w:p>
        </w:tc>
        <w:tc>
          <w:tcPr>
            <w:tcW w:w="1060" w:type="dxa"/>
            <w:vAlign w:val="bottom"/>
            <w:shd w:val="clear" w:color="auto" w:fill="E7E7E7"/>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E7E7E7"/>
          </w:tcPr>
          <w:p>
            <w:pPr>
              <w:spacing w:after="0"/>
              <w:rPr>
                <w:sz w:val="17"/>
                <w:szCs w:val="17"/>
                <w:color w:val="auto"/>
              </w:rPr>
            </w:pPr>
          </w:p>
        </w:tc>
        <w:tc>
          <w:tcPr>
            <w:tcW w:w="1120" w:type="dxa"/>
            <w:vAlign w:val="bottom"/>
            <w:shd w:val="clear" w:color="auto" w:fill="E7E7E7"/>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E7E7E7"/>
          </w:tcPr>
          <w:p>
            <w:pPr>
              <w:spacing w:after="0"/>
              <w:rPr>
                <w:sz w:val="17"/>
                <w:szCs w:val="17"/>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(1,819)</w:t>
            </w:r>
          </w:p>
        </w:tc>
      </w:tr>
      <w:tr>
        <w:trPr>
          <w:trHeight w:val="208"/>
        </w:trPr>
        <w:tc>
          <w:tcPr>
            <w:tcW w:w="4440" w:type="dxa"/>
            <w:vAlign w:val="bottom"/>
          </w:tcPr>
          <w:p>
            <w:pPr>
              <w:ind w:left="24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06"/>
        </w:trPr>
        <w:tc>
          <w:tcPr>
            <w:tcW w:w="4440" w:type="dxa"/>
            <w:vAlign w:val="bottom"/>
            <w:shd w:val="clear" w:color="auto" w:fill="E7E7E7"/>
          </w:tcPr>
          <w:p>
            <w:pPr>
              <w:spacing w:after="0"/>
              <w:rPr>
                <w:sz w:val="20"/>
                <w:szCs w:val="20"/>
                <w:color w:val="auto"/>
              </w:rPr>
            </w:pPr>
            <w:r>
              <w:rPr>
                <w:rFonts w:ascii="Arial" w:cs="Arial" w:eastAsia="Arial" w:hAnsi="Arial"/>
                <w:sz w:val="18"/>
                <w:szCs w:val="18"/>
                <w:color w:val="auto"/>
              </w:rPr>
              <w:t>Adjusted for Humira net revenues</w:t>
            </w:r>
          </w:p>
        </w:tc>
        <w:tc>
          <w:tcPr>
            <w:tcW w:w="560" w:type="dxa"/>
            <w:vAlign w:val="bottom"/>
            <w:shd w:val="clear" w:color="auto" w:fill="E7E7E7"/>
          </w:tcPr>
          <w:p>
            <w:pPr>
              <w:spacing w:after="0"/>
              <w:rPr>
                <w:sz w:val="17"/>
                <w:szCs w:val="17"/>
                <w:color w:val="auto"/>
              </w:rPr>
            </w:pPr>
          </w:p>
        </w:tc>
        <w:tc>
          <w:tcPr>
            <w:tcW w:w="1200" w:type="dxa"/>
            <w:vAlign w:val="bottom"/>
            <w:shd w:val="clear" w:color="auto" w:fill="E7E7E7"/>
          </w:tcPr>
          <w:p>
            <w:pPr>
              <w:jc w:val="right"/>
              <w:ind w:right="51"/>
              <w:spacing w:after="0"/>
              <w:rPr>
                <w:sz w:val="20"/>
                <w:szCs w:val="20"/>
                <w:color w:val="auto"/>
              </w:rPr>
            </w:pPr>
            <w:r>
              <w:rPr>
                <w:rFonts w:ascii="Arial" w:cs="Arial" w:eastAsia="Arial" w:hAnsi="Arial"/>
                <w:sz w:val="18"/>
                <w:szCs w:val="18"/>
                <w:color w:val="auto"/>
              </w:rPr>
              <w:t>(8,993)</w:t>
            </w:r>
          </w:p>
        </w:tc>
        <w:tc>
          <w:tcPr>
            <w:tcW w:w="340" w:type="dxa"/>
            <w:vAlign w:val="bottom"/>
            <w:shd w:val="clear" w:color="auto" w:fill="E7E7E7"/>
          </w:tcPr>
          <w:p>
            <w:pPr>
              <w:spacing w:after="0"/>
              <w:rPr>
                <w:sz w:val="17"/>
                <w:szCs w:val="17"/>
                <w:color w:val="auto"/>
              </w:rPr>
            </w:pPr>
          </w:p>
        </w:tc>
        <w:tc>
          <w:tcPr>
            <w:tcW w:w="1060" w:type="dxa"/>
            <w:vAlign w:val="bottom"/>
            <w:shd w:val="clear" w:color="auto" w:fill="E7E7E7"/>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E7E7E7"/>
          </w:tcPr>
          <w:p>
            <w:pPr>
              <w:spacing w:after="0"/>
              <w:rPr>
                <w:sz w:val="17"/>
                <w:szCs w:val="17"/>
                <w:color w:val="auto"/>
              </w:rPr>
            </w:pPr>
          </w:p>
        </w:tc>
        <w:tc>
          <w:tcPr>
            <w:tcW w:w="1120" w:type="dxa"/>
            <w:vAlign w:val="bottom"/>
            <w:shd w:val="clear" w:color="auto" w:fill="E7E7E7"/>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E7E7E7"/>
          </w:tcPr>
          <w:p>
            <w:pPr>
              <w:spacing w:after="0"/>
              <w:rPr>
                <w:sz w:val="17"/>
                <w:szCs w:val="17"/>
                <w:color w:val="auto"/>
              </w:rPr>
            </w:pPr>
          </w:p>
        </w:tc>
        <w:tc>
          <w:tcPr>
            <w:tcW w:w="900" w:type="dxa"/>
            <w:vAlign w:val="bottom"/>
            <w:shd w:val="clear" w:color="auto" w:fill="E7E7E7"/>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for foreign exchange</w:t>
            </w: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4440" w:type="dxa"/>
            <w:vAlign w:val="bottom"/>
            <w:tcBorders>
              <w:bottom w:val="single" w:sz="8" w:color="auto"/>
            </w:tcBorders>
            <w:shd w:val="clear" w:color="auto" w:fill="E7E7E7"/>
          </w:tcPr>
          <w:p>
            <w:pPr>
              <w:spacing w:after="0" w:line="197" w:lineRule="exact"/>
              <w:rPr>
                <w:sz w:val="20"/>
                <w:szCs w:val="20"/>
                <w:color w:val="auto"/>
              </w:rPr>
            </w:pPr>
            <w:r>
              <w:rPr>
                <w:rFonts w:ascii="Arial" w:cs="Arial" w:eastAsia="Arial" w:hAnsi="Arial"/>
                <w:sz w:val="18"/>
                <w:szCs w:val="18"/>
                <w:b w:val="1"/>
                <w:bCs w:val="1"/>
                <w:color w:val="auto"/>
              </w:rPr>
              <w:t>As adjusted (non-GAAP)</w:t>
            </w:r>
          </w:p>
        </w:tc>
        <w:tc>
          <w:tcPr>
            <w:tcW w:w="560" w:type="dxa"/>
            <w:vAlign w:val="bottom"/>
            <w:tcBorders>
              <w:bottom w:val="single" w:sz="8" w:color="auto"/>
            </w:tcBorders>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7E7E7"/>
          </w:tcPr>
          <w:p>
            <w:pPr>
              <w:jc w:val="right"/>
              <w:ind w:right="111"/>
              <w:spacing w:after="0" w:line="197" w:lineRule="exact"/>
              <w:rPr>
                <w:sz w:val="20"/>
                <w:szCs w:val="20"/>
                <w:color w:val="auto"/>
              </w:rPr>
            </w:pPr>
            <w:r>
              <w:rPr>
                <w:rFonts w:ascii="Arial" w:cs="Arial" w:eastAsia="Arial" w:hAnsi="Arial"/>
                <w:sz w:val="18"/>
                <w:szCs w:val="18"/>
                <w:color w:val="auto"/>
              </w:rPr>
              <w:t>47,338</w:t>
            </w:r>
          </w:p>
        </w:tc>
        <w:tc>
          <w:tcPr>
            <w:tcW w:w="340" w:type="dxa"/>
            <w:vAlign w:val="bottom"/>
            <w:tcBorders>
              <w:bottom w:val="single" w:sz="8" w:color="auto"/>
            </w:tcBorders>
            <w:shd w:val="clear" w:color="auto" w:fill="E7E7E7"/>
          </w:tcPr>
          <w:p>
            <w:pPr>
              <w:jc w:val="right"/>
              <w:ind w:right="10"/>
              <w:spacing w:after="0" w:line="197"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7E7E7"/>
          </w:tcPr>
          <w:p>
            <w:pPr>
              <w:jc w:val="right"/>
              <w:ind w:right="31"/>
              <w:spacing w:after="0" w:line="197" w:lineRule="exact"/>
              <w:rPr>
                <w:sz w:val="20"/>
                <w:szCs w:val="20"/>
                <w:color w:val="auto"/>
              </w:rPr>
            </w:pPr>
            <w:r>
              <w:rPr>
                <w:rFonts w:ascii="Arial" w:cs="Arial" w:eastAsia="Arial" w:hAnsi="Arial"/>
                <w:sz w:val="18"/>
                <w:szCs w:val="18"/>
                <w:color w:val="auto"/>
              </w:rPr>
              <w:t>26,219</w:t>
            </w:r>
          </w:p>
        </w:tc>
        <w:tc>
          <w:tcPr>
            <w:tcW w:w="240" w:type="dxa"/>
            <w:vAlign w:val="bottom"/>
            <w:tcBorders>
              <w:bottom w:val="single" w:sz="8" w:color="auto"/>
            </w:tcBorders>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7E7E7"/>
          </w:tcPr>
          <w:p>
            <w:pPr>
              <w:jc w:val="right"/>
              <w:ind w:right="71"/>
              <w:spacing w:after="0" w:line="197" w:lineRule="exact"/>
              <w:rPr>
                <w:sz w:val="20"/>
                <w:szCs w:val="20"/>
                <w:color w:val="auto"/>
              </w:rPr>
            </w:pPr>
            <w:r>
              <w:rPr>
                <w:rFonts w:ascii="Arial" w:cs="Arial" w:eastAsia="Arial" w:hAnsi="Arial"/>
                <w:sz w:val="18"/>
                <w:szCs w:val="18"/>
                <w:color w:val="auto"/>
              </w:rPr>
              <w:t>24,642</w:t>
            </w:r>
          </w:p>
        </w:tc>
        <w:tc>
          <w:tcPr>
            <w:tcW w:w="220" w:type="dxa"/>
            <w:vAlign w:val="bottom"/>
            <w:tcBorders>
              <w:bottom w:val="single" w:sz="8" w:color="auto"/>
            </w:tcBorders>
            <w:shd w:val="clear" w:color="auto" w:fill="E7E7E7"/>
          </w:tcPr>
          <w:p>
            <w:pPr>
              <w:jc w:val="right"/>
              <w:spacing w:after="0" w:line="197"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7E7E7"/>
          </w:tcPr>
          <w:p>
            <w:pPr>
              <w:jc w:val="right"/>
              <w:spacing w:after="0" w:line="197" w:lineRule="exact"/>
              <w:rPr>
                <w:sz w:val="20"/>
                <w:szCs w:val="20"/>
                <w:color w:val="auto"/>
              </w:rPr>
            </w:pPr>
            <w:r>
              <w:rPr>
                <w:rFonts w:ascii="Arial" w:cs="Arial" w:eastAsia="Arial" w:hAnsi="Arial"/>
                <w:sz w:val="18"/>
                <w:szCs w:val="18"/>
                <w:color w:val="auto"/>
              </w:rPr>
              <w:t>20,705</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*Net revenues are adjusted as outlined in the table to calculate the Platform Revenue performance results.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**Represents net earnings attributable to AbbVie Inc.</w:t>
      </w:r>
    </w:p>
    <w:p>
      <w:pPr>
        <w:spacing w:after="0" w:line="134"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Intangible asset impairment reflects a partial impairment charge related to the emraclidine intangible asset acquired as part of the Cerevel Therapeutics acquisition. Acquisition and integration costs primarily reflect costs related to the ImmunoGen and Cerevel Therapeutics acquisitions. Acquired IPR&amp;D and milestones represents initial costs and subsequent development milestones incurred to acquire rights to in-process R&amp;D projects through R&amp;D collaborations, licensing arrangements or other asset acquisitions. Income tax items primarily reflect an income tax benefit related to the settlement of income tax examinations, partially offset by changes in income tax reserves. Litigation matters primarily include charges related to actual and potential settlements of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3586480</wp:posOffset>
            </wp:positionV>
            <wp:extent cx="635635" cy="64897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279">
                      <a:extLst>
                        <a:ext uri="{28A0092B-C50C-407E-A947-70E740481C1C}"/>
                      </a:extLst>
                    </a:blip>
                    <a:srcRect/>
                    <a:stretch>
                      <a:fillRect/>
                    </a:stretch>
                  </pic:blipFill>
                  <pic:spPr bwMode="auto">
                    <a:xfrm>
                      <a:off x="0" y="0"/>
                      <a:ext cx="635635" cy="64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Printed on Recyclable Paper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2680" w:val="left"/>
        </w:tabs>
        <w:rPr>
          <w:sz w:val="20"/>
          <w:szCs w:val="20"/>
          <w:color w:val="auto"/>
        </w:rPr>
      </w:pPr>
      <w:r>
        <w:rPr>
          <w:rFonts w:ascii="Arial" w:cs="Arial" w:eastAsia="Arial" w:hAnsi="Arial"/>
          <w:sz w:val="20"/>
          <w:szCs w:val="20"/>
          <w:color w:val="auto"/>
        </w:rPr>
        <w:t xml:space="preserve">B-3  </w:t>
      </w:r>
      <w:r>
        <w:rPr>
          <w:sz w:val="1"/>
          <w:szCs w:val="1"/>
          <w:color w:val="auto"/>
        </w:rPr>
        <w:drawing>
          <wp:inline distT="0" distB="0" distL="0" distR="0">
            <wp:extent cx="991870" cy="20066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280">
                      <a:extLst>
                        <a:ext uri="{28A0092B-C50C-407E-A947-70E740481C1C}"/>
                      </a:extLst>
                    </a:blip>
                    <a:srcRect/>
                    <a:stretch>
                      <a:fillRect/>
                    </a:stretch>
                  </pic:blipFill>
                  <pic:spPr bwMode="auto">
                    <a:xfrm>
                      <a:off x="0" y="0"/>
                      <a:ext cx="991870" cy="200660"/>
                    </a:xfrm>
                    <a:prstGeom prst="rect">
                      <a:avLst/>
                    </a:prstGeom>
                    <a:noFill/>
                    <a:ln>
                      <a:noFill/>
                    </a:ln>
                  </pic:spPr>
                </pic:pic>
              </a:graphicData>
            </a:graphic>
          </wp:inline>
        </w:drawing>
      </w:r>
      <w:r>
        <w:rPr>
          <w:rFonts w:ascii="Arial" w:cs="Arial" w:eastAsia="Arial" w:hAnsi="Arial"/>
          <w:sz w:val="30"/>
          <w:szCs w:val="30"/>
          <w:color w:val="auto"/>
        </w:rPr>
        <w:t xml:space="preserve">  |</w:t>
      </w:r>
      <w:r>
        <w:rPr>
          <w:sz w:val="20"/>
          <w:szCs w:val="20"/>
          <w:color w:val="auto"/>
        </w:rPr>
        <w:tab/>
      </w:r>
      <w:r>
        <w:rPr>
          <w:rFonts w:ascii="Arial" w:cs="Arial" w:eastAsia="Arial" w:hAnsi="Arial"/>
          <w:sz w:val="20"/>
          <w:szCs w:val="20"/>
          <w:i w:val="1"/>
          <w:iCs w:val="1"/>
          <w:color w:val="auto"/>
        </w:rPr>
        <w:t>2026 Proxy Statement</w:t>
      </w:r>
    </w:p>
    <w:p>
      <w:pPr>
        <w:sectPr>
          <w:pgSz w:w="11880" w:h="15480" w:orient="portrait"/>
          <w:cols w:equalWidth="0" w:num="1">
            <w:col w:w="10080"/>
          </w:cols>
          <w:pgMar w:left="900" w:top="875" w:right="900" w:bottom="0" w:gutter="0" w:footer="0" w:header="0"/>
        </w:sectPr>
      </w:pPr>
    </w:p>
    <w:bookmarkStart w:id="218" w:name="page219"/>
    <w:bookmarkEnd w:id="218"/>
    <w:p>
      <w:pPr>
        <w:spacing w:after="0"/>
        <w:tabs>
          <w:tab w:leader="none" w:pos="26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28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19" w:name="page220"/>
    <w:bookmarkEnd w:id="219"/>
    <w:p>
      <w:pPr>
        <w:spacing w:after="0"/>
        <w:tabs>
          <w:tab w:leader="none" w:pos="26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28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1"/>
      <w:numFmt w:val="bullet"/>
      <w:start w:val="1"/>
    </w:lvl>
  </w:abstractNum>
  <w:abstractNum w:abstractNumId="1">
    <w:nsid w:val="60B6DF70"/>
    <w:multiLevelType w:val="hybridMultilevel"/>
    <w:lvl w:ilvl="0">
      <w:lvlJc w:val="left"/>
      <w:lvlText w:val="2"/>
      <w:numFmt w:val="bullet"/>
      <w:start w:val="1"/>
    </w:lvl>
  </w:abstractNum>
  <w:abstractNum w:abstractNumId="2">
    <w:nsid w:val="6A5EE64"/>
    <w:multiLevelType w:val="hybridMultilevel"/>
    <w:lvl w:ilvl="0">
      <w:lvlJc w:val="left"/>
      <w:lvlText w:val="3"/>
      <w:numFmt w:val="bullet"/>
      <w:start w:val="1"/>
    </w:lvl>
  </w:abstractNum>
  <w:abstractNum w:abstractNumId="3">
    <w:nsid w:val="14330624"/>
    <w:multiLevelType w:val="hybridMultilevel"/>
    <w:lvl w:ilvl="0">
      <w:lvlJc w:val="left"/>
      <w:lvlText w:val=" "/>
      <w:numFmt w:val="bullet"/>
      <w:start w:val="1"/>
    </w:lvl>
  </w:abstractNum>
  <w:abstractNum w:abstractNumId="4">
    <w:nsid w:val="7FFFCA11"/>
    <w:multiLevelType w:val="hybridMultilevel"/>
    <w:lvl w:ilvl="0">
      <w:lvlJc w:val="left"/>
      <w:lvlText w:val=" "/>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1)"/>
      <w:numFmt w:val="decimal"/>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1)"/>
      <w:numFmt w:val="lowerRoman"/>
      <w:start w:val="3"/>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1)"/>
      <w:numFmt w:val="lowerLetter"/>
      <w:start w:val="1"/>
    </w:lvl>
  </w:abstractNum>
  <w:abstractNum w:abstractNumId="29">
    <w:nsid w:val="7F01579B"/>
    <w:multiLevelType w:val="hybridMultilevel"/>
    <w:lvl w:ilvl="0">
      <w:lvlJc w:val="left"/>
      <w:lvlText w:val="(%1)"/>
      <w:numFmt w:val="lowerRoman"/>
      <w:start w:val="1"/>
    </w:lvl>
  </w:abstractNum>
  <w:abstractNum w:abstractNumId="30">
    <w:nsid w:val="49DA307D"/>
    <w:multiLevelType w:val="hybridMultilevel"/>
    <w:lvl w:ilvl="0">
      <w:lvlJc w:val="left"/>
      <w:lvlText w:val="(%1)"/>
      <w:numFmt w:val="lowerRoman"/>
      <w:start w:val="2"/>
    </w:lvl>
  </w:abstractNum>
  <w:abstractNum w:abstractNumId="31">
    <w:nsid w:val="7055A5F5"/>
    <w:multiLevelType w:val="hybridMultilevel"/>
    <w:lvl w:ilvl="0">
      <w:lvlJc w:val="left"/>
      <w:lvlText w:val="(%1)"/>
      <w:numFmt w:val="lowerLetter"/>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1"/>
    </w:lvl>
  </w:abstractNum>
  <w:abstractNum w:abstractNumId="35">
    <w:nsid w:val="5FB8011C"/>
    <w:multiLevelType w:val="hybridMultilevel"/>
    <w:lvl w:ilvl="0">
      <w:lvlJc w:val="left"/>
      <w:lvlText w:val="(%1)"/>
      <w:numFmt w:val="lowerLetter"/>
      <w:start w:val="1"/>
    </w:lvl>
  </w:abstractNum>
  <w:abstractNum w:abstractNumId="36">
    <w:nsid w:val="6AA78F7F"/>
    <w:multiLevelType w:val="hybridMultilevel"/>
    <w:lvl w:ilvl="0">
      <w:lvlJc w:val="left"/>
      <w:lvlText w:val="(%1)"/>
      <w:numFmt w:val="lowerLetter"/>
      <w:start w:val="1"/>
    </w:lvl>
  </w:abstractNum>
  <w:abstractNum w:abstractNumId="37">
    <w:nsid w:val="7672BD23"/>
    <w:multiLevelType w:val="hybridMultilevel"/>
    <w:lvl w:ilvl="0">
      <w:lvlJc w:val="left"/>
      <w:lvlText w:val="(%1)"/>
      <w:numFmt w:val="decimal"/>
      <w:start w:val="1"/>
    </w:lvl>
  </w:abstractNum>
  <w:abstractNum w:abstractNumId="38">
    <w:nsid w:val="6FC75AF8"/>
    <w:multiLevelType w:val="hybridMultilevel"/>
    <w:lvl w:ilvl="0">
      <w:lvlJc w:val="left"/>
      <w:lvlText w:val="(%1)"/>
      <w:numFmt w:val="lowerLetter"/>
      <w:start w:val="1"/>
    </w:lvl>
  </w:abstractNum>
  <w:abstractNum w:abstractNumId="39">
    <w:nsid w:val="6A5F7029"/>
    <w:multiLevelType w:val="hybridMultilevel"/>
    <w:lvl w:ilvl="0">
      <w:lvlJc w:val="left"/>
      <w:lvlText w:val="%1"/>
      <w:numFmt w:val="lowerLetter"/>
      <w:start w:val="1"/>
    </w:lvl>
    <w:lvl w:ilvl="1">
      <w:lvlJc w:val="left"/>
      <w:lvlText w:val="(%2)"/>
      <w:numFmt w:val="decimal"/>
      <w:start w:val="1"/>
    </w:lvl>
  </w:abstractNum>
  <w:abstractNum w:abstractNumId="40">
    <w:nsid w:val="7D5E18F8"/>
    <w:multiLevelType w:val="hybridMultilevel"/>
    <w:lvl w:ilvl="0">
      <w:lvlJc w:val="left"/>
      <w:lvlText w:val="(%1)"/>
      <w:numFmt w:val="lowerLetter"/>
      <w:start w:val="2"/>
    </w:lvl>
    <w:lvl w:ilvl="1">
      <w:lvlJc w:val="left"/>
      <w:lvlText w:val="%2"/>
      <w:numFmt w:val="decimal"/>
      <w:start w:val="1"/>
    </w:lvl>
  </w:abstractNum>
  <w:abstractNum w:abstractNumId="41">
    <w:nsid w:val="5F3534A4"/>
    <w:multiLevelType w:val="hybridMultilevel"/>
    <w:lvl w:ilvl="0">
      <w:lvlJc w:val="left"/>
      <w:lvlText w:val="(%1)"/>
      <w:numFmt w:val="lowerLetter"/>
      <w:start w:val="1"/>
    </w:lvl>
    <w:lvl w:ilvl="1">
      <w:lvlJc w:val="left"/>
      <w:lvlText w:val="(%2)"/>
      <w:numFmt w:val="decimal"/>
      <w:start w:val="1"/>
    </w:lvl>
  </w:abstractNum>
  <w:abstractNum w:abstractNumId="42">
    <w:nsid w:val="73A1821B"/>
    <w:multiLevelType w:val="hybridMultilevel"/>
    <w:lvl w:ilvl="0">
      <w:lvlJc w:val="left"/>
      <w:lvlText w:val="%1"/>
      <w:numFmt w:val="decimal"/>
      <w:start w:val="97"/>
    </w:lvl>
  </w:abstractNum>
  <w:abstractNum w:abstractNumId="43">
    <w:nsid w:val="7DE67713"/>
    <w:multiLevelType w:val="hybridMultilevel"/>
    <w:lvl w:ilvl="0">
      <w:lvlJc w:val="left"/>
      <w:lvlText w:val="%1"/>
      <w:numFmt w:val="decimal"/>
      <w:start w:val="101"/>
    </w:lvl>
  </w:abstractNum>
  <w:abstractNum w:abstractNumId="44">
    <w:nsid w:val="555C55B5"/>
    <w:multiLevelType w:val="hybridMultilevel"/>
    <w:lvl w:ilvl="0">
      <w:lvlJc w:val="left"/>
      <w:lvlText w:val="*"/>
      <w:numFmt w:val="bullet"/>
      <w:start w:val="1"/>
    </w:lvl>
    <w:lvl w:ilvl="1">
      <w:lvlJc w:val="left"/>
      <w:lvlText w:val="%2"/>
      <w:numFmt w:val="decimal"/>
      <w:start w:val="104"/>
    </w:lvl>
  </w:abstractNum>
  <w:abstractNum w:abstractNumId="45">
    <w:nsid w:val="3FA62ACA"/>
    <w:multiLevelType w:val="hybridMultilevel"/>
    <w:lvl w:ilvl="0">
      <w:lvlJc w:val="left"/>
      <w:lvlText w:val="**"/>
      <w:numFmt w:val="bullet"/>
      <w:start w:val="1"/>
    </w:lvl>
    <w:lvl w:ilvl="1">
      <w:lvlJc w:val="left"/>
      <w:lvlText w:val="%2"/>
      <w:numFmt w:val="decimal"/>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lvl w:ilvl="1">
      <w:lvlJc w:val="left"/>
      <w:lvlText w:val="•"/>
      <w:numFmt w:val="bullet"/>
      <w:start w:val="1"/>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1)"/>
      <w:numFmt w:val="decimal"/>
      <w:start w:val="1"/>
    </w:lvl>
    <w:lvl w:ilvl="1">
      <w:lvlJc w:val="left"/>
      <w:lvlText w:val="%2"/>
      <w:numFmt w:val="decimal"/>
      <w:start w:val="1"/>
    </w:lvl>
  </w:abstractNum>
  <w:abstractNum w:abstractNumId="53">
    <w:nsid w:val="1D545C4D"/>
    <w:multiLevelType w:val="hybridMultilevel"/>
    <w:lvl w:ilvl="0">
      <w:lvlJc w:val="left"/>
      <w:lvlText w:val="(%1)"/>
      <w:numFmt w:val="decimal"/>
      <w:start w:val="5"/>
    </w:lvl>
    <w:lvl w:ilvl="1">
      <w:lvlJc w:val="left"/>
      <w:lvlText w:val="%2"/>
      <w:numFmt w:val="decimal"/>
      <w:start w:val="1"/>
    </w:lvl>
  </w:abstractNum>
  <w:abstractNum w:abstractNumId="54">
    <w:nsid w:val="59ADEA3D"/>
    <w:multiLevelType w:val="hybridMultilevel"/>
    <w:lvl w:ilvl="0">
      <w:lvlJc w:val="left"/>
      <w:lvlText w:val=" "/>
      <w:numFmt w:val="bullet"/>
      <w:start w:val="1"/>
    </w:lvl>
  </w:abstractNum>
  <w:abstractNum w:abstractNumId="55">
    <w:nsid w:val="288F1A34"/>
    <w:multiLevelType w:val="hybridMultilevel"/>
    <w:lvl w:ilvl="0">
      <w:lvlJc w:val="left"/>
      <w:lvlText w:val=" "/>
      <w:numFmt w:val="bullet"/>
      <w:start w:val="1"/>
    </w:lvl>
  </w:abstractNum>
  <w:abstractNum w:abstractNumId="56">
    <w:nsid w:val="2A155DBC"/>
    <w:multiLevelType w:val="hybridMultilevel"/>
    <w:lvl w:ilvl="0">
      <w:lvlJc w:val="left"/>
      <w:lvlText w:val=" "/>
      <w:numFmt w:val="bullet"/>
      <w:start w:val="1"/>
    </w:lvl>
  </w:abstractNum>
  <w:abstractNum w:abstractNumId="57">
    <w:nsid w:val="1D9F6E5F"/>
    <w:multiLevelType w:val="hybridMultilevel"/>
    <w:lvl w:ilvl="0">
      <w:lvlJc w:val="left"/>
      <w:lvlText w:val=" "/>
      <w:numFmt w:val="bullet"/>
      <w:start w:val="1"/>
    </w:lvl>
  </w:abstractNum>
  <w:abstractNum w:abstractNumId="58">
    <w:nsid w:val="97E1B4E"/>
    <w:multiLevelType w:val="hybridMultilevel"/>
    <w:lvl w:ilvl="0">
      <w:lvlJc w:val="left"/>
      <w:lvlText w:val=" "/>
      <w:numFmt w:val="bullet"/>
      <w:start w:val="1"/>
    </w:lvl>
  </w:abstractNum>
  <w:abstractNum w:abstractNumId="59">
    <w:nsid w:val="51088277"/>
    <w:multiLevelType w:val="hybridMultilevel"/>
    <w:lvl w:ilvl="0">
      <w:lvlJc w:val="left"/>
      <w:lvlText w:val=" "/>
      <w:numFmt w:val="bullet"/>
      <w:start w:val="1"/>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emdash "/>
      <w:numFmt w:val="bullet"/>
      <w:start w:val="1"/>
    </w:lvl>
  </w:abstractNum>
  <w:abstractNum w:abstractNumId="63">
    <w:nsid w:val="7C58FD05"/>
    <w:multiLevelType w:val="hybridMultilevel"/>
    <w:lvl w:ilvl="0">
      <w:lvlJc w:val="left"/>
      <w:lvlText w:val="\emdash "/>
      <w:numFmt w:val="bullet"/>
      <w:start w:val="1"/>
    </w:lvl>
  </w:abstractNum>
  <w:abstractNum w:abstractNumId="64">
    <w:nsid w:val="23D86AAC"/>
    <w:multiLevelType w:val="hybridMultilevel"/>
    <w:lvl w:ilvl="0">
      <w:lvlJc w:val="left"/>
      <w:lvlText w:val="•"/>
      <w:numFmt w:val="bullet"/>
      <w:start w:val="1"/>
    </w:lvl>
  </w:abstractNum>
  <w:abstractNum w:abstractNumId="65">
    <w:nsid w:val="45E6D486"/>
    <w:multiLevelType w:val="hybridMultilevel"/>
    <w:lvl w:ilvl="0">
      <w:lvlJc w:val="left"/>
      <w:lvlText w:val="•"/>
      <w:numFmt w:val="bullet"/>
      <w:start w:val="1"/>
    </w:lvl>
  </w:abstractNum>
  <w:abstractNum w:abstractNumId="66">
    <w:nsid w:val="5C10FE21"/>
    <w:multiLevelType w:val="hybridMultilevel"/>
    <w:lvl w:ilvl="0">
      <w:lvlJc w:val="left"/>
      <w:lvlText w:val="•"/>
      <w:numFmt w:val="bullet"/>
      <w:start w:val="1"/>
    </w:lvl>
  </w:abstractNum>
  <w:abstractNum w:abstractNumId="67">
    <w:nsid w:val="E7FFA2B"/>
    <w:multiLevelType w:val="hybridMultilevel"/>
    <w:lvl w:ilvl="0">
      <w:lvlJc w:val="left"/>
      <w:lvlText w:val="•"/>
      <w:numFmt w:val="bullet"/>
      <w:start w:val="1"/>
    </w:lvl>
  </w:abstractNum>
  <w:abstractNum w:abstractNumId="68">
    <w:nsid w:val="3C5991AA"/>
    <w:multiLevelType w:val="hybridMultilevel"/>
    <w:lvl w:ilvl="0">
      <w:lvlJc w:val="left"/>
      <w:lvlText w:val="•"/>
      <w:numFmt w:val="bullet"/>
      <w:start w:val="1"/>
    </w:lvl>
  </w:abstractNum>
  <w:abstractNum w:abstractNumId="69">
    <w:nsid w:val="4BD8591A"/>
    <w:multiLevelType w:val="hybridMultilevel"/>
    <w:lvl w:ilvl="0">
      <w:lvlJc w:val="left"/>
      <w:lvlText w:val="•"/>
      <w:numFmt w:val="bullet"/>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
      <w:numFmt w:val="bullet"/>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 "/>
      <w:numFmt w:val="bullet"/>
      <w:start w:val="1"/>
    </w:lvl>
  </w:abstractNum>
  <w:abstractNum w:abstractNumId="79">
    <w:nsid w:val="1DF029D3"/>
    <w:multiLevelType w:val="hybridMultilevel"/>
    <w:lvl w:ilvl="0">
      <w:lvlJc w:val="left"/>
      <w:lvlText w:val=" "/>
      <w:numFmt w:val="bullet"/>
      <w:start w:val="1"/>
    </w:lvl>
  </w:abstractNum>
  <w:abstractNum w:abstractNumId="80">
    <w:nsid w:val="5675FF36"/>
    <w:multiLevelType w:val="hybridMultilevel"/>
    <w:lvl w:ilvl="0">
      <w:lvlJc w:val="left"/>
      <w:lvlText w:val="%1."/>
      <w:numFmt w:val="upperLetter"/>
      <w:start w:val="2"/>
    </w:lvl>
  </w:abstractNum>
  <w:abstractNum w:abstractNumId="81">
    <w:nsid w:val="3DD15094"/>
    <w:multiLevelType w:val="hybridMultilevel"/>
    <w:lvl w:ilvl="0">
      <w:lvlJc w:val="left"/>
      <w:lvlText w:val="%1."/>
      <w:numFmt w:val="upperLetter"/>
      <w:start w:val="18"/>
    </w:lvl>
  </w:abstractNum>
  <w:abstractNum w:abstractNumId="82">
    <w:nsid w:val="3DB012B3"/>
    <w:multiLevelType w:val="hybridMultilevel"/>
    <w:lvl w:ilvl="0">
      <w:lvlJc w:val="left"/>
      <w:lvlText w:val=" "/>
      <w:numFmt w:val="bullet"/>
      <w:start w:val="1"/>
    </w:lvl>
  </w:abstractNum>
  <w:abstractNum w:abstractNumId="83">
    <w:nsid w:val="2708C9AF"/>
    <w:multiLevelType w:val="hybridMultilevel"/>
    <w:lvl w:ilvl="0">
      <w:lvlJc w:val="left"/>
      <w:lvlText w:val="(%1)"/>
      <w:numFmt w:val="decimal"/>
      <w:start w:val="1"/>
    </w:lvl>
  </w:abstractNum>
  <w:abstractNum w:abstractNumId="84">
    <w:nsid w:val="5B25ACE2"/>
    <w:multiLevelType w:val="hybridMultilevel"/>
    <w:lvl w:ilvl="0">
      <w:lvlJc w:val="left"/>
      <w:lvlText w:val="(%1)"/>
      <w:numFmt w:val="decimal"/>
      <w:start w:val="2"/>
    </w:lvl>
  </w:abstractNum>
  <w:abstractNum w:abstractNumId="85">
    <w:nsid w:val="175DFCF0"/>
    <w:multiLevelType w:val="hybridMultilevel"/>
    <w:lvl w:ilvl="0">
      <w:lvlJc w:val="left"/>
      <w:lvlText w:val="(%1)"/>
      <w:numFmt w:val="decimal"/>
      <w:start w:val="3"/>
    </w:lvl>
  </w:abstractNum>
  <w:abstractNum w:abstractNumId="86">
    <w:nsid w:val="4F97E3E4"/>
    <w:multiLevelType w:val="hybridMultilevel"/>
    <w:lvl w:ilvl="0">
      <w:lvlJc w:val="left"/>
      <w:lvlText w:val="(%1)"/>
      <w:numFmt w:val="decimal"/>
      <w:start w:val="6"/>
    </w:lvl>
  </w:abstractNum>
  <w:abstractNum w:abstractNumId="87">
    <w:nsid w:val="53B0A9E"/>
    <w:multiLevelType w:val="hybridMultilevel"/>
    <w:lvl w:ilvl="0">
      <w:lvlJc w:val="left"/>
      <w:lvlText w:val="(%1)"/>
      <w:numFmt w:val="decimal"/>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1)"/>
      <w:numFmt w:val="decimal"/>
      <w:start w:val="1"/>
    </w:lvl>
  </w:abstractNum>
  <w:abstractNum w:abstractNumId="90">
    <w:nsid w:val="56438D15"/>
    <w:multiLevelType w:val="hybridMultilevel"/>
    <w:lvl w:ilvl="0">
      <w:lvlJc w:val="left"/>
      <w:lvlText w:val=" "/>
      <w:numFmt w:val="bullet"/>
      <w:start w:val="1"/>
    </w:lvl>
  </w:abstractNum>
  <w:abstractNum w:abstractNumId="91">
    <w:nsid w:val="519E3149"/>
    <w:multiLevelType w:val="hybridMultilevel"/>
    <w:lvl w:ilvl="0">
      <w:lvlJc w:val="left"/>
      <w:lvlText w:val="%1"/>
      <w:numFmt w:val="upperLetter"/>
      <w:start w:val="24"/>
    </w:lvl>
  </w:abstractNum>
  <w:abstractNum w:abstractNumId="92">
    <w:nsid w:val="2C6E4AFD"/>
    <w:multiLevelType w:val="hybridMultilevel"/>
    <w:lvl w:ilvl="0">
      <w:lvlJc w:val="left"/>
      <w:lvlText w:val="%1"/>
      <w:numFmt w:val="upperLetter"/>
      <w:start w:val="24"/>
    </w:lvl>
  </w:abstractNum>
  <w:abstractNum w:abstractNumId="93">
    <w:nsid w:val="17A1B582"/>
    <w:multiLevelType w:val="hybridMultilevel"/>
    <w:lvl w:ilvl="0">
      <w:lvlJc w:val="left"/>
      <w:lvlText w:val="%1"/>
      <w:numFmt w:val="upperLetter"/>
      <w:start w:val="24"/>
    </w:lvl>
  </w:abstractNum>
  <w:abstractNum w:abstractNumId="94">
    <w:nsid w:val="4DF72E4E"/>
    <w:multiLevelType w:val="hybridMultilevel"/>
    <w:lvl w:ilvl="0">
      <w:lvlJc w:val="left"/>
      <w:lvlText w:val="%1"/>
      <w:numFmt w:val="upperLetter"/>
      <w:start w:val="24"/>
    </w:lvl>
  </w:abstractNum>
  <w:abstractNum w:abstractNumId="95">
    <w:nsid w:val="5046B5A9"/>
    <w:multiLevelType w:val="hybridMultilevel"/>
    <w:lvl w:ilvl="0">
      <w:lvlJc w:val="left"/>
      <w:lvlText w:val="%1"/>
      <w:numFmt w:val="upperLetter"/>
      <w:start w:val="24"/>
    </w:lvl>
  </w:abstractNum>
  <w:abstractNum w:abstractNumId="96">
    <w:nsid w:val="5D888A08"/>
    <w:multiLevelType w:val="hybridMultilevel"/>
    <w:lvl w:ilvl="0">
      <w:lvlJc w:val="left"/>
      <w:lvlText w:val="%1"/>
      <w:numFmt w:val="upperLetter"/>
      <w:start w:val="24"/>
    </w:lvl>
  </w:abstractNum>
  <w:abstractNum w:abstractNumId="97">
    <w:nsid w:val="2A082C70"/>
    <w:multiLevelType w:val="hybridMultilevel"/>
    <w:lvl w:ilvl="0">
      <w:lvlJc w:val="left"/>
      <w:lvlText w:val="*"/>
      <w:numFmt w:val="bullet"/>
      <w:start w:val="1"/>
    </w:lvl>
  </w:abstractNum>
  <w:abstractNum w:abstractNumId="98">
    <w:nsid w:val="5EC6AFD4"/>
    <w:multiLevelType w:val="hybridMultilevel"/>
    <w:lvl w:ilvl="0">
      <w:lvlJc w:val="left"/>
      <w:lvlText w:val="**"/>
      <w:numFmt w:val="bullet"/>
      <w:start w:val="1"/>
    </w:lvl>
  </w:abstractNum>
  <w:abstractNum w:abstractNumId="99">
    <w:nsid w:val="19E21BB2"/>
    <w:multiLevelType w:val="hybridMultilevel"/>
    <w:lvl w:ilvl="0">
      <w:lvlJc w:val="left"/>
      <w:lvlText w:val="***"/>
      <w:numFmt w:val="bullet"/>
      <w:start w:val="1"/>
    </w:lvl>
  </w:abstractNum>
  <w:abstractNum w:abstractNumId="100">
    <w:nsid w:val="75E0858A"/>
    <w:multiLevelType w:val="hybridMultilevel"/>
    <w:lvl w:ilvl="0">
      <w:lvlJc w:val="left"/>
      <w:lvlText w:val="•"/>
      <w:numFmt w:val="bullet"/>
      <w:start w:val="1"/>
    </w:lvl>
    <w:lvl w:ilvl="1">
      <w:lvlJc w:val="left"/>
      <w:lvlText w:val="•"/>
      <w:numFmt w:val="bullet"/>
      <w:start w:val="1"/>
    </w:lvl>
  </w:abstractNum>
  <w:abstractNum w:abstractNumId="101">
    <w:nsid w:val="57A61A29"/>
    <w:multiLevelType w:val="hybridMultilevel"/>
    <w:lvl w:ilvl="0">
      <w:lvlJc w:val="left"/>
      <w:lvlText w:val="•"/>
      <w:numFmt w:val="bullet"/>
      <w:start w:val="1"/>
    </w:lvl>
  </w:abstractNum>
  <w:abstractNum w:abstractNumId="102">
    <w:nsid w:val="5399C654"/>
    <w:multiLevelType w:val="hybridMultilevel"/>
    <w:lvl w:ilvl="0">
      <w:lvlJc w:val="left"/>
      <w:lvlText w:val="\emdash "/>
      <w:numFmt w:val="bullet"/>
      <w:start w:val="1"/>
    </w:lvl>
  </w:abstractNum>
  <w:abstractNum w:abstractNumId="103">
    <w:nsid w:val="20EE1348"/>
    <w:multiLevelType w:val="hybridMultilevel"/>
    <w:lvl w:ilvl="0">
      <w:lvlJc w:val="left"/>
      <w:lvlText w:val="(%1)"/>
      <w:numFmt w:val="decimal"/>
      <w:start w:val="1"/>
    </w:lvl>
  </w:abstractNum>
  <w:abstractNum w:abstractNumId="104">
    <w:nsid w:val="4427069A"/>
    <w:multiLevelType w:val="hybridMultilevel"/>
    <w:lvl w:ilvl="0">
      <w:lvlJc w:val="left"/>
      <w:lvlText w:val="(%1)"/>
      <w:numFmt w:val="decimal"/>
      <w:start w:val="3"/>
    </w:lvl>
  </w:abstractNum>
  <w:abstractNum w:abstractNumId="105">
    <w:nsid w:val="B37E80A"/>
    <w:multiLevelType w:val="hybridMultilevel"/>
    <w:lvl w:ilvl="0">
      <w:lvlJc w:val="left"/>
      <w:lvlText w:val="•"/>
      <w:numFmt w:val="bullet"/>
      <w:start w:val="1"/>
    </w:lvl>
  </w:abstractNum>
  <w:abstractNum w:abstractNumId="106">
    <w:nsid w:val="2157F6BC"/>
    <w:multiLevelType w:val="hybridMultilevel"/>
    <w:lvl w:ilvl="0">
      <w:lvlJc w:val="left"/>
      <w:lvlText w:val="•"/>
      <w:numFmt w:val="bullet"/>
      <w:start w:val="1"/>
    </w:lvl>
  </w:abstractNum>
  <w:abstractNum w:abstractNumId="107">
    <w:nsid w:val="704E1DD5"/>
    <w:multiLevelType w:val="hybridMultilevel"/>
    <w:lvl w:ilvl="0">
      <w:lvlJc w:val="left"/>
      <w:lvlText w:val="•"/>
      <w:numFmt w:val="bullet"/>
      <w:start w:val="1"/>
    </w:lvl>
  </w:abstractNum>
  <w:abstractNum w:abstractNumId="108">
    <w:nsid w:val="57D2F10E"/>
    <w:multiLevelType w:val="hybridMultilevel"/>
    <w:lvl w:ilvl="0">
      <w:lvlJc w:val="left"/>
      <w:lvlText w:val="(%1)"/>
      <w:numFmt w:val="decimal"/>
      <w:start w:val="1"/>
    </w:lvl>
  </w:abstractNum>
  <w:abstractNum w:abstractNumId="109">
    <w:nsid w:val="BFFAE18"/>
    <w:multiLevelType w:val="hybridMultilevel"/>
    <w:lvl w:ilvl="0">
      <w:lvlJc w:val="left"/>
      <w:lvlText w:val="•"/>
      <w:numFmt w:val="bullet"/>
      <w:start w:val="1"/>
    </w:lvl>
  </w:abstractNum>
  <w:abstractNum w:abstractNumId="110">
    <w:nsid w:val="E3E47A8"/>
    <w:multiLevelType w:val="hybridMultilevel"/>
    <w:lvl w:ilvl="0">
      <w:lvlJc w:val="left"/>
      <w:lvlText w:val="(%1)"/>
      <w:numFmt w:val="decimal"/>
      <w:start w:val="1"/>
    </w:lvl>
  </w:abstractNum>
  <w:abstractNum w:abstractNumId="111">
    <w:nsid w:val="2E48F044"/>
    <w:multiLevelType w:val="hybridMultilevel"/>
    <w:lvl w:ilvl="0">
      <w:lvlJc w:val="left"/>
      <w:lvlText w:val="(%1)"/>
      <w:numFmt w:val="decimal"/>
      <w:start w:val="1"/>
    </w:lvl>
  </w:abstractNum>
  <w:abstractNum w:abstractNumId="112">
    <w:nsid w:val="49D0FEAC"/>
    <w:multiLevelType w:val="hybridMultilevel"/>
    <w:lvl w:ilvl="0">
      <w:lvlJc w:val="left"/>
      <w:lvlText w:val="•"/>
      <w:numFmt w:val="bullet"/>
      <w:start w:val="1"/>
    </w:lvl>
  </w:abstractNum>
  <w:abstractNum w:abstractNumId="113">
    <w:nsid w:val="4BEE5A5B"/>
    <w:multiLevelType w:val="hybridMultilevel"/>
    <w:lvl w:ilvl="0">
      <w:lvlJc w:val="left"/>
      <w:lvlText w:val="•"/>
      <w:numFmt w:val="bullet"/>
      <w:start w:val="1"/>
    </w:lvl>
  </w:abstractNum>
  <w:abstractNum w:abstractNumId="114">
    <w:nsid w:val="5551B9F3"/>
    <w:multiLevelType w:val="hybridMultilevel"/>
    <w:lvl w:ilvl="0">
      <w:lvlJc w:val="left"/>
      <w:lvlText w:val="(%1)"/>
      <w:numFmt w:val="decimal"/>
      <w:start w:val="1"/>
    </w:lvl>
  </w:abstractNum>
  <w:abstractNum w:abstractNumId="115">
    <w:nsid w:val="24F6AB8E"/>
    <w:multiLevelType w:val="hybridMultilevel"/>
    <w:lvl w:ilvl="0">
      <w:lvlJc w:val="left"/>
      <w:lvlText w:val="(%1)"/>
      <w:numFmt w:val="decimal"/>
      <w:start w:val="3"/>
    </w:lvl>
  </w:abstractNum>
  <w:abstractNum w:abstractNumId="116">
    <w:nsid w:val="634C574C"/>
    <w:multiLevelType w:val="hybridMultilevel"/>
    <w:lvl w:ilvl="0">
      <w:lvlJc w:val="left"/>
      <w:lvlText w:val="%1."/>
      <w:numFmt w:val="upperLetter"/>
      <w:start w:val="18"/>
    </w:lvl>
  </w:abstractNum>
  <w:abstractNum w:abstractNumId="117">
    <w:nsid w:val="24E99DD7"/>
    <w:multiLevelType w:val="hybridMultilevel"/>
    <w:lvl w:ilvl="0">
      <w:lvlJc w:val="left"/>
      <w:lvlText w:val="%1."/>
      <w:numFmt w:val="upperLetter"/>
      <w:start w:val="10"/>
    </w:lvl>
  </w:abstractNum>
  <w:abstractNum w:abstractNumId="118">
    <w:nsid w:val="2A31B62D"/>
    <w:multiLevelType w:val="hybridMultilevel"/>
    <w:lvl w:ilvl="0">
      <w:lvlJc w:val="left"/>
      <w:lvlText w:val="(%1)"/>
      <w:numFmt w:val="decimal"/>
      <w:start w:val="5"/>
    </w:lvl>
  </w:abstractNum>
  <w:abstractNum w:abstractNumId="119">
    <w:nsid w:val="1849C29B"/>
    <w:multiLevelType w:val="hybridMultilevel"/>
    <w:lvl w:ilvl="0">
      <w:lvlJc w:val="left"/>
      <w:lvlText w:val="%1."/>
      <w:numFmt w:val="upperLetter"/>
      <w:start w:val="18"/>
    </w:lvl>
  </w:abstractNum>
  <w:abstractNum w:abstractNumId="120">
    <w:nsid w:val="7DFF9D09"/>
    <w:multiLevelType w:val="hybridMultilevel"/>
    <w:lvl w:ilvl="0">
      <w:lvlJc w:val="left"/>
      <w:lvlText w:val="(%1)"/>
      <w:numFmt w:val="decimal"/>
      <w:start w:val="1"/>
    </w:lvl>
  </w:abstractNum>
  <w:abstractNum w:abstractNumId="121">
    <w:nsid w:val="754342"/>
    <w:multiLevelType w:val="hybridMultilevel"/>
    <w:lvl w:ilvl="0">
      <w:lvlJc w:val="left"/>
      <w:lvlText w:val="(%1)"/>
      <w:numFmt w:val="decimal"/>
      <w:start w:val="4"/>
    </w:lvl>
  </w:abstractNum>
  <w:abstractNum w:abstractNumId="122">
    <w:nsid w:val="69E7F3E5"/>
    <w:multiLevelType w:val="hybridMultilevel"/>
    <w:lvl w:ilvl="0">
      <w:lvlJc w:val="left"/>
      <w:lvlText w:val="(%1)"/>
      <w:numFmt w:val="decimal"/>
      <w:start w:val="2"/>
    </w:lvl>
  </w:abstractNum>
  <w:abstractNum w:abstractNumId="123">
    <w:nsid w:val="2A6DE806"/>
    <w:multiLevelType w:val="hybridMultilevel"/>
    <w:lvl w:ilvl="0">
      <w:lvlJc w:val="left"/>
      <w:lvlText w:val="(%1)"/>
      <w:numFmt w:val="lowerLetter"/>
      <w:start w:val="1"/>
    </w:lvl>
  </w:abstractNum>
  <w:abstractNum w:abstractNumId="124">
    <w:nsid w:val="1816F8C4"/>
    <w:multiLevelType w:val="hybridMultilevel"/>
    <w:lvl w:ilvl="0">
      <w:lvlJc w:val="left"/>
      <w:lvlText w:val="(%1)"/>
      <w:numFmt w:val="lowerLetter"/>
      <w:start w:val="3"/>
    </w:lvl>
  </w:abstractNum>
  <w:abstractNum w:abstractNumId="125">
    <w:nsid w:val="37DF2233"/>
    <w:multiLevelType w:val="hybridMultilevel"/>
    <w:lvl w:ilvl="0">
      <w:lvlJc w:val="left"/>
      <w:lvlText w:val="%1."/>
      <w:numFmt w:val="upperLetter"/>
      <w:start w:val="1"/>
    </w:lvl>
  </w:abstractNum>
  <w:abstractNum w:abstractNumId="126">
    <w:nsid w:val="7AB49DAF"/>
    <w:multiLevelType w:val="hybridMultilevel"/>
    <w:lvl w:ilvl="0">
      <w:lvlJc w:val="left"/>
      <w:lvlText w:val="•"/>
      <w:numFmt w:val="bullet"/>
      <w:start w:val="1"/>
    </w:lvl>
  </w:abstractNum>
  <w:abstractNum w:abstractNumId="127">
    <w:nsid w:val="759F82CD"/>
    <w:multiLevelType w:val="hybridMultilevel"/>
    <w:lvl w:ilvl="0">
      <w:lvlJc w:val="left"/>
      <w:lvlText w:val="•"/>
      <w:numFmt w:val="bullet"/>
      <w:start w:val="1"/>
    </w:lvl>
  </w:abstractNum>
  <w:abstractNum w:abstractNumId="128">
    <w:nsid w:val="61E74EA3"/>
    <w:multiLevelType w:val="hybridMultilevel"/>
    <w:lvl w:ilvl="0">
      <w:lvlJc w:val="left"/>
      <w:lvlText w:val="•"/>
      <w:numFmt w:val="bullet"/>
      <w:start w:val="1"/>
    </w:lvl>
  </w:abstractNum>
  <w:abstractNum w:abstractNumId="129">
    <w:nsid w:val="597B4D84"/>
    <w:multiLevelType w:val="hybridMultilevel"/>
    <w:lvl w:ilvl="0">
      <w:lvlJc w:val="left"/>
      <w:lvlText w:val="(%1)"/>
      <w:numFmt w:val="decimal"/>
      <w:start w:val="1"/>
    </w:lvl>
  </w:abstractNum>
  <w:abstractNum w:abstractNumId="130">
    <w:nsid w:val="F819E7F"/>
    <w:multiLevelType w:val="hybridMultilevel"/>
    <w:lvl w:ilvl="0">
      <w:lvlJc w:val="left"/>
      <w:lvlText w:val="(%1)"/>
      <w:numFmt w:val="decimal"/>
      <w:start w:val="1"/>
    </w:lvl>
  </w:abstractNum>
  <w:abstractNum w:abstractNumId="131">
    <w:nsid w:val="57C7D42D"/>
    <w:multiLevelType w:val="hybridMultilevel"/>
    <w:lvl w:ilvl="0">
      <w:lvlJc w:val="left"/>
      <w:lvlText w:val="(%1)"/>
      <w:numFmt w:val="lowerLetter"/>
      <w:start w:val="1"/>
    </w:lvl>
    <w:lvl w:ilvl="1">
      <w:lvlJc w:val="left"/>
      <w:lvlText w:val="(%2)"/>
      <w:numFmt w:val="decimal"/>
      <w:start w:val="1"/>
    </w:lvl>
  </w:abstractNum>
  <w:abstractNum w:abstractNumId="132">
    <w:nsid w:val="312167AD"/>
    <w:multiLevelType w:val="hybridMultilevel"/>
    <w:lvl w:ilvl="0">
      <w:lvlJc w:val="left"/>
      <w:lvlText w:val="(%1)"/>
      <w:numFmt w:val="decimal"/>
      <w:start w:val="2"/>
    </w:lvl>
  </w:abstractNum>
  <w:abstractNum w:abstractNumId="133">
    <w:nsid w:val="631B64D4"/>
    <w:multiLevelType w:val="hybridMultilevel"/>
    <w:lvl w:ilvl="0">
      <w:lvlJc w:val="left"/>
      <w:lvlText w:val="(%1)"/>
      <w:numFmt w:val="lowerLetter"/>
      <w:start w:val="3"/>
    </w:lvl>
  </w:abstractNum>
  <w:abstractNum w:abstractNumId="134">
    <w:nsid w:val="78B5E776"/>
    <w:multiLevelType w:val="hybridMultilevel"/>
    <w:lvl w:ilvl="0">
      <w:lvlJc w:val="left"/>
      <w:lvlText w:val="(%1)"/>
      <w:numFmt w:val="lowerLetter"/>
      <w:start w:val="4"/>
    </w:lvl>
  </w:abstractNum>
  <w:abstractNum w:abstractNumId="135">
    <w:nsid w:val="75486E47"/>
    <w:multiLevelType w:val="hybridMultilevel"/>
    <w:lvl w:ilvl="0">
      <w:lvlJc w:val="left"/>
      <w:lvlText w:val="(%1)"/>
      <w:numFmt w:val="lowerLetter"/>
      <w:start w:val="5"/>
    </w:lvl>
  </w:abstractNum>
  <w:abstractNum w:abstractNumId="136">
    <w:nsid w:val="6E534CDE"/>
    <w:multiLevelType w:val="hybridMultilevel"/>
    <w:lvl w:ilvl="0">
      <w:lvlJc w:val="left"/>
      <w:lvlText w:val="•"/>
      <w:numFmt w:val="bullet"/>
      <w:start w:val="1"/>
    </w:lvl>
  </w:abstractNum>
  <w:abstractNum w:abstractNumId="137">
    <w:nsid w:val="1A0DDE32"/>
    <w:multiLevelType w:val="hybridMultilevel"/>
    <w:lvl w:ilvl="0">
      <w:lvlJc w:val="left"/>
      <w:lvlText w:val="•"/>
      <w:numFmt w:val="bullet"/>
      <w:start w:val="1"/>
    </w:lvl>
    <w:lvl w:ilvl="1">
      <w:lvlJc w:val="left"/>
      <w:lvlText w:val="(%2)"/>
      <w:numFmt w:val="lowerRoman"/>
      <w:start w:val="2"/>
    </w:lvl>
  </w:abstractNum>
  <w:abstractNum w:abstractNumId="138">
    <w:nsid w:val="65968C1C"/>
    <w:multiLevelType w:val="hybridMultilevel"/>
    <w:lvl w:ilvl="0">
      <w:lvlJc w:val="left"/>
      <w:lvlText w:val="•"/>
      <w:numFmt w:val="bullet"/>
      <w:start w:val="1"/>
    </w:lvl>
    <w:lvl w:ilvl="1">
      <w:lvlJc w:val="left"/>
      <w:lvlText w:val="(%2)"/>
      <w:numFmt w:val="lowerRoman"/>
      <w:start w:val="3"/>
    </w:lvl>
  </w:abstractNum>
  <w:abstractNum w:abstractNumId="139">
    <w:nsid w:val="46263DEC"/>
    <w:multiLevelType w:val="hybridMultilevel"/>
    <w:lvl w:ilvl="0">
      <w:lvlJc w:val="left"/>
      <w:lvlText w:val="•"/>
      <w:numFmt w:val="bullet"/>
      <w:start w:val="1"/>
    </w:lvl>
    <w:lvl w:ilvl="1">
      <w:lvlJc w:val="left"/>
      <w:lvlText w:val="(%2)"/>
      <w:numFmt w:val="lowerRoman"/>
      <w:start w:val="2"/>
    </w:lvl>
  </w:abstractNum>
  <w:abstractNum w:abstractNumId="140">
    <w:nsid w:val="260D8C4A"/>
    <w:multiLevelType w:val="hybridMultilevel"/>
    <w:lvl w:ilvl="0">
      <w:lvlJc w:val="left"/>
      <w:lvlText w:val="(%1)"/>
      <w:numFmt w:val="decimal"/>
      <w:start w:val="1"/>
    </w:lvl>
  </w:abstractNum>
  <w:abstractNum w:abstractNumId="141">
    <w:nsid w:val="73D4D3C4"/>
    <w:multiLevelType w:val="hybridMultilevel"/>
    <w:lvl w:ilvl="0">
      <w:lvlJc w:val="left"/>
      <w:lvlText w:val="•"/>
      <w:numFmt w:val="bullet"/>
      <w:start w:val="1"/>
    </w:lvl>
  </w:abstractNum>
  <w:abstractNum w:abstractNumId="142">
    <w:nsid w:val="746F2E30"/>
    <w:multiLevelType w:val="hybridMultilevel"/>
    <w:lvl w:ilvl="0">
      <w:lvlJc w:val="left"/>
      <w:lvlText w:val="•"/>
      <w:numFmt w:val="bullet"/>
      <w:start w:val="1"/>
    </w:lvl>
  </w:abstractNum>
  <w:abstractNum w:abstractNumId="143">
    <w:nsid w:val="6FDE8AF6"/>
    <w:multiLevelType w:val="hybridMultilevel"/>
    <w:lvl w:ilvl="0">
      <w:lvlJc w:val="left"/>
      <w:lvlText w:val="•"/>
      <w:numFmt w:val="bullet"/>
      <w:start w:val="1"/>
    </w:lvl>
  </w:abstractNum>
  <w:abstractNum w:abstractNumId="144">
    <w:nsid w:val="3FC32E20"/>
    <w:multiLevelType w:val="hybridMultilevel"/>
    <w:lvl w:ilvl="0">
      <w:lvlJc w:val="left"/>
      <w:lvlText w:val="•"/>
      <w:numFmt w:val="bullet"/>
      <w:start w:val="1"/>
    </w:lvl>
  </w:abstractNum>
  <w:abstractNum w:abstractNumId="145">
    <w:nsid w:val="49C0E823"/>
    <w:multiLevelType w:val="hybridMultilevel"/>
    <w:lvl w:ilvl="0">
      <w:lvlJc w:val="left"/>
      <w:lvlText w:val="•"/>
      <w:numFmt w:val="bullet"/>
      <w:start w:val="1"/>
    </w:lvl>
  </w:abstractNum>
  <w:abstractNum w:abstractNumId="146">
    <w:nsid w:val="14D53685"/>
    <w:multiLevelType w:val="hybridMultilevel"/>
    <w:lvl w:ilvl="0">
      <w:lvlJc w:val="left"/>
      <w:lvlText w:val="%1"/>
      <w:numFmt w:val="decimal"/>
      <w:start w:val="1"/>
    </w:lvl>
  </w:abstractNum>
  <w:abstractNum w:abstractNumId="147">
    <w:nsid w:val="230F856C"/>
    <w:multiLevelType w:val="hybridMultilevel"/>
    <w:lvl w:ilvl="0">
      <w:lvlJc w:val="left"/>
      <w:lvlText w:val="•"/>
      <w:numFmt w:val="bullet"/>
      <w:start w:val="1"/>
    </w:lvl>
  </w:abstractNum>
  <w:abstractNum w:abstractNumId="148">
    <w:nsid w:val="6EAA85FB"/>
    <w:multiLevelType w:val="hybridMultilevel"/>
    <w:lvl w:ilvl="0">
      <w:lvlJc w:val="left"/>
      <w:lvlText w:val="%1"/>
      <w:numFmt w:val="decimal"/>
      <w:start w:val="1"/>
    </w:lvl>
  </w:abstractNum>
  <w:abstractNum w:abstractNumId="149">
    <w:nsid w:val="3F06ECB2"/>
    <w:multiLevelType w:val="hybridMultilevel"/>
    <w:lvl w:ilvl="0">
      <w:lvlJc w:val="left"/>
      <w:lvlText w:val="•"/>
      <w:numFmt w:val="bullet"/>
      <w:start w:val="1"/>
    </w:lvl>
  </w:abstractNum>
  <w:abstractNum w:abstractNumId="150">
    <w:nsid w:val="3B594807"/>
    <w:multiLevelType w:val="hybridMultilevel"/>
    <w:lvl w:ilvl="0">
      <w:lvlJc w:val="left"/>
      <w:lvlText w:val="•"/>
      <w:numFmt w:val="bullet"/>
      <w:start w:val="1"/>
    </w:lvl>
  </w:abstractNum>
  <w:abstractNum w:abstractNumId="151">
    <w:nsid w:val="6CAA2304"/>
    <w:multiLevelType w:val="hybridMultilevel"/>
    <w:lvl w:ilvl="0">
      <w:lvlJc w:val="left"/>
      <w:lvlText w:val="•"/>
      <w:numFmt w:val="bullet"/>
      <w:start w:val="1"/>
    </w:lvl>
  </w:abstractNum>
  <w:abstractNum w:abstractNumId="152">
    <w:nsid w:val="3F7C2FF4"/>
    <w:multiLevelType w:val="hybridMultilevel"/>
    <w:lvl w:ilvl="0">
      <w:lvlJc w:val="left"/>
      <w:lvlText w:val="•"/>
      <w:numFmt w:val="bullet"/>
      <w:start w:val="1"/>
    </w:lvl>
  </w:abstractNum>
  <w:abstractNum w:abstractNumId="153">
    <w:nsid w:val="25413BEC"/>
    <w:multiLevelType w:val="hybridMultilevel"/>
    <w:lvl w:ilvl="0">
      <w:lvlJc w:val="left"/>
      <w:lvlText w:val="%1."/>
      <w:numFmt w:val="decimal"/>
      <w:start w:val="1"/>
    </w:lvl>
  </w:abstractNum>
  <w:abstractNum w:abstractNumId="154">
    <w:nsid w:val="17180B0B"/>
    <w:multiLevelType w:val="hybridMultilevel"/>
    <w:lvl w:ilvl="0">
      <w:lvlJc w:val="left"/>
      <w:lvlText w:val="%1."/>
      <w:numFmt w:val="decimal"/>
      <w:start w:val="1"/>
    </w:lvl>
  </w:abstractNum>
  <w:abstractNum w:abstractNumId="155">
    <w:nsid w:val="579328B9"/>
    <w:multiLevelType w:val="hybridMultilevel"/>
    <w:lvl w:ilvl="0">
      <w:lvlJc w:val="left"/>
      <w:lvlText w:val="%1."/>
      <w:numFmt w:val="decimal"/>
      <w:start w:val="2"/>
    </w:lvl>
  </w:abstractNum>
  <w:abstractNum w:abstractNumId="156">
    <w:nsid w:val="5D205E20"/>
    <w:multiLevelType w:val="hybridMultilevel"/>
    <w:lvl w:ilvl="0">
      <w:lvlJc w:val="left"/>
      <w:lvlText w:val="%1."/>
      <w:numFmt w:val="decimal"/>
      <w:start w:val="1"/>
    </w:lvl>
  </w:abstractNum>
  <w:abstractNum w:abstractNumId="157">
    <w:nsid w:val="11CCA8BA"/>
    <w:multiLevelType w:val="hybridMultilevel"/>
    <w:lvl w:ilvl="0">
      <w:lvlJc w:val="left"/>
      <w:lvlText w:val="%1."/>
      <w:numFmt w:val="decimal"/>
      <w:start w:val="2"/>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2026-03-23T20:51:19Z</dcterms:created>
  <dcterms:modified xsi:type="dcterms:W3CDTF">2026-03-23T20:51:19Z</dcterms:modified>
</cp:coreProperties>
</file>