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8"/>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203200</wp:posOffset>
            </wp:positionH>
            <wp:positionV relativeFrom="page">
              <wp:posOffset>279400</wp:posOffset>
            </wp:positionV>
            <wp:extent cx="7142480" cy="158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page">
              <wp:posOffset>203200</wp:posOffset>
            </wp:positionH>
            <wp:positionV relativeFrom="page">
              <wp:posOffset>311150</wp:posOffset>
            </wp:positionV>
            <wp:extent cx="71424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248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8"/>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ind w:left="4748"/>
        <w:spacing w:after="0"/>
        <w:rPr>
          <w:sz w:val="20"/>
          <w:szCs w:val="20"/>
          <w:color w:val="auto"/>
        </w:rPr>
      </w:pPr>
      <w:r>
        <w:rPr>
          <w:rFonts w:ascii="Arial" w:cs="Arial" w:eastAsia="Arial" w:hAnsi="Arial"/>
          <w:sz w:val="17"/>
          <w:szCs w:val="17"/>
          <w:b w:val="1"/>
          <w:bCs w:val="1"/>
          <w:color w:val="auto"/>
        </w:rPr>
        <w:t>Washington, D.C. 20549</w:t>
      </w:r>
    </w:p>
    <w:p>
      <w:pPr>
        <w:spacing w:after="0" w:line="182" w:lineRule="exact"/>
        <w:rPr>
          <w:sz w:val="24"/>
          <w:szCs w:val="24"/>
          <w:color w:val="auto"/>
        </w:rPr>
      </w:pPr>
    </w:p>
    <w:p>
      <w:pPr>
        <w:jc w:val="center"/>
        <w:ind w:right="-1108"/>
        <w:spacing w:after="0"/>
        <w:rPr>
          <w:sz w:val="20"/>
          <w:szCs w:val="20"/>
          <w:color w:val="auto"/>
        </w:rPr>
      </w:pPr>
      <w:r>
        <w:rPr>
          <w:rFonts w:ascii="Arial" w:cs="Arial" w:eastAsia="Arial" w:hAnsi="Arial"/>
          <w:sz w:val="23"/>
          <w:szCs w:val="23"/>
          <w:b w:val="1"/>
          <w:bCs w:val="1"/>
          <w:color w:val="auto"/>
        </w:rPr>
        <w:t>SCHEDULE 14A</w:t>
      </w:r>
    </w:p>
    <w:p>
      <w:pPr>
        <w:spacing w:after="0" w:line="216" w:lineRule="exact"/>
        <w:rPr>
          <w:sz w:val="24"/>
          <w:szCs w:val="24"/>
          <w:color w:val="auto"/>
        </w:rPr>
      </w:pPr>
    </w:p>
    <w:p>
      <w:pPr>
        <w:jc w:val="center"/>
        <w:ind w:right="-1108"/>
        <w:spacing w:after="0"/>
        <w:rPr>
          <w:sz w:val="20"/>
          <w:szCs w:val="20"/>
          <w:color w:val="auto"/>
        </w:rPr>
      </w:pPr>
      <w:r>
        <w:rPr>
          <w:rFonts w:ascii="Arial" w:cs="Arial" w:eastAsia="Arial" w:hAnsi="Arial"/>
          <w:sz w:val="17"/>
          <w:szCs w:val="17"/>
          <w:b w:val="1"/>
          <w:bCs w:val="1"/>
          <w:color w:val="auto"/>
        </w:rPr>
        <w:t>Proxy Statement Pursuant to Section 14(a) of</w:t>
      </w:r>
    </w:p>
    <w:p>
      <w:pPr>
        <w:spacing w:after="0" w:line="21" w:lineRule="exact"/>
        <w:rPr>
          <w:sz w:val="24"/>
          <w:szCs w:val="24"/>
          <w:color w:val="auto"/>
        </w:rPr>
      </w:pPr>
    </w:p>
    <w:p>
      <w:pPr>
        <w:jc w:val="center"/>
        <w:ind w:right="-1088"/>
        <w:spacing w:after="0"/>
        <w:tabs>
          <w:tab w:leader="none" w:pos="180" w:val="left"/>
        </w:tabs>
        <w:rPr>
          <w:sz w:val="20"/>
          <w:szCs w:val="20"/>
          <w:color w:val="auto"/>
        </w:rPr>
      </w:pPr>
      <w:r>
        <w:rPr>
          <w:rFonts w:ascii="Arial" w:cs="Arial" w:eastAsia="Arial" w:hAnsi="Arial"/>
          <w:sz w:val="16"/>
          <w:szCs w:val="16"/>
          <w:b w:val="1"/>
          <w:bCs w:val="1"/>
          <w:color w:val="auto"/>
        </w:rPr>
        <w:t>the Securities Exchange Act of 1934 (Amendment No.</w:t>
      </w:r>
      <w:r>
        <w:rPr>
          <w:sz w:val="20"/>
          <w:szCs w:val="20"/>
          <w:color w:val="auto"/>
        </w:rPr>
        <w:tab/>
      </w:r>
      <w:r>
        <w:rPr>
          <w:rFonts w:ascii="Arial" w:cs="Arial" w:eastAsia="Arial" w:hAnsi="Arial"/>
          <w:sz w:val="17"/>
          <w:szCs w:val="17"/>
          <w:b w:val="1"/>
          <w:bCs w:val="1"/>
          <w:color w:val="auto"/>
        </w:rPr>
        <w:t>)</w:t>
      </w:r>
    </w:p>
    <w:p>
      <w:pPr>
        <w:spacing w:after="0" w:line="162" w:lineRule="exact"/>
        <w:rPr>
          <w:sz w:val="24"/>
          <w:szCs w:val="24"/>
          <w:color w:val="auto"/>
        </w:rPr>
      </w:pPr>
    </w:p>
    <w:p>
      <w:pPr>
        <w:ind w:left="8"/>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05" w:lineRule="exact"/>
        <w:rPr>
          <w:sz w:val="24"/>
          <w:szCs w:val="24"/>
          <w:color w:val="auto"/>
        </w:rPr>
      </w:pPr>
    </w:p>
    <w:p>
      <w:pPr>
        <w:ind w:left="8"/>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35" w:lineRule="exact"/>
        <w:rPr>
          <w:sz w:val="24"/>
          <w:szCs w:val="24"/>
          <w:color w:val="auto"/>
        </w:rPr>
      </w:pPr>
    </w:p>
    <w:p>
      <w:pPr>
        <w:ind w:left="8"/>
        <w:spacing w:after="0"/>
        <w:rPr>
          <w:sz w:val="20"/>
          <w:szCs w:val="20"/>
          <w:color w:val="auto"/>
        </w:rPr>
      </w:pPr>
      <w:r>
        <w:rPr>
          <w:rFonts w:ascii="Arial" w:cs="Arial" w:eastAsia="Arial" w:hAnsi="Arial"/>
          <w:sz w:val="17"/>
          <w:szCs w:val="17"/>
          <w:color w:val="auto"/>
        </w:rPr>
        <w:t>Check the appropriate box:</w:t>
      </w:r>
    </w:p>
    <w:p>
      <w:pPr>
        <w:spacing w:after="0" w:line="13" w:lineRule="exact"/>
        <w:rPr>
          <w:sz w:val="24"/>
          <w:szCs w:val="24"/>
          <w:color w:val="auto"/>
        </w:rPr>
      </w:pPr>
    </w:p>
    <w:p>
      <w:pPr>
        <w:ind w:left="448" w:hanging="448"/>
        <w:spacing w:after="0"/>
        <w:tabs>
          <w:tab w:leader="none" w:pos="4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10" w:lineRule="exact"/>
        <w:rPr>
          <w:rFonts w:ascii="MS PGothic" w:cs="MS PGothic" w:eastAsia="MS PGothic" w:hAnsi="MS PGothic"/>
          <w:sz w:val="17"/>
          <w:szCs w:val="17"/>
          <w:color w:val="auto"/>
        </w:rPr>
      </w:pPr>
    </w:p>
    <w:p>
      <w:pPr>
        <w:ind w:left="448" w:hanging="448"/>
        <w:spacing w:after="0"/>
        <w:tabs>
          <w:tab w:leader="none" w:pos="448"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4" w:lineRule="exact"/>
        <w:rPr>
          <w:rFonts w:ascii="MS PGothic" w:cs="MS PGothic" w:eastAsia="MS PGothic" w:hAnsi="MS PGothic"/>
          <w:sz w:val="17"/>
          <w:szCs w:val="17"/>
          <w:color w:val="auto"/>
        </w:rPr>
      </w:pPr>
    </w:p>
    <w:p>
      <w:pPr>
        <w:ind w:left="448" w:hanging="448"/>
        <w:spacing w:after="0" w:line="238" w:lineRule="auto"/>
        <w:tabs>
          <w:tab w:leader="none" w:pos="448"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ind w:left="448" w:hanging="448"/>
        <w:spacing w:after="0"/>
        <w:tabs>
          <w:tab w:leader="none" w:pos="448"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5" w:lineRule="exact"/>
        <w:rPr>
          <w:sz w:val="24"/>
          <w:szCs w:val="24"/>
          <w:color w:val="auto"/>
        </w:rPr>
      </w:pPr>
    </w:p>
    <w:p>
      <w:pPr>
        <w:ind w:left="448" w:hanging="448"/>
        <w:spacing w:after="0"/>
        <w:tabs>
          <w:tab w:leader="none" w:pos="448"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188" w:lineRule="exact"/>
        <w:rPr>
          <w:sz w:val="24"/>
          <w:szCs w:val="24"/>
          <w:color w:val="auto"/>
        </w:rPr>
      </w:pPr>
    </w:p>
    <w:p>
      <w:pPr>
        <w:jc w:val="center"/>
        <w:ind w:right="-1108"/>
        <w:spacing w:after="0"/>
        <w:rPr>
          <w:sz w:val="20"/>
          <w:szCs w:val="20"/>
          <w:color w:val="auto"/>
        </w:rPr>
      </w:pPr>
      <w:r>
        <w:rPr>
          <w:rFonts w:ascii="Arial" w:cs="Arial" w:eastAsia="Arial" w:hAnsi="Arial"/>
          <w:sz w:val="23"/>
          <w:szCs w:val="23"/>
          <w:b w:val="1"/>
          <w:bCs w:val="1"/>
          <w:color w:val="auto"/>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20320</wp:posOffset>
            </wp:positionV>
            <wp:extent cx="71424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20" w:lineRule="exact"/>
        <w:rPr>
          <w:sz w:val="24"/>
          <w:szCs w:val="24"/>
          <w:color w:val="auto"/>
        </w:rPr>
      </w:pPr>
    </w:p>
    <w:p>
      <w:pPr>
        <w:ind w:left="4008"/>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260350</wp:posOffset>
            </wp:positionV>
            <wp:extent cx="71424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pacing w:after="0" w:line="390" w:lineRule="exact"/>
        <w:rPr>
          <w:sz w:val="24"/>
          <w:szCs w:val="24"/>
          <w:color w:val="auto"/>
        </w:rPr>
      </w:pPr>
    </w:p>
    <w:p>
      <w:pPr>
        <w:ind w:left="3208"/>
        <w:spacing w:after="0"/>
        <w:rPr>
          <w:sz w:val="20"/>
          <w:szCs w:val="20"/>
          <w:color w:val="auto"/>
        </w:rPr>
      </w:pPr>
      <w:r>
        <w:rPr>
          <w:rFonts w:ascii="Arial" w:cs="Arial" w:eastAsia="Arial" w:hAnsi="Arial"/>
          <w:sz w:val="15"/>
          <w:szCs w:val="15"/>
          <w:color w:val="auto"/>
        </w:rPr>
        <w:t>(Name of Person(s) Filing Proxy Statement, if other than the Registrant)</w:t>
      </w:r>
    </w:p>
    <w:p>
      <w:pPr>
        <w:spacing w:after="0" w:line="228" w:lineRule="exact"/>
        <w:rPr>
          <w:sz w:val="24"/>
          <w:szCs w:val="24"/>
          <w:color w:val="auto"/>
        </w:rPr>
      </w:pPr>
    </w:p>
    <w:p>
      <w:pPr>
        <w:ind w:left="8"/>
        <w:spacing w:after="0"/>
        <w:rPr>
          <w:sz w:val="20"/>
          <w:szCs w:val="20"/>
          <w:color w:val="auto"/>
        </w:rPr>
      </w:pPr>
      <w:r>
        <w:rPr>
          <w:rFonts w:ascii="Arial" w:cs="Arial" w:eastAsia="Arial" w:hAnsi="Arial"/>
          <w:sz w:val="17"/>
          <w:szCs w:val="17"/>
          <w:color w:val="auto"/>
        </w:rPr>
        <w:t>Payment of Filing Fee (Check the appropriate box):</w:t>
      </w:r>
    </w:p>
    <w:p>
      <w:pPr>
        <w:spacing w:after="0" w:line="13" w:lineRule="exact"/>
        <w:rPr>
          <w:sz w:val="24"/>
          <w:szCs w:val="24"/>
          <w:color w:val="auto"/>
        </w:rPr>
      </w:pPr>
    </w:p>
    <w:p>
      <w:pPr>
        <w:ind w:left="448" w:hanging="448"/>
        <w:spacing w:after="0"/>
        <w:tabs>
          <w:tab w:leader="none" w:pos="448"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5" w:lineRule="exact"/>
        <w:rPr>
          <w:sz w:val="24"/>
          <w:szCs w:val="24"/>
          <w:color w:val="auto"/>
        </w:rPr>
      </w:pPr>
    </w:p>
    <w:p>
      <w:pPr>
        <w:ind w:left="448" w:hanging="448"/>
        <w:spacing w:after="0"/>
        <w:tabs>
          <w:tab w:leader="none" w:pos="448"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0" w:lineRule="exact"/>
        <w:rPr>
          <w:rFonts w:ascii="MS PGothic" w:cs="MS PGothic" w:eastAsia="MS PGothic" w:hAnsi="MS PGothic"/>
          <w:sz w:val="17"/>
          <w:szCs w:val="17"/>
          <w:color w:val="auto"/>
        </w:rPr>
      </w:pPr>
    </w:p>
    <w:p>
      <w:pPr>
        <w:ind w:left="448" w:hanging="448"/>
        <w:spacing w:after="0"/>
        <w:tabs>
          <w:tab w:leader="none" w:pos="448"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128905</wp:posOffset>
            </wp:positionV>
            <wp:extent cx="71424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24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153035</wp:posOffset>
            </wp:positionV>
            <wp:extent cx="7142480" cy="158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2480" cy="1587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422910</wp:posOffset>
            </wp:positionV>
            <wp:extent cx="71424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0128"/>
          </w:cols>
          <w:pgMar w:left="332" w:top="681" w:right="1440" w:bottom="1440" w:gutter="0" w:footer="0" w:header="0"/>
        </w:sectPr>
      </w:pPr>
    </w:p>
    <w:bookmarkStart w:id="1" w:name="page2"/>
    <w:bookmarkEnd w:id="1"/>
    <w:p>
      <w:pPr>
        <w:spacing w:after="0" w:line="334" w:lineRule="auto"/>
        <w:rPr>
          <w:sz w:val="20"/>
          <w:szCs w:val="20"/>
          <w:color w:val="auto"/>
        </w:rPr>
      </w:pPr>
      <w:r>
        <w:rPr>
          <w:rFonts w:ascii="Arial" w:cs="Arial" w:eastAsia="Arial" w:hAnsi="Arial"/>
          <w:sz w:val="15"/>
          <w:szCs w:val="15"/>
          <w:color w:val="auto"/>
        </w:rPr>
        <w:t>On March 20, 2023, AbbVie Inc. filed its Definitive Proxy Statement on Schedule 14A, including the related proxy cards, with the Securities and Exchange Commission. The purpose of this supplement is to file revised proxy cards, which correct an administrative error related to the voting options for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211455</wp:posOffset>
            </wp:positionV>
            <wp:extent cx="71424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2480" cy="8255"/>
                    </a:xfrm>
                    <a:prstGeom prst="rect">
                      <a:avLst/>
                    </a:prstGeom>
                    <a:noFill/>
                  </pic:spPr>
                </pic:pic>
              </a:graphicData>
            </a:graphic>
          </wp:anchor>
        </w:drawing>
      </w:r>
    </w:p>
    <w:p>
      <w:pPr>
        <w:sectPr>
          <w:pgSz w:w="11900" w:h="16838" w:orient="portrait"/>
          <w:cols w:equalWidth="0" w:num="1">
            <w:col w:w="11000"/>
          </w:cols>
          <w:pgMar w:left="320" w:top="853" w:right="579" w:bottom="1440" w:gutter="0" w:footer="0" w:header="0"/>
        </w:sectPr>
      </w:pPr>
    </w:p>
    <w:bookmarkStart w:id="2" w:name="page3"/>
    <w:bookmarkEnd w:id="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215900</wp:posOffset>
            </wp:positionV>
            <wp:extent cx="6887845" cy="90811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784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811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8784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811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7845" cy="90811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266700</wp:posOffset>
            </wp:positionH>
            <wp:positionV relativeFrom="page">
              <wp:posOffset>88900</wp:posOffset>
            </wp:positionV>
            <wp:extent cx="6887845" cy="90811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87845" cy="908113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2023-03-21T17:41:52Z</dcterms:created>
  <dcterms:modified xsi:type="dcterms:W3CDTF">2023-03-21T17:41:52Z</dcterms:modified>
</cp:coreProperties>
</file>