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00" w:type="dxa"/>
        <w:tblCellMar>
          <w:top w:w="0" w:type="dxa"/>
          <w:left w:w="0" w:type="dxa"/>
          <w:bottom w:w="0" w:type="dxa"/>
          <w:right w:w="0" w:type="dxa"/>
        </w:tblCellMar>
      </w:tblPr>
      <w:tr>
        <w:trPr>
          <w:trHeight w:val="4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6"/>
              </w:rPr>
              <w:t>UNITED STATES</w:t>
            </w:r>
          </w:p>
        </w:tc>
        <w:tc>
          <w:tcPr>
            <w:tcW w:w="40" w:type="dxa"/>
            <w:vAlign w:val="bottom"/>
            <w:tcBorders>
              <w:top w:val="single" w:sz="8" w:color="808080"/>
            </w:tcBorders>
          </w:tcPr>
          <w:p>
            <w:pPr>
              <w:spacing w:after="0"/>
              <w:rPr>
                <w:sz w:val="3"/>
                <w:szCs w:val="3"/>
                <w:color w:val="auto"/>
              </w:rPr>
            </w:pPr>
          </w:p>
        </w:tc>
        <w:tc>
          <w:tcPr>
            <w:tcW w:w="290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3"/>
          </w:tcPr>
          <w:p>
            <w:pPr>
              <w:ind w:left="7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1"/>
        </w:trPr>
        <w:tc>
          <w:tcPr>
            <w:tcW w:w="5840" w:type="dxa"/>
            <w:vAlign w:val="bottom"/>
            <w:vMerge w:val="restart"/>
          </w:tcPr>
          <w:p>
            <w:pPr>
              <w:jc w:val="center"/>
              <w:ind w:right="1139"/>
              <w:spacing w:after="0"/>
              <w:rPr>
                <w:sz w:val="20"/>
                <w:szCs w:val="20"/>
                <w:color w:val="auto"/>
              </w:rPr>
            </w:pPr>
            <w:r>
              <w:rPr>
                <w:rFonts w:ascii="Arial" w:cs="Arial" w:eastAsia="Arial" w:hAnsi="Arial"/>
                <w:sz w:val="22"/>
                <w:szCs w:val="22"/>
                <w:b w:val="1"/>
                <w:bCs w:val="1"/>
                <w:color w:val="auto"/>
                <w:w w:val="98"/>
              </w:rPr>
              <w:t>SECURITIES AND EXCHANGE COMMISSION</w:t>
            </w:r>
          </w:p>
        </w:tc>
        <w:tc>
          <w:tcPr>
            <w:tcW w:w="40" w:type="dxa"/>
            <w:vAlign w:val="bottom"/>
          </w:tcPr>
          <w:p>
            <w:pPr>
              <w:spacing w:after="0" w:line="20" w:lineRule="exact"/>
              <w:rPr>
                <w:sz w:val="1"/>
                <w:szCs w:val="1"/>
                <w:color w:val="auto"/>
              </w:rPr>
            </w:pPr>
          </w:p>
        </w:tc>
        <w:tc>
          <w:tcPr>
            <w:tcW w:w="1740" w:type="dxa"/>
            <w:vAlign w:val="bottom"/>
            <w:tcBorders>
              <w:top w:val="single" w:sz="8" w:color="808080"/>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160" w:type="dxa"/>
            <w:vAlign w:val="bottom"/>
          </w:tcPr>
          <w:p>
            <w:pPr>
              <w:jc w:val="right"/>
              <w:spacing w:after="0"/>
              <w:rPr>
                <w:sz w:val="20"/>
                <w:szCs w:val="20"/>
                <w:color w:val="auto"/>
              </w:rPr>
            </w:pPr>
            <w:r>
              <w:rPr>
                <w:rFonts w:ascii="Arial" w:cs="Arial" w:eastAsia="Arial" w:hAnsi="Arial"/>
                <w:sz w:val="12"/>
                <w:szCs w:val="12"/>
                <w:color w:val="auto"/>
              </w:rPr>
              <w:t>3235-0080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840" w:type="dxa"/>
            <w:vAlign w:val="bottom"/>
            <w:vMerge w:val="restart"/>
          </w:tcPr>
          <w:p>
            <w:pPr>
              <w:jc w:val="center"/>
              <w:ind w:right="1139"/>
              <w:spacing w:after="0"/>
              <w:rPr>
                <w:sz w:val="20"/>
                <w:szCs w:val="20"/>
                <w:color w:val="auto"/>
              </w:rPr>
            </w:pPr>
            <w:r>
              <w:rPr>
                <w:rFonts w:ascii="Arial" w:cs="Arial" w:eastAsia="Arial" w:hAnsi="Arial"/>
                <w:sz w:val="18"/>
                <w:szCs w:val="18"/>
                <w:color w:val="auto"/>
                <w:w w:val="97"/>
              </w:rPr>
              <w:t>Washington, D.C. 20549</w:t>
            </w:r>
          </w:p>
        </w:tc>
        <w:tc>
          <w:tcPr>
            <w:tcW w:w="40" w:type="dxa"/>
            <w:vAlign w:val="bottom"/>
          </w:tcPr>
          <w:p>
            <w:pPr>
              <w:spacing w:after="0"/>
              <w:rPr>
                <w:sz w:val="13"/>
                <w:szCs w:val="13"/>
                <w:color w:val="auto"/>
              </w:rPr>
            </w:pPr>
          </w:p>
        </w:tc>
        <w:tc>
          <w:tcPr>
            <w:tcW w:w="1740" w:type="dxa"/>
            <w:vAlign w:val="bottom"/>
          </w:tcPr>
          <w:p>
            <w:pPr>
              <w:ind w:left="80"/>
              <w:spacing w:after="0"/>
              <w:rPr>
                <w:sz w:val="20"/>
                <w:szCs w:val="20"/>
                <w:color w:val="auto"/>
              </w:rPr>
            </w:pPr>
            <w:r>
              <w:rPr>
                <w:rFonts w:ascii="Arial" w:cs="Arial" w:eastAsia="Arial" w:hAnsi="Arial"/>
                <w:sz w:val="12"/>
                <w:szCs w:val="12"/>
                <w:color w:val="auto"/>
              </w:rPr>
              <w:t>Expires:</w:t>
            </w:r>
          </w:p>
        </w:tc>
        <w:tc>
          <w:tcPr>
            <w:tcW w:w="1200" w:type="dxa"/>
            <w:vAlign w:val="bottom"/>
            <w:gridSpan w:val="2"/>
          </w:tcPr>
          <w:p>
            <w:pPr>
              <w:jc w:val="right"/>
              <w:ind w:right="100"/>
              <w:spacing w:after="0"/>
              <w:rPr>
                <w:sz w:val="20"/>
                <w:szCs w:val="20"/>
                <w:color w:val="auto"/>
              </w:rPr>
            </w:pPr>
            <w:r>
              <w:rPr>
                <w:rFonts w:ascii="Arial" w:cs="Arial" w:eastAsia="Arial" w:hAnsi="Arial"/>
                <w:sz w:val="12"/>
                <w:szCs w:val="12"/>
                <w:color w:val="auto"/>
              </w:rPr>
              <w:t>March 31, 2018</w:t>
            </w:r>
          </w:p>
        </w:tc>
        <w:tc>
          <w:tcPr>
            <w:tcW w:w="0" w:type="dxa"/>
            <w:vAlign w:val="bottom"/>
          </w:tcPr>
          <w:p>
            <w:pPr>
              <w:spacing w:after="0"/>
              <w:rPr>
                <w:sz w:val="1"/>
                <w:szCs w:val="1"/>
                <w:color w:val="auto"/>
              </w:rPr>
            </w:pPr>
          </w:p>
        </w:tc>
      </w:tr>
      <w:tr>
        <w:trPr>
          <w:trHeight w:val="139"/>
        </w:trPr>
        <w:tc>
          <w:tcPr>
            <w:tcW w:w="5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4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rPr>
          <w:sz w:val="24"/>
          <w:szCs w:val="24"/>
          <w:color w:val="auto"/>
        </w:rPr>
        <w:sectPr>
          <w:pgSz w:w="11900" w:h="16838" w:orient="portrait"/>
          <w:cols w:equalWidth="0" w:num="1">
            <w:col w:w="10020"/>
          </w:cols>
          <w:pgMar w:left="920" w:top="268" w:right="959" w:bottom="1440" w:gutter="0" w:footer="0" w:header="0"/>
        </w:sectPr>
      </w:pPr>
      <w:r>
        <w:rPr>
          <w:sz w:val="24"/>
          <w:szCs w:val="24"/>
          <w:color w:val="auto"/>
        </w:rPr>
        <w:drawing>
          <wp:anchor simplePos="0" relativeHeight="251657728" behindDoc="1" locked="0" layoutInCell="0" allowOverlap="1">
            <wp:simplePos x="0" y="0"/>
            <wp:positionH relativeFrom="page">
              <wp:posOffset>6899275</wp:posOffset>
            </wp:positionH>
            <wp:positionV relativeFrom="page">
              <wp:posOffset>170180</wp:posOffset>
            </wp:positionV>
            <wp:extent cx="5969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788670"/>
                    </a:xfrm>
                    <a:prstGeom prst="rect">
                      <a:avLst/>
                    </a:prstGeom>
                    <a:noFill/>
                  </pic:spPr>
                </pic:pic>
              </a:graphicData>
            </a:graphic>
          </wp:anchor>
        </w:drawing>
        <w:drawing>
          <wp:anchor simplePos="0" relativeHeight="251657728" behindDoc="1" locked="0" layoutInCell="0" allowOverlap="1">
            <wp:simplePos x="0" y="0"/>
            <wp:positionH relativeFrom="page">
              <wp:posOffset>5047615</wp:posOffset>
            </wp:positionH>
            <wp:positionV relativeFrom="page">
              <wp:posOffset>170180</wp:posOffset>
            </wp:positionV>
            <wp:extent cx="59690" cy="788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788670"/>
                    </a:xfrm>
                    <a:prstGeom prst="rect">
                      <a:avLst/>
                    </a:prstGeom>
                    <a:noFill/>
                  </pic:spPr>
                </pic:pic>
              </a:graphicData>
            </a:graphic>
          </wp:anchor>
        </w:drawing>
      </w:r>
    </w:p>
    <w:p>
      <w:pPr>
        <w:jc w:val="center"/>
        <w:ind w:left="680"/>
        <w:spacing w:after="0"/>
        <w:rPr>
          <w:sz w:val="20"/>
          <w:szCs w:val="20"/>
          <w:color w:val="auto"/>
        </w:rPr>
      </w:pPr>
      <w:r>
        <w:rPr>
          <w:rFonts w:ascii="Arial" w:cs="Arial" w:eastAsia="Arial" w:hAnsi="Arial"/>
          <w:sz w:val="21"/>
          <w:szCs w:val="21"/>
          <w:b w:val="1"/>
          <w:bCs w:val="1"/>
          <w:color w:val="auto"/>
        </w:rPr>
        <w:t>FORM 25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9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1000" w:type="dxa"/>
            <w:vAlign w:val="bottom"/>
          </w:tcPr>
          <w:p>
            <w:pPr>
              <w:jc w:val="right"/>
              <w:spacing w:after="0"/>
              <w:rPr>
                <w:sz w:val="20"/>
                <w:szCs w:val="20"/>
                <w:color w:val="auto"/>
              </w:rPr>
            </w:pPr>
            <w:r>
              <w:rPr>
                <w:rFonts w:ascii="Arial" w:cs="Arial" w:eastAsia="Arial" w:hAnsi="Arial"/>
                <w:sz w:val="12"/>
                <w:szCs w:val="12"/>
                <w:color w:val="auto"/>
              </w:rPr>
              <w:t>1.7</w:t>
            </w:r>
          </w:p>
        </w:tc>
        <w:tc>
          <w:tcPr>
            <w:tcW w:w="40" w:type="dxa"/>
            <w:vAlign w:val="bottom"/>
          </w:tcPr>
          <w:p>
            <w:pPr>
              <w:spacing w:after="0"/>
              <w:rPr>
                <w:sz w:val="13"/>
                <w:szCs w:val="13"/>
                <w:color w:val="auto"/>
              </w:rPr>
            </w:pPr>
          </w:p>
        </w:tc>
      </w:tr>
      <w:tr>
        <w:trPr>
          <w:trHeight w:val="43"/>
        </w:trPr>
        <w:tc>
          <w:tcPr>
            <w:tcW w:w="40" w:type="dxa"/>
            <w:vAlign w:val="bottom"/>
          </w:tcPr>
          <w:p>
            <w:pPr>
              <w:spacing w:after="0"/>
              <w:rPr>
                <w:sz w:val="3"/>
                <w:szCs w:val="3"/>
                <w:color w:val="auto"/>
              </w:rPr>
            </w:pPr>
          </w:p>
        </w:tc>
        <w:tc>
          <w:tcPr>
            <w:tcW w:w="19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 w:lineRule="exact"/>
        <w:rPr>
          <w:sz w:val="24"/>
          <w:szCs w:val="24"/>
          <w:color w:val="auto"/>
        </w:rPr>
      </w:pPr>
    </w:p>
    <w:p>
      <w:pPr>
        <w:sectPr>
          <w:pgSz w:w="11900" w:h="16838" w:orient="portrait"/>
          <w:cols w:equalWidth="0" w:num="2">
            <w:col w:w="6320" w:space="720"/>
            <w:col w:w="2980"/>
          </w:cols>
          <w:pgMar w:left="920" w:top="268" w:right="959" w:bottom="1440" w:gutter="0" w:footer="0" w:header="0"/>
          <w:type w:val="continuous"/>
        </w:sectPr>
      </w:pPr>
    </w:p>
    <w:p>
      <w:pPr>
        <w:ind w:left="1420"/>
        <w:spacing w:after="0"/>
        <w:rPr>
          <w:sz w:val="20"/>
          <w:szCs w:val="20"/>
          <w:color w:val="auto"/>
        </w:rPr>
      </w:pPr>
      <w:r>
        <w:rPr>
          <w:rFonts w:ascii="Arial" w:cs="Arial" w:eastAsia="Arial" w:hAnsi="Arial"/>
          <w:sz w:val="22"/>
          <w:szCs w:val="22"/>
          <w:b w:val="1"/>
          <w:bCs w:val="1"/>
          <w:color w:val="auto"/>
        </w:rPr>
        <w:t>NOTIFICATION OF REMOVAL FROM LISTING AND/OR REGISTRATION</w:t>
      </w:r>
    </w:p>
    <w:p>
      <w:pPr>
        <w:spacing w:after="0" w:line="12" w:lineRule="exact"/>
        <w:rPr>
          <w:sz w:val="24"/>
          <w:szCs w:val="24"/>
          <w:color w:val="auto"/>
        </w:rPr>
      </w:pPr>
    </w:p>
    <w:p>
      <w:pPr>
        <w:ind w:left="1340"/>
        <w:spacing w:after="0"/>
        <w:rPr>
          <w:sz w:val="20"/>
          <w:szCs w:val="20"/>
          <w:color w:val="auto"/>
        </w:rPr>
      </w:pPr>
      <w:r>
        <w:rPr>
          <w:rFonts w:ascii="Arial" w:cs="Arial" w:eastAsia="Arial" w:hAnsi="Arial"/>
          <w:sz w:val="22"/>
          <w:szCs w:val="22"/>
          <w:b w:val="1"/>
          <w:bCs w:val="1"/>
          <w:color w:val="auto"/>
        </w:rPr>
        <w:t>UNDER SECTION 12(b) OF THE SECURITIES EXCHANGE ACT OF 1934.</w:t>
      </w:r>
    </w:p>
    <w:p>
      <w:pPr>
        <w:spacing w:after="0" w:line="23" w:lineRule="exact"/>
        <w:rPr>
          <w:sz w:val="24"/>
          <w:szCs w:val="24"/>
          <w:color w:val="auto"/>
        </w:rPr>
      </w:pPr>
    </w:p>
    <w:p>
      <w:pPr>
        <w:ind w:left="502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hyperlink r:id="rId10">
        <w:r>
          <w:rPr>
            <w:rFonts w:ascii="Times New Roman" w:cs="Times New Roman" w:eastAsia="Times New Roman" w:hAnsi="Times New Roman"/>
            <w:sz w:val="21"/>
            <w:szCs w:val="21"/>
            <w:u w:val="single" w:color="auto"/>
            <w:color w:val="0000EE"/>
          </w:rPr>
          <w:t>001-35565</w:t>
        </w:r>
      </w:hyperlink>
    </w:p>
    <w:p>
      <w:pPr>
        <w:spacing w:after="0" w:line="136" w:lineRule="exact"/>
        <w:rPr>
          <w:sz w:val="24"/>
          <w:szCs w:val="24"/>
          <w:color w:val="auto"/>
        </w:rPr>
      </w:pPr>
    </w:p>
    <w:p>
      <w:pPr>
        <w:ind w:left="3100"/>
        <w:spacing w:after="0"/>
        <w:tabs>
          <w:tab w:leader="none" w:pos="3960" w:val="left"/>
        </w:tabs>
        <w:rPr>
          <w:rFonts w:ascii="Times New Roman" w:cs="Times New Roman" w:eastAsia="Times New Roman" w:hAnsi="Times New Roman"/>
          <w:sz w:val="22"/>
          <w:szCs w:val="22"/>
          <w:u w:val="single" w:color="auto"/>
          <w:color w:val="0000EE"/>
        </w:rPr>
      </w:pPr>
      <w:r>
        <w:rPr>
          <w:rFonts w:ascii="Arial" w:cs="Arial" w:eastAsia="Arial" w:hAnsi="Arial"/>
          <w:sz w:val="18"/>
          <w:szCs w:val="18"/>
          <w:color w:val="auto"/>
        </w:rPr>
        <w:t>Issuer:</w:t>
      </w:r>
      <w:r>
        <w:rPr>
          <w:sz w:val="20"/>
          <w:szCs w:val="20"/>
          <w:color w:val="auto"/>
        </w:rPr>
        <w:tab/>
      </w:r>
      <w:hyperlink r:id="rId11">
        <w:r>
          <w:rPr>
            <w:rFonts w:ascii="Times New Roman" w:cs="Times New Roman" w:eastAsia="Times New Roman" w:hAnsi="Times New Roman"/>
            <w:sz w:val="22"/>
            <w:szCs w:val="22"/>
            <w:u w:val="single" w:color="auto"/>
            <w:color w:val="0000EE"/>
          </w:rPr>
          <w:t>AbbVie Inc.</w:t>
        </w:r>
      </w:hyperlink>
    </w:p>
    <w:p>
      <w:pPr>
        <w:spacing w:after="0" w:line="57"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 xml:space="preserve">Exchange: </w:t>
      </w:r>
      <w:r>
        <w:rPr>
          <w:rFonts w:ascii="Times New Roman" w:cs="Times New Roman" w:eastAsia="Times New Roman" w:hAnsi="Times New Roman"/>
          <w:sz w:val="18"/>
          <w:szCs w:val="18"/>
          <w:color w:val="0000FF"/>
        </w:rPr>
        <w:t>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48895</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(Exact name of Issuer as specified in its charter, and name of Exchange where security is listed and/or registered)</w:t>
      </w:r>
    </w:p>
    <w:p>
      <w:pPr>
        <w:spacing w:after="0" w:line="91" w:lineRule="exact"/>
        <w:rPr>
          <w:sz w:val="24"/>
          <w:szCs w:val="24"/>
          <w:color w:val="auto"/>
        </w:rPr>
      </w:pPr>
    </w:p>
    <w:p>
      <w:pPr>
        <w:ind w:left="2520"/>
        <w:spacing w:after="0"/>
        <w:tabs>
          <w:tab w:leader="none" w:pos="40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 North Waukegan Road</w:t>
      </w:r>
    </w:p>
    <w:p>
      <w:pPr>
        <w:spacing w:after="0" w:line="6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0000FF"/>
        </w:rPr>
        <w:t>North Chicago ILLINOIS 60064</w:t>
      </w:r>
    </w:p>
    <w:p>
      <w:pPr>
        <w:spacing w:after="0" w:line="63" w:lineRule="exact"/>
        <w:rPr>
          <w:sz w:val="24"/>
          <w:szCs w:val="24"/>
          <w:color w:val="auto"/>
        </w:rPr>
      </w:pPr>
    </w:p>
    <w:tbl>
      <w:tblPr>
        <w:tblLayout w:type="fixed"/>
        <w:tblInd w:w="252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r>
              <w:rPr>
                <w:rFonts w:ascii="Arial" w:cs="Arial" w:eastAsia="Arial" w:hAnsi="Arial"/>
                <w:sz w:val="18"/>
                <w:szCs w:val="18"/>
                <w:color w:val="auto"/>
              </w:rPr>
              <w:t>Telephone number: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847-932-7900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33020</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2"/>
          <w:szCs w:val="12"/>
          <w:color w:val="auto"/>
        </w:rPr>
        <w:t>(Address, including zip code, and telephone number, including area code, of Issuer's principal executive offices)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0000FF"/>
        </w:rPr>
        <w:t>1.250% Senior Notes due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23495</wp:posOffset>
            </wp:positionV>
            <wp:extent cx="55378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ind w:left="660"/>
        <w:spacing w:after="0"/>
        <w:rPr>
          <w:sz w:val="20"/>
          <w:szCs w:val="20"/>
          <w:color w:val="auto"/>
        </w:rPr>
      </w:pPr>
      <w:r>
        <w:rPr>
          <w:rFonts w:ascii="Arial" w:cs="Arial" w:eastAsia="Arial" w:hAnsi="Arial"/>
          <w:sz w:val="12"/>
          <w:szCs w:val="12"/>
          <w:color w:val="auto"/>
        </w:rPr>
        <w:t>(Description of class of securities)</w:t>
      </w:r>
    </w:p>
    <w:p>
      <w:pPr>
        <w:spacing w:after="0" w:line="93" w:lineRule="exact"/>
        <w:rPr>
          <w:sz w:val="24"/>
          <w:szCs w:val="24"/>
          <w:color w:val="auto"/>
        </w:rPr>
      </w:pPr>
    </w:p>
    <w:p>
      <w:pPr>
        <w:ind w:right="860"/>
        <w:spacing w:after="0" w:line="262" w:lineRule="auto"/>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0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240.12d2-2(a)(1)</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17 CFR 240.12d2-2(a)(2)</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240.12d2-2(a)(3)</w:t>
      </w:r>
    </w:p>
    <w:p>
      <w:pPr>
        <w:spacing w:after="0" w:line="205"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760"/>
                    </a:xfrm>
                    <a:prstGeom prst="rect">
                      <a:avLst/>
                    </a:prstGeom>
                    <a:noFill/>
                    <a:ln>
                      <a:noFill/>
                    </a:ln>
                  </pic:spPr>
                </pic:pic>
              </a:graphicData>
            </a:graphic>
          </wp:inline>
        </w:drawing>
      </w:r>
      <w:r>
        <w:rPr>
          <w:rFonts w:ascii="Arial" w:cs="Arial" w:eastAsia="Arial" w:hAnsi="Arial"/>
          <w:sz w:val="18"/>
          <w:szCs w:val="18"/>
          <w:color w:val="auto"/>
        </w:rPr>
        <w:t xml:space="preserve"> 17 CFR 240.12d2-2(a)(4)</w:t>
      </w:r>
    </w:p>
    <w:p>
      <w:pPr>
        <w:spacing w:after="0" w:line="205" w:lineRule="exact"/>
        <w:rPr>
          <w:sz w:val="24"/>
          <w:szCs w:val="24"/>
          <w:color w:val="auto"/>
        </w:rPr>
      </w:pPr>
    </w:p>
    <w:p>
      <w:pPr>
        <w:ind w:left="780" w:right="1360" w:firstLine="54"/>
        <w:spacing w:after="0" w:line="275" w:lineRule="auto"/>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9"/>
          <w:szCs w:val="29"/>
          <w:u w:val="single" w:color="auto"/>
          <w:color w:val="0000EE"/>
          <w:vertAlign w:val="superscript"/>
        </w:rPr>
        <w:t>1</w:t>
      </w:r>
    </w:p>
    <w:p>
      <w:pPr>
        <w:spacing w:after="0" w:line="36" w:lineRule="exact"/>
        <w:rPr>
          <w:sz w:val="24"/>
          <w:szCs w:val="24"/>
          <w:color w:val="auto"/>
        </w:rPr>
      </w:pPr>
    </w:p>
    <w:p>
      <w:pPr>
        <w:jc w:val="both"/>
        <w:ind w:left="780" w:right="1260" w:firstLine="54"/>
        <w:spacing w:after="0" w:line="245" w:lineRule="auto"/>
        <w:rPr>
          <w:sz w:val="20"/>
          <w:szCs w:val="20"/>
          <w:color w:val="auto"/>
        </w:rPr>
      </w:pPr>
      <w:r>
        <w:rPr>
          <w:sz w:val="1"/>
          <w:szCs w:val="1"/>
          <w:color w:val="auto"/>
        </w:rPr>
        <w:drawing>
          <wp:inline distT="0" distB="0" distL="0" distR="0">
            <wp:extent cx="111125" cy="111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18"/>
          <w:szCs w:val="18"/>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69"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 xml:space="preserve">Pursuant to the requirements fo the Securities Exchange Act of 1934, </w:t>
      </w:r>
      <w:r>
        <w:rPr>
          <w:rFonts w:ascii="Times New Roman" w:cs="Times New Roman" w:eastAsia="Times New Roman" w:hAnsi="Times New Roman"/>
          <w:sz w:val="18"/>
          <w:szCs w:val="18"/>
          <w:color w:val="0000FF"/>
        </w:rPr>
        <w:t>NEW YORK STOCK EXCHANGE LLC</w:t>
      </w:r>
      <w:r>
        <w:rPr>
          <w:rFonts w:ascii="Arial" w:cs="Arial" w:eastAsia="Arial" w:hAnsi="Arial"/>
          <w:sz w:val="18"/>
          <w:szCs w:val="18"/>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2" w:lineRule="exact"/>
        <w:rPr>
          <w:sz w:val="24"/>
          <w:szCs w:val="24"/>
          <w:color w:val="auto"/>
        </w:rPr>
      </w:pPr>
    </w:p>
    <w:tbl>
      <w:tblPr>
        <w:tblLayout w:type="fixed"/>
        <w:tblInd w:w="640" w:type="dxa"/>
        <w:tblCellMar>
          <w:top w:w="0" w:type="dxa"/>
          <w:left w:w="0" w:type="dxa"/>
          <w:bottom w:w="0" w:type="dxa"/>
          <w:right w:w="0" w:type="dxa"/>
        </w:tblCellMar>
      </w:tblPr>
      <w:tr>
        <w:trPr>
          <w:trHeight w:val="244"/>
        </w:trPr>
        <w:tc>
          <w:tcPr>
            <w:tcW w:w="20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0000FF"/>
              </w:rPr>
              <w:t>2024-06-03</w:t>
            </w: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58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Emily Fuhrman</w:t>
            </w:r>
          </w:p>
        </w:tc>
        <w:tc>
          <w:tcPr>
            <w:tcW w:w="260" w:type="dxa"/>
            <w:vAlign w:val="bottom"/>
          </w:tcPr>
          <w:p>
            <w:pPr>
              <w:spacing w:after="0"/>
              <w:rPr>
                <w:sz w:val="21"/>
                <w:szCs w:val="21"/>
                <w:color w:val="auto"/>
              </w:rPr>
            </w:pPr>
          </w:p>
        </w:tc>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Analyst, Regulation</w:t>
            </w:r>
          </w:p>
        </w:tc>
      </w:tr>
      <w:tr>
        <w:trPr>
          <w:trHeight w:val="252"/>
        </w:trPr>
        <w:tc>
          <w:tcPr>
            <w:tcW w:w="2060" w:type="dxa"/>
            <w:vAlign w:val="bottom"/>
            <w:tcBorders>
              <w:top w:val="single" w:sz="8" w:color="auto"/>
            </w:tcBorders>
          </w:tcPr>
          <w:p>
            <w:pPr>
              <w:jc w:val="right"/>
              <w:ind w:right="1572"/>
              <w:spacing w:after="0"/>
              <w:rPr>
                <w:sz w:val="20"/>
                <w:szCs w:val="20"/>
                <w:color w:val="auto"/>
              </w:rPr>
            </w:pPr>
            <w:r>
              <w:rPr>
                <w:rFonts w:ascii="Arial" w:cs="Arial" w:eastAsia="Arial" w:hAnsi="Arial"/>
                <w:sz w:val="18"/>
                <w:szCs w:val="18"/>
                <w:color w:val="auto"/>
                <w:w w:val="99"/>
              </w:rPr>
              <w:t>Date</w:t>
            </w:r>
          </w:p>
        </w:tc>
        <w:tc>
          <w:tcPr>
            <w:tcW w:w="940" w:type="dxa"/>
            <w:vAlign w:val="bottom"/>
          </w:tcPr>
          <w:p>
            <w:pPr>
              <w:spacing w:after="0"/>
              <w:rPr>
                <w:sz w:val="21"/>
                <w:szCs w:val="21"/>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5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Title</w:t>
            </w:r>
          </w:p>
        </w:tc>
      </w:tr>
    </w:tbl>
    <w:p>
      <w:pPr>
        <w:spacing w:after="0" w:line="107" w:lineRule="exact"/>
        <w:rPr>
          <w:sz w:val="24"/>
          <w:szCs w:val="24"/>
          <w:color w:val="auto"/>
        </w:rPr>
      </w:pPr>
    </w:p>
    <w:p>
      <w:pPr>
        <w:ind w:left="1260" w:right="700" w:hanging="597"/>
        <w:spacing w:after="0" w:line="261" w:lineRule="auto"/>
        <w:tabs>
          <w:tab w:leader="none" w:pos="126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Form 25 and attached Notice will be considered compliance with the provisions of 17 CFR 240.19d-1 as applicable. </w:t>
      </w:r>
      <w:r>
        <w:rPr>
          <w:rFonts w:ascii="Arial" w:cs="Arial" w:eastAsia="Arial" w:hAnsi="Arial"/>
          <w:sz w:val="18"/>
          <w:szCs w:val="18"/>
          <w:u w:val="single" w:color="auto"/>
          <w:color w:val="0000EE"/>
        </w:rPr>
        <w:t>See</w:t>
      </w:r>
      <w:r>
        <w:rPr>
          <w:rFonts w:ascii="Arial" w:cs="Arial" w:eastAsia="Arial" w:hAnsi="Arial"/>
          <w:sz w:val="18"/>
          <w:szCs w:val="18"/>
          <w:color w:val="auto"/>
        </w:rPr>
        <w:t xml:space="preserve"> General Instructions.</w:t>
      </w:r>
    </w:p>
    <w:p>
      <w:pPr>
        <w:spacing w:after="0" w:line="47" w:lineRule="exact"/>
        <w:rPr>
          <w:sz w:val="24"/>
          <w:szCs w:val="24"/>
          <w:color w:val="auto"/>
        </w:rPr>
      </w:pPr>
    </w:p>
    <w:p>
      <w:pPr>
        <w:spacing w:after="0"/>
        <w:rPr>
          <w:sz w:val="20"/>
          <w:szCs w:val="20"/>
          <w:color w:val="auto"/>
        </w:rPr>
      </w:pPr>
      <w:r>
        <w:rPr>
          <w:rFonts w:ascii="Arial" w:cs="Arial" w:eastAsia="Arial" w:hAnsi="Arial"/>
          <w:sz w:val="12"/>
          <w:szCs w:val="1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268" w:right="959" w:bottom="1440" w:gutter="0" w:footer="0" w:header="0"/>
          <w:type w:val="continuous"/>
        </w:sectPr>
      </w:pPr>
    </w:p>
    <w:bookmarkStart w:id="1" w:name="page2"/>
    <w:bookmarkEnd w:id="1"/>
    <w:p>
      <w:pPr>
        <w:spacing w:after="0" w:line="236" w:lineRule="auto"/>
        <w:rPr>
          <w:sz w:val="20"/>
          <w:szCs w:val="20"/>
          <w:color w:val="auto"/>
        </w:rPr>
      </w:pPr>
      <w:r>
        <w:rPr>
          <w:rFonts w:ascii="Times New Roman" w:cs="Times New Roman" w:eastAsia="Times New Roman" w:hAnsi="Times New Roman"/>
          <w:sz w:val="22"/>
          <w:szCs w:val="22"/>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June 14, 2024, pursuant to the provisions of Rule 12d2-2 (a). [ X ] 17 CFR 240.12d2-2(a)(2) That the entire class of this security was redeemed or paid at maturity or retirement on June 03, 2024. The Exchange also notifies the Securities and Exchange Commission that as a result of the above indicated conditions this security was suspended from trading on June 03, 2024.</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0" Type="http://schemas.openxmlformats.org/officeDocument/2006/relationships/hyperlink" Target="http://www.sec.gov/cgi-bin/browse-edgar?action=getcompany&amp;CIK=001-35565" TargetMode="External"/><Relationship Id="rId11"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2024-06-03T10:31:50Z</dcterms:created>
  <dcterms:modified xsi:type="dcterms:W3CDTF">2024-06-03T10:31:50Z</dcterms:modified>
</cp:coreProperties>
</file>