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663"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001-35565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32-0375147</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720" w:space="720"/>
            <w:col w:w="2680"/>
          </w:cols>
          <w:pgMar w:left="320" w:top="772" w:right="339" w:bottom="663"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(847) 932-7900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663"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2"/>
        </w:trPr>
        <w:tc>
          <w:tcPr>
            <w:tcW w:w="36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7"/>
                <w:szCs w:val="17"/>
                <w:color w:val="auto"/>
              </w:rPr>
            </w:pPr>
          </w:p>
        </w:tc>
        <w:tc>
          <w:tcPr>
            <w:tcW w:w="360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ABBV</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NYSE Texas</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ABBV27</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2.125%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ABBV28</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2.625%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ABBV28B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ABBV29</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1.250%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ABBV31</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3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2" w:right="339" w:bottom="66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4, 2026, AbbVie Inc. (“</w:t>
      </w:r>
      <w:r>
        <w:rPr>
          <w:rFonts w:ascii="Times New Roman" w:cs="Times New Roman" w:eastAsia="Times New Roman" w:hAnsi="Times New Roman"/>
          <w:sz w:val="18"/>
          <w:szCs w:val="18"/>
          <w:u w:val="single" w:color="auto"/>
          <w:color w:val="auto"/>
        </w:rPr>
        <w:t>AbbVie</w:t>
      </w:r>
      <w:r>
        <w:rPr>
          <w:rFonts w:ascii="Times New Roman" w:cs="Times New Roman" w:eastAsia="Times New Roman" w:hAnsi="Times New Roman"/>
          <w:sz w:val="18"/>
          <w:szCs w:val="18"/>
          <w:color w:val="auto"/>
        </w:rPr>
        <w:t>”) completed its previously announced underwritten public offering (the “</w:t>
      </w:r>
      <w:r>
        <w:rPr>
          <w:rFonts w:ascii="Times New Roman" w:cs="Times New Roman" w:eastAsia="Times New Roman" w:hAnsi="Times New Roman"/>
          <w:sz w:val="18"/>
          <w:szCs w:val="18"/>
          <w:u w:val="single" w:color="auto"/>
          <w:color w:val="auto"/>
        </w:rPr>
        <w:t>Notes Offering</w:t>
      </w:r>
      <w:r>
        <w:rPr>
          <w:rFonts w:ascii="Times New Roman" w:cs="Times New Roman" w:eastAsia="Times New Roman" w:hAnsi="Times New Roman"/>
          <w:sz w:val="18"/>
          <w:szCs w:val="18"/>
          <w:color w:val="auto"/>
        </w:rPr>
        <w:t>”) of $750,000,000 aggregate principal amount of its senior floating rate notes due 2028 (the “</w:t>
      </w:r>
      <w:r>
        <w:rPr>
          <w:rFonts w:ascii="Times New Roman" w:cs="Times New Roman" w:eastAsia="Times New Roman" w:hAnsi="Times New Roman"/>
          <w:sz w:val="18"/>
          <w:szCs w:val="18"/>
          <w:u w:val="single" w:color="auto"/>
          <w:color w:val="auto"/>
        </w:rPr>
        <w:t>Floating Rate Notes</w:t>
      </w:r>
      <w:r>
        <w:rPr>
          <w:rFonts w:ascii="Times New Roman" w:cs="Times New Roman" w:eastAsia="Times New Roman" w:hAnsi="Times New Roman"/>
          <w:sz w:val="18"/>
          <w:szCs w:val="18"/>
          <w:color w:val="auto"/>
        </w:rPr>
        <w:t>”), $1,500,000,000 aggregate principal amount of its 3.775%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$1,250,000,000 aggregate principal amount of its 4.125% senior notes due 2031 (the “</w:t>
      </w:r>
      <w:r>
        <w:rPr>
          <w:rFonts w:ascii="Times New Roman" w:cs="Times New Roman" w:eastAsia="Times New Roman" w:hAnsi="Times New Roman"/>
          <w:sz w:val="18"/>
          <w:szCs w:val="18"/>
          <w:u w:val="single" w:color="auto"/>
          <w:color w:val="auto"/>
        </w:rPr>
        <w:t>2031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$1,250,000,000 aggregate principal amount of its 4.400%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$1,500,000,000 aggregate principal amount of its 4.750%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$1,250,000,000 aggregate principal amount of its 5.550% senior notes due 2056 (the “</w:t>
      </w:r>
      <w:r>
        <w:rPr>
          <w:rFonts w:ascii="Times New Roman" w:cs="Times New Roman" w:eastAsia="Times New Roman" w:hAnsi="Times New Roman"/>
          <w:sz w:val="18"/>
          <w:szCs w:val="18"/>
          <w:u w:val="single" w:color="auto"/>
          <w:color w:val="auto"/>
        </w:rPr>
        <w:t>2056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$500,000,000 aggregate principal amount of its 5.650% senior notes due 2066 (the “</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and, together with the 2028 Notes, the 2031 Notes, the 2033 Notes, the 2036 Notes and the 2056 Notes, the “</w:t>
      </w:r>
      <w:r>
        <w:rPr>
          <w:rFonts w:ascii="Times New Roman" w:cs="Times New Roman" w:eastAsia="Times New Roman" w:hAnsi="Times New Roman"/>
          <w:sz w:val="18"/>
          <w:szCs w:val="18"/>
          <w:u w:val="single" w:color="auto"/>
          <w:color w:val="auto"/>
        </w:rPr>
        <w:t>Fixed Rate Notes</w:t>
      </w:r>
      <w:r>
        <w:rPr>
          <w:rFonts w:ascii="Times New Roman" w:cs="Times New Roman" w:eastAsia="Times New Roman" w:hAnsi="Times New Roman"/>
          <w:sz w:val="18"/>
          <w:szCs w:val="18"/>
          <w:color w:val="auto"/>
        </w:rPr>
        <w:t>” and, together with the Floating Rate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offering of each series of Notes was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pursuant to AbbVie’s registration statement on Form S-3ASR (File No. 333-284980)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dated as of February 14, 2025. The terms of the Notes are further described in AbbVie’s prospectus supplement dated February 24, 2026, as filed with the Securities and Exchange Commission pursuant to Rule 424(b)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of the Act on February 26,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are governed by the Indenture, dated November 8, 2012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AbbVie and U.S. Bank Trust Company, National Association, as successor-in-interest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that certain Supplemental Indenture No. 12, dated as of March 4, 2026, with respect to the Notes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as so supplemented,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Floating Rate Notes and the 2028 Notes will mature on March 3, 2028. All other series of Notes will mature on March 15 of the applicable year. The Notes are unsecured, unsubordinated obligations of AbbVie and will rank equally in right of payment with all of AbbVie’s existing and future unsecured, unsubordinated indebtedness, liabilities and other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AbbVie may optionally redeem (i) the 2028 Notes in whole or in part at any time; (ii) the 2031 Notes in whole or in part at any time prior to February 15, 2031 (the “</w:t>
      </w:r>
      <w:r>
        <w:rPr>
          <w:rFonts w:ascii="Times New Roman" w:cs="Times New Roman" w:eastAsia="Times New Roman" w:hAnsi="Times New Roman"/>
          <w:sz w:val="18"/>
          <w:szCs w:val="18"/>
          <w:u w:val="single" w:color="auto"/>
          <w:color w:val="auto"/>
        </w:rPr>
        <w:t>2031 Par Call Date</w:t>
      </w:r>
      <w:r>
        <w:rPr>
          <w:rFonts w:ascii="Times New Roman" w:cs="Times New Roman" w:eastAsia="Times New Roman" w:hAnsi="Times New Roman"/>
          <w:sz w:val="18"/>
          <w:szCs w:val="18"/>
          <w:color w:val="auto"/>
        </w:rPr>
        <w:t>”); (iii) the 2033 Notes in whole or in part at any time prior to January 15, 2033 (the “</w:t>
      </w:r>
      <w:r>
        <w:rPr>
          <w:rFonts w:ascii="Times New Roman" w:cs="Times New Roman" w:eastAsia="Times New Roman" w:hAnsi="Times New Roman"/>
          <w:sz w:val="18"/>
          <w:szCs w:val="18"/>
          <w:u w:val="single" w:color="auto"/>
          <w:color w:val="auto"/>
        </w:rPr>
        <w:t>2033 Par Call Date</w:t>
      </w:r>
      <w:r>
        <w:rPr>
          <w:rFonts w:ascii="Times New Roman" w:cs="Times New Roman" w:eastAsia="Times New Roman" w:hAnsi="Times New Roman"/>
          <w:sz w:val="18"/>
          <w:szCs w:val="18"/>
          <w:color w:val="auto"/>
        </w:rPr>
        <w:t>”);</w:t>
      </w:r>
    </w:p>
    <w:p>
      <w:pPr>
        <w:jc w:val="both"/>
        <w:ind w:firstLine="8"/>
        <w:spacing w:after="0" w:line="25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in whole or in part at any time prior to December 15, 2035 (the “</w:t>
      </w:r>
      <w:r>
        <w:rPr>
          <w:rFonts w:ascii="Times New Roman" w:cs="Times New Roman" w:eastAsia="Times New Roman" w:hAnsi="Times New Roman"/>
          <w:sz w:val="18"/>
          <w:szCs w:val="18"/>
          <w:u w:val="single" w:color="auto"/>
          <w:color w:val="auto"/>
        </w:rPr>
        <w:t>2036 Par Call Date</w:t>
      </w:r>
      <w:r>
        <w:rPr>
          <w:rFonts w:ascii="Times New Roman" w:cs="Times New Roman" w:eastAsia="Times New Roman" w:hAnsi="Times New Roman"/>
          <w:sz w:val="18"/>
          <w:szCs w:val="18"/>
          <w:color w:val="auto"/>
        </w:rPr>
        <w:t>”); (v) the 2056 Notes in whole or in part at any time prior to September 15, 2055 (the “</w:t>
      </w:r>
      <w:r>
        <w:rPr>
          <w:rFonts w:ascii="Times New Roman" w:cs="Times New Roman" w:eastAsia="Times New Roman" w:hAnsi="Times New Roman"/>
          <w:sz w:val="18"/>
          <w:szCs w:val="18"/>
          <w:u w:val="single" w:color="auto"/>
          <w:color w:val="auto"/>
        </w:rPr>
        <w:t>2056 Par Call Date</w:t>
      </w:r>
      <w:r>
        <w:rPr>
          <w:rFonts w:ascii="Times New Roman" w:cs="Times New Roman" w:eastAsia="Times New Roman" w:hAnsi="Times New Roman"/>
          <w:sz w:val="18"/>
          <w:szCs w:val="18"/>
          <w:color w:val="auto"/>
        </w:rPr>
        <w:t>”); and (vi) the 2066 Notes in whole or in part at any time prior to September 15, 2065 (the “</w:t>
      </w:r>
      <w:r>
        <w:rPr>
          <w:rFonts w:ascii="Times New Roman" w:cs="Times New Roman" w:eastAsia="Times New Roman" w:hAnsi="Times New Roman"/>
          <w:sz w:val="18"/>
          <w:szCs w:val="18"/>
          <w:u w:val="single" w:color="auto"/>
          <w:color w:val="auto"/>
        </w:rPr>
        <w:t>2066 Par Call Date</w:t>
      </w:r>
      <w:r>
        <w:rPr>
          <w:rFonts w:ascii="Times New Roman" w:cs="Times New Roman" w:eastAsia="Times New Roman" w:hAnsi="Times New Roman"/>
          <w:sz w:val="18"/>
          <w:szCs w:val="18"/>
          <w:color w:val="auto"/>
        </w:rPr>
        <w:t>” and, together with the 2031 Par Call Date, the 2033 Par Call Date, the 2036 Par Call Date and the 2056 Par Call Date, collectively, the “</w:t>
      </w:r>
      <w:r>
        <w:rPr>
          <w:rFonts w:ascii="Times New Roman" w:cs="Times New Roman" w:eastAsia="Times New Roman" w:hAnsi="Times New Roman"/>
          <w:sz w:val="18"/>
          <w:szCs w:val="18"/>
          <w:u w:val="single" w:color="auto"/>
          <w:color w:val="auto"/>
        </w:rPr>
        <w:t>Par Call Dates</w:t>
      </w:r>
      <w:r>
        <w:rPr>
          <w:rFonts w:ascii="Times New Roman" w:cs="Times New Roman" w:eastAsia="Times New Roman" w:hAnsi="Times New Roman"/>
          <w:sz w:val="18"/>
          <w:szCs w:val="18"/>
          <w:color w:val="auto"/>
        </w:rPr>
        <w:t>”), each at a customary “make-whole” redemption price calculated in a manner set forth in the applicable Notes. On or after the applicable Par Call Date in respect of a series of Fixed Rate Notes (other than the 2028 Notes), AbbVie may redeem the Fixed Rate Notes of such series, in whole or in part, at any time and from time to time, at a redemption price equal to 100% of the principal amount of the Fixed Rate Notes of such series being redeemed plus accrued and unpaid interest thereon to but not including the redemption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limitations on AbbVie’s ability and the ability of certain of its subsidiaries to incur liens securing funded indebtedness and on AbbVie’s ability to consolidate or merge with or into, or convey, transfer or lease its properties and assets substantially as an entirety to any person.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Indenture does not purport to be complete and is qualified in its entirety by reference to the full text of the Base Indenture and the Supplemental Indenture, which are attached as Exhibits 4.1 and 4.2, respectively, hereto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provided as part of this Form 8-K:</w:t>
      </w:r>
    </w:p>
    <w:p>
      <w:pPr>
        <w:spacing w:after="0" w:line="225" w:lineRule="exact"/>
        <w:rPr>
          <w:sz w:val="20"/>
          <w:szCs w:val="20"/>
          <w:color w:val="auto"/>
        </w:rPr>
      </w:pPr>
    </w:p>
    <w:p>
      <w:pPr>
        <w:ind w:left="480" w:hanging="458"/>
        <w:spacing w:after="0" w:line="282" w:lineRule="auto"/>
        <w:tabs>
          <w:tab w:leader="none" w:pos="460" w:val="left"/>
        </w:tabs>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6">
        <w:r>
          <w:rPr>
            <w:rFonts w:ascii="Times New Roman" w:cs="Times New Roman" w:eastAsia="Times New Roman" w:hAnsi="Times New Roman"/>
            <w:sz w:val="18"/>
            <w:szCs w:val="18"/>
            <w:u w:val="single" w:color="auto"/>
            <w:color w:val="0000EE"/>
          </w:rPr>
          <w:t>Indenture, dated November 8, 2012, between AbbVie Inc. and U.S. Bank Trust Company, National Association, as trustee (incorporated by reference</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to Exhibit 4.1 of Amendment No. 5 to AbbVie’s Registration Statement on Form 10 filed November 16, 2012).</w:t>
        </w:r>
      </w:hyperlink>
    </w:p>
    <w:p>
      <w:pPr>
        <w:spacing w:after="0" w:line="162"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Supplemental Indenture No. 12, dated March 4, 2026, between AbbVie Inc. and U.S. Bank Trust Company, National Association, as trustee.</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7"/>
          <w:szCs w:val="17"/>
          <w:u w:val="single" w:color="auto"/>
          <w:color w:val="0000EE"/>
        </w:rPr>
        <w:t>Form of Floating Rate Note due 2028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4.4</w:t>
      </w:r>
      <w:r>
        <w:rPr>
          <w:sz w:val="20"/>
          <w:szCs w:val="20"/>
          <w:color w:val="auto"/>
        </w:rPr>
        <w:tab/>
      </w:r>
      <w:r>
        <w:rPr>
          <w:rFonts w:ascii="Times New Roman" w:cs="Times New Roman" w:eastAsia="Times New Roman" w:hAnsi="Times New Roman"/>
          <w:sz w:val="17"/>
          <w:szCs w:val="17"/>
          <w:u w:val="single" w:color="auto"/>
          <w:color w:val="0000EE"/>
        </w:rPr>
        <w:t>Form of 3.775% Note due 2028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4.5</w:t>
      </w:r>
      <w:r>
        <w:rPr>
          <w:sz w:val="20"/>
          <w:szCs w:val="20"/>
          <w:color w:val="auto"/>
        </w:rPr>
        <w:tab/>
      </w:r>
      <w:r>
        <w:rPr>
          <w:rFonts w:ascii="Times New Roman" w:cs="Times New Roman" w:eastAsia="Times New Roman" w:hAnsi="Times New Roman"/>
          <w:sz w:val="17"/>
          <w:szCs w:val="17"/>
          <w:u w:val="single" w:color="auto"/>
          <w:color w:val="0000EE"/>
        </w:rPr>
        <w:t>Form of 4.125% Note due 2031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4.6</w:t>
      </w:r>
      <w:r>
        <w:rPr>
          <w:sz w:val="20"/>
          <w:szCs w:val="20"/>
          <w:color w:val="auto"/>
        </w:rPr>
        <w:tab/>
      </w:r>
      <w:r>
        <w:rPr>
          <w:rFonts w:ascii="Times New Roman" w:cs="Times New Roman" w:eastAsia="Times New Roman" w:hAnsi="Times New Roman"/>
          <w:sz w:val="17"/>
          <w:szCs w:val="17"/>
          <w:u w:val="single" w:color="auto"/>
          <w:color w:val="0000EE"/>
        </w:rPr>
        <w:t>Form of 4.400% Note due 2033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4.7</w:t>
      </w:r>
      <w:r>
        <w:rPr>
          <w:sz w:val="20"/>
          <w:szCs w:val="20"/>
          <w:color w:val="auto"/>
        </w:rPr>
        <w:tab/>
      </w:r>
      <w:r>
        <w:rPr>
          <w:rFonts w:ascii="Times New Roman" w:cs="Times New Roman" w:eastAsia="Times New Roman" w:hAnsi="Times New Roman"/>
          <w:sz w:val="17"/>
          <w:szCs w:val="17"/>
          <w:u w:val="single" w:color="auto"/>
          <w:color w:val="0000EE"/>
        </w:rPr>
        <w:t>Form of 4.750% Note due 2036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4.8</w:t>
      </w:r>
      <w:r>
        <w:rPr>
          <w:sz w:val="20"/>
          <w:szCs w:val="20"/>
          <w:color w:val="auto"/>
        </w:rPr>
        <w:tab/>
      </w:r>
      <w:r>
        <w:rPr>
          <w:rFonts w:ascii="Times New Roman" w:cs="Times New Roman" w:eastAsia="Times New Roman" w:hAnsi="Times New Roman"/>
          <w:sz w:val="17"/>
          <w:szCs w:val="17"/>
          <w:u w:val="single" w:color="auto"/>
          <w:color w:val="0000EE"/>
        </w:rPr>
        <w:t>Form of 5.550% Note due 2056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4.9</w:t>
      </w:r>
      <w:r>
        <w:rPr>
          <w:sz w:val="20"/>
          <w:szCs w:val="20"/>
          <w:color w:val="auto"/>
        </w:rPr>
        <w:tab/>
      </w:r>
      <w:r>
        <w:rPr>
          <w:rFonts w:ascii="Times New Roman" w:cs="Times New Roman" w:eastAsia="Times New Roman" w:hAnsi="Times New Roman"/>
          <w:sz w:val="17"/>
          <w:szCs w:val="17"/>
          <w:u w:val="single" w:color="auto"/>
          <w:color w:val="0000EE"/>
        </w:rPr>
        <w:t>Form of 5.650% Note due 2066 (included in Exhibit 4.2 hereto).</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Wachtell, Lipton, Rosen &amp; Katz, dated March 4, 2026, with respect to the Notes.</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Wachtell, Lipton, Rosen &amp; Katz (included in Exhibit 5.1 of this Current Report on Form 8-K).</w:t>
      </w:r>
    </w:p>
    <w:p>
      <w:pPr>
        <w:spacing w:after="0" w:line="225" w:lineRule="exact"/>
        <w:rPr>
          <w:rFonts w:ascii="Times New Roman" w:cs="Times New Roman" w:eastAsia="Times New Roman" w:hAnsi="Times New Roman"/>
          <w:sz w:val="18"/>
          <w:szCs w:val="18"/>
          <w:u w:val="single" w:color="auto"/>
          <w:color w:val="0000EE"/>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Scott T. Reents</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T. Reents</w:t>
            </w:r>
          </w:p>
        </w:tc>
      </w:tr>
      <w:tr>
        <w:trPr>
          <w:trHeight w:val="234"/>
        </w:trPr>
        <w:tc>
          <w:tcPr>
            <w:tcW w:w="3560" w:type="dxa"/>
            <w:vAlign w:val="bottom"/>
          </w:tcPr>
          <w:p>
            <w:pPr>
              <w:spacing w:after="0"/>
              <w:rPr>
                <w:sz w:val="20"/>
                <w:szCs w:val="20"/>
                <w:color w:val="auto"/>
              </w:rPr>
            </w:pPr>
          </w:p>
        </w:tc>
        <w:tc>
          <w:tcPr>
            <w:tcW w:w="76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ABBVIE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 NO.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$750,000,000 Floating Rate Senior Notes due 2028</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$1,500,000,000 3.775% Senior Notes due 2028</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$1,250,000,000 4.125% Senior Notes due 2031</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$1,250,000,000 4.400% Senior Notes due 2033</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$1,500,000,000 4.750% Senior Notes due 2036</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$1,250,000,000 5.550% Senior Notes due 2056</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$500,000,000 5.650% Senior Notes due 2066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INDENTURE NO. 12, dated as of March 4, 2026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by and between ABBVIE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U.S. BANK TRUST COMPANY, NATIONAL ASSOCIATION, a national banking association, as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dated as of November 8, 2012 (as heretofore supplemented or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from time to time of one or more series of Securities (as defined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Article IX of the Indenture provides for various matters with respect to any series of Securities issued under the Indenture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in an indenture supplemental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WHEREAS, Section 9.1(7) of the Indenture provides that the Company and the Trustee may enter into an indenture supplemental to the Indenture to establish the form or terms of Securities of any series as permitted by Sections 2.1 and 3.1 of the Indenture; and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all the conditions and requirements necessary to make this Supplemental Indenture, when duly executed and delivered, a valid and binding agreement in accordance with its terms and for the purposes herein expressed have been performed and fulfilled.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For and in consideration of the premises and the issuance of the series of Securities provided for herein, the Company and the Trustee mutually covenant and agree for the equal and proportionate benefit of the respective Holders of the Securities of each such series as follows: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RELATION TO INDENTURE; DEFINITIONS; RULES OF CONSTRUCTION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i w:val="1"/>
          <w:iCs w:val="1"/>
          <w:color w:val="auto"/>
        </w:rPr>
        <w:t>Relation to Indenture</w:t>
      </w:r>
      <w:r>
        <w:rPr>
          <w:rFonts w:ascii="Times New Roman" w:cs="Times New Roman" w:eastAsia="Times New Roman" w:hAnsi="Times New Roman"/>
          <w:sz w:val="18"/>
          <w:szCs w:val="18"/>
          <w:color w:val="auto"/>
        </w:rPr>
        <w:t>.  This Supplemental Indenture constitutes an integral part of the Indenture and capitalized terms defined in the Indenture that are used but not defined herein shall have the meanings assigned to such terms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all purposes of this Supplemental Indenture, the following terms shall have the respective meanings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2056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2066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w:t>
      </w:r>
      <w:r>
        <w:rPr>
          <w:rFonts w:ascii="Times New Roman" w:cs="Times New Roman" w:eastAsia="Times New Roman" w:hAnsi="Times New Roman"/>
          <w:sz w:val="18"/>
          <w:szCs w:val="18"/>
          <w:color w:val="auto"/>
        </w:rPr>
        <w:t>” means a certificated Note that does not include the Global Notes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means The Depository Trust Company, its nominees and their respective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Floating Rate Notes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Notes Legend</w:t>
      </w:r>
      <w:r>
        <w:rPr>
          <w:rFonts w:ascii="Times New Roman" w:cs="Times New Roman" w:eastAsia="Times New Roman" w:hAnsi="Times New Roman"/>
          <w:sz w:val="18"/>
          <w:szCs w:val="18"/>
          <w:color w:val="auto"/>
        </w:rPr>
        <w:t>” means the legend set forth in Exhibits A1 through A7 to this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Floating Rate Notes, the 2028 Notes, the 2031 Notes, the 2033 Notes, the 2036 Notes, the 2056 Notes and the 2066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Custodian</w:t>
      </w:r>
      <w:r>
        <w:rPr>
          <w:rFonts w:ascii="Times New Roman" w:cs="Times New Roman" w:eastAsia="Times New Roman" w:hAnsi="Times New Roman"/>
          <w:sz w:val="18"/>
          <w:szCs w:val="18"/>
          <w:color w:val="auto"/>
        </w:rPr>
        <w:t>” means the custodian with respect to a Global Note (as appointed by the Depository) or any successor person thereto, who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initially be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means members of, or participants in,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i w:val="1"/>
          <w:iCs w:val="1"/>
          <w:color w:val="auto"/>
        </w:rPr>
        <w:t>Amendment to Section 4.1 of the Indenture</w:t>
      </w:r>
      <w:r>
        <w:rPr>
          <w:rFonts w:ascii="Times New Roman" w:cs="Times New Roman" w:eastAsia="Times New Roman" w:hAnsi="Times New Roman"/>
          <w:sz w:val="18"/>
          <w:szCs w:val="18"/>
          <w:color w:val="auto"/>
        </w:rPr>
        <w:t>.  Solely as it relates to the Notes, Section 4.1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replacing subsection (1)(B)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Securities of such series not theretofore delivered to the Trustee for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have become due and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if redeemable at the Company’s option, are to be called for redemption within one year under arrangements satisfactory to the Trustee for the giving of notice of redemption by the Trustee in the name, and at the expense,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and the Company, in the case of clause (i), (ii) or (iii) above, has irrevocably deposited or caused to be deposited with the Trustee funds in an amount sufficient to pay and discharge the entire indebtedness on the Securities of such series not theretofore delivered to the Trustee for cancellation, for principal of, premium, if any, and interest on the Securities of such series to the date of such deposit (in the case of Securities which have become due and payable), or to their Stated Maturity or the Redemption Date, as the case may be, together with irrevocable instructions from the Company directing the Trustee to apply such funds to the payment thereof at Stated Maturity or the Redemption Date, as the case may be; provided that in connection with (x) any discharge relating to any redemption that requires the payment of a premium or (y) any discharge if, on the date of deposit or, if earlier, notice of redemption, as applicable, interest payable to, but excluding, such Stated Maturity or Redemption Date cannot be calculated, the amount deposited shall be sufficient for purposes of the Indenture to the extent that an amount is deposited with the Trustee equal to the interest, or premium, respectively, calculated as of the date of deposit or, if earlier, notice of redemption, with the amount of any deficit as of such Stated Maturity or Redemption Date only required to be deposited with the Trustee on or prior to such Stated Maturity Redemption Date; provided, further, that the amount of any such deficit shall be set forth in an Officers’ Certificate, delivered to the Trustee simultaneously with the amount of such deficit, confirming that such amount shall be applied to the interest, premium or other amounts payable at such Stated Maturity or on such Redemption Date, as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i w:val="1"/>
          <w:iCs w:val="1"/>
          <w:color w:val="auto"/>
        </w:rPr>
        <w:t>Amendment to Section 5.1 to the Indenture</w:t>
      </w:r>
      <w:r>
        <w:rPr>
          <w:rFonts w:ascii="Times New Roman" w:cs="Times New Roman" w:eastAsia="Times New Roman" w:hAnsi="Times New Roman"/>
          <w:sz w:val="18"/>
          <w:szCs w:val="18"/>
          <w:color w:val="auto"/>
        </w:rPr>
        <w:t>. Solely as it relates to the Notes, Section 5.1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replacing subsection (4)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 giving of written notice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(provided that such notice may not be given with respect to any action taken, and reported publicly or to Holders of the Securities more than two years prior to such notice);”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adding the following paragraph at the end of Section 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“Any time period in this Indenture to cure any actual or alleged default or Event of Default may be extended or stayed by a court of competent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i w:val="1"/>
          <w:iCs w:val="1"/>
          <w:color w:val="auto"/>
        </w:rPr>
        <w:t>Amendment to Section 11.2 of the Indenture</w:t>
      </w:r>
      <w:r>
        <w:rPr>
          <w:rFonts w:ascii="Times New Roman" w:cs="Times New Roman" w:eastAsia="Times New Roman" w:hAnsi="Times New Roman"/>
          <w:sz w:val="18"/>
          <w:szCs w:val="18"/>
          <w:color w:val="auto"/>
        </w:rPr>
        <w:t>.  Solely as it relates to the Notes, Section 11.2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replacing “45 days” with “15 days”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i w:val="1"/>
          <w:iCs w:val="1"/>
          <w:color w:val="auto"/>
        </w:rPr>
        <w:t>Amendment to Section 11.3 of the Indenture</w:t>
      </w:r>
      <w:r>
        <w:rPr>
          <w:rFonts w:ascii="Times New Roman" w:cs="Times New Roman" w:eastAsia="Times New Roman" w:hAnsi="Times New Roman"/>
          <w:sz w:val="18"/>
          <w:szCs w:val="18"/>
          <w:color w:val="auto"/>
        </w:rPr>
        <w:t>. Solely as it relates to the Notes, Section 11.3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replacing “45 days” with “15 days” therein, in each instance thereof, and (b) replacing “by random lot” with “pro rata, by lot or by such other method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in its sole discretion deems appropriate and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i w:val="1"/>
          <w:iCs w:val="1"/>
          <w:color w:val="auto"/>
        </w:rPr>
        <w:t>Amendment to Section 11.4 of the Indenture</w:t>
      </w:r>
      <w:r>
        <w:rPr>
          <w:rFonts w:ascii="Times New Roman" w:cs="Times New Roman" w:eastAsia="Times New Roman" w:hAnsi="Times New Roman"/>
          <w:sz w:val="18"/>
          <w:szCs w:val="18"/>
          <w:color w:val="auto"/>
        </w:rPr>
        <w:t>. Solely as it relates to the Notes, Section 11.4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replacing the first sentence therein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color w:val="auto"/>
        </w:rPr>
        <w:t>“Notice of redemption shall be given electronically or by first-class mail, postage prepaid to each Holder of Securities to be redeemed, at his or her address appearing in the Security Register, or otherwise in accordance with the applicable procedures of The Depository Trust Company, sent or mailed not less than 10 nor more than 60 days prior to the Redemption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adding the following sentence to the end of Section 11.4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8"/>
          <w:szCs w:val="18"/>
          <w:color w:val="auto"/>
        </w:rPr>
        <w:t>“Any redemption or notice of redemption may, at the Company’s discretion, be subject to one or more conditions precedent, and, at the Company’s discretion, the redemption date may be delayed until such time as any or all such conditions shall be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i w:val="1"/>
          <w:iCs w:val="1"/>
          <w:color w:val="auto"/>
        </w:rPr>
        <w:t>Amendment to Section 13.4 of the Indenture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Solely as it relates to the Notes, Section 13.4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replacing subsections (5) and (6)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13.2,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beneficial owners of the Outstanding Securities of such series will not recognize income, gain or loss for Federal income tax purposes as a result of such defeasance and will be subject to Federal income tax in the same manner as would have been the case if such defeasance had not occurred.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13.3, the Company shall have delivered to the Trustee an Opinion of Counsel to the effect that the beneficial owners of the Outstanding Securities of such series will not recognize income, gain or loss for Federal income tax purposes as a result of such covenant defeasance and will be subject to Federal income tax in the same manner as would have been the case if such covenant defeasance had not occurred.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For all purposes of this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specified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all references herein to Articles and Sections, unless otherwise specified, refer to the corresponding Articles and Sections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terms “herein,” “hereof,” “hereunder” and other words of similar import refer to this Supplemental Indenture;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in the event of a conflict with the definition of terms in the Indenture, the definitions in this Supplemental Indenture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i w:val="1"/>
          <w:iCs w:val="1"/>
          <w:color w:val="auto"/>
        </w:rPr>
        <w:t>Title of the Notes</w:t>
      </w:r>
      <w:r>
        <w:rPr>
          <w:rFonts w:ascii="Times New Roman" w:cs="Times New Roman" w:eastAsia="Times New Roman" w:hAnsi="Times New Roman"/>
          <w:sz w:val="18"/>
          <w:szCs w:val="18"/>
          <w:color w:val="auto"/>
        </w:rPr>
        <w:t>.  There shall be (i) a series of Securities designated the Senior Floating Rate Notes due 2028 (the “</w:t>
      </w:r>
      <w:r>
        <w:rPr>
          <w:rFonts w:ascii="Times New Roman" w:cs="Times New Roman" w:eastAsia="Times New Roman" w:hAnsi="Times New Roman"/>
          <w:sz w:val="18"/>
          <w:szCs w:val="18"/>
          <w:b w:val="1"/>
          <w:bCs w:val="1"/>
          <w:color w:val="auto"/>
        </w:rPr>
        <w:t>Floating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(ii) a series of Securities designated the 3.775% Senior Notes due 2028 (“</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(iii) a series of Securities designated the 4.125%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due 2031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(iv) a series of Securities designated the 4.400% Senior Notes due 2033 (the “</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(v) a series of Securities designated the 4.750% Senior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(vi) a series of Securities designated the 5.550% Senior Notes due 2056 (the “</w:t>
      </w:r>
      <w:r>
        <w:rPr>
          <w:rFonts w:ascii="Times New Roman" w:cs="Times New Roman" w:eastAsia="Times New Roman" w:hAnsi="Times New Roman"/>
          <w:sz w:val="18"/>
          <w:szCs w:val="18"/>
          <w:b w:val="1"/>
          <w:bCs w:val="1"/>
          <w:color w:val="auto"/>
        </w:rPr>
        <w:t>2056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(vii) a series of Securities designated the 5.650% Senior Notes due 2066 (the “</w:t>
      </w:r>
      <w:r>
        <w:rPr>
          <w:rFonts w:ascii="Times New Roman" w:cs="Times New Roman" w:eastAsia="Times New Roman" w:hAnsi="Times New Roman"/>
          <w:sz w:val="18"/>
          <w:szCs w:val="18"/>
          <w:b w:val="1"/>
          <w:bCs w:val="1"/>
          <w:color w:val="auto"/>
        </w:rPr>
        <w:t>2066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i w:val="1"/>
          <w:iCs w:val="1"/>
          <w:color w:val="auto"/>
        </w:rPr>
        <w:t>Initial Principal Amount</w:t>
      </w:r>
      <w:r>
        <w:rPr>
          <w:rFonts w:ascii="Times New Roman" w:cs="Times New Roman" w:eastAsia="Times New Roman" w:hAnsi="Times New Roman"/>
          <w:sz w:val="18"/>
          <w:szCs w:val="18"/>
          <w:color w:val="auto"/>
        </w:rPr>
        <w:t>.  The 2028 Floating Rate Notes will be initially issued in an aggregate principal amount of $750,000,000, the 2028 Notes will be initially issued in an aggregate principal amount of $1,500,000,000, the 2031 Notes will be initially issued in an aggregate principal amount of $1,250,000,000, the 2033 Notes will be initially issued in an aggregate principal amount of $1,250,000,000, the 2036 Notes will be initially issued in an aggregate principal amount of $1,500,000,000, the 2056 Notes will be initially issued in an aggregate principal amount of $1,250,000,000 and the 2066 Notes will be initially issued in an aggregate principal amount of $500,000,000.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shall be substantially in the forms set forth in the corresponding Exhibits A1-A7 hereto. The Notes may have notations, legends or endorsements required by law, stock exchange rule or usage. Each Note shall be dated the date of its authentication. The Notes shall be in denominations of $2,000 and integral multiples of $1,000 in excess thereof. The Notes of each series and any additional Notes of such series subsequently issued under the Indenture will be treated as a single series or class for all purposes under the Indenture, including, without limitation, waivers, amendments and redemptions; provided that, if any such additional Notes are not fungible with the existing Notes for Federal income tax purposes, such additional Notes will have a separate CUSIP number.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this Supplemental Indenture,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Trustee, by their execution and delivery of this Supplemental Indenture, expressly agree to such terms and provisions and to be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However, to the extent any provision of any Note conflicts with the express provisions of this Supplemental Indenture,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shall govern and be controlling.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designates The Depository Trust Company as the initial Depository for the Global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The Notes will be issued initially in the form of one or more global notes (the “</w:t>
      </w:r>
      <w:r>
        <w:rPr>
          <w:rFonts w:ascii="Times New Roman" w:cs="Times New Roman" w:eastAsia="Times New Roman" w:hAnsi="Times New Roman"/>
          <w:sz w:val="17"/>
          <w:szCs w:val="17"/>
          <w:b w:val="1"/>
          <w:bCs w:val="1"/>
          <w:color w:val="auto"/>
        </w:rPr>
        <w:t>Global Notes</w:t>
      </w:r>
      <w:r>
        <w:rPr>
          <w:rFonts w:ascii="Times New Roman" w:cs="Times New Roman" w:eastAsia="Times New Roman" w:hAnsi="Times New Roman"/>
          <w:sz w:val="17"/>
          <w:szCs w:val="17"/>
          <w:color w:val="auto"/>
        </w:rPr>
        <w:t>”) in definitive, fully registered,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book-entry form. The Global Notes will be delivered to the Notes Custodian and registered in the name of the Depository or the nominee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The aggregate principal amount of the Global Notes may from time to time be increased or decreased by adjustments made on the records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and the Depository or its nominee as hereinafter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Book-Entry Provisions</w:t>
      </w:r>
      <w:r>
        <w:rPr>
          <w:rFonts w:ascii="Times New Roman" w:cs="Times New Roman" w:eastAsia="Times New Roman" w:hAnsi="Times New Roman"/>
          <w:sz w:val="18"/>
          <w:szCs w:val="18"/>
          <w:color w:val="auto"/>
        </w:rPr>
        <w:t>.  This Section 2.4(c) shall apply only to a Global Note deposited with or on behalf of the Depository. The Company shall execute and the Trustee shall, in accordance with this Section 2.4(c) and pursuant to an order of the Company, authenticate and deliver initially one or more Global Notes that (A) shall be registered in the name of the Depository for such Global Note or Global Notes or the nominee of such Depository and (B) shall be delivered by the Trustee to such Depository or pursuant to such Depository’s instructions or held by the Trustee as Notes Custodian.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i w:val="1"/>
          <w:iCs w:val="1"/>
          <w:color w:val="auto"/>
        </w:rPr>
        <w:t>Payments</w:t>
      </w:r>
      <w:r>
        <w:rPr>
          <w:rFonts w:ascii="Times New Roman" w:cs="Times New Roman" w:eastAsia="Times New Roman" w:hAnsi="Times New Roman"/>
          <w:sz w:val="17"/>
          <w:szCs w:val="17"/>
          <w:color w:val="auto"/>
        </w:rPr>
        <w:t>.  Payments in respect of the principal of, premium, if any, and interest on a Global Note registered in the name of the Depository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will be payable to the Depository in its capacity as the registered holder under the Indenture. Under the terms of the Indenture,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and any agent of the Company or the Trustee will treat the persons in whose names the Notes, including the Global Notes, are registered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the Notes for the purpose of receiving payments and for all other purposes, whether or not the Notes be overdue, and neither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nor any such agent shall be affected by notice to the contrary. Notwithstanding the foregoing, nothing herein shall prevent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any agent of the Company or the Trustee from giving effect to any written certification, proxy or other authorization furnished by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impair, as between the Depository and its Participants, the operation of customary practices of such Depository governing the exercise of the rights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a beneficial interest in any Global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Except as provided in Section 2.6, owners of a beneficial interest in the Global Notes will not have Notes registered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names, will not receive physical delivery of Definitive Notes and will not be considered the registered owners or “holders” thereof under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Transfer and Exchange of Definitive Notes</w:t>
      </w:r>
      <w:r>
        <w:rPr>
          <w:rFonts w:ascii="Times New Roman" w:cs="Times New Roman" w:eastAsia="Times New Roman" w:hAnsi="Times New Roman"/>
          <w:sz w:val="18"/>
          <w:szCs w:val="18"/>
          <w:color w:val="auto"/>
        </w:rPr>
        <w:t>.  When Definitive Notes are presented to the Security Registrar with a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register the transfer of such Definitive Notes;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to exchange such Definitive Notes for an equal principal amount of Definitive Notes of other authorized denominations, the Security Registrar shall register the transfer or make the exchange as requested if its reasonable requirements for such transaction are met; provided, however, that the Definitive Notes surrendered for transfer or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(A)            shall be duly endorsed or accompanied by a written instrument of transfer in form reasonably satisfactory to the Company and the Security Registrar, duly executed by the Holder thereof or his or her attorney duly authorized in writing;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are accompanied by the following additional information and documents,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(x)            if such Definitive Notes are being delivered to the Security Registrar by a Holder for registration in the name of such Holder, without transfer, a certification from such Holder to that effect (in the form set forth on the reverse side of the Note);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(y)            if such Definitive Notes are being transferred to the Company, a certification to that effect (in the form satisfactory to the Trustee).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 in a Global Note except upon satisfaction of the requirement set forth below. Upon receipt by the Trustee of a Definitive Note,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endorsed or accompanied by a written instrument of transfer in form reasonably satisfactory to the Company and the Security Registrar,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instructions directing the Trustee to make, or to direct the Notes Custodian to make, an adjustment on its books and records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to reflect an increase in the aggregate principal amount of the Notes represented by the Global Note, such instructions to contain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Depository account to be credited with such increase, then the Trustee shall cancel such Definitive Note and cause, or direct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to cause, in accordance with the standing instructions and procedures existing between the Depository and the Notes Custodian,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represented by the Global Note to be increased by the aggregate principal amount of the Definitive Note to be exchanged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credit or cause to be credited to the account of the Person specified in such instructions a beneficial interest in the Global Note equal to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Definitive Note so canceled. If no Global Notes are then outstanding and the Global Note has not been previously exchanged for certificated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pursuant to Section 2.6, the Company shall issue and the Trustee shall authenticate, upon receipt of a Company Order, a new Global Note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transfer and exchange of Global Notes or beneficial interests therein shall be effected through the Depository, in accordance with this Supplemental Indenture (including applicable restrictions on transfer set forth herein, if any) and the procedures of the Depository therefor. A transferor of a beneficial interest in a Global Note shall deliver a written order given in accordance with the Depository’s procedures containing information regarding the Participant account of the Depository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Notwithstanding any other provisions of this Supplemental Indenture (other than the provisions set forth in Section 2.6),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Cancellation or Adjustment of Global Note</w:t>
      </w:r>
      <w:r>
        <w:rPr>
          <w:rFonts w:ascii="Times New Roman" w:cs="Times New Roman" w:eastAsia="Times New Roman" w:hAnsi="Times New Roman"/>
          <w:sz w:val="18"/>
          <w:szCs w:val="18"/>
          <w:color w:val="auto"/>
        </w:rPr>
        <w:t>. At such time as all beneficial interests in a Global Note have either been exchanged for Definitive Notes, transferred, redeemed, repurchased or canceled, such Global Note shall be returned by the Depository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Obligations with Respect to Transfers and Exchanges of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To permit registrations of transfers and exchanges, the Company shall execute and the Trustee shall authenticate, Definitive Notes and Global Notes at the Security Registrar’s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Prior to the due presentation for registration of transfer of any Note, the Company, the Trustee, the Paying Agent or the Security Registrar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deem and treat the person in whose name a Note is registered as the absolute owner of such Note for the purpose of receiving payment of principal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interest on such Note and for all other purposes whatsoever, whether or not such Note is overdue, and none of the Company, the Trustee, the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the Security Registrar shall be affected by notice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            The Company hereby appoints the Trustee as Security Registrar for the Notes. Neither the Company nor the Security Registrar shall be required to register the transfer of or exchange Notes of any series (i) during a period beginning at the opening of business 15 days before the day of the mailing of a notice of redemption of Notes of that series selected for redemption under Section 11.3 of the Indenture and ending at the close of business on the day of such mailing, or (ii) so selected for redemption in whole or in part, except the unredeemed portion of any Note being redeemed in part.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(j)            All Notes issued upon any transfer or exchange pursuant to the terms of this Supplemental Indenture shall evidence the same Debt and shall be entitled to the same benefits under the Indenture as the Notes surrendered upon such transfer or exchange.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No Obligation of the Trustee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Trustee shall have no responsibility or obligation to any beneficial owner of a Global Note, any Participant in the Depository or any other Person with respect to the accuracy of the records of the Depository or its nominee or of any Participant thereof, with respect to any ownership interest in the Notes or with respect to the delivery to any Participant, beneficial owner or other Person (other than the Depository)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Participants and any beneficial owners.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The Trustee shall have no obligation or duty to monitor, determine or inquire as to compliance with any restrictions on transfer imposed under this Supplemental Indenture or under applicable law with respect to any transfer of any interest in any Note (including any transfers between or among Participants or beneficial owners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A Global Note deposited with the Depository or with the Trustee as Notes Custodian pursuant to Section 2.4 shall be transferred to the beneficial owners thereof in the form of Definitive Notes in an aggregate principal amount equal to the principal amount of such Global Note, in exchange for such Global Note, only if such transfer complies with Section 2.5 and (i) the Depository (A) notifies the Company that the Depository is no longer willing or able to act as a depositary or clearing system for the Notes or (B) ceases to be a “clearing agency” registered under the Securities Exchange Act of 1934, as amended, and in either event, a successor depositary or clearing system is not appointed by the Company within 90 days of such notice or cessation, (ii) upon the occurrence and continuation of an Event of Default and the Depository notifies the Trustee of its decision to exchange the Global Note for Definitive Notes, or (iii) the Company determines not to have the Notes represented by a Global Note.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Any Global Note that is transferable to the beneficial owners thereof pursuant to this Section 2.6 shall be surrendered by the Depository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to be so transferred, in whole or from time to time in part, without charge, and upon Company Order the Trustee shall authenticate and deliver,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such transfer of each portion of such Global Note, an equal aggregate principal amount of Definitive Notes of authorized denominations. Any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Global Note transferred pursuant to this Section 2.6 shall be executed, authenticated and delivered only in denominations of $2,000 of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integral multiple of $1,000 in excess thereof and registered in such names as requested by or on behalf of the Depository (in accordance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The registered Holder of a Global Note may grant proxies and otherwise authorize any Person, including Participants and Persons that may hold interests through Participants, to take any action which a Holder is entitled to take under the Indenture or the Notes.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(d)            In the event of the occurrence of any of the events specified in Section 2.6(a)(i), (ii) or (iii), the Company will promptly make available to the Trustee a reasonable supply of Definitive Notes in fully registered form without interest coupons.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i w:val="1"/>
          <w:iCs w:val="1"/>
          <w:color w:val="auto"/>
        </w:rPr>
        <w:t>Ratification</w:t>
      </w:r>
      <w:r>
        <w:rPr>
          <w:rFonts w:ascii="Times New Roman" w:cs="Times New Roman" w:eastAsia="Times New Roman" w:hAnsi="Times New Roman"/>
          <w:sz w:val="17"/>
          <w:szCs w:val="17"/>
          <w:color w:val="auto"/>
        </w:rPr>
        <w:t>.  The Indenture, as supplemented and amended by this Supplemental Indenture, is in all respects hereby adopted, ratified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(e.g., www.docusign.com) shall constitute effective execution and delivery of this Supplemental Indenture as to the other parties hereto shall be deemed to be their original signatures for all purposes.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words “execution,” “signed,” “signature,” and words of like import in this Supplemental Indenture and (solely as it relates to the Notes)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shall be deemed to include electronic signatures or electronic records, each of which shall be of the same legal effect, validity or enforceability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manually executed signature or the use of a paper-based recordkeeping system, as the case may be, to the extent and as provided for in any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including the Federal Electronic Signatures in Global and National Commerce Act, the New York State Electronic Signatures and Records Act,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similar state laws based on the Uniform Electronic Transactions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 in each case, except to the extent arising from the negligence or bad faith of the Trustee.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EACH NOTE SHALL BE GOVERNED BY AND CONSTRUED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i w:val="1"/>
          <w:iCs w:val="1"/>
          <w:color w:val="auto"/>
        </w:rPr>
        <w:t>Conflict with Trust Indenture Act</w:t>
      </w:r>
      <w:r>
        <w:rPr>
          <w:rFonts w:ascii="Times New Roman" w:cs="Times New Roman" w:eastAsia="Times New Roman" w:hAnsi="Times New Roman"/>
          <w:sz w:val="18"/>
          <w:szCs w:val="18"/>
          <w:color w:val="auto"/>
        </w:rPr>
        <w:t>.  If any provision hereof limits, qualifies or conflicts with a provision of the Trust Indenture Act that is required under the Trust Indenture Act to be a part of and govern this Supplemental Indenture, the latter provision shall control. If any provision of this Supplemental Indenture modifies or excludes any provision of the Trust Indenture Act that may be so modified or excluded, the latter provision shall be deemed to apply to this Supplemental Indenture as so modified or to be excluded, as the case may be.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i w:val="1"/>
          <w:iCs w:val="1"/>
          <w:color w:val="auto"/>
        </w:rPr>
        <w:t>The Trustee</w:t>
      </w:r>
      <w:r>
        <w:rPr>
          <w:rFonts w:ascii="Times New Roman" w:cs="Times New Roman" w:eastAsia="Times New Roman" w:hAnsi="Times New Roman"/>
          <w:sz w:val="18"/>
          <w:szCs w:val="18"/>
          <w:color w:val="auto"/>
        </w:rPr>
        <w:t>.  The recitals contained herein and in the Securities, except the Trustee’s certificates of authentication, shall be taken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statements of the Company, and the Trustee assumes no responsibility for their correctness.  The Trustee makes no representations as to the validity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sufficiency of this Supplemental Indenture or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day and year first above</w:t>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37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Scott T. Reents</w:t>
            </w: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33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Linda Garcia</w:t>
            </w:r>
          </w:p>
        </w:tc>
        <w:tc>
          <w:tcPr>
            <w:tcW w:w="0" w:type="dxa"/>
            <w:vAlign w:val="bottom"/>
          </w:tcPr>
          <w:p>
            <w:pPr>
              <w:spacing w:after="0"/>
              <w:rPr>
                <w:sz w:val="1"/>
                <w:szCs w:val="1"/>
                <w:color w:val="auto"/>
              </w:rPr>
            </w:pPr>
          </w:p>
        </w:tc>
      </w:tr>
      <w:tr>
        <w:trPr>
          <w:trHeight w:val="191"/>
        </w:trPr>
        <w:tc>
          <w:tcPr>
            <w:tcW w:w="2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35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Linda Garcia</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3"/>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Pr>
          <w:p>
            <w:pPr>
              <w:spacing w:after="0"/>
              <w:rPr>
                <w:sz w:val="16"/>
                <w:szCs w:val="16"/>
                <w:color w:val="auto"/>
              </w:rPr>
            </w:pPr>
          </w:p>
        </w:tc>
        <w:tc>
          <w:tcPr>
            <w:tcW w:w="6120" w:type="dxa"/>
            <w:vAlign w:val="bottom"/>
            <w:gridSpan w:val="2"/>
          </w:tcPr>
          <w:p>
            <w:pPr>
              <w:jc w:val="center"/>
              <w:ind w:right="5030"/>
              <w:spacing w:after="0" w:line="193" w:lineRule="exact"/>
              <w:rPr>
                <w:sz w:val="20"/>
                <w:szCs w:val="20"/>
                <w:color w:val="auto"/>
              </w:rPr>
            </w:pPr>
            <w:r>
              <w:rPr>
                <w:rFonts w:ascii="Times New Roman" w:cs="Times New Roman" w:eastAsia="Times New Roman" w:hAnsi="Times New Roman"/>
                <w:sz w:val="18"/>
                <w:szCs w:val="18"/>
                <w:b w:val="1"/>
                <w:bCs w:val="1"/>
                <w:color w:val="auto"/>
                <w:w w:val="97"/>
              </w:rPr>
              <w:t>EXHIBIT A1</w:t>
            </w: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8320" w:type="dxa"/>
            <w:vAlign w:val="bottom"/>
            <w:gridSpan w:val="3"/>
            <w:vMerge w:val="restart"/>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8320" w:type="dxa"/>
            <w:vAlign w:val="bottom"/>
            <w:gridSpan w:val="3"/>
            <w:vMerge w:val="restart"/>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w w:val="99"/>
              </w:rPr>
              <w:t>[Form of ]Senior Floating Rate Notes due 2028</w:t>
            </w:r>
          </w:p>
        </w:tc>
        <w:tc>
          <w:tcPr>
            <w:tcW w:w="0" w:type="dxa"/>
            <w:vAlign w:val="bottom"/>
          </w:tcPr>
          <w:p>
            <w:pPr>
              <w:spacing w:after="0"/>
              <w:rPr>
                <w:sz w:val="1"/>
                <w:szCs w:val="1"/>
                <w:color w:val="auto"/>
              </w:rPr>
            </w:pPr>
          </w:p>
        </w:tc>
      </w:tr>
      <w:tr>
        <w:trPr>
          <w:trHeight w:val="216"/>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2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84"/>
              </w:rPr>
              <w:t>     $[●]</w:t>
            </w:r>
          </w:p>
        </w:tc>
        <w:tc>
          <w:tcPr>
            <w:tcW w:w="0" w:type="dxa"/>
            <w:vAlign w:val="bottom"/>
          </w:tcPr>
          <w:p>
            <w:pPr>
              <w:spacing w:after="0"/>
              <w:rPr>
                <w:sz w:val="1"/>
                <w:szCs w:val="1"/>
                <w:color w:val="auto"/>
              </w:rPr>
            </w:pPr>
          </w:p>
        </w:tc>
      </w:tr>
      <w:tr>
        <w:trPr>
          <w:trHeight w:val="21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EC9</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US00287YEC93</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Person under the Indenture and Supplemental Indenture hereinafter referred to), for value received, hereby promises to pay to Cede &amp; Co.,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for The Depository Trust Company, or registered assigns, the principal sum of [●] Dollars ($[●]), or such other principal sum as may be indicated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Schedule of Exchanges attached hereto, on March 3, 2028 and to pay interest thereon from March 4, 2026 or from the most recent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which interest has been paid or duly provided for, quarterly in arrears on March 3, June 3, September 3 and December 3 in each year, commencing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 at a floating rate equal to a benchmark rate, which will initially be Compounded SOFR (as defined below), plus a spread of 0.480%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computed on the basis of the actual number of days in an interest period and a 360-day year, until the principal hereof is paid or made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will bear interest for each interest period at a rate determined by the Calculation Agent (as defined below),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The calculation agent will be U.S. Bank Trust Company, National Association until such time as the Company appoints a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The interest rate on the Securities of this series for a particular interest period (as defined below) will be a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rate equal to a benchmark rate, which will initially be Compounded SOFR, determined as described below, plus a spread of 0.480% per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spread</w:t>
      </w:r>
      <w:r>
        <w:rPr>
          <w:rFonts w:ascii="Times New Roman" w:cs="Times New Roman" w:eastAsia="Times New Roman" w:hAnsi="Times New Roman"/>
          <w:sz w:val="18"/>
          <w:szCs w:val="18"/>
          <w:color w:val="auto"/>
        </w:rPr>
        <w:t>”), computed on the basis of the actual number of days in an interest period and a 360-day year. In no event will the interest rate on the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series be (i) higher than the maximum rate permitted by New York law as the same may be modified by U.S. law of general application or (ii)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zero. The interest determination date for an interest period will be the date that is two (2) U.S. Government Securities Business Days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before the applicable Interest Payment Date. Promptly upon determination, the Calculation Agent will inform the Trustee and the Company,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circumstances described below, the Company or its designee (which may be an independent financial advisor or such other designee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of such entities,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will inform the Trustee, in writing of the interest rate for such interest period. Absent manifest error,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the interest rate by the Calculation Agent, or in certain circumstances described below, by the Company or its Designee, shall be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conclusive on the Holders of the Securities, the Trustee and the Company. For the avoidance of doubt, in no event shall the Calculation Agent,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Paying Agent be the Designee.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None of the Trustee, the Paying Agent or the Calculation Agent shall be under any obligation (i) to monitor, determine or verify the unavailability or cessation of Compounded SOFR (or any other benchmark), or whether or when there has occurred, or to give notice to any other transaction party of the occurrence of, any Benchmark Transition Event (as defined below) or related Benchmark Replacement Date (as defined below), (ii) to select, determine or designate any Benchmark Replacement (as defined below), or other successor or replacement benchmark index, or whether any conditions to the designation of such a rate or index have been satisfied, (iii) to select, determine or designate any Benchmark Replacement Adjustment (as defined below), or other modifier to any replacement or successor index, or (iv) to determine whether or what Benchmark Replacement Conforming Changes (as defined below)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Paying Agent and Calculation Agent shall be entitled to conclusively rely on any determinations made by the Company or its Designee without independent investigation, and none will have any liability for actions taken at the direction of the Company.  </w:t>
      </w:r>
    </w:p>
    <w:p>
      <w:pPr>
        <w:spacing w:after="0" w:line="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determination, decision or election that may be made by the Company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the Company’s or its Designee’s sole discretion and, notwithstanding anything to the contrary in this Security or the Indenture, will become effective without consent from any other party. None of the Trustee, the Calculation Agent or the Paying Agent will have any responsibility or liability for any determination made by or on behalf of the Company or its Designee in connection with a Benchmark Transition Event or a Benchmark Replacement.  </w:t>
      </w:r>
    </w:p>
    <w:p>
      <w:pPr>
        <w:spacing w:after="0" w:line="2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None of the Trustee, the Paying Agent or the Calculation Agent shall be responsible or liable for any inability, failure or delay on its part to perform any of its duties set forth in this Security as a result of the unavailability of Compounded SOFR or other applicable Benchmark Replacement, including as a result of any failure, inability, delay, error or inaccuracy on the part of any other transaction party in providing any direction, instruction, notice or information required or contemplated by the terms of this Security and reasonably required for the performance of such duties. None of the Trustee, Paying Agent or Calculation Agent shall be responsible or liable for the Company’s actions or omissions or for those of its Designee, or for any failure or delay in the performance by the Company or its Designee, nor shall any of the Trustee, Paying Agent or Calculation Agent be under any obligation to oversee or monitor the Company’s performance or that of the Designee.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with respect to the Securities of this series, means (i) the period from, and including, the most recent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for such Securities (or, with respect to the initial interest period only, from and including March 4, 2026) to, but excluding, the next succeeding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 for such Securities or (ii) in the case of the last such period, from, and including, the Interest Payment Date for such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maturity date to, but excluding,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Compounded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interest rate on the Securities of this series for each interest period will be equal to Compounded SOFR plus the spread. “</w:t>
      </w:r>
      <w:r>
        <w:rPr>
          <w:rFonts w:ascii="Times New Roman" w:cs="Times New Roman" w:eastAsia="Times New Roman" w:hAnsi="Times New Roman"/>
          <w:sz w:val="18"/>
          <w:szCs w:val="18"/>
          <w:u w:val="single" w:color="auto"/>
          <w:color w:val="auto"/>
        </w:rPr>
        <w:t>Compounded SOFR</w:t>
      </w:r>
      <w:r>
        <w:rPr>
          <w:rFonts w:ascii="Times New Roman" w:cs="Times New Roman" w:eastAsia="Times New Roman" w:hAnsi="Times New Roman"/>
          <w:sz w:val="18"/>
          <w:szCs w:val="18"/>
          <w:color w:val="auto"/>
        </w:rPr>
        <w:t xml:space="preserve">” will be determined by the Calculation Agent in accordance with the following formula (and the resulting percentage will be rounded, if necessary, to the nearest one hundred-thousandth of a percentage point,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3.753973% (or .03753973) being rounded down to 3.75397% (or .0375397) and 3.753978% (or .03753978) being rounded up to 3.75398% (or .0375398)):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5715</wp:posOffset>
            </wp:positionV>
            <wp:extent cx="199707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997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1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SOFR Index</w:t>
      </w:r>
      <w:r>
        <w:rPr>
          <w:rFonts w:ascii="Times New Roman" w:cs="Times New Roman" w:eastAsia="Times New Roman" w:hAnsi="Times New Roman"/>
          <w:sz w:val="29"/>
          <w:szCs w:val="29"/>
          <w:i w:val="1"/>
          <w:iCs w:val="1"/>
          <w:u w:val="single" w:color="auto"/>
          <w:color w:val="auto"/>
          <w:vertAlign w:val="subscript"/>
        </w:rPr>
        <w:t>Start</w:t>
      </w:r>
      <w:r>
        <w:rPr>
          <w:rFonts w:ascii="Times New Roman" w:cs="Times New Roman" w:eastAsia="Times New Roman" w:hAnsi="Times New Roman"/>
          <w:sz w:val="18"/>
          <w:szCs w:val="18"/>
          <w:color w:val="auto"/>
        </w:rPr>
        <w:t>” is the SOFR Index value for the day which is two (2) U.S. Government Securities Business Days preceding the first date of the relevant interest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1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SOFR Index</w:t>
      </w:r>
      <w:r>
        <w:rPr>
          <w:rFonts w:ascii="Times New Roman" w:cs="Times New Roman" w:eastAsia="Times New Roman" w:hAnsi="Times New Roman"/>
          <w:sz w:val="29"/>
          <w:szCs w:val="29"/>
          <w:i w:val="1"/>
          <w:iCs w:val="1"/>
          <w:u w:val="single" w:color="auto"/>
          <w:color w:val="auto"/>
          <w:vertAlign w:val="subscript"/>
        </w:rPr>
        <w:t>End</w:t>
      </w:r>
      <w:r>
        <w:rPr>
          <w:rFonts w:ascii="Times New Roman" w:cs="Times New Roman" w:eastAsia="Times New Roman" w:hAnsi="Times New Roman"/>
          <w:sz w:val="18"/>
          <w:szCs w:val="18"/>
          <w:color w:val="auto"/>
        </w:rPr>
        <w:t>” is the SOFR Index value for the day which is two (2) U.S. Government Securities Business Days preceding the Interest Payment Date relating to such interest period;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660"/>
        <w:spacing w:after="0" w:line="18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d</w:t>
      </w:r>
      <w:r>
        <w:rPr>
          <w:rFonts w:ascii="Times New Roman" w:cs="Times New Roman" w:eastAsia="Times New Roman" w:hAnsi="Times New Roman"/>
          <w:sz w:val="27"/>
          <w:szCs w:val="27"/>
          <w:i w:val="1"/>
          <w:iCs w:val="1"/>
          <w:u w:val="single" w:color="auto"/>
          <w:color w:val="auto"/>
          <w:vertAlign w:val="subscript"/>
        </w:rPr>
        <w:t>c</w:t>
      </w:r>
      <w:r>
        <w:rPr>
          <w:rFonts w:ascii="Times New Roman" w:cs="Times New Roman" w:eastAsia="Times New Roman" w:hAnsi="Times New Roman"/>
          <w:sz w:val="17"/>
          <w:szCs w:val="17"/>
          <w:color w:val="auto"/>
        </w:rPr>
        <w:t>” is the number of calendar days in the applicable Observation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determining Compounded SOFR, “</w:t>
      </w:r>
      <w:r>
        <w:rPr>
          <w:rFonts w:ascii="Times New Roman" w:cs="Times New Roman" w:eastAsia="Times New Roman" w:hAnsi="Times New Roman"/>
          <w:sz w:val="18"/>
          <w:szCs w:val="18"/>
          <w:u w:val="single" w:color="auto"/>
          <w:color w:val="auto"/>
        </w:rPr>
        <w:t>SOFR Index</w:t>
      </w:r>
      <w:r>
        <w:rPr>
          <w:rFonts w:ascii="Times New Roman" w:cs="Times New Roman" w:eastAsia="Times New Roman" w:hAnsi="Times New Roman"/>
          <w:sz w:val="18"/>
          <w:szCs w:val="18"/>
          <w:color w:val="auto"/>
        </w:rPr>
        <w:t>” means, with respect to any U.S. Government Securities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right="20" w:hanging="324"/>
        <w:spacing w:after="0" w:line="265" w:lineRule="auto"/>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SOFR Index published for such U.S. Government Securities Business Day as such value appears on the Federal Reserve Bank of New York’s Website at 3:00 p.m. (New York time) on such U.S. Government Securities Business Day (the “</w:t>
      </w:r>
      <w:r>
        <w:rPr>
          <w:rFonts w:ascii="Times New Roman" w:cs="Times New Roman" w:eastAsia="Times New Roman" w:hAnsi="Times New Roman"/>
          <w:sz w:val="17"/>
          <w:szCs w:val="17"/>
          <w:u w:val="single" w:color="auto"/>
          <w:color w:val="auto"/>
        </w:rPr>
        <w:t>SOFR Index Determination Time</w:t>
      </w:r>
      <w:r>
        <w:rPr>
          <w:rFonts w:ascii="Times New Roman" w:cs="Times New Roman" w:eastAsia="Times New Roman" w:hAnsi="Times New Roman"/>
          <w:sz w:val="17"/>
          <w:szCs w:val="17"/>
          <w:color w:val="auto"/>
        </w:rPr>
        <w:t>”); or</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Determination Date</w:t>
      </w:r>
      <w:r>
        <w:rPr>
          <w:rFonts w:ascii="Times New Roman" w:cs="Times New Roman" w:eastAsia="Times New Roman" w:hAnsi="Times New Roman"/>
          <w:sz w:val="18"/>
          <w:szCs w:val="18"/>
          <w:color w:val="auto"/>
        </w:rPr>
        <w:t>” is the date that is two (2) U.S. Government Securities Business Days before each Interest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Observation Period</w:t>
      </w:r>
      <w:r>
        <w:rPr>
          <w:rFonts w:ascii="Times New Roman" w:cs="Times New Roman" w:eastAsia="Times New Roman" w:hAnsi="Times New Roman"/>
          <w:sz w:val="18"/>
          <w:szCs w:val="18"/>
          <w:color w:val="auto"/>
        </w:rPr>
        <w:t>” is, in respect of each interest period for the Securities, the period from, and including, the date that is two (2)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Business Days preceding the first date in such interest period to, but excluding, the Interest Payment Determination Date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is any day except for a Saturday, a Sunday or a day on which the Securities Industry and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Association recommends that the fixed income departments of its members be closed for the entire day for purposes of trading in U.S.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the calculation of Compounded SOFR shall exclude the spread of 0.480% per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this Security or the Indenture if the Company or its Designee determines on or prior to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Time (as defined herein) that a Benchmark Transition Event and its related Benchmark Replacement Date have occurred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Compounded SOFR, then the benchmark replacement provisions set forth herein will thereafter apply to all determinations of the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payable on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in accordance with the benchmark replacement provisions, after a Benchmark Transition Event and its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Date have occurred, the interest rate for each interest period on the Securities of this series will be an annual rate equal to the sum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Benchmark Replacement (as defined below) and the spread.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SOFR Index Unavailability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197" w:lineRule="auto"/>
        <w:rPr>
          <w:sz w:val="20"/>
          <w:szCs w:val="20"/>
          <w:color w:val="auto"/>
        </w:rPr>
      </w:pPr>
      <w:r>
        <w:rPr>
          <w:rFonts w:ascii="Times New Roman" w:cs="Times New Roman" w:eastAsia="Times New Roman" w:hAnsi="Times New Roman"/>
          <w:sz w:val="18"/>
          <w:szCs w:val="18"/>
          <w:color w:val="auto"/>
        </w:rPr>
        <w:t>If a SOFR Index</w:t>
      </w:r>
      <w:r>
        <w:rPr>
          <w:rFonts w:ascii="Times New Roman" w:cs="Times New Roman" w:eastAsia="Times New Roman" w:hAnsi="Times New Roman"/>
          <w:sz w:val="29"/>
          <w:szCs w:val="29"/>
          <w:color w:val="auto"/>
          <w:vertAlign w:val="subscript"/>
        </w:rPr>
        <w:t>Start</w:t>
      </w:r>
      <w:r>
        <w:rPr>
          <w:rFonts w:ascii="Times New Roman" w:cs="Times New Roman" w:eastAsia="Times New Roman" w:hAnsi="Times New Roman"/>
          <w:sz w:val="18"/>
          <w:szCs w:val="18"/>
          <w:color w:val="auto"/>
        </w:rPr>
        <w:t xml:space="preserve"> or SOFR Index</w:t>
      </w:r>
      <w:r>
        <w:rPr>
          <w:rFonts w:ascii="Times New Roman" w:cs="Times New Roman" w:eastAsia="Times New Roman" w:hAnsi="Times New Roman"/>
          <w:sz w:val="29"/>
          <w:szCs w:val="29"/>
          <w:color w:val="auto"/>
          <w:vertAlign w:val="subscript"/>
        </w:rPr>
        <w:t>End</w:t>
      </w:r>
      <w:r>
        <w:rPr>
          <w:rFonts w:ascii="Times New Roman" w:cs="Times New Roman" w:eastAsia="Times New Roman" w:hAnsi="Times New Roman"/>
          <w:sz w:val="18"/>
          <w:szCs w:val="18"/>
          <w:color w:val="auto"/>
        </w:rPr>
        <w:t xml:space="preserve"> is not published on the associated Interest Payment Determination Date and a Benchmark Transition Event and its related Benchmark Replacement Date have not occurred with respect to SOFR, “Compounded SOFR” shall be deemed to be equal to, for the</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the daily SOFR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29"/>
          <w:szCs w:val="29"/>
          <w:u w:val="single" w:color="auto"/>
          <w:color w:val="auto"/>
          <w:vertAlign w:val="subscript"/>
        </w:rPr>
        <w:t>i</w:t>
      </w:r>
      <w:r>
        <w:rPr>
          <w:rFonts w:ascii="Times New Roman" w:cs="Times New Roman" w:eastAsia="Times New Roman" w:hAnsi="Times New Roman"/>
          <w:sz w:val="18"/>
          <w:szCs w:val="18"/>
          <w:color w:val="auto"/>
        </w:rPr>
        <w:t>”) does not so appear for any day, “i”, in the Observation Period, SOFR</w:t>
      </w:r>
      <w:r>
        <w:rPr>
          <w:rFonts w:ascii="Times New Roman" w:cs="Times New Roman" w:eastAsia="Times New Roman" w:hAnsi="Times New Roman"/>
          <w:sz w:val="29"/>
          <w:szCs w:val="29"/>
          <w:color w:val="auto"/>
          <w:vertAlign w:val="subscript"/>
        </w:rPr>
        <w:t>i</w:t>
      </w:r>
      <w:r>
        <w:rPr>
          <w:rFonts w:ascii="Times New Roman" w:cs="Times New Roman" w:eastAsia="Times New Roman" w:hAnsi="Times New Roman"/>
          <w:sz w:val="18"/>
          <w:szCs w:val="18"/>
          <w:color w:val="auto"/>
        </w:rPr>
        <w:t xml:space="preserve"> for such day “i” shall be deemed to be SOFR published in respect of the first preceding U.S. Government Securities Business Day for which SOFR was published on the Federal Reserve Bank of New York’s Website.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 of Benchmark Transition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or its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Securities in respect of such determination on such date and for all determinations on all subsequent dates.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implementation of a Benchmark Replacement, the Company (or its Designee) will have the right to make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Conforming Changes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determination, decision or election that may be made by the Company (or its Designee) pursuant to this Security, including any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tenor, rate or adjustment or of the occurrence or nonoccurrence of an event, circumstance or date and any decision to take or refrain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taking any action or any selection, will be conclusive and binding absent manifest error, will be made in the Company’s (or its Designee’s) sole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notwithstanding anything to the contrary in this Security or the Indenture, shall become effective without consent from the Holders of the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Compounded SOFR; provided that, if a Benchmark Transition Event and its related Benchmark Replacement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occurred with respect to Compounded SOFR or the then-current Benchmark, then “Benchmark” shall mean the applicable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the first alternative set forth in the order below that can be determined by the Company (or its Designee)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Replacement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and (b) the Benchmark Replacement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the sum of: (a) the ISDA Fallback Rate and (b) the Benchmark Replacement Adjustment;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as of the Benchmark Replacement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if the applicable Unadjusted Benchmark Replacement is equivalent to the ISDA Fallback Rate, then the ISDA Fallback Adjustment;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changes (including changes to the definitions of “interest period” and “Observation Period,” the timing and frequency of determining rates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payments of interest, the rounding of amounts or tenors and other administrative matters) that the Company (or its Designee) decides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 reflect the adoption of such Benchmark Replacement in a manner substantially consistent with market practice (or, if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decides that adoption of any portion of such market practice is not administratively feasible or if the Company (or its Designee) determines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market practice for use of the Benchmark Replacement exists, in such other manner as the Company (or its Designee) determines is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320"/>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in respect of any determination, the Benchmark Replacement Date will be deemed to have occurred prior to the Reference Time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also include any reference rate underlying such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w:t>
      </w:r>
      <w:r>
        <w:rPr>
          <w:rFonts w:ascii="Times New Roman" w:cs="Times New Roman" w:eastAsia="Times New Roman" w:hAnsi="Times New Roman"/>
          <w:sz w:val="18"/>
          <w:szCs w:val="18"/>
          <w:color w:val="auto"/>
        </w:rPr>
        <w:t>t” means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the Benchmark;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320"/>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the Benchmark;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320"/>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referencing the ISDA Definitions to be determined upon the occurrence of an index cessation event with respect to the Benchmark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tenor.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Fallback Rate</w:t>
      </w:r>
      <w:r>
        <w:rPr>
          <w:rFonts w:ascii="Times New Roman" w:cs="Times New Roman" w:eastAsia="Times New Roman" w:hAnsi="Times New Roman"/>
          <w:sz w:val="18"/>
          <w:szCs w:val="18"/>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determination of the Benchmark for the Securities of this series means (1) if the Benchmark is Compounded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the SOFR Index Determination Time and (2) if the Benchmark is not Compounded SOFR, the time determined by the Company or its Designee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giving effect to the Benchmark Replacement Conforming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A-1-8</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 2026</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A-1-9</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$750,000,000.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not redeemable prior to its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jc w:val="center"/>
              <w:ind w:right="3190"/>
              <w:spacing w:after="0"/>
              <w:rPr>
                <w:sz w:val="20"/>
                <w:szCs w:val="20"/>
                <w:color w:val="auto"/>
              </w:rPr>
            </w:pPr>
            <w:r>
              <w:rPr>
                <w:rFonts w:ascii="Times New Roman" w:cs="Times New Roman" w:eastAsia="Times New Roman" w:hAnsi="Times New Roman"/>
                <w:sz w:val="18"/>
                <w:szCs w:val="18"/>
                <w:color w:val="auto"/>
                <w:w w:val="99"/>
              </w:rPr>
              <w:t>A-1-12</w:t>
            </w:r>
          </w:p>
        </w:tc>
      </w:tr>
    </w:tbl>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A-1-13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gridSpan w:val="2"/>
          </w:tcPr>
          <w:p>
            <w:pPr>
              <w:jc w:val="center"/>
              <w:ind w:right="49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7"/>
                <w:szCs w:val="17"/>
                <w:color w:val="auto"/>
              </w:rPr>
            </w:pPr>
          </w:p>
        </w:tc>
        <w:tc>
          <w:tcPr>
            <w:tcW w:w="6120" w:type="dxa"/>
            <w:vAlign w:val="bottom"/>
            <w:gridSpan w:val="2"/>
          </w:tcPr>
          <w:p>
            <w:pPr>
              <w:jc w:val="center"/>
              <w:ind w:right="5030"/>
              <w:spacing w:after="0" w:line="198" w:lineRule="exact"/>
              <w:rPr>
                <w:sz w:val="20"/>
                <w:szCs w:val="20"/>
                <w:color w:val="auto"/>
              </w:rPr>
            </w:pPr>
            <w:r>
              <w:rPr>
                <w:rFonts w:ascii="Times New Roman" w:cs="Times New Roman" w:eastAsia="Times New Roman" w:hAnsi="Times New Roman"/>
                <w:sz w:val="18"/>
                <w:szCs w:val="18"/>
                <w:b w:val="1"/>
                <w:bCs w:val="1"/>
                <w:color w:val="auto"/>
                <w:w w:val="97"/>
              </w:rPr>
              <w:t>EXHIBIT A2</w:t>
            </w: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8200" w:type="dxa"/>
            <w:vAlign w:val="bottom"/>
            <w:gridSpan w:val="3"/>
            <w:vMerge w:val="restart"/>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20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[Form of ]3.775% Senior Notes due 2028</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ED7</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US00287YED76</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3, 2028 and to pay interest thereon from March 4, 2026 or from the most recent Interest Payment Date to which interest has been paid or duly provided for, semi-annually in arrears on March 3 and September 3 in each year, commencing September 3, 2026, at the rate of 3.775%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A-2-3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A-2-4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$1,500,000,000.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At any time and from time to time, the Company may redeem the Securities of this series at its option, in whole or in part, at a Redemption Price (expressed as a percentage of principal amount and rounded to three decimal places) equal to the greater of: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maturity date of the Securities of this series) on a semi-annual basis (assuming a 360-day year consisting of twelve 30-day months) at the Treasury Rate plus 5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Company in accordance with the following two paragraphs. The Treasury Rate applicable to this series of Securities shall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after 4:15 p.m., New York City time (or after such time as yields on U.S. government securities are posted daily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of the Federal Reserve System), on the third New York Business Day preceding such Redemption Date based upon the yield or yields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day that appear after such time on such day in the most recent statistical release published by the Board of Governors of the Federal Reserve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designated as “Selected Interest Rates (Daily) — H.15” (or any successor designation or publication) (“H.15”) under the caption “U.S.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 Treasury constant maturities — Nominal” (or any successor caption or heading) (“H.15 TCM”). In determining the applicable Treasury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select, as applicable: (1) the yield for the Treasury constant maturity on H.15 exactly equal to the period from such Redemption Date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Maturity date of the Securities of this series (the “Remaining Life”); or (2) if there is no such Treasury constant maturity on H.15 exactly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Remaining Life, the two yields — one yield corresponding to the Treasury constant maturity on H.15 immediately shorter than and one yield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to the Treasury constant maturity on H.15 immediately longer than the Remaining Life — and shall interpolate to the applicable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Securities of this series on a straight-line basis (using the actual number of days) using such yields and rounding the result to three decimal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places; or (3) if there is no such Treasury constant maturity on H.15 shorter than or longer than the Remaining Life, the yield for the single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maturity on H.15 closest to the Remaining Life. For purposes of this paragraph, the applicable Treasury constant maturity or maturities on H.15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to have a maturity date equal to the relevant number of months or years, as applicable, of such Treasury constant maturity from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Securities of this series, as applicable. If there is no United States Treasury security maturing on the Maturity date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series but there are two or more United States Treasury securities with a maturity date equally distant from the applicable Maturity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this series, one with a maturity date preceding the Maturity date of the Securities of this series and one with a maturity date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of the Securities of this series, the Company shall select the United States Treasury security with a maturity date preceding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of this series. If there are two or more United States Treasury securities maturing on the Maturity date of the Securities of this series or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United States Treasury securities meeting the criteria of the preceding sentence, the Company shall select from among these two or more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Treasury securities the United States Treasury security that is trading closest to par based upon the average of the bid and asked prices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securities at 11:00 a.m., New York 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A-2-8</w:t>
            </w:r>
          </w:p>
        </w:tc>
      </w:tr>
    </w:tbl>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restart"/>
          </w:tcPr>
          <w:p>
            <w:pPr>
              <w:spacing w:after="0"/>
              <w:rPr>
                <w:sz w:val="20"/>
                <w:szCs w:val="20"/>
                <w:color w:val="auto"/>
              </w:rPr>
            </w:pPr>
          </w:p>
        </w:tc>
        <w:tc>
          <w:tcPr>
            <w:tcW w:w="6120" w:type="dxa"/>
            <w:vAlign w:val="bottom"/>
            <w:gridSpan w:val="2"/>
            <w:vMerge w:val="restart"/>
          </w:tcPr>
          <w:p>
            <w:pPr>
              <w:jc w:val="center"/>
              <w:ind w:right="5030"/>
              <w:spacing w:after="0"/>
              <w:rPr>
                <w:sz w:val="20"/>
                <w:szCs w:val="20"/>
                <w:color w:val="auto"/>
              </w:rPr>
            </w:pPr>
            <w:r>
              <w:rPr>
                <w:rFonts w:ascii="Times New Roman" w:cs="Times New Roman" w:eastAsia="Times New Roman" w:hAnsi="Times New Roman"/>
                <w:sz w:val="18"/>
                <w:szCs w:val="18"/>
                <w:b w:val="1"/>
                <w:bCs w:val="1"/>
                <w:color w:val="auto"/>
                <w:w w:val="97"/>
              </w:rPr>
              <w:t>EXHIBIT A3</w:t>
            </w:r>
          </w:p>
        </w:tc>
        <w:tc>
          <w:tcPr>
            <w:tcW w:w="0" w:type="dxa"/>
            <w:vAlign w:val="bottom"/>
          </w:tcPr>
          <w:p>
            <w:pPr>
              <w:spacing w:after="0"/>
              <w:rPr>
                <w:sz w:val="1"/>
                <w:szCs w:val="1"/>
                <w:color w:val="auto"/>
              </w:rPr>
            </w:pPr>
          </w:p>
        </w:tc>
      </w:tr>
      <w:tr>
        <w:trPr>
          <w:trHeight w:val="175"/>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vMerge w:val="continue"/>
          </w:tcPr>
          <w:p>
            <w:pPr>
              <w:spacing w:after="0"/>
              <w:rPr>
                <w:sz w:val="20"/>
                <w:szCs w:val="20"/>
                <w:color w:val="auto"/>
              </w:rPr>
            </w:pPr>
          </w:p>
        </w:tc>
        <w:tc>
          <w:tcPr>
            <w:tcW w:w="822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8220" w:type="dxa"/>
            <w:vAlign w:val="bottom"/>
            <w:gridSpan w:val="3"/>
            <w:vMerge w:val="restart"/>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[Form of ]4.125% Senior Notes due 2031</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EE5</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US00287YEE59</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2031 and to pay interest thereon from March 4, 2026 or from the most recent Interest Payment Date to which interest has been paid or duly provided for, semi-annually in arrears on March 15 and September 15 in each year, commencing September 15, 2026, at the rate of 4.125%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72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A-3-3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A-3-4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$1,250,000,000.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prior to the Par Call Date (as defined below), the Company may redeem the Securities of this series at its option, in whole or in part,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 amount and rounded to three decimal places)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10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of this series being redeemed plus accrued and unpaid interest thereon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February 15, 2031 (the date that is one (1) month prior to the maturity date of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Call Date, as applicable. If there is no United States Treasury security maturing on the Par Call Date but there are two or more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a maturity date equally distant from the applicable Par Call Date, one with a maturity date preceding the Par Call Date and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maturity date following the Par Call Date, the Company shall select the United States Treasury security with a maturity date preceding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If there are two or more United States Treasury securities maturing on the Par Call Date or two or more United States Treasury securities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of the preceding sentence, the Company shall select from among these two or more United States Treasury securities the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A-3-9</w:t>
            </w:r>
          </w:p>
        </w:tc>
      </w:tr>
    </w:tbl>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A-3-10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restart"/>
          </w:tcPr>
          <w:p>
            <w:pPr>
              <w:spacing w:after="0"/>
              <w:rPr>
                <w:sz w:val="20"/>
                <w:szCs w:val="20"/>
                <w:color w:val="auto"/>
              </w:rPr>
            </w:pPr>
          </w:p>
        </w:tc>
        <w:tc>
          <w:tcPr>
            <w:tcW w:w="6120" w:type="dxa"/>
            <w:vAlign w:val="bottom"/>
            <w:gridSpan w:val="2"/>
            <w:vMerge w:val="restart"/>
          </w:tcPr>
          <w:p>
            <w:pPr>
              <w:jc w:val="center"/>
              <w:ind w:right="5030"/>
              <w:spacing w:after="0"/>
              <w:rPr>
                <w:sz w:val="20"/>
                <w:szCs w:val="20"/>
                <w:color w:val="auto"/>
              </w:rPr>
            </w:pPr>
            <w:r>
              <w:rPr>
                <w:rFonts w:ascii="Times New Roman" w:cs="Times New Roman" w:eastAsia="Times New Roman" w:hAnsi="Times New Roman"/>
                <w:sz w:val="18"/>
                <w:szCs w:val="18"/>
                <w:b w:val="1"/>
                <w:bCs w:val="1"/>
                <w:color w:val="auto"/>
                <w:w w:val="97"/>
              </w:rPr>
              <w:t>EXHIBIT A4</w:t>
            </w: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vMerge w:val="continue"/>
          </w:tcPr>
          <w:p>
            <w:pPr>
              <w:spacing w:after="0"/>
              <w:rPr>
                <w:sz w:val="20"/>
                <w:szCs w:val="20"/>
                <w:color w:val="auto"/>
              </w:rPr>
            </w:pPr>
          </w:p>
        </w:tc>
        <w:tc>
          <w:tcPr>
            <w:tcW w:w="822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8220" w:type="dxa"/>
            <w:vAlign w:val="bottom"/>
            <w:gridSpan w:val="3"/>
            <w:vMerge w:val="restart"/>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[Form of ]4.400% Senior Notes due 2033</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EF2</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US00287YEF25</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2033 and to pay interest thereon from March 4, 2026 or from the most recent Interest Payment Date to which interest has been paid or duly provided for, semi-annually in arrears on March 15 and September 15 in each year, commencing September 15, 2026, at the rate of 4.400%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A-4-3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A-4-4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$1,250,000,000.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prior to the Par Call Date (as defined below), the Company may redeem the Securities of this series at its option, in whole or in part,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 amount and rounded to three decimal places)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10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of this series being redeemed plus accrued and unpaid interest thereon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January 15, 2033 (the date that is two (2) months prior to the maturity date of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Call Date, as applicable. If there is no United States Treasury security maturing on the Par Call Date but there are two or more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a maturity date equally distant from the applicable Par Call Date, one with a maturity date preceding the Par Call Date and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maturity date following the Par Call Date, the Company shall select the United States Treasury security with a maturity date preceding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If there are two or more United States Treasury securities maturing on the Par Call Date or two or more United States Treasury securities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of the preceding sentence, the Company shall select from among these two or more United States Treasury securities the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A-4-9</w:t>
            </w:r>
          </w:p>
        </w:tc>
      </w:tr>
    </w:tbl>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A-4-10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restart"/>
          </w:tcPr>
          <w:p>
            <w:pPr>
              <w:spacing w:after="0"/>
              <w:rPr>
                <w:sz w:val="20"/>
                <w:szCs w:val="20"/>
                <w:color w:val="auto"/>
              </w:rPr>
            </w:pPr>
          </w:p>
        </w:tc>
        <w:tc>
          <w:tcPr>
            <w:tcW w:w="6120" w:type="dxa"/>
            <w:vAlign w:val="bottom"/>
            <w:gridSpan w:val="2"/>
            <w:vMerge w:val="restart"/>
          </w:tcPr>
          <w:p>
            <w:pPr>
              <w:jc w:val="center"/>
              <w:ind w:right="5030"/>
              <w:spacing w:after="0"/>
              <w:rPr>
                <w:sz w:val="20"/>
                <w:szCs w:val="20"/>
                <w:color w:val="auto"/>
              </w:rPr>
            </w:pPr>
            <w:r>
              <w:rPr>
                <w:rFonts w:ascii="Times New Roman" w:cs="Times New Roman" w:eastAsia="Times New Roman" w:hAnsi="Times New Roman"/>
                <w:sz w:val="18"/>
                <w:szCs w:val="18"/>
                <w:b w:val="1"/>
                <w:bCs w:val="1"/>
                <w:color w:val="auto"/>
                <w:w w:val="97"/>
              </w:rPr>
              <w:t>EXHIBIT A5</w:t>
            </w: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8200" w:type="dxa"/>
            <w:vAlign w:val="bottom"/>
            <w:gridSpan w:val="3"/>
            <w:vMerge w:val="restart"/>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20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[Form of ]4.750% Senior Notes due 2036</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EG0</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US00287YEG08</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2036 and to pay interest thereon from March 4, 2026 or from the most recent Interest Payment Date to which interest has been paid or duly provided for, semi-annually in arrears on March 15 and September 15 in each year, commencing September 15, 2026, at the rate of 4.750%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A-5-3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A-5-4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$1,500,000,000.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prior to the Par Call Date (as defined below), the Company may redeem the Securities of this series at its option, in whole or in part,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 amount and rounded to three decimal places)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of this series being redeemed plus accrued and unpaid interest thereon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December 15, 2035 (the date that is three (3) months prior to the maturity date of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Call Date, as applicable. If there is no United States Treasury security maturing on the Par Call Date but there are two or more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a maturity date equally distant from the applicable Par Call Date, one with a maturity date preceding the Par Call Date and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maturity date following the Par Call Date, the Company shall select the United States Treasury security with a maturity date preceding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If there are two or more United States Treasury securities maturing on the Par Call Date or two or more United States Treasury securities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of the preceding sentence, the Company shall select from among these two or more United States Treasury securities the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A-5-9</w:t>
            </w:r>
          </w:p>
        </w:tc>
      </w:tr>
    </w:tbl>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A-5-10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restart"/>
          </w:tcPr>
          <w:p>
            <w:pPr>
              <w:spacing w:after="0"/>
              <w:rPr>
                <w:sz w:val="20"/>
                <w:szCs w:val="20"/>
                <w:color w:val="auto"/>
              </w:rPr>
            </w:pPr>
          </w:p>
        </w:tc>
        <w:tc>
          <w:tcPr>
            <w:tcW w:w="6120" w:type="dxa"/>
            <w:vAlign w:val="bottom"/>
            <w:gridSpan w:val="2"/>
            <w:vMerge w:val="restart"/>
          </w:tcPr>
          <w:p>
            <w:pPr>
              <w:jc w:val="center"/>
              <w:ind w:right="5030"/>
              <w:spacing w:after="0"/>
              <w:rPr>
                <w:sz w:val="20"/>
                <w:szCs w:val="20"/>
                <w:color w:val="auto"/>
              </w:rPr>
            </w:pPr>
            <w:r>
              <w:rPr>
                <w:rFonts w:ascii="Times New Roman" w:cs="Times New Roman" w:eastAsia="Times New Roman" w:hAnsi="Times New Roman"/>
                <w:sz w:val="18"/>
                <w:szCs w:val="18"/>
                <w:b w:val="1"/>
                <w:bCs w:val="1"/>
                <w:color w:val="auto"/>
                <w:w w:val="97"/>
              </w:rPr>
              <w:t>EXHIBIT A6</w:t>
            </w: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8200" w:type="dxa"/>
            <w:vAlign w:val="bottom"/>
            <w:gridSpan w:val="3"/>
            <w:vMerge w:val="restart"/>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20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[Form of ]5.550% Senior Notes due 2056</w:t>
            </w: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EH8</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US00287YEH80</w:t>
            </w: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2056 and to pay interest thereon from March 4, 2026 or from the most recent Interest Payment Date to which interest has been paid or duly provided for, semi-annually in arrears on March 15 and September 15 in each year, commencing September 15, 2026, at the rate of 5.550%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A-6-3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A-6-4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$1,250,000,000.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prior to the Par Call Date (as defined below), the Company may redeem the Securities of this series at its option, in whole or in part,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 amount and rounded to three decimal places)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of this series being redeemed plus accrued and unpaid interest thereon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September 15, 2055 (the date that is six (6) months prior to the maturity date of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Call Date, as applicable. If there is no United States Treasury security maturing on the Par Call Date but there are two or more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a maturity date equally distant from the applicable Par Call Date, one with a maturity date preceding the Par Call Date and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maturity date following the Par Call Date, the Company shall select the United States Treasury security with a maturity date preceding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If there are two or more United States Treasury securities maturing on the Par Call Date or two or more United States Treasury securities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of the preceding sentence, the Company shall select from among these two or more United States Treasury securities the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A-6-9</w:t>
            </w:r>
          </w:p>
        </w:tc>
      </w:tr>
    </w:tbl>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A-6-10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restart"/>
          </w:tcPr>
          <w:p>
            <w:pPr>
              <w:spacing w:after="0"/>
              <w:rPr>
                <w:sz w:val="20"/>
                <w:szCs w:val="20"/>
                <w:color w:val="auto"/>
              </w:rPr>
            </w:pPr>
          </w:p>
        </w:tc>
        <w:tc>
          <w:tcPr>
            <w:tcW w:w="6120" w:type="dxa"/>
            <w:vAlign w:val="bottom"/>
            <w:gridSpan w:val="2"/>
            <w:vMerge w:val="restart"/>
          </w:tcPr>
          <w:p>
            <w:pPr>
              <w:jc w:val="center"/>
              <w:ind w:right="5030"/>
              <w:spacing w:after="0"/>
              <w:rPr>
                <w:sz w:val="20"/>
                <w:szCs w:val="20"/>
                <w:color w:val="auto"/>
              </w:rPr>
            </w:pPr>
            <w:r>
              <w:rPr>
                <w:rFonts w:ascii="Times New Roman" w:cs="Times New Roman" w:eastAsia="Times New Roman" w:hAnsi="Times New Roman"/>
                <w:sz w:val="18"/>
                <w:szCs w:val="18"/>
                <w:b w:val="1"/>
                <w:bCs w:val="1"/>
                <w:color w:val="auto"/>
                <w:w w:val="97"/>
              </w:rPr>
              <w:t>EXHIBIT A7</w:t>
            </w: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vMerge w:val="continue"/>
          </w:tcPr>
          <w:p>
            <w:pPr>
              <w:spacing w:after="0"/>
              <w:rPr>
                <w:sz w:val="20"/>
                <w:szCs w:val="20"/>
                <w:color w:val="auto"/>
              </w:rPr>
            </w:pPr>
          </w:p>
        </w:tc>
        <w:tc>
          <w:tcPr>
            <w:tcW w:w="8220" w:type="dxa"/>
            <w:vAlign w:val="bottom"/>
            <w:gridSpan w:val="3"/>
            <w:vMerge w:val="restart"/>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rPr>
              <w:t>ABBVIE INC.</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8220" w:type="dxa"/>
            <w:vAlign w:val="bottom"/>
            <w:gridSpan w:val="3"/>
            <w:vMerge w:val="restart"/>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[Form of ]5.650% Senior Notes due 2066</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w w:val="79"/>
              </w:rPr>
              <w:t>     $[•]</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00287Y EJ4</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 No: US00287YEJ47</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Security is a Security in a global form within the meaning of the Indenture hereinafter referred to and is registered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or a nominee of the Depository. This global Security is exchangeable for Securities registered in the name of a Person other than the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nominee only in the limited circumstances described in the Indenture, and no transfer of this Security (other than a transfer of this Security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Depository to a nominee of the Depository or by a nominee of the Depository to the Depository or another nominee of the Depository)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except in such limited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to the issuer or its agent for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exchange or payment, and any Security issued upon registration of transfer of, or in exchange for, or in lieu of, this Security is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Cede &amp; Co. or such other name as requested by an authorized representative of The Depository Trust Company and any payment hereon is made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ANY TRANSFER, PLEDGE OR OTHER USE HEREOF FOR VALUE OR OTHERWISE BY OR TO ANY PERSON IS WRONGFUL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registered owner hereof, Cede &amp; Co., has an 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ABBVIE INC., a corporation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2066 and to pay interest thereon from March 4, 2026 or from the most recent Interest Payment Date to which interest has been paid or duly provided for, semi-annually in arrears on March 15 and September 15 in each year, commencing September 15, 2026, at the rate of 5.650%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effect as if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herein by manual signature, this Security shall not be entitled to any benefit under the Indenture or be valid or obligatory for any purpose.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T. Reents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A-7-3</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as Trustee</w:t>
            </w:r>
          </w:p>
        </w:tc>
        <w:tc>
          <w:tcPr>
            <w:tcW w:w="46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A-7-4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November 8, 2012, as it may be supplemented or amended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successor-in-interest to U.S. Bank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Supplemental Indenture No. 12, dated as of March 4, 2026 (herein called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$500,000,000.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prior to the Par Call Date (as defined below), the Company may redeem the Securities of this series at its option, in whole or in part,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 amount and rounded to three decimal places)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of this series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of this series being redeemed plus accrued and unpaid interest thereon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September 15, 2065 (the date that is six (6) months prior to the maturity date of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 the third New York Business Day preceding such Redemption Date, H.15 TCM is no longer published, the Company shall calculate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Rate based on the rate per annum equal to the semi-annual equivalent yield to maturity at 11:00 a.m., New York City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New York Business Day preceding such Redemption Date of the United States Treasury security maturing on, or with a maturity that is closest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Call Date, as applicable. If there is no United States Treasury security maturing on the Par Call Date but there are two or more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a maturity date equally distant from the applicable Par Call Date, one with a maturity date preceding the Par Call Date and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maturity date following the Par Call Date, the Company shall select the United States Treasury security with a maturity date preceding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If there are two or more United States Treasury securities maturing on the Par Call Date or two or more United States Treasury securities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of the preceding sentence, the Company shall select from among these two or more United States Treasury securities the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applicable Treasury Rate in accordance with the terms of this paragraph, the semi-annual yield to maturity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of such United 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Securities of this series of a principal amount of $2,000 or less will be redeemed in part. For so long as the Securities are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(or another depositary), the redemption of the Securities shall be done in accordance with the policies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means any calendar day that is not a Saturday, Sunday or legal holiday in New York, New York and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banks are open for business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do not provide for a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 with respect to this Security, in each case upon compliance with certain conditions set forth therein. Sections 13.2 and 13.3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the Securities of this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 As provided in the Indenture and subject to certain limitations therein set forth, Securities of this series are exchangeable for a like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Securities of this series and of like tenor of a different authorized denomination, as requested by the Holder surrendering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and Supplemental Indenture shall have the meanings assigned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CERTIFICATE TO BE DELIVERED UPON EXCHANGE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OR REGISTRATION OF TRANSFER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principal amount of Securities held in (check applicable space)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book-entry or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definitive form by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Transferor (check one 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left="1300" w:hanging="644"/>
        <w:spacing w:after="0" w:line="252" w:lineRule="auto"/>
        <w:tabs>
          <w:tab w:leader="none" w:pos="1300"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tabs>
          <w:tab w:leader="none" w:pos="1300"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Security or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Borders>
              <w:bottom w:val="single" w:sz="8" w:color="auto"/>
            </w:tcBorders>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2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bottom w:val="single" w:sz="8" w:color="auto"/>
            </w:tcBorders>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center"/>
              <w:ind w:right="3210"/>
              <w:spacing w:after="0"/>
              <w:rPr>
                <w:sz w:val="20"/>
                <w:szCs w:val="20"/>
                <w:color w:val="auto"/>
              </w:rPr>
            </w:pPr>
            <w:r>
              <w:rPr>
                <w:rFonts w:ascii="Times New Roman" w:cs="Times New Roman" w:eastAsia="Times New Roman" w:hAnsi="Times New Roman"/>
                <w:sz w:val="18"/>
                <w:szCs w:val="18"/>
                <w:color w:val="auto"/>
              </w:rPr>
              <w:t>A-7-9</w:t>
            </w:r>
          </w:p>
        </w:tc>
      </w:tr>
    </w:tbl>
    <w:p>
      <w:pPr>
        <w:sectPr>
          <w:pgSz w:w="11900" w:h="16838" w:orient="portrait"/>
          <w:cols w:equalWidth="0" w:num="1">
            <w:col w:w="11240"/>
          </w:cols>
          <w:pgMar w:left="320" w:top="2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OF EXCHANGES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gridSpan w:val="6"/>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exchanges, redemptions or purchases of a part of this Book-Entry Security have been made: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Amount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 of</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increase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of</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w:t>
            </w:r>
          </w:p>
        </w:tc>
        <w:tc>
          <w:tcPr>
            <w:tcW w:w="12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Security 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of this Book-Entry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of this Book-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such 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signatory of</w:t>
            </w: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Entry Security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Trustee</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A-7-10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as agent to transfer this Security on the books of the Company. The agent may substitute another to act for him.</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Signature*:</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Sign exactly as your name appears on the other side of this Security.</w:t>
            </w:r>
          </w:p>
        </w:tc>
        <w:tc>
          <w:tcPr>
            <w:tcW w:w="0" w:type="dxa"/>
            <w:vAlign w:val="bottom"/>
          </w:tcPr>
          <w:p>
            <w:pPr>
              <w:spacing w:after="0"/>
              <w:rPr>
                <w:sz w:val="1"/>
                <w:szCs w:val="1"/>
                <w:color w:val="auto"/>
              </w:rPr>
            </w:pPr>
          </w:p>
        </w:tc>
      </w:tr>
      <w:tr>
        <w:trPr>
          <w:trHeight w:val="21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2494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within Note in every particular,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enlargement or any change whatever. Such signature must be guaranteed by an “eligible guarantor institution” meeting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which requirements include membership or participation in Security Transfer Agents Medallion Program (“STAMP”)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program” as may be determined by the Security Registrar in addition to, or in substitution for, STAMP, all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[WLRK Letterhead]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North Waukegan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Chicago, Illinois 60044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AbbVie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of $750,000,000 aggregate principal amount of its senior floating rate notes due 2028 (the “</w:t>
      </w:r>
      <w:r>
        <w:rPr>
          <w:rFonts w:ascii="Times New Roman" w:cs="Times New Roman" w:eastAsia="Times New Roman" w:hAnsi="Times New Roman"/>
          <w:sz w:val="18"/>
          <w:szCs w:val="18"/>
          <w:u w:val="single" w:color="auto"/>
          <w:color w:val="auto"/>
        </w:rPr>
        <w:t>Floating Rate Notes</w:t>
      </w:r>
      <w:r>
        <w:rPr>
          <w:rFonts w:ascii="Times New Roman" w:cs="Times New Roman" w:eastAsia="Times New Roman" w:hAnsi="Times New Roman"/>
          <w:sz w:val="18"/>
          <w:szCs w:val="18"/>
          <w:color w:val="auto"/>
        </w:rPr>
        <w:t>”), $1,500,000,000 aggregate principal amount of its 3.775%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$1,250,000,000 aggregate principal amount of its 4.125%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$1,250,000,000 aggregate principal amount of its 4.400%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$1,500,000,000 aggregate principal amount of its 4.750%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$1,250,000,000 aggregate principal amount of its 5.550% senior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and $500,000,000 aggregate principal amount of its 5.650% senior notes due 2066 (the “</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and, together with the Floating Rate Notes, the 2028 Notes, the 2031 Notes, the 2033 Notes, the 2036 Notes and the 2056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were sold pursuant to an Underwriting Agreement, dated February 24, 2026, by and among the Company and J.P. Morgan Securities LLC, BofA Securities, Inc., Morgan Stanley &amp; Co. LLC and Wells Fargo Securities, LLC, acting for themselves and as representatives of the several Underwriters named therein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Notes are to be issued under that certain Indenture, dated as of November 8, 2012, between the Company and U.S. Bank Trust Company, National Association, as successor-in-interest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that certain Supplemental Indenture No. 12, dated as of March 4, 2026, between the Company and the Trustee (collectively,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7000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on Form S-3ASR (File No. 333-284980),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February 14, 2025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but excluding the documents incorporated therein; (b) the base prospectus, dated February 14, 2025, included in the Registration Statement, but excluding the documents incorporated therein; (c) the preliminary prospectus supplement, dated February 24, 2026, as filed with the Commission pursuant to Rule 424(b)(5)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but excluding the documents incorporated by reference therein; (d) the final term sheet dated February 26, 2026, as filed with the Commission pursuant to Rule 433 under the Act;</w:t>
      </w:r>
    </w:p>
    <w:p>
      <w:pPr>
        <w:spacing w:after="0" w:line="3" w:lineRule="exact"/>
        <w:rPr>
          <w:sz w:val="20"/>
          <w:szCs w:val="20"/>
          <w:color w:val="auto"/>
        </w:rPr>
      </w:pPr>
    </w:p>
    <w:p>
      <w:pPr>
        <w:ind w:right="20" w:firstLine="8"/>
        <w:spacing w:after="0" w:line="265" w:lineRule="auto"/>
        <w:tabs>
          <w:tab w:leader="none" w:pos="24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supplement, dated February 24, 2026, as filed with the Commission pursuant to Rule 424(b)(5) under the Act, but excluding the documents incorporated by reference therein; (f) a copy of the Amended and Restated Certificate of Incorporation of the Company and a copy of the Third Amended and Restated Bylaws of the Company, each as set forth in the certificate of the Secretary of the Company, dated the date hereof; (g) the Indenture; (h) a copy of the Global Notes for each series of the Notes, each dated as of March 4, 2026; (i) an executed copy of the Underwriting Agreement; (j) resolutions of the Board of Directors of the Company relating to the issuance of the Notes; and (k) such other 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w:t>
      </w:r>
    </w:p>
    <w:p>
      <w:pPr>
        <w:spacing w:after="0" w:line="1" w:lineRule="exact"/>
        <w:rPr>
          <w:rFonts w:ascii="Times New Roman" w:cs="Times New Roman" w:eastAsia="Times New Roman" w:hAnsi="Times New Roman"/>
          <w:sz w:val="17"/>
          <w:szCs w:val="17"/>
          <w:color w:val="auto"/>
        </w:rPr>
      </w:pPr>
    </w:p>
    <w:p>
      <w:pPr>
        <w:ind w:firstLine="8"/>
        <w:spacing w:after="0" w:line="251"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accuracy and completeness of the information, representations and warranties contained in the agreements, records, documents, instruments and certificates we have reviewed; (iv) all Notes will be issued and sold in compliance with applicable federal and state securities laws and in the manner stated in the Registration Statement and the Prospectus Supplement; and (v) the Underwriting Agreement has been duly authorized and validly executed and delivered by the Underwriters. We have assumed that the terms of the Notes have been established so as not to, and that the execution and delivery by the parties thereto and the performance of such parties’ obligations under the Notes will not, breach, contravene, violate, conflict with or constitute a default under (1) any law, rule or regulation to which any party thereto is subject (excepting the laws of the State of New York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w:t>
      </w:r>
    </w:p>
    <w:p>
      <w:pPr>
        <w:spacing w:after="0" w:line="192"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we have not considered, and we express no opinion as to, the laws of any jurisdiction other than the laws of the State of New York in effect on the date hereof.</w:t>
      </w:r>
    </w:p>
    <w:p>
      <w:pPr>
        <w:spacing w:after="0" w:line="162" w:lineRule="exact"/>
        <w:rPr>
          <w:sz w:val="20"/>
          <w:szCs w:val="20"/>
          <w:color w:val="auto"/>
        </w:rPr>
      </w:pPr>
    </w:p>
    <w:p>
      <w:pPr>
        <w:jc w:val="both"/>
        <w:ind w:right="20" w:firstLine="1296"/>
        <w:spacing w:after="0" w:line="289" w:lineRule="auto"/>
        <w:rPr>
          <w:sz w:val="20"/>
          <w:szCs w:val="20"/>
          <w:color w:val="auto"/>
        </w:rPr>
      </w:pPr>
      <w:r>
        <w:rPr>
          <w:rFonts w:ascii="Times New Roman" w:cs="Times New Roman" w:eastAsia="Times New Roman" w:hAnsi="Times New Roman"/>
          <w:sz w:val="17"/>
          <w:szCs w:val="17"/>
          <w:color w:val="auto"/>
        </w:rPr>
        <w:t>Based upon the foregoing, and subject to the assumptions, limitations, qualifications, exceptions and comments set forth in this letter, we advise you that, in our opinion, the Notes, when duly executed, authenticated, issued, delivered and paid for in accordance with the terms of the Indenture and the Underwriting Agreement, will be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7000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w:t>
      </w:r>
    </w:p>
    <w:p>
      <w:pPr>
        <w:spacing w:after="0" w:line="5" w:lineRule="exact"/>
        <w:rPr>
          <w:sz w:val="20"/>
          <w:szCs w:val="20"/>
          <w:color w:val="auto"/>
        </w:rPr>
      </w:pPr>
    </w:p>
    <w:p>
      <w:pPr>
        <w:ind w:right="60" w:firstLine="8"/>
        <w:spacing w:after="0" w:line="251"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w:t>
      </w:r>
    </w:p>
    <w:p>
      <w:pPr>
        <w:spacing w:after="0" w:line="193"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We express no opinion as to whether, or the extent to which, the laws of any particular jurisdiction apply to the subject matter hereof, including, without limitation, the enforceability of the governing law provisions contained in the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w:t>
      </w:r>
    </w:p>
    <w:p>
      <w:pPr>
        <w:spacing w:after="0" w:line="180"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This letter speaks only as of its date and is delivered in accordance with the requirements of Item 601(b)(5) of Regulation S-K under the Act. We hereby consent to the filing of a copy of this letter as an exhibit to the Company’s Current Report on Form 8-K, filed on March 4, 2026, and to the use of our name in the prospectus forming a part of the Registration Statement under the caption “Legal Matters.” In giving this consent, we do not thereby admit that we are within the category of persons whose consent is required under Section 7 of the Act.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Wachtell, Lipton, Rosen &amp;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Roman"/>
      <w:start w:val="4"/>
    </w:lvl>
  </w:abstractNum>
  <w:abstractNum w:abstractNumId="2">
    <w:nsid w:val="431BD7B7"/>
    <w:multiLevelType w:val="hybridMultilevel"/>
    <w:lvl w:ilvl="0">
      <w:lvlJc w:val="left"/>
      <w:lvlText w:val="(%1)"/>
      <w:numFmt w:val="upperLetter"/>
      <w:start w:val="2"/>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lowerLetter"/>
      <w:start w:val="5"/>
    </w:lvl>
  </w:abstractNum>
  <w:abstractNum w:abstractNumId="31">
    <w:nsid w:val="22221A70"/>
    <w:multiLevelType w:val="hybridMultilevel"/>
    <w:lvl w:ilvl="0">
      <w:lvlJc w:val="left"/>
      <w:lvlText w:val="(%1)"/>
      <w:numFmt w:val="lowerLetter"/>
      <w:start w:val="6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png"/><Relationship Id="rId16" Type="http://schemas.openxmlformats.org/officeDocument/2006/relationships/hyperlink" Target="https://www.sec.gov/Archives/edgar/data/1551152/000104746912010673/a2211869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2026-03-04T16:04:24Z</dcterms:created>
  <dcterms:modified xsi:type="dcterms:W3CDTF">2026-03-04T16:04:24Z</dcterms:modified>
</cp:coreProperties>
</file>