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22026_050703.xml.htm"/>
      <w:bookmarkStart w:id="1" w:name="ksform407022026_05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RAPP EDWARD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AbbVie Inc.</w:t>
              </w:r>
            </w:hyperlink>
            <w:r>
              <w:rPr/>
              <w:t xml:space="preserve"> [ </w:t>
            </w:r>
            <w:r>
              <w:rPr>
                <w:rFonts w:ascii="Times;serif" w:hAnsi="Times;serif"/>
                <w:color w:val="0000FF"/>
                <w:sz w:val="24"/>
                <w:shd w:fill="FFFFFF" w:val="clear"/>
              </w:rPr>
              <w:t>ABBV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251.64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251.64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29,236</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the director's grantor trust are distributed over a period equal to the director's years of board service, generally commencing at the later of age 65 or upon retirement from the board. The stock equivalent units earn the same return as if the fees were invested in AbbVie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Edward J. Rapp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1780" TargetMode="External"/><Relationship Id="rId5" Type="http://schemas.openxmlformats.org/officeDocument/2006/relationships/hyperlink" Target="http://www.sec.gov/cgi-bin/browse-edgar?action=getcompany&amp;CIK=0001551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3442</Characters>
  <CharactersWithSpaces>4021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