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21,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001-35565</w:t>
            </w:r>
          </w:p>
        </w:tc>
        <w:tc>
          <w:tcPr>
            <w:tcW w:w="310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32-0375147</w:t>
            </w:r>
          </w:p>
        </w:tc>
      </w:tr>
      <w:tr>
        <w:trPr>
          <w:trHeight w:val="216"/>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34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3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100" w:type="dxa"/>
            <w:vAlign w:val="bottom"/>
          </w:tcPr>
          <w:p>
            <w:pPr>
              <w:spacing w:after="0"/>
              <w:rPr>
                <w:sz w:val="18"/>
                <w:szCs w:val="18"/>
                <w:color w:val="auto"/>
              </w:rPr>
            </w:pPr>
          </w:p>
        </w:tc>
      </w:tr>
      <w:tr>
        <w:trPr>
          <w:trHeight w:val="228"/>
        </w:trPr>
        <w:tc>
          <w:tcPr>
            <w:tcW w:w="2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North Waukegan Road</w:t>
            </w:r>
          </w:p>
        </w:tc>
        <w:tc>
          <w:tcPr>
            <w:tcW w:w="3100" w:type="dxa"/>
            <w:vAlign w:val="bottom"/>
          </w:tcPr>
          <w:p>
            <w:pPr>
              <w:spacing w:after="0"/>
              <w:rPr>
                <w:sz w:val="19"/>
                <w:szCs w:val="19"/>
                <w:color w:val="auto"/>
              </w:rPr>
            </w:pPr>
          </w:p>
        </w:tc>
      </w:tr>
      <w:tr>
        <w:trPr>
          <w:trHeight w:val="220"/>
        </w:trPr>
        <w:tc>
          <w:tcPr>
            <w:tcW w:w="2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tc>
        <w:tc>
          <w:tcPr>
            <w:tcW w:w="3100" w:type="dxa"/>
            <w:vAlign w:val="bottom"/>
          </w:tcPr>
          <w:p>
            <w:pPr>
              <w:spacing w:after="0"/>
              <w:rPr>
                <w:sz w:val="19"/>
                <w:szCs w:val="19"/>
                <w:color w:val="auto"/>
              </w:rPr>
            </w:pPr>
          </w:p>
        </w:tc>
      </w:tr>
      <w:tr>
        <w:trPr>
          <w:trHeight w:val="234"/>
        </w:trPr>
        <w:tc>
          <w:tcPr>
            <w:tcW w:w="2020" w:type="dxa"/>
            <w:vAlign w:val="bottom"/>
          </w:tcPr>
          <w:p>
            <w:pPr>
              <w:spacing w:after="0"/>
              <w:rPr>
                <w:sz w:val="20"/>
                <w:szCs w:val="20"/>
                <w:color w:val="auto"/>
              </w:rPr>
            </w:pPr>
          </w:p>
        </w:tc>
        <w:tc>
          <w:tcPr>
            <w:tcW w:w="7240" w:type="dxa"/>
            <w:vAlign w:val="bottom"/>
            <w:gridSpan w:val="3"/>
          </w:tcPr>
          <w:p>
            <w:pPr>
              <w:jc w:val="center"/>
              <w:ind w:right="16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r>
      <w:tr>
        <w:trPr>
          <w:trHeight w:val="432"/>
        </w:trPr>
        <w:tc>
          <w:tcPr>
            <w:tcW w:w="2020" w:type="dxa"/>
            <w:vAlign w:val="bottom"/>
          </w:tcPr>
          <w:p>
            <w:pPr>
              <w:spacing w:after="0"/>
              <w:rPr>
                <w:sz w:val="24"/>
                <w:szCs w:val="24"/>
                <w:color w:val="auto"/>
              </w:rPr>
            </w:pP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100" w:type="dxa"/>
            <w:vAlign w:val="bottom"/>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(847) 932-7900</w:t>
            </w: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4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00" w:type="dxa"/>
            <w:vAlign w:val="bottom"/>
          </w:tcPr>
          <w:p>
            <w:pPr>
              <w:spacing w:after="0"/>
              <w:rPr>
                <w:sz w:val="20"/>
                <w:szCs w:val="20"/>
                <w:color w:val="auto"/>
              </w:rPr>
            </w:pPr>
          </w:p>
        </w:tc>
      </w:tr>
      <w:tr>
        <w:trPr>
          <w:trHeight w:val="432"/>
        </w:trPr>
        <w:tc>
          <w:tcPr>
            <w:tcW w:w="33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300" w:type="dxa"/>
            <w:vAlign w:val="bottom"/>
            <w:tcBorders>
              <w:top w:val="single" w:sz="8" w:color="auto"/>
            </w:tcBorders>
          </w:tcPr>
          <w:p>
            <w:pPr>
              <w:ind w:left="680"/>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3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ABBV</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16"/>
        </w:trPr>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Chicago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1.500% Senior Notes due 2023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ABBV23B</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1.375% Senior Notes due 2024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ABBV24</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1.250% Senior Notes due 2024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ABBV24B</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0.750% Senior Notes due 2027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ABBV27</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2.125% Senior Notes due 2028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ABBV28</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2.625% Senior Notes due 2028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ABBV28B</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2.125% Senior Notes due 2029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ABBV29</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1.250% Senior Notes due 2031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ABBV31</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Beginning in the first quarter of 2022, AbbVie Inc. (the “Company”) will modify its presentation of non-GAAP financial measures and begin to include the impact of upfront and milestone payments related to collaborations, licensing agreements, and other asset acquisitions in its reported non-GAAP financial measures. Additionally, the Company will change its classification of development milestone expense in the consolidated statement of earnings. Milestone payments incurred prior to regulatory approval, which were previously included in Research and development expense, will now be presented as Acquired IPR&amp;D and milestones expense. The Company believes this presentation will assist users of the financial statements to better understand the total upfront and subsequent development milestone payments incurred to acquire in-process research and development projects.</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Prior period results will be revised to conform to the new presentation. Furnished as Exhibit 99.1 to this Current Report on Form 8-K and incorporated herein by reference is a reconciliation of revised non-GAAP financial measures to the reported non-GAAP financial measures and GAAP financial measures for each of the quarters in the year ended December 31, 2021.</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Reported GAAP earnings and adjusted non-GAAP earnings for the first quarter of 2022 are expected to include Acquired IPR&amp;D and milestones expense of $145 million on a pre-tax and after-tax basis, representing an unfavorable impact of $0.08 to both GAAP diluted earnings per share and non-GAAP adjusted diluted earnings per share. Results for the quarter ended March 31, 2022 have not been finalized and are subject to our financial statement closing procedures. There can be no assurance that our final results will not differ from these preliminary estimates.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Current Report on Form 8-K, including Exhibit 99.1, shall not be deemed “filed” for the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statements in this Current Report on Form 8-K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the failure to realize the expected benefits of AbbVie’s acquisition of Allergan or to promptly and effectively integrate Allergan’s business,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2021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to release publicly any revisions to forward-looking statements as a result of subsequent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09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(d) Exhibits</w:t>
            </w:r>
          </w:p>
        </w:tc>
      </w:tr>
      <w:tr>
        <w:trPr>
          <w:trHeight w:val="432"/>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The following exhibits are included as part of this Current Report on Form 8-K:</w:t>
            </w:r>
          </w:p>
        </w:tc>
      </w:tr>
      <w:tr>
        <w:trPr>
          <w:trHeight w:val="410"/>
        </w:trPr>
        <w:tc>
          <w:tcPr>
            <w:tcW w:w="3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38"/>
        </w:trPr>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9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3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Revised reconciliation of reported GAAP and non-GAAP results to revised non-GAAP results for each of the quarter-to-date and</w:t>
            </w:r>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year-to-date periods in the year ended December 31, 2021.</w:t>
            </w: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tc>
      </w:tr>
      <w:tr>
        <w:trPr>
          <w:trHeight w:val="675"/>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0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3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4"/>
                <w:szCs w:val="14"/>
                <w:color w:val="auto"/>
              </w:rPr>
            </w:pPr>
          </w:p>
        </w:tc>
        <w:tc>
          <w:tcPr>
            <w:tcW w:w="1032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Revised reconciliation of reported GAAP and non-GAAP results to revised non-GAAP results for each of the quarter-to-date and year-to-date</w:t>
            </w:r>
          </w:p>
        </w:tc>
      </w:tr>
      <w:tr>
        <w:trPr>
          <w:trHeight w:val="196"/>
        </w:trPr>
        <w:tc>
          <w:tcPr>
            <w:tcW w:w="3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periods in the year ended December 31, 2021.</w:t>
            </w:r>
          </w:p>
        </w:tc>
        <w:tc>
          <w:tcPr>
            <w:tcW w:w="1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tc>
      </w:tr>
      <w:tr>
        <w:trPr>
          <w:trHeight w:val="675"/>
        </w:trPr>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40" w:right="6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ABBVIE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2022</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Robert A. Michael</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Robert A. Michael</w:t>
            </w:r>
          </w:p>
        </w:tc>
      </w:tr>
      <w:tr>
        <w:trPr>
          <w:trHeight w:val="216"/>
        </w:trPr>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Chairman, Finance and Commercial Operations and Chief</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AbbVie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Reconciliation of Reported GAAP and Non-GAAP Results to Revised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Quarter Ended March 31, 2021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Pr>
          <w:p>
            <w:pPr>
              <w:spacing w:after="0"/>
              <w:rPr>
                <w:sz w:val="19"/>
                <w:szCs w:val="19"/>
                <w:color w:val="auto"/>
              </w:rPr>
            </w:pPr>
          </w:p>
        </w:tc>
      </w:tr>
      <w:tr>
        <w:trPr>
          <w:trHeight w:val="250"/>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21"/>
                <w:szCs w:val="21"/>
                <w:color w:val="auto"/>
              </w:rPr>
            </w:pPr>
          </w:p>
        </w:tc>
        <w:tc>
          <w:tcPr>
            <w:tcW w:w="1040" w:type="dxa"/>
            <w:vAlign w:val="bottom"/>
          </w:tcPr>
          <w:p>
            <w:pPr>
              <w:jc w:val="center"/>
              <w:ind w:right="90"/>
              <w:spacing w:after="0" w:line="250" w:lineRule="exact"/>
              <w:rPr>
                <w:sz w:val="20"/>
                <w:szCs w:val="20"/>
                <w:color w:val="auto"/>
              </w:rPr>
            </w:pPr>
            <w:r>
              <w:rPr>
                <w:rFonts w:ascii="Times New Roman" w:cs="Times New Roman" w:eastAsia="Times New Roman" w:hAnsi="Times New Roman"/>
                <w:sz w:val="17"/>
                <w:szCs w:val="17"/>
                <w:b w:val="1"/>
                <w:bCs w:val="1"/>
                <w:color w:val="auto"/>
              </w:rPr>
              <w:t>After-tax</w:t>
            </w:r>
            <w:r>
              <w:rPr>
                <w:rFonts w:ascii="Times New Roman" w:cs="Times New Roman" w:eastAsia="Times New Roman" w:hAnsi="Times New Roman"/>
                <w:sz w:val="28"/>
                <w:szCs w:val="28"/>
                <w:b w:val="1"/>
                <w:bCs w:val="1"/>
                <w:color w:val="auto"/>
                <w:vertAlign w:val="superscript"/>
              </w:rPr>
              <w:t>b</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EPS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Specified items, as originally reported</w:t>
            </w: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2,141</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0.96</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as originally reported</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revised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Quarter Ended June 30, 2021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Pr>
          <w:p>
            <w:pPr>
              <w:spacing w:after="0"/>
              <w:rPr>
                <w:sz w:val="19"/>
                <w:szCs w:val="19"/>
                <w:color w:val="auto"/>
              </w:rPr>
            </w:pPr>
          </w:p>
        </w:tc>
      </w:tr>
      <w:tr>
        <w:trPr>
          <w:trHeight w:val="250"/>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21"/>
                <w:szCs w:val="21"/>
                <w:color w:val="auto"/>
              </w:rPr>
            </w:pPr>
          </w:p>
        </w:tc>
        <w:tc>
          <w:tcPr>
            <w:tcW w:w="1040" w:type="dxa"/>
            <w:vAlign w:val="bottom"/>
          </w:tcPr>
          <w:p>
            <w:pPr>
              <w:jc w:val="center"/>
              <w:ind w:right="90"/>
              <w:spacing w:after="0" w:line="250" w:lineRule="exact"/>
              <w:rPr>
                <w:sz w:val="20"/>
                <w:szCs w:val="20"/>
                <w:color w:val="auto"/>
              </w:rPr>
            </w:pPr>
            <w:r>
              <w:rPr>
                <w:rFonts w:ascii="Times New Roman" w:cs="Times New Roman" w:eastAsia="Times New Roman" w:hAnsi="Times New Roman"/>
                <w:sz w:val="17"/>
                <w:szCs w:val="17"/>
                <w:b w:val="1"/>
                <w:bCs w:val="1"/>
                <w:color w:val="auto"/>
              </w:rPr>
              <w:t>After-tax</w:t>
            </w:r>
            <w:r>
              <w:rPr>
                <w:rFonts w:ascii="Times New Roman" w:cs="Times New Roman" w:eastAsia="Times New Roman" w:hAnsi="Times New Roman"/>
                <w:sz w:val="28"/>
                <w:szCs w:val="28"/>
                <w:b w:val="1"/>
                <w:bCs w:val="1"/>
                <w:color w:val="auto"/>
                <w:vertAlign w:val="superscript"/>
              </w:rPr>
              <w:t>b</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EPS</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Specified items, as originally reported</w:t>
            </w: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5,195</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as originally reported</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revised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Quarter Ended September 30, 2021</w:t>
            </w:r>
          </w:p>
        </w:tc>
      </w:tr>
      <w:tr>
        <w:trPr>
          <w:trHeight w:val="223"/>
        </w:trPr>
        <w:tc>
          <w:tcPr>
            <w:tcW w:w="6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Pr>
          <w:p>
            <w:pPr>
              <w:spacing w:after="0"/>
              <w:rPr>
                <w:sz w:val="19"/>
                <w:szCs w:val="19"/>
                <w:color w:val="auto"/>
              </w:rPr>
            </w:pPr>
          </w:p>
        </w:tc>
      </w:tr>
      <w:tr>
        <w:trPr>
          <w:trHeight w:val="250"/>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21"/>
                <w:szCs w:val="21"/>
                <w:color w:val="auto"/>
              </w:rPr>
            </w:pPr>
          </w:p>
        </w:tc>
        <w:tc>
          <w:tcPr>
            <w:tcW w:w="1040" w:type="dxa"/>
            <w:vAlign w:val="bottom"/>
          </w:tcPr>
          <w:p>
            <w:pPr>
              <w:jc w:val="center"/>
              <w:ind w:right="90"/>
              <w:spacing w:after="0" w:line="250" w:lineRule="exact"/>
              <w:rPr>
                <w:sz w:val="20"/>
                <w:szCs w:val="20"/>
                <w:color w:val="auto"/>
              </w:rPr>
            </w:pPr>
            <w:r>
              <w:rPr>
                <w:rFonts w:ascii="Times New Roman" w:cs="Times New Roman" w:eastAsia="Times New Roman" w:hAnsi="Times New Roman"/>
                <w:sz w:val="17"/>
                <w:szCs w:val="17"/>
                <w:b w:val="1"/>
                <w:bCs w:val="1"/>
                <w:color w:val="auto"/>
              </w:rPr>
              <w:t>After-tax</w:t>
            </w:r>
            <w:r>
              <w:rPr>
                <w:rFonts w:ascii="Times New Roman" w:cs="Times New Roman" w:eastAsia="Times New Roman" w:hAnsi="Times New Roman"/>
                <w:sz w:val="28"/>
                <w:szCs w:val="28"/>
                <w:b w:val="1"/>
                <w:bCs w:val="1"/>
                <w:color w:val="auto"/>
                <w:vertAlign w:val="superscript"/>
              </w:rPr>
              <w:t>b</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EPS</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Specified items, as originally reported</w:t>
            </w: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3,128</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as originally reported</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revised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Quarter Ended December 31, 2021</w:t>
            </w:r>
          </w:p>
        </w:tc>
      </w:tr>
      <w:tr>
        <w:trPr>
          <w:trHeight w:val="223"/>
        </w:trPr>
        <w:tc>
          <w:tcPr>
            <w:tcW w:w="6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Pr>
          <w:p>
            <w:pPr>
              <w:spacing w:after="0"/>
              <w:rPr>
                <w:sz w:val="19"/>
                <w:szCs w:val="19"/>
                <w:color w:val="auto"/>
              </w:rPr>
            </w:pPr>
          </w:p>
        </w:tc>
      </w:tr>
      <w:tr>
        <w:trPr>
          <w:trHeight w:val="250"/>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21"/>
                <w:szCs w:val="21"/>
                <w:color w:val="auto"/>
              </w:rPr>
            </w:pPr>
          </w:p>
        </w:tc>
        <w:tc>
          <w:tcPr>
            <w:tcW w:w="1040" w:type="dxa"/>
            <w:vAlign w:val="bottom"/>
          </w:tcPr>
          <w:p>
            <w:pPr>
              <w:jc w:val="center"/>
              <w:ind w:right="90"/>
              <w:spacing w:after="0" w:line="250" w:lineRule="exact"/>
              <w:rPr>
                <w:sz w:val="20"/>
                <w:szCs w:val="20"/>
                <w:color w:val="auto"/>
              </w:rPr>
            </w:pPr>
            <w:r>
              <w:rPr>
                <w:rFonts w:ascii="Times New Roman" w:cs="Times New Roman" w:eastAsia="Times New Roman" w:hAnsi="Times New Roman"/>
                <w:sz w:val="17"/>
                <w:szCs w:val="17"/>
                <w:b w:val="1"/>
                <w:bCs w:val="1"/>
                <w:color w:val="auto"/>
              </w:rPr>
              <w:t>After-tax</w:t>
            </w:r>
            <w:r>
              <w:rPr>
                <w:rFonts w:ascii="Times New Roman" w:cs="Times New Roman" w:eastAsia="Times New Roman" w:hAnsi="Times New Roman"/>
                <w:sz w:val="28"/>
                <w:szCs w:val="28"/>
                <w:b w:val="1"/>
                <w:bCs w:val="1"/>
                <w:color w:val="auto"/>
                <w:vertAlign w:val="superscript"/>
              </w:rPr>
              <w:t>b</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EPS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Specified items, as originally reported</w:t>
            </w: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2,493</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as originally reported</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revised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2"/>
        </w:trPr>
        <w:tc>
          <w:tcPr>
            <w:tcW w:w="6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Pr>
          <w:p>
            <w:pPr>
              <w:spacing w:after="0"/>
              <w:rPr>
                <w:sz w:val="19"/>
                <w:szCs w:val="19"/>
                <w:color w:val="auto"/>
              </w:rPr>
            </w:pPr>
          </w:p>
        </w:tc>
      </w:tr>
      <w:tr>
        <w:trPr>
          <w:trHeight w:val="250"/>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21"/>
                <w:szCs w:val="21"/>
                <w:color w:val="auto"/>
              </w:rPr>
            </w:pPr>
          </w:p>
        </w:tc>
        <w:tc>
          <w:tcPr>
            <w:tcW w:w="1040" w:type="dxa"/>
            <w:vAlign w:val="bottom"/>
          </w:tcPr>
          <w:p>
            <w:pPr>
              <w:jc w:val="center"/>
              <w:ind w:right="90"/>
              <w:spacing w:after="0" w:line="250" w:lineRule="exact"/>
              <w:rPr>
                <w:sz w:val="20"/>
                <w:szCs w:val="20"/>
                <w:color w:val="auto"/>
              </w:rPr>
            </w:pPr>
            <w:r>
              <w:rPr>
                <w:rFonts w:ascii="Times New Roman" w:cs="Times New Roman" w:eastAsia="Times New Roman" w:hAnsi="Times New Roman"/>
                <w:sz w:val="17"/>
                <w:szCs w:val="17"/>
                <w:b w:val="1"/>
                <w:bCs w:val="1"/>
                <w:color w:val="auto"/>
              </w:rPr>
              <w:t>After-tax</w:t>
            </w:r>
            <w:r>
              <w:rPr>
                <w:rFonts w:ascii="Times New Roman" w:cs="Times New Roman" w:eastAsia="Times New Roman" w:hAnsi="Times New Roman"/>
                <w:sz w:val="28"/>
                <w:szCs w:val="28"/>
                <w:b w:val="1"/>
                <w:bCs w:val="1"/>
                <w:color w:val="auto"/>
                <w:vertAlign w:val="superscript"/>
              </w:rPr>
              <w:t>b</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EPS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Specified items, as originally reported</w:t>
            </w: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7,336</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as originally reported</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revised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2021</w:t>
            </w:r>
          </w:p>
        </w:tc>
      </w:tr>
      <w:tr>
        <w:trPr>
          <w:trHeight w:val="223"/>
        </w:trPr>
        <w:tc>
          <w:tcPr>
            <w:tcW w:w="6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Pr>
          <w:p>
            <w:pPr>
              <w:spacing w:after="0"/>
              <w:rPr>
                <w:sz w:val="19"/>
                <w:szCs w:val="19"/>
                <w:color w:val="auto"/>
              </w:rPr>
            </w:pPr>
          </w:p>
        </w:tc>
      </w:tr>
      <w:tr>
        <w:trPr>
          <w:trHeight w:val="250"/>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21"/>
                <w:szCs w:val="21"/>
                <w:color w:val="auto"/>
              </w:rPr>
            </w:pPr>
          </w:p>
        </w:tc>
        <w:tc>
          <w:tcPr>
            <w:tcW w:w="1040" w:type="dxa"/>
            <w:vAlign w:val="bottom"/>
          </w:tcPr>
          <w:p>
            <w:pPr>
              <w:jc w:val="center"/>
              <w:ind w:right="90"/>
              <w:spacing w:after="0" w:line="250" w:lineRule="exact"/>
              <w:rPr>
                <w:sz w:val="20"/>
                <w:szCs w:val="20"/>
                <w:color w:val="auto"/>
              </w:rPr>
            </w:pPr>
            <w:r>
              <w:rPr>
                <w:rFonts w:ascii="Times New Roman" w:cs="Times New Roman" w:eastAsia="Times New Roman" w:hAnsi="Times New Roman"/>
                <w:sz w:val="17"/>
                <w:szCs w:val="17"/>
                <w:b w:val="1"/>
                <w:bCs w:val="1"/>
                <w:color w:val="auto"/>
              </w:rPr>
              <w:t>After-tax</w:t>
            </w:r>
            <w:r>
              <w:rPr>
                <w:rFonts w:ascii="Times New Roman" w:cs="Times New Roman" w:eastAsia="Times New Roman" w:hAnsi="Times New Roman"/>
                <w:sz w:val="28"/>
                <w:szCs w:val="28"/>
                <w:b w:val="1"/>
                <w:bCs w:val="1"/>
                <w:color w:val="auto"/>
                <w:vertAlign w:val="superscript"/>
              </w:rPr>
              <w:t>b</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EPS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Specified items, as originally reported</w:t>
            </w: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10,464</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as originally reported</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(1,144)</w:t>
            </w:r>
          </w:p>
        </w:tc>
        <w:tc>
          <w:tcPr>
            <w:tcW w:w="18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(0.64)</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(non-GAAP), revised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2021</w:t>
            </w:r>
          </w:p>
        </w:tc>
      </w:tr>
      <w:tr>
        <w:trPr>
          <w:trHeight w:val="223"/>
        </w:trPr>
        <w:tc>
          <w:tcPr>
            <w:tcW w:w="6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Pr>
          <w:p>
            <w:pPr>
              <w:spacing w:after="0"/>
              <w:rPr>
                <w:sz w:val="19"/>
                <w:szCs w:val="19"/>
                <w:color w:val="auto"/>
              </w:rPr>
            </w:pPr>
          </w:p>
        </w:tc>
      </w:tr>
      <w:tr>
        <w:trPr>
          <w:trHeight w:val="250"/>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21"/>
                <w:szCs w:val="21"/>
                <w:color w:val="auto"/>
              </w:rPr>
            </w:pPr>
          </w:p>
        </w:tc>
        <w:tc>
          <w:tcPr>
            <w:tcW w:w="1040" w:type="dxa"/>
            <w:vAlign w:val="bottom"/>
          </w:tcPr>
          <w:p>
            <w:pPr>
              <w:jc w:val="center"/>
              <w:ind w:right="90"/>
              <w:spacing w:after="0" w:line="250" w:lineRule="exact"/>
              <w:rPr>
                <w:sz w:val="20"/>
                <w:szCs w:val="20"/>
                <w:color w:val="auto"/>
              </w:rPr>
            </w:pPr>
            <w:r>
              <w:rPr>
                <w:rFonts w:ascii="Times New Roman" w:cs="Times New Roman" w:eastAsia="Times New Roman" w:hAnsi="Times New Roman"/>
                <w:sz w:val="17"/>
                <w:szCs w:val="17"/>
                <w:b w:val="1"/>
                <w:bCs w:val="1"/>
                <w:color w:val="auto"/>
              </w:rPr>
              <w:t>After-tax</w:t>
            </w:r>
            <w:r>
              <w:rPr>
                <w:rFonts w:ascii="Times New Roman" w:cs="Times New Roman" w:eastAsia="Times New Roman" w:hAnsi="Times New Roman"/>
                <w:sz w:val="28"/>
                <w:szCs w:val="28"/>
                <w:b w:val="1"/>
                <w:bCs w:val="1"/>
                <w:color w:val="auto"/>
                <w:vertAlign w:val="superscript"/>
              </w:rPr>
              <w:t>b</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EPS</w:t>
            </w:r>
          </w:p>
        </w:tc>
      </w:tr>
      <w:tr>
        <w:trPr>
          <w:trHeight w:val="209"/>
        </w:trPr>
        <w:tc>
          <w:tcPr>
            <w:tcW w:w="67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Specified items, as originally reported</w:t>
            </w: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12,957</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0"/>
        </w:trPr>
        <w:tc>
          <w:tcPr>
            <w:tcW w:w="67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As adjusted (non-GAAP), as originally reported</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6760" w:type="dxa"/>
            <w:vAlign w:val="bottom"/>
          </w:tcPr>
          <w:p>
            <w:pPr>
              <w:ind w:left="26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(1,549)</w:t>
            </w:r>
          </w:p>
        </w:tc>
        <w:tc>
          <w:tcPr>
            <w:tcW w:w="18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(0.87)</w:t>
            </w:r>
          </w:p>
        </w:tc>
      </w:tr>
      <w:tr>
        <w:trPr>
          <w:trHeight w:val="223"/>
        </w:trPr>
        <w:tc>
          <w:tcPr>
            <w:tcW w:w="67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As adjusted (non-GAAP), revised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right="440" w:firstLine="8"/>
        <w:spacing w:after="0" w:line="195" w:lineRule="auto"/>
        <w:tabs>
          <w:tab w:leader="none" w:pos="111"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upfront and development milestone charges related to collaborations, licensing agreements, and other asset acquisitions, as well as inbound milestones.</w:t>
      </w:r>
    </w:p>
    <w:p>
      <w:pPr>
        <w:spacing w:after="0" w:line="129"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net earnings attributable to AbbVie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AbbVie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Reported GAAP and Non-GAAP Results to Revised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2021</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Cost of</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products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Acquired IPR&amp;D</w:t>
            </w:r>
          </w:p>
        </w:tc>
        <w:tc>
          <w:tcPr>
            <w:tcW w:w="16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Other operating</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Net revenues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R&amp;D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and milestones</w:t>
            </w: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 (income), net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(income), net</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As reported (GAAP)</w:t>
            </w:r>
            <w:r>
              <w:rPr>
                <w:rFonts w:ascii="Times New Roman" w:cs="Times New Roman" w:eastAsia="Times New Roman" w:hAnsi="Times New Roman"/>
                <w:sz w:val="29"/>
                <w:szCs w:val="29"/>
                <w:b w:val="1"/>
                <w:bCs w:val="1"/>
                <w:color w:val="auto"/>
                <w:vertAlign w:val="superscript"/>
              </w:rPr>
              <w:t>a</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vMerge w:val="continue"/>
            <w:shd w:val="clear" w:color="auto" w:fill="CCEEFF"/>
          </w:tcPr>
          <w:p>
            <w:pPr>
              <w:spacing w:after="0"/>
              <w:rPr>
                <w:sz w:val="20"/>
                <w:szCs w:val="20"/>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1"/>
        </w:trPr>
        <w:tc>
          <w:tcPr>
            <w:tcW w:w="2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Specified items, as originally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420" w:type="dxa"/>
            <w:vAlign w:val="bottom"/>
          </w:tcPr>
          <w:p>
            <w:pPr>
              <w:ind w:left="340"/>
              <w:spacing w:after="0" w:line="284" w:lineRule="exact"/>
              <w:rPr>
                <w:sz w:val="20"/>
                <w:szCs w:val="20"/>
                <w:color w:val="auto"/>
              </w:rPr>
            </w:pPr>
            <w:r>
              <w:rPr>
                <w:rFonts w:ascii="Times New Roman" w:cs="Times New Roman" w:eastAsia="Times New Roman" w:hAnsi="Times New Roman"/>
                <w:sz w:val="18"/>
                <w:szCs w:val="18"/>
                <w:color w:val="auto"/>
              </w:rPr>
              <w:t>reported</w:t>
            </w:r>
            <w:r>
              <w:rPr>
                <w:rFonts w:ascii="Times New Roman" w:cs="Times New Roman" w:eastAsia="Times New Roman" w:hAnsi="Times New Roman"/>
                <w:sz w:val="29"/>
                <w:szCs w:val="29"/>
                <w:color w:val="auto"/>
                <w:vertAlign w:val="superscript"/>
              </w:rPr>
              <w:t>a</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 as</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12,935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24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b</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13,010</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Quarter Ended June 30, 2021</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Cost of</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Acquired IPR&amp;D</w:t>
            </w:r>
          </w:p>
        </w:tc>
        <w:tc>
          <w:tcPr>
            <w:tcW w:w="160" w:type="dxa"/>
            <w:vAlign w:val="bottom"/>
          </w:tcPr>
          <w:p>
            <w:pPr>
              <w:spacing w:after="0"/>
              <w:rPr>
                <w:sz w:val="16"/>
                <w:szCs w:val="16"/>
                <w:color w:val="auto"/>
              </w:rPr>
            </w:pPr>
          </w:p>
        </w:tc>
        <w:tc>
          <w:tcPr>
            <w:tcW w:w="168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Other operating</w:t>
            </w:r>
          </w:p>
        </w:tc>
        <w:tc>
          <w:tcPr>
            <w:tcW w:w="10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5"/>
              </w:rPr>
              <w:t>Other expense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products sold</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SG&amp;A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R&amp;D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and milestones</w:t>
            </w: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 (income), net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(income), net</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As reported (GAAP)</w:t>
            </w:r>
            <w:r>
              <w:rPr>
                <w:rFonts w:ascii="Times New Roman" w:cs="Times New Roman" w:eastAsia="Times New Roman" w:hAnsi="Times New Roman"/>
                <w:sz w:val="29"/>
                <w:szCs w:val="29"/>
                <w:b w:val="1"/>
                <w:bCs w:val="1"/>
                <w:color w:val="auto"/>
                <w:vertAlign w:val="superscript"/>
              </w:rPr>
              <w:t>a</w:t>
            </w: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01"/>
        </w:trPr>
        <w:tc>
          <w:tcPr>
            <w:tcW w:w="2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Specified items, as originally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42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reported</w:t>
            </w:r>
            <w:r>
              <w:rPr>
                <w:rFonts w:ascii="Times New Roman" w:cs="Times New Roman" w:eastAsia="Times New Roman" w:hAnsi="Times New Roman"/>
                <w:sz w:val="29"/>
                <w:szCs w:val="29"/>
                <w:color w:val="auto"/>
                <w:vertAlign w:val="superscript"/>
              </w:rPr>
              <w:t>a</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 as</w:t>
            </w: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13,959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24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b</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w:t>
            </w: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1,583</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Quarter Ended September 30, 2021</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Cost of</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products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Acquired IPR&amp;D</w:t>
            </w:r>
          </w:p>
        </w:tc>
        <w:tc>
          <w:tcPr>
            <w:tcW w:w="16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Other operating</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Net revenues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R&amp;D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and milestones</w:t>
            </w: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 (income), net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(income), net</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As reported (GAAP)</w:t>
            </w:r>
            <w:r>
              <w:rPr>
                <w:rFonts w:ascii="Times New Roman" w:cs="Times New Roman" w:eastAsia="Times New Roman" w:hAnsi="Times New Roman"/>
                <w:sz w:val="29"/>
                <w:szCs w:val="29"/>
                <w:b w:val="1"/>
                <w:bCs w:val="1"/>
                <w:color w:val="auto"/>
                <w:vertAlign w:val="superscript"/>
              </w:rPr>
              <w:t>a</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vMerge w:val="continue"/>
            <w:shd w:val="clear" w:color="auto" w:fill="CCEEFF"/>
          </w:tcPr>
          <w:p>
            <w:pPr>
              <w:spacing w:after="0"/>
              <w:rPr>
                <w:sz w:val="20"/>
                <w:szCs w:val="20"/>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14,342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1,661</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1"/>
        </w:trPr>
        <w:tc>
          <w:tcPr>
            <w:tcW w:w="2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Specified items, as originally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420" w:type="dxa"/>
            <w:vAlign w:val="bottom"/>
          </w:tcPr>
          <w:p>
            <w:pPr>
              <w:ind w:left="340"/>
              <w:spacing w:after="0" w:line="284" w:lineRule="exact"/>
              <w:rPr>
                <w:sz w:val="20"/>
                <w:szCs w:val="20"/>
                <w:color w:val="auto"/>
              </w:rPr>
            </w:pPr>
            <w:r>
              <w:rPr>
                <w:rFonts w:ascii="Times New Roman" w:cs="Times New Roman" w:eastAsia="Times New Roman" w:hAnsi="Times New Roman"/>
                <w:sz w:val="18"/>
                <w:szCs w:val="18"/>
                <w:color w:val="auto"/>
              </w:rPr>
              <w:t>reported</w:t>
            </w:r>
            <w:r>
              <w:rPr>
                <w:rFonts w:ascii="Times New Roman" w:cs="Times New Roman" w:eastAsia="Times New Roman" w:hAnsi="Times New Roman"/>
                <w:sz w:val="29"/>
                <w:szCs w:val="29"/>
                <w:color w:val="auto"/>
                <w:vertAlign w:val="superscript"/>
              </w:rPr>
              <w:t>a</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24"/>
                <w:szCs w:val="24"/>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 as</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14,342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24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b</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14,342</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Quarter Ended December 31, 2021</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of</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products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Acquired IPR&amp;D</w:t>
            </w:r>
          </w:p>
        </w:tc>
        <w:tc>
          <w:tcPr>
            <w:tcW w:w="16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Other operating</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Net revenues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sold</w:t>
            </w: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R&amp;D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and milestones</w:t>
            </w: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 (income), net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(income), net</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As reported (GAAP)</w:t>
            </w:r>
            <w:r>
              <w:rPr>
                <w:rFonts w:ascii="Times New Roman" w:cs="Times New Roman" w:eastAsia="Times New Roman" w:hAnsi="Times New Roman"/>
                <w:sz w:val="29"/>
                <w:szCs w:val="29"/>
                <w:b w:val="1"/>
                <w:bCs w:val="1"/>
                <w:color w:val="auto"/>
                <w:vertAlign w:val="superscript"/>
              </w:rPr>
              <w:t>a</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20" w:type="dxa"/>
            <w:vAlign w:val="bottom"/>
            <w:vMerge w:val="continue"/>
            <w:shd w:val="clear" w:color="auto" w:fill="CCEEFF"/>
          </w:tcPr>
          <w:p>
            <w:pPr>
              <w:spacing w:after="0"/>
              <w:rPr>
                <w:sz w:val="20"/>
                <w:szCs w:val="20"/>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1"/>
        </w:trPr>
        <w:tc>
          <w:tcPr>
            <w:tcW w:w="2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Specified items, as originally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420" w:type="dxa"/>
            <w:vAlign w:val="bottom"/>
          </w:tcPr>
          <w:p>
            <w:pPr>
              <w:ind w:left="340"/>
              <w:spacing w:after="0" w:line="284" w:lineRule="exact"/>
              <w:rPr>
                <w:sz w:val="20"/>
                <w:szCs w:val="20"/>
                <w:color w:val="auto"/>
              </w:rPr>
            </w:pPr>
            <w:r>
              <w:rPr>
                <w:rFonts w:ascii="Times New Roman" w:cs="Times New Roman" w:eastAsia="Times New Roman" w:hAnsi="Times New Roman"/>
                <w:sz w:val="18"/>
                <w:szCs w:val="18"/>
                <w:color w:val="auto"/>
              </w:rPr>
              <w:t>reported</w:t>
            </w:r>
            <w:r>
              <w:rPr>
                <w:rFonts w:ascii="Times New Roman" w:cs="Times New Roman" w:eastAsia="Times New Roman" w:hAnsi="Times New Roman"/>
                <w:sz w:val="29"/>
                <w:szCs w:val="29"/>
                <w:color w:val="auto"/>
                <w:vertAlign w:val="superscript"/>
              </w:rPr>
              <w:t>a</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 as</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24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b</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hanging="161"/>
        <w:spacing w:after="0" w:line="227" w:lineRule="auto"/>
        <w:rPr>
          <w:sz w:val="20"/>
          <w:szCs w:val="20"/>
          <w:color w:val="auto"/>
        </w:rPr>
      </w:pPr>
      <w:r>
        <w:rPr>
          <w:rFonts w:ascii="Times New Roman" w:cs="Times New Roman" w:eastAsia="Times New Roman" w:hAnsi="Times New Roman"/>
          <w:sz w:val="17"/>
          <w:szCs w:val="17"/>
          <w:b w:val="1"/>
          <w:bCs w:val="1"/>
          <w:color w:val="auto"/>
        </w:rPr>
        <w:t>As reported (GAAP)</w:t>
      </w:r>
      <w:r>
        <w:rPr>
          <w:rFonts w:ascii="Times New Roman" w:cs="Times New Roman" w:eastAsia="Times New Roman" w:hAnsi="Times New Roman"/>
          <w:sz w:val="28"/>
          <w:szCs w:val="28"/>
          <w:b w:val="1"/>
          <w:bCs w:val="1"/>
          <w:color w:val="auto"/>
          <w:vertAlign w:val="superscript"/>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Specified items, as originally</w:t>
      </w:r>
    </w:p>
    <w:p>
      <w:pPr>
        <w:ind w:left="340"/>
        <w:spacing w:after="0" w:line="196" w:lineRule="auto"/>
        <w:rPr>
          <w:sz w:val="20"/>
          <w:szCs w:val="20"/>
          <w:color w:val="auto"/>
        </w:rPr>
      </w:pPr>
      <w:r>
        <w:rPr>
          <w:rFonts w:ascii="Times New Roman" w:cs="Times New Roman" w:eastAsia="Times New Roman" w:hAnsi="Times New Roman"/>
          <w:sz w:val="18"/>
          <w:szCs w:val="18"/>
          <w:color w:val="auto"/>
        </w:rPr>
        <w:t>reported</w:t>
      </w:r>
      <w:r>
        <w:rPr>
          <w:rFonts w:ascii="Times New Roman" w:cs="Times New Roman" w:eastAsia="Times New Roman" w:hAnsi="Times New Roman"/>
          <w:sz w:val="29"/>
          <w:szCs w:val="29"/>
          <w:color w:val="auto"/>
          <w:vertAlign w:val="superscript"/>
        </w:rPr>
        <w:t>a</w:t>
      </w:r>
    </w:p>
    <w:p>
      <w:pPr>
        <w:spacing w:after="0" w:line="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b w:val="1"/>
          <w:bCs w:val="1"/>
          <w:color w:val="auto"/>
        </w:rPr>
        <w:t>As adjusted (non-GAAP), as originally reported</w:t>
      </w:r>
    </w:p>
    <w:p>
      <w:pPr>
        <w:ind w:left="180"/>
        <w:spacing w:after="0" w:line="196" w:lineRule="auto"/>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b</w:t>
      </w:r>
    </w:p>
    <w:p>
      <w:pPr>
        <w:ind w:right="280"/>
        <w:spacing w:after="0" w:line="258" w:lineRule="auto"/>
        <w:rPr>
          <w:sz w:val="20"/>
          <w:szCs w:val="20"/>
          <w:color w:val="auto"/>
        </w:rPr>
      </w:pPr>
      <w:r>
        <w:rPr>
          <w:rFonts w:ascii="Times New Roman" w:cs="Times New Roman" w:eastAsia="Times New Roman" w:hAnsi="Times New Roman"/>
          <w:sz w:val="18"/>
          <w:szCs w:val="18"/>
          <w:b w:val="1"/>
          <w:bCs w:val="1"/>
          <w:color w:val="auto"/>
        </w:rPr>
        <w:t>As adjusted (non-GAAP),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hanging="161"/>
        <w:spacing w:after="0" w:line="227" w:lineRule="auto"/>
        <w:rPr>
          <w:sz w:val="20"/>
          <w:szCs w:val="20"/>
          <w:color w:val="auto"/>
        </w:rPr>
      </w:pPr>
      <w:r>
        <w:rPr>
          <w:rFonts w:ascii="Times New Roman" w:cs="Times New Roman" w:eastAsia="Times New Roman" w:hAnsi="Times New Roman"/>
          <w:sz w:val="17"/>
          <w:szCs w:val="17"/>
          <w:b w:val="1"/>
          <w:bCs w:val="1"/>
          <w:color w:val="auto"/>
        </w:rPr>
        <w:t>As reported (GAAP)</w:t>
      </w:r>
      <w:r>
        <w:rPr>
          <w:rFonts w:ascii="Times New Roman" w:cs="Times New Roman" w:eastAsia="Times New Roman" w:hAnsi="Times New Roman"/>
          <w:sz w:val="28"/>
          <w:szCs w:val="28"/>
          <w:b w:val="1"/>
          <w:bCs w:val="1"/>
          <w:color w:val="auto"/>
          <w:vertAlign w:val="superscript"/>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Specified items, as originally</w:t>
      </w:r>
    </w:p>
    <w:p>
      <w:pPr>
        <w:ind w:left="340"/>
        <w:spacing w:after="0" w:line="196" w:lineRule="auto"/>
        <w:rPr>
          <w:sz w:val="20"/>
          <w:szCs w:val="20"/>
          <w:color w:val="auto"/>
        </w:rPr>
      </w:pPr>
      <w:r>
        <w:rPr>
          <w:rFonts w:ascii="Times New Roman" w:cs="Times New Roman" w:eastAsia="Times New Roman" w:hAnsi="Times New Roman"/>
          <w:sz w:val="18"/>
          <w:szCs w:val="18"/>
          <w:color w:val="auto"/>
        </w:rPr>
        <w:t>reported</w:t>
      </w:r>
      <w:r>
        <w:rPr>
          <w:rFonts w:ascii="Times New Roman" w:cs="Times New Roman" w:eastAsia="Times New Roman" w:hAnsi="Times New Roman"/>
          <w:sz w:val="29"/>
          <w:szCs w:val="29"/>
          <w:color w:val="auto"/>
          <w:vertAlign w:val="superscript"/>
        </w:rPr>
        <w:t>a</w:t>
      </w:r>
    </w:p>
    <w:p>
      <w:pPr>
        <w:spacing w:after="0" w:line="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b w:val="1"/>
          <w:bCs w:val="1"/>
          <w:color w:val="auto"/>
        </w:rPr>
        <w:t>As adjusted (non-GAAP), as originally reported</w:t>
      </w:r>
    </w:p>
    <w:p>
      <w:pPr>
        <w:ind w:left="180"/>
        <w:spacing w:after="0" w:line="196" w:lineRule="auto"/>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b</w:t>
      </w:r>
    </w:p>
    <w:p>
      <w:pPr>
        <w:ind w:right="280"/>
        <w:spacing w:after="0" w:line="258" w:lineRule="auto"/>
        <w:rPr>
          <w:sz w:val="20"/>
          <w:szCs w:val="20"/>
          <w:color w:val="auto"/>
        </w:rPr>
      </w:pPr>
      <w:r>
        <w:rPr>
          <w:rFonts w:ascii="Times New Roman" w:cs="Times New Roman" w:eastAsia="Times New Roman" w:hAnsi="Times New Roman"/>
          <w:sz w:val="18"/>
          <w:szCs w:val="18"/>
          <w:b w:val="1"/>
          <w:bCs w:val="1"/>
          <w:color w:val="auto"/>
        </w:rPr>
        <w:t>As adjusted (non-GAAP), revised</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of</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products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Acquired IPR&amp;D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Other operating</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Net revenues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sold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SG&amp;A</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R&amp;D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 milestones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 (income), net</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net</w:t>
            </w:r>
          </w:p>
        </w:tc>
      </w:tr>
      <w:tr>
        <w:trPr>
          <w:trHeight w:val="20"/>
        </w:trPr>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8,736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60" w:type="dxa"/>
            <w:vAlign w:val="bottom"/>
          </w:tcPr>
          <w:p>
            <w:pPr>
              <w:spacing w:after="0"/>
              <w:rPr>
                <w:sz w:val="20"/>
                <w:szCs w:val="20"/>
                <w:color w:val="auto"/>
              </w:rPr>
            </w:pPr>
          </w:p>
        </w:tc>
      </w:tr>
      <w:tr>
        <w:trPr>
          <w:trHeight w:val="486"/>
        </w:trPr>
        <w:tc>
          <w:tcPr>
            <w:tcW w:w="3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0"/>
        </w:trPr>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3,088</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2021</w:t>
            </w: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products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Acquired IPR&amp;D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Other operating</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Net revenues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sold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SG&amp;A</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R&amp;D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 milestones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 (income), net</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net</w:t>
            </w:r>
          </w:p>
        </w:tc>
      </w:tr>
      <w:tr>
        <w:trPr>
          <w:trHeight w:val="20"/>
        </w:trPr>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13,126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9,089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5,095</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60" w:type="dxa"/>
            <w:vAlign w:val="bottom"/>
          </w:tcPr>
          <w:p>
            <w:pPr>
              <w:spacing w:after="0"/>
              <w:rPr>
                <w:sz w:val="20"/>
                <w:szCs w:val="20"/>
                <w:color w:val="auto"/>
              </w:rPr>
            </w:pPr>
          </w:p>
        </w:tc>
      </w:tr>
      <w:tr>
        <w:trPr>
          <w:trHeight w:val="486"/>
        </w:trPr>
        <w:tc>
          <w:tcPr>
            <w:tcW w:w="3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3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0"/>
        </w:trPr>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0"/>
        </w:trPr>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4,720</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-3188335</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-2716530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-2270760</wp:posOffset>
            </wp:positionV>
            <wp:extent cx="713232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-1233805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-762000</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-316865</wp:posOffset>
            </wp:positionV>
            <wp:extent cx="713232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320"/>
            <w:col w:w="8660"/>
          </w:cols>
          <w:pgMar w:left="320" w:top="941" w:right="339" w:bottom="1440" w:gutter="0" w:footer="0" w:header="0"/>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2021</w:t>
            </w:r>
          </w:p>
        </w:tc>
        <w:tc>
          <w:tcPr>
            <w:tcW w:w="1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Cost of</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Acquired IPR&amp;D</w:t>
            </w:r>
          </w:p>
        </w:tc>
        <w:tc>
          <w:tcPr>
            <w:tcW w:w="180" w:type="dxa"/>
            <w:vAlign w:val="bottom"/>
          </w:tcPr>
          <w:p>
            <w:pPr>
              <w:spacing w:after="0"/>
              <w:rPr>
                <w:sz w:val="16"/>
                <w:szCs w:val="16"/>
                <w:color w:val="auto"/>
              </w:rPr>
            </w:pPr>
          </w:p>
        </w:tc>
        <w:tc>
          <w:tcPr>
            <w:tcW w:w="166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 operating</w:t>
            </w:r>
          </w:p>
        </w:tc>
        <w:tc>
          <w:tcPr>
            <w:tcW w:w="10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5"/>
              </w:rPr>
              <w:t>Other expense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products sold</w:t>
            </w: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SG&amp;A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R&amp;D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and milestones</w:t>
            </w: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 (income), net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(income), net</w:t>
            </w: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As reported (GAAP)</w:t>
            </w:r>
            <w:r>
              <w:rPr>
                <w:rFonts w:ascii="Times New Roman" w:cs="Times New Roman" w:eastAsia="Times New Roman" w:hAnsi="Times New Roman"/>
                <w:sz w:val="29"/>
                <w:szCs w:val="29"/>
                <w:b w:val="1"/>
                <w:bCs w:val="1"/>
                <w:color w:val="auto"/>
                <w:vertAlign w:val="superscript"/>
              </w:rPr>
              <w:t>a</w:t>
            </w: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56,197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12,349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6,922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01"/>
        </w:trPr>
        <w:tc>
          <w:tcPr>
            <w:tcW w:w="23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Specified items, as originally</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340" w:type="dxa"/>
            <w:vAlign w:val="bottom"/>
          </w:tcPr>
          <w:p>
            <w:pPr>
              <w:ind w:left="340"/>
              <w:spacing w:after="0" w:line="284" w:lineRule="exact"/>
              <w:rPr>
                <w:sz w:val="20"/>
                <w:szCs w:val="20"/>
                <w:color w:val="auto"/>
              </w:rPr>
            </w:pPr>
            <w:r>
              <w:rPr>
                <w:rFonts w:ascii="Times New Roman" w:cs="Times New Roman" w:eastAsia="Times New Roman" w:hAnsi="Times New Roman"/>
                <w:sz w:val="18"/>
                <w:szCs w:val="18"/>
                <w:color w:val="auto"/>
              </w:rPr>
              <w:t>reported</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tcPr>
          <w:p>
            <w:pPr>
              <w:spacing w:after="0"/>
              <w:rPr>
                <w:sz w:val="24"/>
                <w:szCs w:val="24"/>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3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174"/>
        </w:trPr>
        <w:tc>
          <w:tcPr>
            <w:tcW w:w="23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 as</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56,122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11,964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0"/>
        </w:trPr>
        <w:tc>
          <w:tcPr>
            <w:tcW w:w="23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Previously specified items</w:t>
            </w:r>
            <w:r>
              <w:rPr>
                <w:rFonts w:ascii="Times New Roman" w:cs="Times New Roman" w:eastAsia="Times New Roman" w:hAnsi="Times New Roman"/>
                <w:sz w:val="29"/>
                <w:szCs w:val="29"/>
                <w:color w:val="auto"/>
                <w:vertAlign w:val="superscript"/>
              </w:rPr>
              <w:t>b</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tcPr>
          <w:p>
            <w:pPr>
              <w:spacing w:after="0"/>
              <w:rPr>
                <w:sz w:val="23"/>
                <w:szCs w:val="2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3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adjusted (non-GAAP),</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56,197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11,964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20" w:firstLine="8"/>
        <w:spacing w:after="0" w:line="195" w:lineRule="auto"/>
        <w:tabs>
          <w:tab w:leader="none" w:pos="111"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Development milestone charges related to collaborations, licensing agreements, and other asset acquisitions have been reclassified to the acquired IPR&amp;D and milestones line beginning in the first quarter of 2022. Prior period results have been revised for comparability.</w:t>
      </w:r>
    </w:p>
    <w:p>
      <w:pPr>
        <w:spacing w:after="0" w:line="240" w:lineRule="exact"/>
        <w:rPr>
          <w:sz w:val="20"/>
          <w:szCs w:val="20"/>
          <w:color w:val="auto"/>
        </w:rPr>
      </w:pPr>
    </w:p>
    <w:p>
      <w:pPr>
        <w:ind w:right="440" w:firstLine="8"/>
        <w:spacing w:after="0" w:line="195"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upfront and development milestone charges related to collaborations, licensing agreements, and other asset acquisitions, as well as inbound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a"/>
      <w:numFmt w:val="bullet"/>
      <w:start w:val="1"/>
    </w:lvl>
  </w:abstractNum>
  <w:abstractNum w:abstractNumId="2">
    <w:nsid w:val="625558EC"/>
    <w:multiLevelType w:val="hybridMultilevel"/>
    <w:lvl w:ilvl="0">
      <w:lvlJc w:val="left"/>
      <w:lvlText w:val="b"/>
      <w:numFmt w:val="bullet"/>
      <w:start w:val="1"/>
    </w:lvl>
  </w:abstractNum>
  <w:abstractNum w:abstractNumId="3">
    <w:nsid w:val="238E1F29"/>
    <w:multiLevelType w:val="hybridMultilevel"/>
    <w:lvl w:ilvl="0">
      <w:lvlJc w:val="left"/>
      <w:lvlText w:val="a"/>
      <w:numFmt w:val="bullet"/>
      <w:start w:val="1"/>
    </w:lvl>
  </w:abstractNum>
  <w:abstractNum w:abstractNumId="4">
    <w:nsid w:val="46E87CCD"/>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2022-04-21T16:25:56Z</dcterms:created>
  <dcterms:modified xsi:type="dcterms:W3CDTF">2022-04-21T16:25:56Z</dcterms:modified>
</cp:coreProperties>
</file>