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LIDDY EDWARD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AbbVie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ABBV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0000FF"/>
                <w:w w:val="99"/>
              </w:rPr>
              <w:t>X</w:t>
            </w:r>
          </w:p>
        </w:tc>
        <w:tc>
          <w:tcPr>
            <w:tcW w:w="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14"/>
                <w:szCs w:val="14"/>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 N. WAUKEGAN ROAD</w:t>
            </w:r>
          </w:p>
        </w:tc>
        <w:tc>
          <w:tcPr>
            <w:tcW w:w="1200" w:type="dxa"/>
            <w:vAlign w:val="bottom"/>
          </w:tcPr>
          <w:p>
            <w:pPr>
              <w:spacing w:after="0"/>
              <w:rPr>
                <w:sz w:val="19"/>
                <w:szCs w:val="19"/>
                <w:color w:val="auto"/>
              </w:rPr>
            </w:pPr>
          </w:p>
        </w:tc>
        <w:tc>
          <w:tcPr>
            <w:tcW w:w="1280" w:type="dxa"/>
            <w:vAlign w:val="bottom"/>
            <w:gridSpan w:val="5"/>
          </w:tcPr>
          <w:p>
            <w:pPr>
              <w:ind w:left="240"/>
              <w:spacing w:after="0"/>
              <w:rPr>
                <w:sz w:val="20"/>
                <w:szCs w:val="20"/>
                <w:color w:val="auto"/>
              </w:rPr>
            </w:pPr>
            <w:r>
              <w:rPr>
                <w:rFonts w:ascii="Arial" w:cs="Arial" w:eastAsia="Arial" w:hAnsi="Arial"/>
                <w:sz w:val="18"/>
                <w:szCs w:val="18"/>
                <w:color w:val="0000FF"/>
              </w:rPr>
              <w:t>03/31/2017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gridSpan w:val="2"/>
          </w:tcPr>
          <w:p>
            <w:pPr>
              <w:spacing w:after="0"/>
              <w:rPr>
                <w:sz w:val="12"/>
                <w:szCs w:val="12"/>
                <w:color w:val="auto"/>
              </w:rPr>
            </w:pPr>
          </w:p>
        </w:tc>
        <w:tc>
          <w:tcPr>
            <w:tcW w:w="2580" w:type="dxa"/>
            <w:vAlign w:val="bottom"/>
            <w:tcBorders>
              <w:bottom w:val="single" w:sz="8" w:color="2C2C2C"/>
            </w:tcBorders>
            <w:gridSpan w:val="6"/>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4"/>
                <w:szCs w:val="4"/>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20" w:type="dxa"/>
            <w:vAlign w:val="bottom"/>
            <w:gridSpan w:val="8"/>
            <w:vMerge w:val="continue"/>
          </w:tcPr>
          <w:p>
            <w:pPr>
              <w:spacing w:after="0"/>
              <w:rPr>
                <w:sz w:val="11"/>
                <w:szCs w:val="11"/>
                <w:color w:val="auto"/>
              </w:rPr>
            </w:pPr>
          </w:p>
        </w:tc>
        <w:tc>
          <w:tcPr>
            <w:tcW w:w="280" w:type="dxa"/>
            <w:vAlign w:val="bottom"/>
          </w:tcPr>
          <w:p>
            <w:pPr>
              <w:spacing w:after="0"/>
              <w:rPr>
                <w:sz w:val="11"/>
                <w:szCs w:val="11"/>
                <w:color w:val="auto"/>
              </w:rPr>
            </w:pPr>
          </w:p>
        </w:tc>
        <w:tc>
          <w:tcPr>
            <w:tcW w:w="3440" w:type="dxa"/>
            <w:vAlign w:val="bottom"/>
            <w:gridSpan w:val="8"/>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0000FF"/>
                <w:w w:val="99"/>
              </w:rPr>
              <w:t>NORTH</w:t>
            </w:r>
          </w:p>
        </w:tc>
        <w:tc>
          <w:tcPr>
            <w:tcW w:w="560" w:type="dxa"/>
            <w:vAlign w:val="bottom"/>
          </w:tcPr>
          <w:p>
            <w:pPr>
              <w:spacing w:after="0"/>
              <w:rPr>
                <w:sz w:val="18"/>
                <w:szCs w:val="18"/>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0000FF"/>
              </w:rPr>
              <w:t>IL</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60064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CHICAGO</w:t>
            </w:r>
          </w:p>
        </w:tc>
        <w:tc>
          <w:tcPr>
            <w:tcW w:w="2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2860" w:type="dxa"/>
            <w:vAlign w:val="bottom"/>
            <w:tcBorders>
              <w:bottom w:val="single" w:sz="8" w:color="2C2C2C"/>
            </w:tcBorders>
            <w:gridSpan w:val="7"/>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9"/>
          </w:tcPr>
          <w:p>
            <w:pPr>
              <w:ind w:left="3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3120" w:type="dxa"/>
            <w:vAlign w:val="bottom"/>
            <w:tcBorders>
              <w:bottom w:val="single" w:sz="8" w:color="2C2C2C"/>
            </w:tcBorders>
            <w:gridSpan w:val="8"/>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8"/>
          </w:tcPr>
          <w:p>
            <w:pPr>
              <w:jc w:val="right"/>
              <w:ind w:right="56"/>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760" w:type="dxa"/>
            <w:vAlign w:val="bottom"/>
            <w:gridSpan w:val="15"/>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240"/>
              <w:spacing w:after="0"/>
              <w:rPr>
                <w:sz w:val="20"/>
                <w:szCs w:val="20"/>
                <w:color w:val="auto"/>
              </w:rPr>
            </w:pPr>
            <w:r>
              <w:rPr>
                <w:rFonts w:ascii="Arial" w:cs="Arial" w:eastAsia="Arial" w:hAnsi="Arial"/>
                <w:sz w:val="24"/>
                <w:szCs w:val="24"/>
                <w:color w:val="000000"/>
                <w:w w:val="92"/>
                <w:vertAlign w:val="subscript"/>
              </w:rPr>
              <w:t>$</w:t>
            </w:r>
            <w:r>
              <w:rPr>
                <w:rFonts w:ascii="Arial" w:cs="Arial" w:eastAsia="Arial" w:hAnsi="Arial"/>
                <w:sz w:val="27"/>
                <w:szCs w:val="27"/>
                <w:color w:val="0000FF"/>
                <w:w w:val="92"/>
                <w:vertAlign w:val="subscript"/>
              </w:rPr>
              <w:t>0</w:t>
            </w:r>
            <w:r>
              <w:rPr>
                <w:rFonts w:ascii="Arial" w:cs="Arial" w:eastAsia="Arial" w:hAnsi="Arial"/>
                <w:sz w:val="11"/>
                <w:szCs w:val="11"/>
                <w:color w:val="008000"/>
                <w:w w:val="92"/>
              </w:rPr>
              <w:t>(1)</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479</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0000FF"/>
                <w:w w:val="78"/>
              </w:rPr>
              <w:t>18,083</w:t>
            </w:r>
            <w:r>
              <w:rPr>
                <w:rFonts w:ascii="Arial" w:cs="Arial" w:eastAsia="Arial" w:hAnsi="Arial"/>
                <w:sz w:val="22"/>
                <w:szCs w:val="22"/>
                <w:color w:val="008000"/>
                <w:w w:val="78"/>
                <w:vertAlign w:val="superscript"/>
              </w:rPr>
              <w:t>(2)</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Equivalent</w:t>
            </w: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03/31/2017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6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479</w:t>
            </w: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restart"/>
          </w:tcPr>
          <w:p>
            <w:pPr>
              <w:jc w:val="right"/>
              <w:ind w:right="176"/>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65.16</w:t>
            </w:r>
          </w:p>
        </w:tc>
        <w:tc>
          <w:tcPr>
            <w:tcW w:w="680" w:type="dxa"/>
            <w:vAlign w:val="bottom"/>
            <w:vMerge w:val="continue"/>
          </w:tcPr>
          <w:p>
            <w:pPr>
              <w:spacing w:after="0"/>
              <w:rPr>
                <w:sz w:val="5"/>
                <w:szCs w:val="5"/>
                <w:color w:val="auto"/>
              </w:rPr>
            </w:pP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Director fees credited to stock equivalent unit accounts established by the director at Abbott Laboratories and AbbVie. The stock equivalent units in the Abbott account will be paid, in cash, generally at age</w:t>
      </w:r>
    </w:p>
    <w:p>
      <w:pPr>
        <w:spacing w:after="0" w:line="22" w:lineRule="exact"/>
        <w:rPr>
          <w:rFonts w:ascii="Arial" w:cs="Arial" w:eastAsia="Arial" w:hAnsi="Arial"/>
          <w:sz w:val="12"/>
          <w:szCs w:val="12"/>
          <w:color w:val="008000"/>
        </w:rPr>
      </w:pPr>
    </w:p>
    <w:p>
      <w:pPr>
        <w:ind w:left="40" w:right="180" w:firstLine="9"/>
        <w:spacing w:after="0" w:line="230" w:lineRule="auto"/>
        <w:tabs>
          <w:tab w:leader="none" w:pos="209"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or upon retirement from Abbott's board, and the stock equivalent units in the AbbVie account will be paid, in cash, generally at age 65 or upon retirement from AbbVie's board. The stock equivalent units in each account earn the same return as if the fees were invested in AbbVie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Balance includes stock equivalent units acquired pursuant to a dividend equivalent reinvestment feature.</w:t>
      </w:r>
    </w:p>
    <w:p>
      <w:pPr>
        <w:ind w:left="6860"/>
        <w:spacing w:after="0" w:line="184"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4"/>
          <w:szCs w:val="34"/>
          <w:color w:val="0000FF"/>
          <w:vertAlign w:val="subscript"/>
        </w:rPr>
        <w:t>04/04/2017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5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Edward M. Liddy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72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2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65"/>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983"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2019-12-23T22:22:15Z</dcterms:created>
  <dcterms:modified xsi:type="dcterms:W3CDTF">2019-12-23T22:22:15Z</dcterms:modified>
</cp:coreProperties>
</file>