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_____________________________________________________</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30, 2021</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ABBVIE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183" w:right="339" w:bottom="1440" w:gutter="0" w:footer="0" w:header="0"/>
        </w:sectPr>
      </w:pPr>
    </w:p>
    <w:p>
      <w:pPr>
        <w:spacing w:after="0" w:line="28"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Delaware</w:t>
      </w:r>
    </w:p>
    <w:p>
      <w:pPr>
        <w:spacing w:after="0" w:line="45" w:lineRule="exact"/>
        <w:rPr>
          <w:sz w:val="24"/>
          <w:szCs w:val="24"/>
          <w:color w:val="auto"/>
        </w:rPr>
      </w:pPr>
    </w:p>
    <w:p>
      <w:pPr>
        <w:ind w:left="680"/>
        <w:spacing w:after="0"/>
        <w:rPr>
          <w:sz w:val="20"/>
          <w:szCs w:val="20"/>
          <w:color w:val="auto"/>
        </w:rPr>
      </w:pPr>
      <w:r>
        <w:rPr>
          <w:rFonts w:ascii="Arial" w:cs="Arial" w:eastAsia="Arial" w:hAnsi="Arial"/>
          <w:sz w:val="17"/>
          <w:szCs w:val="17"/>
          <w:color w:val="auto"/>
        </w:rPr>
        <w:t>(State or other Jurisdiction</w:t>
      </w:r>
    </w:p>
    <w:p>
      <w:pPr>
        <w:spacing w:after="0" w:line="34"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001-35565</w:t>
      </w:r>
    </w:p>
    <w:p>
      <w:pPr>
        <w:spacing w:after="0" w:line="45"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32-0375147</w:t>
      </w:r>
    </w:p>
    <w:p>
      <w:pPr>
        <w:spacing w:after="0" w:line="45"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60"/>
        <w:spacing w:after="0"/>
        <w:rPr>
          <w:sz w:val="20"/>
          <w:szCs w:val="20"/>
          <w:color w:val="auto"/>
        </w:rPr>
      </w:pPr>
      <w:r>
        <w:rPr>
          <w:rFonts w:ascii="Arial" w:cs="Arial" w:eastAsia="Arial" w:hAnsi="Arial"/>
          <w:sz w:val="17"/>
          <w:szCs w:val="17"/>
          <w:color w:val="auto"/>
        </w:rPr>
        <w:t>Identification No.)</w:t>
      </w:r>
    </w:p>
    <w:p>
      <w:pPr>
        <w:spacing w:after="0" w:line="101" w:lineRule="exact"/>
        <w:rPr>
          <w:sz w:val="24"/>
          <w:szCs w:val="24"/>
          <w:color w:val="auto"/>
        </w:rPr>
      </w:pPr>
    </w:p>
    <w:p>
      <w:pPr>
        <w:sectPr>
          <w:pgSz w:w="11900" w:h="16838" w:orient="portrait"/>
          <w:cols w:equalWidth="0" w:num="3">
            <w:col w:w="3800" w:space="720"/>
            <w:col w:w="3540" w:space="720"/>
            <w:col w:w="2460"/>
          </w:cols>
          <w:pgMar w:left="320" w:top="1183" w:right="339" w:bottom="1440" w:gutter="0" w:footer="0" w:header="0"/>
          <w:type w:val="continuous"/>
        </w:sectPr>
      </w:pPr>
    </w:p>
    <w:p>
      <w:pPr>
        <w:jc w:val="center"/>
        <w:ind w:right="-59"/>
        <w:spacing w:after="0"/>
        <w:rPr>
          <w:sz w:val="20"/>
          <w:szCs w:val="20"/>
          <w:color w:val="auto"/>
        </w:rPr>
      </w:pPr>
      <w:r>
        <w:rPr>
          <w:rFonts w:ascii="Arial" w:cs="Arial" w:eastAsia="Arial" w:hAnsi="Arial"/>
          <w:sz w:val="17"/>
          <w:szCs w:val="17"/>
          <w:color w:val="auto"/>
        </w:rPr>
        <w:t>_____________________________________________________</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 North Waukegan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offices)(Zip Code)</w:t>
      </w:r>
    </w:p>
    <w:p>
      <w:pPr>
        <w:sectPr>
          <w:pgSz w:w="11900" w:h="16838" w:orient="portrait"/>
          <w:cols w:equalWidth="0" w:num="1">
            <w:col w:w="11240"/>
          </w:cols>
          <w:pgMar w:left="320" w:top="1183" w:right="339" w:bottom="1440" w:gutter="0" w:footer="0" w:header="0"/>
          <w:type w:val="continuous"/>
        </w:sectPr>
      </w:pPr>
    </w:p>
    <w:p>
      <w:pPr>
        <w:spacing w:after="0" w:line="131" w:lineRule="exact"/>
        <w:rPr>
          <w:sz w:val="24"/>
          <w:szCs w:val="24"/>
          <w:color w:val="auto"/>
        </w:rPr>
      </w:pPr>
    </w:p>
    <w:p>
      <w:pPr>
        <w:ind w:left="2880"/>
        <w:spacing w:after="0"/>
        <w:rPr>
          <w:sz w:val="20"/>
          <w:szCs w:val="20"/>
          <w:color w:val="auto"/>
        </w:rPr>
      </w:pPr>
      <w:r>
        <w:rPr>
          <w:rFonts w:ascii="Arial" w:cs="Arial" w:eastAsia="Arial" w:hAnsi="Arial"/>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(847) 932-7900</w:t>
      </w:r>
    </w:p>
    <w:p>
      <w:pPr>
        <w:spacing w:after="0" w:line="163" w:lineRule="exact"/>
        <w:rPr>
          <w:sz w:val="24"/>
          <w:szCs w:val="24"/>
          <w:color w:val="auto"/>
        </w:rPr>
      </w:pPr>
    </w:p>
    <w:p>
      <w:pPr>
        <w:sectPr>
          <w:pgSz w:w="11900" w:h="16838" w:orient="portrait"/>
          <w:cols w:equalWidth="0" w:num="2">
            <w:col w:w="7040" w:space="100"/>
            <w:col w:w="4100"/>
          </w:cols>
          <w:pgMar w:left="320" w:top="1183" w:right="339" w:bottom="1440" w:gutter="0" w:footer="0" w:header="0"/>
          <w:type w:val="continuous"/>
        </w:sectPr>
      </w:pPr>
    </w:p>
    <w:p>
      <w:pPr>
        <w:ind w:right="14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4"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340" w:right="1820" w:hanging="3332"/>
        <w:spacing w:after="0" w:line="381" w:lineRule="auto"/>
        <w:tabs>
          <w:tab w:leader="none" w:pos="5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60" w:type="dxa"/>
        <w:tblCellMar>
          <w:top w:w="0" w:type="dxa"/>
          <w:left w:w="0" w:type="dxa"/>
          <w:bottom w:w="0" w:type="dxa"/>
          <w:right w:w="0" w:type="dxa"/>
        </w:tblCellMar>
      </w:tblPr>
      <w:tr>
        <w:trPr>
          <w:trHeight w:val="218"/>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40" w:type="dxa"/>
            <w:vAlign w:val="bottom"/>
          </w:tcPr>
          <w:p>
            <w:pPr>
              <w:spacing w:after="0"/>
              <w:rPr>
                <w:sz w:val="18"/>
                <w:szCs w:val="18"/>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260" w:type="dxa"/>
            <w:vAlign w:val="bottom"/>
          </w:tcPr>
          <w:p>
            <w:pPr>
              <w:spacing w:after="0"/>
              <w:rPr>
                <w:sz w:val="18"/>
                <w:szCs w:val="18"/>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7"/>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Common Stock, $0.01 Par Value</w:t>
            </w:r>
          </w:p>
        </w:tc>
        <w:tc>
          <w:tcPr>
            <w:tcW w:w="3700" w:type="dxa"/>
            <w:vAlign w:val="bottom"/>
            <w:gridSpan w:val="2"/>
          </w:tcPr>
          <w:p>
            <w:pPr>
              <w:jc w:val="center"/>
              <w:ind w:right="260"/>
              <w:spacing w:after="0"/>
              <w:rPr>
                <w:sz w:val="20"/>
                <w:szCs w:val="20"/>
                <w:color w:val="auto"/>
              </w:rPr>
            </w:pPr>
            <w:r>
              <w:rPr>
                <w:rFonts w:ascii="Arial" w:cs="Arial" w:eastAsia="Arial" w:hAnsi="Arial"/>
                <w:sz w:val="16"/>
                <w:szCs w:val="16"/>
                <w:color w:val="auto"/>
              </w:rPr>
              <w:t>ABBV</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Chicago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1.500% Senior Notes due 2023</w:t>
            </w:r>
          </w:p>
        </w:tc>
        <w:tc>
          <w:tcPr>
            <w:tcW w:w="3700" w:type="dxa"/>
            <w:vAlign w:val="bottom"/>
            <w:gridSpan w:val="2"/>
          </w:tcPr>
          <w:p>
            <w:pPr>
              <w:jc w:val="center"/>
              <w:ind w:right="260"/>
              <w:spacing w:after="0"/>
              <w:rPr>
                <w:sz w:val="20"/>
                <w:szCs w:val="20"/>
                <w:color w:val="auto"/>
              </w:rPr>
            </w:pPr>
            <w:r>
              <w:rPr>
                <w:rFonts w:ascii="Arial" w:cs="Arial" w:eastAsia="Arial" w:hAnsi="Arial"/>
                <w:sz w:val="16"/>
                <w:szCs w:val="16"/>
                <w:color w:val="auto"/>
              </w:rPr>
              <w:t>ABBV23B</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1.375% Senior Notes due 2024</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ABBV24</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1.250% Senior Notes due 2024</w:t>
            </w:r>
          </w:p>
        </w:tc>
        <w:tc>
          <w:tcPr>
            <w:tcW w:w="3700" w:type="dxa"/>
            <w:vAlign w:val="bottom"/>
            <w:gridSpan w:val="2"/>
          </w:tcPr>
          <w:p>
            <w:pPr>
              <w:jc w:val="center"/>
              <w:ind w:right="260"/>
              <w:spacing w:after="0"/>
              <w:rPr>
                <w:sz w:val="20"/>
                <w:szCs w:val="20"/>
                <w:color w:val="auto"/>
              </w:rPr>
            </w:pPr>
            <w:r>
              <w:rPr>
                <w:rFonts w:ascii="Arial" w:cs="Arial" w:eastAsia="Arial" w:hAnsi="Arial"/>
                <w:sz w:val="16"/>
                <w:szCs w:val="16"/>
                <w:color w:val="auto"/>
              </w:rPr>
              <w:t>ABBV24B</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0.750% Senior Notes due 2027</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ABBV27</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2.125% Senior Notes due 2028</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ABBV28</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2.625% Senior Notes due 2028</w:t>
            </w:r>
          </w:p>
        </w:tc>
        <w:tc>
          <w:tcPr>
            <w:tcW w:w="3700" w:type="dxa"/>
            <w:vAlign w:val="bottom"/>
            <w:gridSpan w:val="2"/>
          </w:tcPr>
          <w:p>
            <w:pPr>
              <w:jc w:val="center"/>
              <w:ind w:right="260"/>
              <w:spacing w:after="0"/>
              <w:rPr>
                <w:sz w:val="20"/>
                <w:szCs w:val="20"/>
                <w:color w:val="auto"/>
              </w:rPr>
            </w:pPr>
            <w:r>
              <w:rPr>
                <w:rFonts w:ascii="Arial" w:cs="Arial" w:eastAsia="Arial" w:hAnsi="Arial"/>
                <w:sz w:val="16"/>
                <w:szCs w:val="16"/>
                <w:color w:val="auto"/>
              </w:rPr>
              <w:t>ABBV28B</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2.125% Senior Notes due 2029</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ABBV29</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1.250% Senior Notes due 2031</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ABBV31</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81"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On July 30, 2021, AbbVie Inc. issued a press release announcing financial results for the second quarter ended June 30, 2021.</w:t>
      </w:r>
    </w:p>
    <w:p>
      <w:pPr>
        <w:spacing w:after="0"/>
        <w:rPr>
          <w:sz w:val="20"/>
          <w:szCs w:val="20"/>
          <w:color w:val="auto"/>
        </w:rPr>
      </w:pPr>
      <w:r>
        <w:rPr>
          <w:rFonts w:ascii="Arial" w:cs="Arial" w:eastAsia="Arial" w:hAnsi="Arial"/>
          <w:sz w:val="20"/>
          <w:szCs w:val="20"/>
          <w:color w:val="auto"/>
        </w:rPr>
        <w:t>A copy of the press release is furnished as Exhibit 99.1 to this report and incorporated herein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20" w:type="dxa"/>
            <w:vAlign w:val="bottom"/>
            <w:gridSpan w:val="2"/>
          </w:tcPr>
          <w:p>
            <w:pPr>
              <w:spacing w:after="0"/>
              <w:rPr>
                <w:sz w:val="20"/>
                <w:szCs w:val="20"/>
                <w:color w:val="auto"/>
              </w:rPr>
            </w:pPr>
            <w:r>
              <w:rPr>
                <w:rFonts w:ascii="Arial" w:cs="Arial" w:eastAsia="Arial" w:hAnsi="Arial"/>
                <w:sz w:val="20"/>
                <w:szCs w:val="20"/>
                <w:color w:val="auto"/>
              </w:rPr>
              <w:t>(d) Exhibits</w:t>
            </w:r>
          </w:p>
        </w:tc>
        <w:tc>
          <w:tcPr>
            <w:tcW w:w="92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1"/>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Exhibit No.</w:t>
            </w:r>
          </w:p>
        </w:tc>
        <w:tc>
          <w:tcPr>
            <w:tcW w:w="520" w:type="dxa"/>
            <w:vAlign w:val="bottom"/>
          </w:tcPr>
          <w:p>
            <w:pPr>
              <w:spacing w:after="0"/>
              <w:rPr>
                <w:sz w:val="24"/>
                <w:szCs w:val="24"/>
                <w:color w:val="auto"/>
              </w:rPr>
            </w:pPr>
          </w:p>
        </w:tc>
        <w:tc>
          <w:tcPr>
            <w:tcW w:w="928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Exhibit</w:t>
            </w:r>
          </w:p>
        </w:tc>
        <w:tc>
          <w:tcPr>
            <w:tcW w:w="40" w:type="dxa"/>
            <w:vAlign w:val="bottom"/>
          </w:tcPr>
          <w:p>
            <w:pPr>
              <w:spacing w:after="0"/>
              <w:rPr>
                <w:sz w:val="24"/>
                <w:szCs w:val="24"/>
                <w:color w:val="auto"/>
              </w:rPr>
            </w:pPr>
          </w:p>
        </w:tc>
      </w:tr>
      <w:tr>
        <w:trPr>
          <w:trHeight w:val="240"/>
        </w:trPr>
        <w:tc>
          <w:tcPr>
            <w:tcW w:w="1400" w:type="dxa"/>
            <w:vAlign w:val="bottom"/>
          </w:tcPr>
          <w:p>
            <w:pPr>
              <w:ind w:left="20"/>
              <w:spacing w:after="0"/>
              <w:rPr>
                <w:rFonts w:ascii="Arial" w:cs="Arial" w:eastAsia="Arial" w:hAnsi="Arial"/>
                <w:sz w:val="20"/>
                <w:szCs w:val="20"/>
                <w:color w:val="auto"/>
              </w:rPr>
            </w:pPr>
            <w:hyperlink w:anchor="page4">
              <w:r>
                <w:rPr>
                  <w:rFonts w:ascii="Arial" w:cs="Arial" w:eastAsia="Arial" w:hAnsi="Arial"/>
                  <w:sz w:val="20"/>
                  <w:szCs w:val="20"/>
                  <w:color w:val="auto"/>
                </w:rPr>
                <w:t>99.1</w:t>
              </w:r>
            </w:hyperlink>
          </w:p>
        </w:tc>
        <w:tc>
          <w:tcPr>
            <w:tcW w:w="520" w:type="dxa"/>
            <w:vAlign w:val="bottom"/>
          </w:tcPr>
          <w:p>
            <w:pPr>
              <w:spacing w:after="0"/>
              <w:rPr>
                <w:sz w:val="20"/>
                <w:szCs w:val="20"/>
                <w:color w:val="auto"/>
              </w:rPr>
            </w:pPr>
          </w:p>
        </w:tc>
        <w:tc>
          <w:tcPr>
            <w:tcW w:w="9320" w:type="dxa"/>
            <w:vAlign w:val="bottom"/>
            <w:gridSpan w:val="2"/>
          </w:tcPr>
          <w:p>
            <w:pPr>
              <w:ind w:left="20"/>
              <w:spacing w:after="0"/>
              <w:rPr>
                <w:rFonts w:ascii="Arial" w:cs="Arial" w:eastAsia="Arial" w:hAnsi="Arial"/>
                <w:sz w:val="20"/>
                <w:szCs w:val="20"/>
                <w:color w:val="auto"/>
              </w:rPr>
            </w:pPr>
            <w:hyperlink w:anchor="page4">
              <w:r>
                <w:rPr>
                  <w:rFonts w:ascii="Arial" w:cs="Arial" w:eastAsia="Arial" w:hAnsi="Arial"/>
                  <w:sz w:val="20"/>
                  <w:szCs w:val="20"/>
                  <w:color w:val="auto"/>
                </w:rPr>
                <w:t>Press Release dated July 30, 2021 (furnished pursuant to Item 2.02).</w:t>
              </w:r>
            </w:hyperlink>
          </w:p>
        </w:tc>
      </w:tr>
      <w:tr>
        <w:trPr>
          <w:trHeight w:val="243"/>
        </w:trPr>
        <w:tc>
          <w:tcPr>
            <w:tcW w:w="1400" w:type="dxa"/>
            <w:vAlign w:val="bottom"/>
          </w:tcPr>
          <w:p>
            <w:pPr>
              <w:ind w:left="20"/>
              <w:spacing w:after="0"/>
              <w:rPr>
                <w:sz w:val="20"/>
                <w:szCs w:val="20"/>
                <w:color w:val="auto"/>
              </w:rPr>
            </w:pPr>
            <w:r>
              <w:rPr>
                <w:rFonts w:ascii="Arial" w:cs="Arial" w:eastAsia="Arial" w:hAnsi="Arial"/>
                <w:sz w:val="20"/>
                <w:szCs w:val="20"/>
                <w:color w:val="auto"/>
              </w:rPr>
              <w:t>104</w:t>
            </w:r>
          </w:p>
        </w:tc>
        <w:tc>
          <w:tcPr>
            <w:tcW w:w="520" w:type="dxa"/>
            <w:vAlign w:val="bottom"/>
          </w:tcPr>
          <w:p>
            <w:pPr>
              <w:spacing w:after="0"/>
              <w:rPr>
                <w:sz w:val="21"/>
                <w:szCs w:val="21"/>
                <w:color w:val="auto"/>
              </w:rPr>
            </w:pPr>
          </w:p>
        </w:tc>
        <w:tc>
          <w:tcPr>
            <w:tcW w:w="9320" w:type="dxa"/>
            <w:vAlign w:val="bottom"/>
            <w:gridSpan w:val="2"/>
          </w:tcPr>
          <w:p>
            <w:pPr>
              <w:ind w:left="20"/>
              <w:spacing w:after="0"/>
              <w:rPr>
                <w:sz w:val="20"/>
                <w:szCs w:val="20"/>
                <w:color w:val="auto"/>
              </w:rPr>
            </w:pPr>
            <w:r>
              <w:rPr>
                <w:rFonts w:ascii="Arial" w:cs="Arial" w:eastAsia="Arial" w:hAnsi="Arial"/>
                <w:sz w:val="20"/>
                <w:szCs w:val="20"/>
                <w:color w:val="auto"/>
                <w:w w:val="99"/>
              </w:rPr>
              <w:t>The cover page from this Current Report on Form 8-K formatted in Inline XBRL (included as Exhibit 101).</w:t>
            </w:r>
          </w:p>
        </w:tc>
      </w:tr>
      <w:tr>
        <w:trPr>
          <w:trHeight w:val="1204"/>
        </w:trPr>
        <w:tc>
          <w:tcPr>
            <w:tcW w:w="14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253"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414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4200" w:type="dxa"/>
            <w:vAlign w:val="bottom"/>
          </w:tcPr>
          <w:p>
            <w:pPr>
              <w:ind w:left="20"/>
              <w:spacing w:after="0"/>
              <w:rPr>
                <w:sz w:val="20"/>
                <w:szCs w:val="20"/>
                <w:color w:val="auto"/>
              </w:rPr>
            </w:pPr>
            <w:r>
              <w:rPr>
                <w:rFonts w:ascii="Arial" w:cs="Arial" w:eastAsia="Arial" w:hAnsi="Arial"/>
                <w:sz w:val="20"/>
                <w:szCs w:val="20"/>
                <w:b w:val="1"/>
                <w:bCs w:val="1"/>
                <w:color w:val="auto"/>
              </w:rPr>
              <w:t>ABBVIE INC.</w:t>
            </w:r>
          </w:p>
        </w:tc>
      </w:tr>
      <w:tr>
        <w:trPr>
          <w:trHeight w:val="482"/>
        </w:trPr>
        <w:tc>
          <w:tcPr>
            <w:tcW w:w="4140" w:type="dxa"/>
            <w:vAlign w:val="bottom"/>
          </w:tcPr>
          <w:p>
            <w:pPr>
              <w:spacing w:after="0"/>
              <w:rPr>
                <w:sz w:val="20"/>
                <w:szCs w:val="20"/>
                <w:color w:val="auto"/>
              </w:rPr>
            </w:pPr>
            <w:r>
              <w:rPr>
                <w:rFonts w:ascii="Arial" w:cs="Arial" w:eastAsia="Arial" w:hAnsi="Arial"/>
                <w:sz w:val="20"/>
                <w:szCs w:val="20"/>
                <w:color w:val="auto"/>
              </w:rPr>
              <w:t>Date:  July 30, 2021</w:t>
            </w:r>
          </w:p>
        </w:tc>
        <w:tc>
          <w:tcPr>
            <w:tcW w:w="2860" w:type="dxa"/>
            <w:vAlign w:val="bottom"/>
          </w:tcPr>
          <w:p>
            <w:pPr>
              <w:ind w:left="2300"/>
              <w:spacing w:after="0"/>
              <w:rPr>
                <w:sz w:val="20"/>
                <w:szCs w:val="20"/>
                <w:color w:val="auto"/>
              </w:rPr>
            </w:pPr>
            <w:r>
              <w:rPr>
                <w:rFonts w:ascii="Arial" w:cs="Arial" w:eastAsia="Arial" w:hAnsi="Arial"/>
                <w:sz w:val="20"/>
                <w:szCs w:val="20"/>
                <w:color w:val="auto"/>
              </w:rPr>
              <w:t>By:</w:t>
            </w: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Robert A. Michael</w:t>
            </w:r>
          </w:p>
        </w:tc>
      </w:tr>
      <w:tr>
        <w:trPr>
          <w:trHeight w:val="241"/>
        </w:trPr>
        <w:tc>
          <w:tcPr>
            <w:tcW w:w="4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Arial" w:cs="Arial" w:eastAsia="Arial" w:hAnsi="Arial"/>
                <w:sz w:val="20"/>
                <w:szCs w:val="20"/>
                <w:color w:val="auto"/>
              </w:rPr>
              <w:t>Robert A. Michael</w:t>
            </w:r>
          </w:p>
        </w:tc>
      </w:tr>
      <w:tr>
        <w:trPr>
          <w:trHeight w:val="243"/>
        </w:trPr>
        <w:tc>
          <w:tcPr>
            <w:tcW w:w="41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20"/>
                <w:szCs w:val="20"/>
                <w:color w:val="auto"/>
              </w:rPr>
              <w:t>Executive Vice President,</w:t>
            </w:r>
          </w:p>
        </w:tc>
      </w:tr>
      <w:tr>
        <w:trPr>
          <w:trHeight w:val="243"/>
        </w:trPr>
        <w:tc>
          <w:tcPr>
            <w:tcW w:w="41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220"/>
          </w:cols>
          <w:pgMar w:left="320" w:top="881"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1285875"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1463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29"/>
          <w:szCs w:val="29"/>
          <w:b w:val="1"/>
          <w:bCs w:val="1"/>
          <w:color w:val="071D49"/>
        </w:rPr>
        <w:t>PRESS RELEASE</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AbbVie Reports Second-Quarter 2021 Financial Results</w:t>
      </w:r>
    </w:p>
    <w:p>
      <w:pPr>
        <w:spacing w:after="0" w:line="246" w:lineRule="exact"/>
        <w:rPr>
          <w:sz w:val="20"/>
          <w:szCs w:val="20"/>
          <w:color w:val="auto"/>
        </w:rPr>
      </w:pPr>
    </w:p>
    <w:p>
      <w:pPr>
        <w:ind w:left="620" w:hanging="288"/>
        <w:spacing w:after="0"/>
        <w:tabs>
          <w:tab w:leader="none" w:pos="62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Reports Second-Quarter Diluted EPS of $0.42 on a GAAP Basis; Adjusted Diluted EPS of $3.11</w:t>
      </w:r>
    </w:p>
    <w:p>
      <w:pPr>
        <w:spacing w:after="0" w:line="242" w:lineRule="exact"/>
        <w:rPr>
          <w:rFonts w:ascii="Arial" w:cs="Arial" w:eastAsia="Arial" w:hAnsi="Arial"/>
          <w:sz w:val="20"/>
          <w:szCs w:val="20"/>
          <w:i w:val="1"/>
          <w:iCs w:val="1"/>
          <w:color w:val="auto"/>
        </w:rPr>
      </w:pPr>
    </w:p>
    <w:p>
      <w:pPr>
        <w:ind w:left="620" w:hanging="288"/>
        <w:spacing w:after="0"/>
        <w:tabs>
          <w:tab w:leader="none" w:pos="62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Delivers Second-Quarter Net Revenues of $13.959 Billion, an Increase of 33.9 Percent on a Reported Basis</w:t>
      </w:r>
    </w:p>
    <w:p>
      <w:pPr>
        <w:spacing w:after="0" w:line="242" w:lineRule="exact"/>
        <w:rPr>
          <w:rFonts w:ascii="Arial" w:cs="Arial" w:eastAsia="Arial" w:hAnsi="Arial"/>
          <w:sz w:val="20"/>
          <w:szCs w:val="20"/>
          <w:i w:val="1"/>
          <w:iCs w:val="1"/>
          <w:color w:val="auto"/>
        </w:rPr>
      </w:pPr>
    </w:p>
    <w:p>
      <w:pPr>
        <w:ind w:left="660" w:right="260" w:hanging="328"/>
        <w:spacing w:after="0" w:line="246"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Second-Quarter Global Net Revenues from the Immunology Portfolio Were $6.120 Billion, an Increase of 15.1 Percent on a Reported Basis, or 13.8 Percent on an Operational Basis; U.S. Humira Net Revenues Were $4.257 Billion, an Increase of 7.1 Percent; Internationally, Humira Net Revenues Were $811 Million, a Decrease of 6.0 Percent on a Reported Basis, or 12.6 Percent on an Operational Basis, Due to Biosimilar Competition; Global Skyrizi Net Revenues Were $674 Million; Global Rinvoq Net Revenues Were $378 Million</w:t>
      </w:r>
    </w:p>
    <w:p>
      <w:pPr>
        <w:spacing w:after="0" w:line="211" w:lineRule="exact"/>
        <w:rPr>
          <w:rFonts w:ascii="Arial" w:cs="Arial" w:eastAsia="Arial" w:hAnsi="Arial"/>
          <w:sz w:val="20"/>
          <w:szCs w:val="20"/>
          <w:i w:val="1"/>
          <w:iCs w:val="1"/>
          <w:color w:val="auto"/>
        </w:rPr>
      </w:pPr>
    </w:p>
    <w:p>
      <w:pPr>
        <w:ind w:left="660" w:right="100" w:hanging="328"/>
        <w:spacing w:after="0" w:line="248"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Second-Quarter Global Net Revenues from the Hematologic Oncology Portfolio Were $1.816 Billion, an Increase of 14.1 Percent on a Reported Basis, or 13.2 Percent on an Operational Basis; Global Imbruvica Net Revenues Were $1.381 Billion, an Increase of 7.2 Percent</w:t>
      </w:r>
      <w:r>
        <w:rPr>
          <w:rFonts w:ascii="Arial" w:cs="Arial" w:eastAsia="Arial" w:hAnsi="Arial"/>
          <w:sz w:val="17"/>
          <w:szCs w:val="17"/>
          <w:color w:val="auto"/>
        </w:rPr>
        <w:t>,</w:t>
      </w:r>
      <w:r>
        <w:rPr>
          <w:rFonts w:ascii="Arial" w:cs="Arial" w:eastAsia="Arial" w:hAnsi="Arial"/>
          <w:sz w:val="20"/>
          <w:szCs w:val="20"/>
          <w:i w:val="1"/>
          <w:iCs w:val="1"/>
          <w:color w:val="auto"/>
        </w:rPr>
        <w:t xml:space="preserve"> with U.S. Net Revenues of $1.099 Billion and International Profit Sharing of $282 Million; Global Venclexta Net Revenues Were $435 Million</w:t>
      </w:r>
    </w:p>
    <w:p>
      <w:pPr>
        <w:spacing w:after="0" w:line="210" w:lineRule="exact"/>
        <w:rPr>
          <w:rFonts w:ascii="Arial" w:cs="Arial" w:eastAsia="Arial" w:hAnsi="Arial"/>
          <w:sz w:val="20"/>
          <w:szCs w:val="20"/>
          <w:i w:val="1"/>
          <w:iCs w:val="1"/>
          <w:color w:val="auto"/>
        </w:rPr>
      </w:pPr>
    </w:p>
    <w:p>
      <w:pPr>
        <w:ind w:left="660" w:right="340" w:hanging="328"/>
        <w:spacing w:after="0" w:line="267"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Second-Quarter Global Net Revenues from the Neuroscience Portfolio Were $1.459 Billion; Global Botox Therapeutic Net Revenues Were $603 Million; Global Vraylar Net Revenues Were $432 Million</w:t>
      </w:r>
    </w:p>
    <w:p>
      <w:pPr>
        <w:spacing w:after="0" w:line="190" w:lineRule="exact"/>
        <w:rPr>
          <w:rFonts w:ascii="Arial" w:cs="Arial" w:eastAsia="Arial" w:hAnsi="Arial"/>
          <w:sz w:val="20"/>
          <w:szCs w:val="20"/>
          <w:i w:val="1"/>
          <w:iCs w:val="1"/>
          <w:color w:val="auto"/>
        </w:rPr>
      </w:pPr>
    </w:p>
    <w:p>
      <w:pPr>
        <w:ind w:left="660" w:right="500" w:hanging="328"/>
        <w:spacing w:after="0" w:line="267"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Second-Quarter Global Net Revenues from the Aesthetics Portfolio Were $1.434 Billion; Global Botox Cosmetic Net Revenues Were $584 Million</w:t>
      </w:r>
    </w:p>
    <w:p>
      <w:pPr>
        <w:spacing w:after="0" w:line="190" w:lineRule="exact"/>
        <w:rPr>
          <w:rFonts w:ascii="Arial" w:cs="Arial" w:eastAsia="Arial" w:hAnsi="Arial"/>
          <w:sz w:val="20"/>
          <w:szCs w:val="20"/>
          <w:i w:val="1"/>
          <w:iCs w:val="1"/>
          <w:color w:val="auto"/>
        </w:rPr>
      </w:pPr>
    </w:p>
    <w:p>
      <w:pPr>
        <w:ind w:left="660" w:right="100" w:hanging="328"/>
        <w:spacing w:after="0" w:line="267"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Updates 2021 GAAP Diluted EPS Guidance Range from $7.27 to $7.47 to $6.04 to $6.14; Raises 2021 Adjusted Diluted EPS Guidance Range from $12.37 to $12.57 to $12.52 to $12.62</w:t>
      </w:r>
    </w:p>
    <w:p>
      <w:pPr>
        <w:spacing w:after="0" w:line="173" w:lineRule="exact"/>
        <w:rPr>
          <w:sz w:val="20"/>
          <w:szCs w:val="20"/>
          <w:color w:val="auto"/>
        </w:rPr>
      </w:pPr>
    </w:p>
    <w:p>
      <w:pPr>
        <w:ind w:right="220"/>
        <w:spacing w:after="0" w:line="271" w:lineRule="auto"/>
        <w:rPr>
          <w:sz w:val="20"/>
          <w:szCs w:val="20"/>
          <w:color w:val="auto"/>
        </w:rPr>
      </w:pPr>
      <w:r>
        <w:rPr>
          <w:rFonts w:ascii="Arial" w:cs="Arial" w:eastAsia="Arial" w:hAnsi="Arial"/>
          <w:sz w:val="20"/>
          <w:szCs w:val="20"/>
          <w:b w:val="1"/>
          <w:bCs w:val="1"/>
          <w:color w:val="auto"/>
        </w:rPr>
        <w:t xml:space="preserve">NORTH CHICAGO, Ill., </w:t>
      </w:r>
      <w:r>
        <w:rPr>
          <w:rFonts w:ascii="Arial" w:cs="Arial" w:eastAsia="Arial" w:hAnsi="Arial"/>
          <w:sz w:val="20"/>
          <w:szCs w:val="20"/>
          <w:color w:val="auto"/>
        </w:rPr>
        <w:t>July 30, 2021 – AbbVie (NYSE:ABBV) announced financial results for the second quarter ended June</w:t>
      </w:r>
      <w:r>
        <w:rPr>
          <w:rFonts w:ascii="Arial" w:cs="Arial" w:eastAsia="Arial" w:hAnsi="Arial"/>
          <w:sz w:val="20"/>
          <w:szCs w:val="20"/>
          <w:b w:val="1"/>
          <w:bCs w:val="1"/>
          <w:color w:val="auto"/>
        </w:rPr>
        <w:t xml:space="preserve"> </w:t>
      </w:r>
      <w:r>
        <w:rPr>
          <w:rFonts w:ascii="Arial" w:cs="Arial" w:eastAsia="Arial" w:hAnsi="Arial"/>
          <w:sz w:val="20"/>
          <w:szCs w:val="20"/>
          <w:color w:val="auto"/>
        </w:rPr>
        <w:t>30, 2021.</w:t>
      </w:r>
    </w:p>
    <w:p>
      <w:pPr>
        <w:spacing w:after="0" w:line="193"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"AbbVie delivered another strong quarter and our business continues to perform extremely well across the portfolio, with AbbVie's new immunology assets contributing more than $1 billion of combined sales in the quarter,” said Richard A. Gonzalez, chairman and chief executive officer, AbbVie. “The Allergan integration also continues to track exceptionally well, with both the neuroscience and aesthetics portfolios delivering double-digit sequential growth. Based upon the momentum of our business, we are raising our full year 2021 EPS guidance and believe AbbVie is very well positioned for the long term."</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Note: "Operational" comparisons are presented at constant currency rates and reflect comparative local currency net revenues at the prior year's foreign exchange rates.</w:t>
      </w: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Second-Quarter Results</w:t>
      </w:r>
    </w:p>
    <w:p>
      <w:pPr>
        <w:spacing w:after="0" w:line="186" w:lineRule="exact"/>
        <w:rPr>
          <w:sz w:val="20"/>
          <w:szCs w:val="20"/>
          <w:color w:val="auto"/>
        </w:rPr>
      </w:pPr>
    </w:p>
    <w:p>
      <w:pPr>
        <w:ind w:left="660" w:right="540" w:hanging="328"/>
        <w:spacing w:after="0" w:line="246" w:lineRule="auto"/>
        <w:tabs>
          <w:tab w:leader="none" w:pos="621"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Worldwide net revenues were $13.959 billion, an increase of 33.9 percent on a reported basis, or 19.3 percent on a comparable operational basis.</w:t>
      </w:r>
    </w:p>
    <w:p>
      <w:pPr>
        <w:spacing w:after="0" w:line="230" w:lineRule="exact"/>
        <w:rPr>
          <w:rFonts w:ascii="Arial" w:cs="Arial" w:eastAsia="Arial" w:hAnsi="Arial"/>
          <w:sz w:val="20"/>
          <w:szCs w:val="20"/>
          <w:i w:val="1"/>
          <w:iCs w:val="1"/>
          <w:color w:val="auto"/>
        </w:rPr>
      </w:pPr>
    </w:p>
    <w:p>
      <w:pPr>
        <w:ind w:left="660" w:right="160" w:hanging="328"/>
        <w:spacing w:after="0" w:line="239"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Global net revenues from the immunology portfolio were $6.120 billion, an increase of 15.1 percent on a reported basis, or 13.8 percent on an operational basis.</w:t>
      </w:r>
    </w:p>
    <w:p>
      <w:pPr>
        <w:ind w:left="1300" w:right="400" w:hanging="320"/>
        <w:spacing w:after="0" w:line="239"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Humira net revenues of $5.068 billion increased 4.8 percent on a reported basis, or 3.6 percent on an operational basis. U.S. Humira net revenues were $4.257 billion, an increase of 7.1 percent. Internationally, Humira net revenues were $811 million, a decrease of 6.0 percent on a reported basis, or 12.6 percent on an operational basis, due to biosimilar competition.</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Skyrizi net revenues were $674 million.</w:t>
      </w: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Rinvoq net revenues were $378 million.</w:t>
      </w:r>
    </w:p>
    <w:p>
      <w:pPr>
        <w:spacing w:after="0" w:line="242" w:lineRule="exact"/>
        <w:rPr>
          <w:rFonts w:ascii="Arial" w:cs="Arial" w:eastAsia="Arial" w:hAnsi="Arial"/>
          <w:sz w:val="20"/>
          <w:szCs w:val="20"/>
          <w:color w:val="auto"/>
        </w:rPr>
      </w:pPr>
    </w:p>
    <w:p>
      <w:pPr>
        <w:ind w:left="660" w:right="680" w:hanging="328"/>
        <w:spacing w:after="0" w:line="239"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Global net revenues from the hematologic oncology portfolio were $1.816 billion, an increase of 14.1 percent on a reported basis, or 13.2 percent on an operational basis.</w:t>
      </w:r>
    </w:p>
    <w:p>
      <w:pPr>
        <w:ind w:left="1300" w:right="140" w:hanging="320"/>
        <w:spacing w:after="0" w:line="239"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Imbruvica net revenues were $1.381 billion, an increase of 7.2 percent, with U.S. net revenues of $1.099 billion and international profit sharing of $282 million.</w:t>
      </w:r>
    </w:p>
    <w:p>
      <w:pPr>
        <w:ind w:left="1300" w:right="660" w:hanging="320"/>
        <w:spacing w:after="0" w:line="246"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Venclexta net revenues were $435 million, an increase of 43.2 percent on a reported basis, or 38.3 percent on an operational basis.</w:t>
      </w:r>
    </w:p>
    <w:p>
      <w:pPr>
        <w:spacing w:after="0" w:line="230" w:lineRule="exact"/>
        <w:rPr>
          <w:rFonts w:ascii="Arial" w:cs="Arial" w:eastAsia="Arial" w:hAnsi="Arial"/>
          <w:sz w:val="20"/>
          <w:szCs w:val="20"/>
          <w:color w:val="auto"/>
        </w:rPr>
      </w:pPr>
    </w:p>
    <w:p>
      <w:pPr>
        <w:ind w:left="660" w:right="40" w:hanging="328"/>
        <w:spacing w:after="0" w:line="239"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Global net revenues from the neuroscience portfolio were $1.459 billion, an increase of 98.8 percent on a reported basis, or 29.6 percent on a comparable operational basis.</w:t>
      </w:r>
    </w:p>
    <w:p>
      <w:pPr>
        <w:ind w:left="1300" w:right="20" w:hanging="320"/>
        <w:spacing w:after="0" w:line="239"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Botox Therapeutic net revenues were $603 million, an increase of over 100.0 percent on a reported basis, or 38.6 percent on a comparable operational basis.</w:t>
      </w:r>
    </w:p>
    <w:p>
      <w:pPr>
        <w:ind w:left="1300" w:right="340" w:hanging="320"/>
        <w:spacing w:after="0" w:line="239"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Vraylar net revenues were $432 million, an increase of over 100.0 percent on a reported basis, or 25.8 percent on a comparable operational basis.</w:t>
      </w: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Ubrelvy net revenues were $126 million.</w:t>
      </w:r>
    </w:p>
    <w:p>
      <w:pPr>
        <w:spacing w:after="0" w:line="242" w:lineRule="exact"/>
        <w:rPr>
          <w:rFonts w:ascii="Arial" w:cs="Arial" w:eastAsia="Arial" w:hAnsi="Arial"/>
          <w:sz w:val="20"/>
          <w:szCs w:val="20"/>
          <w:color w:val="auto"/>
        </w:rPr>
      </w:pPr>
    </w:p>
    <w:p>
      <w:pPr>
        <w:ind w:left="660" w:right="360" w:hanging="328"/>
        <w:spacing w:after="0" w:line="239"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Global net revenues from the aesthetics portfolio were $1.434 billion, an increase of over 100.0 percent on a reported and comparable operational basis.</w:t>
      </w:r>
    </w:p>
    <w:p>
      <w:pPr>
        <w:ind w:left="1300" w:right="440" w:hanging="320"/>
        <w:spacing w:after="0" w:line="246"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Botox Cosmetic net revenues were $584 million, an increase of over 100.0 percent on a reported and comparable operational basis.</w:t>
      </w:r>
    </w:p>
    <w:p>
      <w:pPr>
        <w:spacing w:after="0" w:line="230" w:lineRule="exact"/>
        <w:rPr>
          <w:rFonts w:ascii="Arial" w:cs="Arial" w:eastAsia="Arial" w:hAnsi="Arial"/>
          <w:sz w:val="20"/>
          <w:szCs w:val="20"/>
          <w:color w:val="auto"/>
        </w:rPr>
      </w:pPr>
    </w:p>
    <w:p>
      <w:pPr>
        <w:ind w:left="660" w:right="260" w:hanging="328"/>
        <w:spacing w:after="0" w:line="246"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On a GAAP basis, the gross margin ratio in the second quarter was 67.6 percent. The adjusted gross margin ratio was 82.2 percent.</w:t>
      </w:r>
    </w:p>
    <w:p>
      <w:pPr>
        <w:spacing w:after="0" w:line="230" w:lineRule="exact"/>
        <w:rPr>
          <w:rFonts w:ascii="Arial" w:cs="Arial" w:eastAsia="Arial" w:hAnsi="Arial"/>
          <w:sz w:val="20"/>
          <w:szCs w:val="20"/>
          <w:color w:val="auto"/>
        </w:rPr>
      </w:pPr>
    </w:p>
    <w:p>
      <w:pPr>
        <w:ind w:left="660" w:right="300" w:hanging="328"/>
        <w:spacing w:after="0" w:line="246"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On a GAAP basis, selling, general and administrative expense was 22.7 percent of net revenues. The adjusted SG&amp;A expense was 21.2 percent of net revenues.</w:t>
      </w:r>
    </w:p>
    <w:p>
      <w:pPr>
        <w:spacing w:after="0" w:line="230" w:lineRule="exact"/>
        <w:rPr>
          <w:rFonts w:ascii="Arial" w:cs="Arial" w:eastAsia="Arial" w:hAnsi="Arial"/>
          <w:sz w:val="20"/>
          <w:szCs w:val="20"/>
          <w:color w:val="auto"/>
        </w:rPr>
      </w:pPr>
    </w:p>
    <w:p>
      <w:pPr>
        <w:ind w:left="660" w:right="280" w:hanging="328"/>
        <w:spacing w:after="0" w:line="246"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On a GAAP basis, research and development expense was 12.9 percent of net revenues. The adjusted R&amp;D expense was 11.3 percent of net revenues, reflecting funding actions supporting all stages of our pipeline.</w:t>
      </w:r>
    </w:p>
    <w:p>
      <w:pPr>
        <w:spacing w:after="0" w:line="230" w:lineRule="exact"/>
        <w:rPr>
          <w:rFonts w:ascii="Arial" w:cs="Arial" w:eastAsia="Arial" w:hAnsi="Arial"/>
          <w:sz w:val="20"/>
          <w:szCs w:val="20"/>
          <w:color w:val="auto"/>
        </w:rPr>
      </w:pPr>
    </w:p>
    <w:p>
      <w:pPr>
        <w:ind w:left="660" w:right="20" w:hanging="328"/>
        <w:spacing w:after="0" w:line="246"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On a GAAP basis, the operating margin in the second quarter was 31.8 percent. The adjusted operating margin was 49.7 percent.</w:t>
      </w:r>
    </w:p>
    <w:p>
      <w:pPr>
        <w:spacing w:after="0" w:line="230"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On a GAAP basis, net interest expense was $606 million.</w:t>
      </w:r>
    </w:p>
    <w:p>
      <w:pPr>
        <w:spacing w:after="0" w:line="242"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On a GAAP basis, the tax rate in the quarter was 33.8 percent. The adjusted tax rate was 12.6 percent.</w:t>
      </w:r>
    </w:p>
    <w:p>
      <w:pPr>
        <w:spacing w:after="0" w:line="242"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Diluted EPS in the second quarter was $0.42 on a GAAP basis. Adjusted diluted EPS, excluding specified items, was</w:t>
      </w:r>
    </w:p>
    <w:p>
      <w:pPr>
        <w:ind w:left="660"/>
        <w:spacing w:after="0"/>
        <w:rPr>
          <w:sz w:val="20"/>
          <w:szCs w:val="20"/>
          <w:color w:val="auto"/>
        </w:rPr>
      </w:pPr>
      <w:r>
        <w:rPr>
          <w:rFonts w:ascii="Arial" w:cs="Arial" w:eastAsia="Arial" w:hAnsi="Arial"/>
          <w:sz w:val="20"/>
          <w:szCs w:val="20"/>
          <w:color w:val="auto"/>
        </w:rPr>
        <w:t>$3.11.</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020" w:type="dxa"/>
            <w:vAlign w:val="bottom"/>
          </w:tcPr>
          <w:p>
            <w:pPr>
              <w:spacing w:after="0"/>
              <w:rPr>
                <w:sz w:val="20"/>
                <w:szCs w:val="20"/>
                <w:color w:val="auto"/>
              </w:rPr>
            </w:pPr>
            <w:r>
              <w:rPr>
                <w:rFonts w:ascii="Arial" w:cs="Arial" w:eastAsia="Arial" w:hAnsi="Arial"/>
                <w:sz w:val="14"/>
                <w:szCs w:val="14"/>
                <w:color w:val="auto"/>
              </w:rPr>
              <w:t>Note: "Comparable Operational" comparisons include full-quarter current year and prior year results for Allergan, which was acquired on May 8, 2020, as if the acquisition</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020" w:type="dxa"/>
            <w:vAlign w:val="bottom"/>
          </w:tcPr>
          <w:p>
            <w:pPr>
              <w:spacing w:after="0" w:line="135" w:lineRule="exact"/>
              <w:rPr>
                <w:sz w:val="20"/>
                <w:szCs w:val="20"/>
                <w:color w:val="auto"/>
              </w:rPr>
            </w:pPr>
            <w:r>
              <w:rPr>
                <w:rFonts w:ascii="Arial" w:cs="Arial" w:eastAsia="Arial" w:hAnsi="Arial"/>
                <w:sz w:val="14"/>
                <w:szCs w:val="14"/>
                <w:color w:val="auto"/>
              </w:rPr>
              <w:t>closed on January 1, 2019, and are presented at constant currency rates and reflect comparative local currency net revenues at the prior year’s foreign exchange rates.</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020" w:type="dxa"/>
            <w:vAlign w:val="bottom"/>
          </w:tcPr>
          <w:p>
            <w:pPr>
              <w:spacing w:after="0" w:line="135" w:lineRule="exact"/>
              <w:rPr>
                <w:sz w:val="20"/>
                <w:szCs w:val="20"/>
                <w:color w:val="auto"/>
              </w:rPr>
            </w:pPr>
            <w:r>
              <w:rPr>
                <w:rFonts w:ascii="Arial" w:cs="Arial" w:eastAsia="Arial" w:hAnsi="Arial"/>
                <w:sz w:val="14"/>
                <w:szCs w:val="14"/>
                <w:color w:val="auto"/>
              </w:rPr>
              <w:t>Refer to the Key Product Revenues schedules for further details. "Operational" comparisons are presented at constant currency rates and reflect comparative local currency</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2"/>
        </w:trPr>
        <w:tc>
          <w:tcPr>
            <w:tcW w:w="11020" w:type="dxa"/>
            <w:vAlign w:val="bottom"/>
          </w:tcPr>
          <w:p>
            <w:pPr>
              <w:spacing w:after="0"/>
              <w:rPr>
                <w:sz w:val="20"/>
                <w:szCs w:val="20"/>
                <w:color w:val="auto"/>
              </w:rPr>
            </w:pPr>
            <w:r>
              <w:rPr>
                <w:rFonts w:ascii="Arial" w:cs="Arial" w:eastAsia="Arial" w:hAnsi="Arial"/>
                <w:sz w:val="14"/>
                <w:szCs w:val="14"/>
                <w:color w:val="auto"/>
              </w:rPr>
              <w:t>net revenues at the prior year's foreign exchange rates.</w:t>
            </w: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922"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Recent Events</w:t>
      </w:r>
    </w:p>
    <w:p>
      <w:pPr>
        <w:spacing w:after="0" w:line="253" w:lineRule="exact"/>
        <w:rPr>
          <w:sz w:val="20"/>
          <w:szCs w:val="20"/>
          <w:color w:val="auto"/>
        </w:rPr>
      </w:pPr>
    </w:p>
    <w:p>
      <w:pPr>
        <w:ind w:left="660" w:right="40" w:hanging="328"/>
        <w:spacing w:after="0" w:line="216"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AbbVie announced the European Medicines Agency's (EMA) Committee for Medicinal Products for Human Use (CHMP) adopted a positive opinion recommending the approval of Rinvoq (upadacitinib) for the expanded use in adults (15 mg or 30 mg, once daily) and adolescents 12 years and older (15 mg, once daily) with moderate to severe atopic dermatitis (AD) who are candidates for systemic therapy. The positive opinion is based on three global Phase 3 pivotal studies evaluating the safety and efficacy of Rinvoq used with or without topical corticosteroids (TCS) in adults and adolescents with moderate to severe AD. The approval decision from the European Commission (EC) is anticipated in the third quarter of 2021 and if approved, this will be the fourth indication for Rinvoq in the European Union.</w:t>
      </w:r>
    </w:p>
    <w:p>
      <w:pPr>
        <w:spacing w:after="0" w:line="211" w:lineRule="exact"/>
        <w:rPr>
          <w:rFonts w:ascii="Arial" w:cs="Arial" w:eastAsia="Arial" w:hAnsi="Arial"/>
          <w:sz w:val="20"/>
          <w:szCs w:val="20"/>
          <w:color w:val="auto"/>
        </w:rPr>
      </w:pPr>
    </w:p>
    <w:p>
      <w:pPr>
        <w:ind w:left="660" w:right="60" w:hanging="328"/>
        <w:spacing w:after="0" w:line="217"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AbbVie announced that the U.S. Food and Drug Administration (FDA) informed the company that the FDA would not meet the Prescription Drug User Fee Act (PDUFA) action dates for the supplemental New Drug Applications (sNDAs) for Rinvoq for the treatment of adults with active psoriatic arthritis (PsA), adults with active ankylosing spondylitis (AS) or adults and adolescents with moderate to severe AD. The FDA cited its ongoing review of Pfizer's post-marketing study, ORAL Surveillance, evaluating tofacitinib in patients with rheumatoid arthritis (RA). No formal regulatory action has been taken on the sNDAs for Rinvoq in PsA, AS or AD.</w:t>
      </w:r>
    </w:p>
    <w:p>
      <w:pPr>
        <w:spacing w:after="0" w:line="210" w:lineRule="exact"/>
        <w:rPr>
          <w:rFonts w:ascii="Arial" w:cs="Arial" w:eastAsia="Arial" w:hAnsi="Arial"/>
          <w:sz w:val="20"/>
          <w:szCs w:val="20"/>
          <w:color w:val="auto"/>
        </w:rPr>
      </w:pPr>
    </w:p>
    <w:p>
      <w:pPr>
        <w:ind w:left="660" w:right="80" w:hanging="328"/>
        <w:spacing w:after="0" w:line="215"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AbbVie announced positive results from the Phase 3 maintenance study evaluating Rinvoq (15 mg or 30 mg, once daily) in ulcerative colitis (UC) patients. In the study, significantly more Rinvoq-treated patients achieved the primary endpoint of clinical remission (per Adapted Mayo Score) compared to patients on placebo (15 mg: 42 percent, 30 mg: 52 percent, placebo: 12 percent) at one year. Additionally, all secondary endpoints were met including the achievement of endoscopic improvement, histologic-endoscopic mucosal improvement (HEMI) and corticosteroid-free clinical remission. Safety results were consistent with the previous Phase 3 induction studies and the known safety profile of Rinvoq, with no new safety risks observed. Full results from the Phase 3 maintenance study will be presented at a future medical meeting and submitted for publication in a peer-reviewed journal.</w:t>
      </w:r>
    </w:p>
    <w:p>
      <w:pPr>
        <w:spacing w:after="0" w:line="214" w:lineRule="exact"/>
        <w:rPr>
          <w:rFonts w:ascii="Arial" w:cs="Arial" w:eastAsia="Arial" w:hAnsi="Arial"/>
          <w:sz w:val="20"/>
          <w:szCs w:val="20"/>
          <w:color w:val="auto"/>
        </w:rPr>
      </w:pPr>
    </w:p>
    <w:p>
      <w:pPr>
        <w:ind w:left="660" w:right="40" w:hanging="328"/>
        <w:spacing w:after="0" w:line="226" w:lineRule="auto"/>
        <w:tabs>
          <w:tab w:leader="none" w:pos="621" w:val="left"/>
        </w:tabs>
        <w:numPr>
          <w:ilvl w:val="0"/>
          <w:numId w:val="4"/>
        </w:numPr>
        <w:rPr>
          <w:rFonts w:ascii="Arial" w:cs="Arial" w:eastAsia="Arial" w:hAnsi="Arial"/>
          <w:sz w:val="19"/>
          <w:szCs w:val="19"/>
          <w:color w:val="auto"/>
        </w:rPr>
      </w:pPr>
      <w:r>
        <w:rPr>
          <w:rFonts w:ascii="Arial" w:cs="Arial" w:eastAsia="Arial" w:hAnsi="Arial"/>
          <w:sz w:val="19"/>
          <w:szCs w:val="19"/>
          <w:color w:val="auto"/>
        </w:rPr>
        <w:t>AbbVie announced positive results from the Phase 3 maintenance study, FORTIFY, which showed Skyrizi (risankizumab, 360 mg, subcutaneous (SC), administered every 8 weeks) achieved the co-primary endpoints of endoscopic response and clinical remission at one year in adult patients with moderate to severe Crohn’s disease (CD). In addition, 39 percent of patients receiving Skyrizi 360 mg achieved endoscopic remission compared to 13 percent of patients in the induction-only control group and 29 percent of Skyrizi 360 mg-treated patients achieved deep remission compared to 10 percent in the induction-only control group. The overall safety results in this study were generally consistent with the known safety profile of Skyrizi, with no new safety risks observed. Full results from the FORTIFY study will be presented at upcoming medical conferences and published in a peer-reviewed medical journal. Skyrizi is part of a collaboration between Boehringer Ingelheim and AbbVie, with AbbVie leading development and commercialization globally.</w:t>
      </w:r>
    </w:p>
    <w:p>
      <w:pPr>
        <w:spacing w:after="0" w:line="213" w:lineRule="exact"/>
        <w:rPr>
          <w:rFonts w:ascii="Arial" w:cs="Arial" w:eastAsia="Arial" w:hAnsi="Arial"/>
          <w:sz w:val="19"/>
          <w:szCs w:val="19"/>
          <w:color w:val="auto"/>
        </w:rPr>
      </w:pPr>
    </w:p>
    <w:p>
      <w:pPr>
        <w:ind w:left="660" w:hanging="328"/>
        <w:spacing w:after="0" w:line="226" w:lineRule="auto"/>
        <w:tabs>
          <w:tab w:leader="none" w:pos="621" w:val="left"/>
        </w:tabs>
        <w:numPr>
          <w:ilvl w:val="0"/>
          <w:numId w:val="4"/>
        </w:numPr>
        <w:rPr>
          <w:rFonts w:ascii="Arial" w:cs="Arial" w:eastAsia="Arial" w:hAnsi="Arial"/>
          <w:sz w:val="19"/>
          <w:szCs w:val="19"/>
          <w:b w:val="1"/>
          <w:bCs w:val="1"/>
          <w:color w:val="auto"/>
        </w:rPr>
      </w:pPr>
      <w:r>
        <w:rPr>
          <w:rFonts w:ascii="Arial" w:cs="Arial" w:eastAsia="Arial" w:hAnsi="Arial"/>
          <w:sz w:val="19"/>
          <w:szCs w:val="19"/>
          <w:color w:val="auto"/>
        </w:rPr>
        <w:t>At the Digestive Disease Week (DDW) Virtual Conference 2021 and the Congress of European Crohn's and Colitis Organisation (ECCO), AbbVie presented data from a broad range of studies in inflammatory bowel diseases (IBD). Presentations included results from the Phase 3 ADVANCE and MOTIVATE studies, which showed significantly greater proportions of patients with moderately to severely active CD treated with both doses of investigational Skyrizi (600 mg or 1200 mg) met the co-primary endpoints of clinical remission and endoscopic response at week 12 compared to placebo. AbbVie also presented data from the Phase 3 U-ACHIEVE and U-ACCOMPLISH studies evaluating the efficacy and safety of Rinvoq (45 mg, once daily) as induction therapy in patients with moderate to severe UC, which highlighted the impact of Rinvoq on clinical, endoscopic and histologic outcomes after 8 weeks of treatment. Additional presentations showcased the importance of understanding patient preferences and patient-reported outcomes in IBD treatments.</w:t>
      </w:r>
    </w:p>
    <w:p>
      <w:pPr>
        <w:spacing w:after="0" w:line="213" w:lineRule="exact"/>
        <w:rPr>
          <w:rFonts w:ascii="Arial" w:cs="Arial" w:eastAsia="Arial" w:hAnsi="Arial"/>
          <w:sz w:val="19"/>
          <w:szCs w:val="19"/>
          <w:b w:val="1"/>
          <w:bCs w:val="1"/>
          <w:color w:val="auto"/>
        </w:rPr>
      </w:pPr>
    </w:p>
    <w:p>
      <w:pPr>
        <w:ind w:left="660" w:right="260" w:hanging="328"/>
        <w:spacing w:after="0" w:line="218" w:lineRule="auto"/>
        <w:tabs>
          <w:tab w:leader="none" w:pos="621"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AbbVie announced that it submitted applications to the FDA and EMA seeking approval for Skyrizi (150 mg) for the treatment of adults with active PsA. The applications are supported by two Phase 3 studies in which Skyrizi demonstrated improved skin and joint symptoms and physical function, with a greater proportion of patients achieving minimal disease activity versus placebo. The safety profile of Skyrizi in these studies was generally consistent with the safety profile of Skyrizi in plaque psoriasis, with no new safety risks observed.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922"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Recent Events (continued)</w:t>
      </w:r>
    </w:p>
    <w:p>
      <w:pPr>
        <w:spacing w:after="0" w:line="240" w:lineRule="exact"/>
        <w:rPr>
          <w:sz w:val="20"/>
          <w:szCs w:val="20"/>
          <w:color w:val="auto"/>
        </w:rPr>
      </w:pPr>
    </w:p>
    <w:p>
      <w:pPr>
        <w:ind w:left="660" w:right="160" w:hanging="328"/>
        <w:spacing w:after="0" w:line="227" w:lineRule="auto"/>
        <w:tabs>
          <w:tab w:leader="none" w:pos="621" w:val="left"/>
        </w:tabs>
        <w:numPr>
          <w:ilvl w:val="0"/>
          <w:numId w:val="5"/>
        </w:numPr>
        <w:rPr>
          <w:rFonts w:ascii="Arial" w:cs="Arial" w:eastAsia="Arial" w:hAnsi="Arial"/>
          <w:sz w:val="19"/>
          <w:szCs w:val="19"/>
          <w:color w:val="auto"/>
        </w:rPr>
      </w:pPr>
      <w:r>
        <w:rPr>
          <w:rFonts w:ascii="Arial" w:cs="Arial" w:eastAsia="Arial" w:hAnsi="Arial"/>
          <w:sz w:val="19"/>
          <w:szCs w:val="19"/>
          <w:color w:val="auto"/>
        </w:rPr>
        <w:t>At the EULAR 2021 Virtual Congress of Rheumatology, AbbVie presented new data in 41 abstracts covering its portfolio of immunology assets including Rinvoq, Skyrizi, Humira (adalimumab) and its pipeline across multiple rheumatic diseases. Highlights included new long-term data from the Phase 3 SELECT-COMPARE trial that showed continuous treatment with Rinvoq (15 mg, once daily) plus methotrexate (MTX) maintained rates of clinical remission and low disease activity through three years in adults with RA, efficacy and safety data from the Phase 3 SELECT-PsA 2 trial assessing Rinvoq in patients with active PsA which showed that continuous treatment with Rinvoq (15 mg, once daily) resulted in sustained improvements in disease activity for more than one year, as well as a separate integrated safety analysis of Rinvoq in which no new significant safety findings were observed up to 4.5 years in patients with RA.</w:t>
      </w:r>
    </w:p>
    <w:p>
      <w:pPr>
        <w:spacing w:after="0" w:line="209" w:lineRule="exact"/>
        <w:rPr>
          <w:rFonts w:ascii="Arial" w:cs="Arial" w:eastAsia="Arial" w:hAnsi="Arial"/>
          <w:sz w:val="19"/>
          <w:szCs w:val="19"/>
          <w:color w:val="auto"/>
        </w:rPr>
      </w:pPr>
    </w:p>
    <w:p>
      <w:pPr>
        <w:ind w:left="660" w:right="40" w:hanging="328"/>
        <w:spacing w:after="0" w:line="215"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AbbVie announced that the EC approved Venclyxto (venetoclax) in combination with a hypomethylating agent, azacitidine or decitabine, for the treatment of adult patients with newly diagnosed acute myeloid leukemia (AML) who are ineligible for intensive chemotherapy. Approval is based on data from AbbVie's clinical trial program for Venclyxto, including the Phase 3 VIALE-A trial, which showed patients treated with Venclyxto in combination with azacitidine demonstrated improvements in overall survival (OS) versus patients treated with placebo in combination with azacitidine as well as results of the Phase 1b M14-358 trial which showed patients treated with Venclyxto in combination with azacitidine or decitabine achieved high remission rates. Venetoclax is being developed by AbbVie and Roche and is jointly commercialized by AbbVie and Genentech, a member of the Roche Group, in the U.S. and by AbbVie outside of the U.S.</w:t>
      </w:r>
    </w:p>
    <w:p>
      <w:pPr>
        <w:spacing w:after="0" w:line="224" w:lineRule="exact"/>
        <w:rPr>
          <w:rFonts w:ascii="Arial" w:cs="Arial" w:eastAsia="Arial" w:hAnsi="Arial"/>
          <w:sz w:val="20"/>
          <w:szCs w:val="20"/>
          <w:color w:val="auto"/>
        </w:rPr>
      </w:pPr>
    </w:p>
    <w:p>
      <w:pPr>
        <w:ind w:left="660" w:right="220" w:hanging="328"/>
        <w:spacing w:after="0" w:line="229"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AbbVie announced that the FDA granted a Breakthrough Therapy Designation (BTD) to Venclexta (venetoclax) in combination with azacitidine for the potential treatment of adult patients with previously untreated intermediate-, high-and very high-risk myelodysplastic syndromes (MDS). MDS are a group of diverse bone marrow disorders in which the bone marrow does not produce enough healthy blood cells. This marks the sixth BTD granted to Venclexta and a submission of a sNDA for Venclexta in higher-risk MDS is planned for later this year.</w:t>
      </w:r>
    </w:p>
    <w:p>
      <w:pPr>
        <w:spacing w:after="0" w:line="225" w:lineRule="exact"/>
        <w:rPr>
          <w:rFonts w:ascii="Arial" w:cs="Arial" w:eastAsia="Arial" w:hAnsi="Arial"/>
          <w:sz w:val="20"/>
          <w:szCs w:val="20"/>
          <w:color w:val="auto"/>
        </w:rPr>
      </w:pPr>
    </w:p>
    <w:p>
      <w:pPr>
        <w:ind w:left="660" w:right="20" w:hanging="328"/>
        <w:spacing w:after="0" w:line="229"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AbbVie and Teneobio, Inc. announced that AbbVie exercised its exclusive right to acquire TeneoOne, an affiliate of Teneobio, Inc., and TNB-383B, a BCMA-targeting immunotherapeutic for the potential treatment of relapsed or refractory multiple myeloma. AbbVie exercised its exclusive right to acquire TeneoOne and TNB-383B based on an interim analysis of an ongoing Phase 1 study in which results demonstrated an objective response rate (ORR) of 79 percent, very good partial response (VGPR) or better of 63 percent, and complete response (CR) of 29 percent at doses ≥40 mg in the dose escalation cohorts with a median follow-up time of 6.1 months.</w:t>
      </w:r>
    </w:p>
    <w:p>
      <w:pPr>
        <w:spacing w:after="0" w:line="208" w:lineRule="exact"/>
        <w:rPr>
          <w:rFonts w:ascii="Arial" w:cs="Arial" w:eastAsia="Arial" w:hAnsi="Arial"/>
          <w:sz w:val="20"/>
          <w:szCs w:val="20"/>
          <w:color w:val="auto"/>
        </w:rPr>
      </w:pPr>
    </w:p>
    <w:p>
      <w:pPr>
        <w:ind w:left="660" w:hanging="328"/>
        <w:spacing w:after="0" w:line="214" w:lineRule="auto"/>
        <w:tabs>
          <w:tab w:leader="none" w:pos="621"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At the American Society of Clinical Oncology (ASCO) Annual Meeting and European Hematology Association (EHA) Annual Congress, AbbVie presented more than 40 abstracts across twelve types of cancer showcasing the breadth of AbbVie's oncology portfolio and pipeline. Highlights included data from the Phase 3 GLOW and Phase 2 CAPTIVATE studies evaluating the combination therapy Imbruvica (ibrutinib) plus Venclexta in chronic lymphocytic leukemia (CLL). Results from the GLOW study demonstrated how the fixed-duration, all-oral combination showed superior progression-free survival (PFS) compared to chlorambucil plus obinutuzumab in first-line CLL as well as deeper and longer intervals of remission. Additional highlights included results from the Phase 3 RESONATE-2 study which showed that with up to seven years of data, PFS and OS benefits continue to be observed with first-line single-agent Imbruvica treatment in CLL patients, as well as new data from the Phase 3 CLL14 trial which showed the Venclexta plus obinutuzumab fixed duration combination demonstrated sustained PFS in CLL patients after three years off treatment. Imbruvica is jointly developed and commercialized with Janssen Biotech, Inc.</w:t>
      </w:r>
    </w:p>
    <w:p>
      <w:pPr>
        <w:spacing w:after="0" w:line="214" w:lineRule="exact"/>
        <w:rPr>
          <w:rFonts w:ascii="Arial" w:cs="Arial" w:eastAsia="Arial" w:hAnsi="Arial"/>
          <w:sz w:val="20"/>
          <w:szCs w:val="20"/>
          <w:b w:val="1"/>
          <w:bCs w:val="1"/>
          <w:color w:val="auto"/>
        </w:rPr>
      </w:pPr>
    </w:p>
    <w:p>
      <w:pPr>
        <w:ind w:left="660" w:right="60" w:hanging="328"/>
        <w:spacing w:after="0" w:line="216" w:lineRule="auto"/>
        <w:tabs>
          <w:tab w:leader="none" w:pos="621"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At the 2021 American Headache Society (AHS) Annual Scientific Meeting, AbbVie presented a total of 23 abstracts, including four podium presentations, from a broad range of studies across AbbVie’s migraine portfolio. Presentations included results from the Phase 3 ADVANCE clinical trial evaluating the safety and efficacy of atogepant in the preventive treatment of migraine as well as interim results on the real-world effectiveness of Ubrelvy (ubrogepant) for the acute treatment of migraine in combination with calcitonin gene-related peptide receptor (CGRP) monoclonal antibody (mAb) preventives, Botox (onabotulinumtoxinA) or both. AbbVie also presented real-world data on the role of Botox in combination with CGRP mAbs for Chronic Migraine prevention.</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Recent Events (continued)</w:t>
      </w:r>
    </w:p>
    <w:p>
      <w:pPr>
        <w:spacing w:after="0" w:line="240" w:lineRule="exact"/>
        <w:rPr>
          <w:sz w:val="20"/>
          <w:szCs w:val="20"/>
          <w:color w:val="auto"/>
        </w:rPr>
      </w:pPr>
    </w:p>
    <w:p>
      <w:pPr>
        <w:ind w:left="660" w:right="120" w:hanging="328"/>
        <w:spacing w:after="0" w:line="214"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At the American Society of Cataract and Refractive Surgery (ASCRS) Annual Meeting, AbbVie presented new data from its leading portfolio of eye care medicines. Presentations included full results from the Phase 3 GEMINI 1 clinical study, evaluating the efficacy, safety and tolerability of investigational AGN-190584 (pilocarpine 1.25%) ophthalmic solution for the treatment of presbyopia. In the study, AGN-190584 met both its primary and key secondary efficacy endpoints with patients achieving near and intermediate vision gains with no loss of distance vision, a rapid onset of action, and sustained vision gains of up to six hours. GEMINI 1 data, in combination with data from the GEMINI 2 study, formed the basis of the AGN-190584 New Drug Application (NDA) currently under review with the FDA, which the agency is expected to act on by the end of 2021. AbbVie also presented an updated analysis from the Phase 3 ARTEMIS studies assessing the efficacy and duration of Durysta (bimatoprost intracameral implant), the first and only FDA-approved dissolvable implant to reduce eye pressure in people with open angle glaucoma or high eye pressure.</w:t>
      </w:r>
    </w:p>
    <w:p>
      <w:pPr>
        <w:spacing w:after="0" w:line="217" w:lineRule="exact"/>
        <w:rPr>
          <w:rFonts w:ascii="Arial" w:cs="Arial" w:eastAsia="Arial" w:hAnsi="Arial"/>
          <w:sz w:val="20"/>
          <w:szCs w:val="20"/>
          <w:color w:val="auto"/>
        </w:rPr>
      </w:pPr>
    </w:p>
    <w:p>
      <w:pPr>
        <w:ind w:left="660" w:right="40" w:hanging="328"/>
        <w:spacing w:after="0" w:line="217"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At the Association for Research in Vision and Ophthalmology (ARVO) 2021 Annual Virtual Meeting, AbbVie presented new data, including real-world evidence and patient-reported outcomes (PROs), for products across its eye care portfolio and pipeline. The company presented PROs for AGN-190584, new analyses from the Phase 3 ARTEMIS studies examining the duration of intraocular pressure (IOP) lowering and biodegradation kinetics of Durysta as well as real world data from the multicenter EXPAND study evaluating twelve-month outcomes of an investigation into a novel placement of the Xen Gel Stent.</w:t>
      </w:r>
    </w:p>
    <w:p>
      <w:pPr>
        <w:spacing w:after="0" w:line="223" w:lineRule="exact"/>
        <w:rPr>
          <w:rFonts w:ascii="Arial" w:cs="Arial" w:eastAsia="Arial" w:hAnsi="Arial"/>
          <w:sz w:val="20"/>
          <w:szCs w:val="20"/>
          <w:color w:val="auto"/>
        </w:rPr>
      </w:pPr>
    </w:p>
    <w:p>
      <w:pPr>
        <w:ind w:left="660" w:right="60" w:hanging="328"/>
        <w:spacing w:after="0" w:line="229"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AbbVie announced that the FDA has approved a label expansion of Botox to include eight new muscles for the treatment of upper limb spasticity in adults. The new muscles for treatment include additional muscles of the elbow and forearm, intrinsic hand muscles and thumb muscles. 6.7 million people in the U.S. are living with adult spasticity across a variety of neurologic conditions and Botox has demonstrated efficacy and has an established safety profile with over 10 years of clinical use in the treatment of adult upper limb spasticity.</w:t>
      </w:r>
    </w:p>
    <w:p>
      <w:pPr>
        <w:spacing w:after="0" w:line="212" w:lineRule="exact"/>
        <w:rPr>
          <w:rFonts w:ascii="Arial" w:cs="Arial" w:eastAsia="Arial" w:hAnsi="Arial"/>
          <w:sz w:val="20"/>
          <w:szCs w:val="20"/>
          <w:color w:val="auto"/>
        </w:rPr>
      </w:pPr>
    </w:p>
    <w:p>
      <w:pPr>
        <w:ind w:left="660" w:hanging="328"/>
        <w:spacing w:after="0" w:line="218"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Allergan Aesthetics and Soliton announced a definitive agreement under which Allergan Aesthetics will acquire Soliton and Resonic, its Rapid Acoustic Pulse device which recently received FDA 510(k) clearance and is a non-invasive treatment for the improvement in the appearance of cellulite. The novel platform technology uses non-invasive rapid, high-frequency sound waves to disrupt targeted cellular structures and connective tissue, physically impacting the fibrous septae beneath the skin that contribute to the dimpled appearance of cellulite.</w:t>
      </w:r>
    </w:p>
    <w:p>
      <w:pPr>
        <w:spacing w:after="0" w:line="211" w:lineRule="exact"/>
        <w:rPr>
          <w:rFonts w:ascii="Arial" w:cs="Arial" w:eastAsia="Arial" w:hAnsi="Arial"/>
          <w:sz w:val="20"/>
          <w:szCs w:val="20"/>
          <w:color w:val="auto"/>
        </w:rPr>
      </w:pPr>
    </w:p>
    <w:p>
      <w:pPr>
        <w:ind w:left="660" w:hanging="328"/>
        <w:spacing w:after="0" w:line="217"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AbbVie and Calico Life Sciences announced an extension of their leading-edge collaboration to discover, develop and bring to market new therapies for patients with age-related diseases, including neurodegeneration and cancer. This is the second collaboration extension and builds on the partnership established in 2014 and extended in 2018. The extension is for an additional three years, beginning in 2022, and AbbVie and Calico will each commit to contribute an additional $500 million. AbbVie and Calico have advanced three clinical stage programs in immuno-oncology and neurodegeneration and have a portfolio of more than 20 early-stage programs targeting specific disease pathways.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908"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0"/>
          <w:szCs w:val="20"/>
          <w:b w:val="1"/>
          <w:bCs w:val="1"/>
          <w:color w:val="auto"/>
        </w:rPr>
        <w:t>Full-Year 2021 Outlook</w:t>
      </w:r>
    </w:p>
    <w:p>
      <w:pPr>
        <w:spacing w:after="0" w:line="213"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AbbVie is updating its GAAP diluted EPS guidance for the full-year 2021 from $7.27 to $7.47 to $6.04 to $6.14. AbbVie is raising its adjusted diluted EPS for the full-year 2021 from $12.37 to $12.57 to $ 12.52 to $ 12.62. The company's 2021 adjusted diluted EPS guidance excludes $6.48 per share of intangible asset amortization expense, non-cash charges for contingent consideration adjustments and other specified items.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AbbVie</w:t>
      </w:r>
    </w:p>
    <w:p>
      <w:pPr>
        <w:spacing w:after="0" w:line="267"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 xml:space="preserve">AbbVie's mission is to discover and deliver innovative medicines that solve serious health issues today and address the medical challenges of tomorrow. We strive to have a remarkable impact on people's lives across several key therapeutic areas: immunology, oncology, neuroscience, eye care, virology, women's health and gastroenterology, in addition to products and services across its Allergan Aesthetics portfolio. For more information about AbbVie, please visit us at </w:t>
      </w:r>
      <w:r>
        <w:rPr>
          <w:rFonts w:ascii="Arial" w:cs="Arial" w:eastAsia="Arial" w:hAnsi="Arial"/>
          <w:sz w:val="20"/>
          <w:szCs w:val="20"/>
          <w:u w:val="single" w:color="auto"/>
          <w:color w:val="0000FF"/>
        </w:rPr>
        <w:t>www.abbvie.com</w:t>
      </w:r>
      <w:r>
        <w:rPr>
          <w:rFonts w:ascii="Arial" w:cs="Arial" w:eastAsia="Arial" w:hAnsi="Arial"/>
          <w:sz w:val="20"/>
          <w:szCs w:val="20"/>
          <w:color w:val="auto"/>
        </w:rPr>
        <w:t xml:space="preserve">. Follow </w:t>
      </w:r>
      <w:r>
        <w:rPr>
          <w:rFonts w:ascii="Arial" w:cs="Arial" w:eastAsia="Arial" w:hAnsi="Arial"/>
          <w:sz w:val="20"/>
          <w:szCs w:val="20"/>
          <w:u w:val="single" w:color="auto"/>
          <w:color w:val="0000FF"/>
        </w:rPr>
        <w:t>@abbvie</w:t>
      </w:r>
      <w:r>
        <w:rPr>
          <w:rFonts w:ascii="Arial" w:cs="Arial" w:eastAsia="Arial" w:hAnsi="Arial"/>
          <w:sz w:val="20"/>
          <w:szCs w:val="20"/>
          <w:color w:val="0000FF"/>
        </w:rPr>
        <w:t xml:space="preserve"> </w:t>
      </w:r>
      <w:r>
        <w:rPr>
          <w:rFonts w:ascii="Arial" w:cs="Arial" w:eastAsia="Arial" w:hAnsi="Arial"/>
          <w:sz w:val="20"/>
          <w:szCs w:val="20"/>
          <w:color w:val="000000"/>
        </w:rPr>
        <w:t>on Twitter,</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Facebook</w:t>
      </w:r>
      <w:r>
        <w:rPr>
          <w:rFonts w:ascii="Arial" w:cs="Arial" w:eastAsia="Arial" w:hAnsi="Arial"/>
          <w:sz w:val="20"/>
          <w:szCs w:val="20"/>
          <w:color w:val="0000FF"/>
        </w:rPr>
        <w:t xml:space="preserve"> </w:t>
      </w:r>
      <w:r>
        <w:rPr>
          <w:rFonts w:ascii="Arial" w:cs="Arial" w:eastAsia="Arial" w:hAnsi="Arial"/>
          <w:sz w:val="20"/>
          <w:szCs w:val="20"/>
          <w:color w:val="000000"/>
        </w:rPr>
        <w:t>or</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LinkedIn</w:t>
      </w:r>
      <w:r>
        <w:rPr>
          <w:rFonts w:ascii="Arial" w:cs="Arial" w:eastAsia="Arial" w:hAnsi="Arial"/>
          <w:sz w:val="20"/>
          <w:szCs w:val="20"/>
          <w:color w:val="000000"/>
        </w:rPr>
        <w: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53"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 xml:space="preserve">AbbVie will host an investor conference call today at 8:00 a.m. Central time to discuss our second-quarter performance. The call will be webcast through AbbVie’s Investor Relations website at </w:t>
      </w:r>
      <w:r>
        <w:rPr>
          <w:rFonts w:ascii="Arial" w:cs="Arial" w:eastAsia="Arial" w:hAnsi="Arial"/>
          <w:sz w:val="20"/>
          <w:szCs w:val="20"/>
          <w:u w:val="single" w:color="auto"/>
          <w:color w:val="0000FF"/>
        </w:rPr>
        <w:t>investors.abbvie.com</w:t>
      </w:r>
      <w:r>
        <w:rPr>
          <w:rFonts w:ascii="Arial" w:cs="Arial" w:eastAsia="Arial" w:hAnsi="Arial"/>
          <w:sz w:val="20"/>
          <w:szCs w:val="20"/>
          <w:color w:val="auto"/>
        </w:rPr>
        <w:t>. An archived edition of the call will be available after 11:00 a.m. Central time.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Results</w:t>
      </w:r>
    </w:p>
    <w:p>
      <w:pPr>
        <w:spacing w:after="0" w:line="253" w:lineRule="exact"/>
        <w:rPr>
          <w:sz w:val="20"/>
          <w:szCs w:val="20"/>
          <w:color w:val="auto"/>
        </w:rPr>
      </w:pPr>
    </w:p>
    <w:p>
      <w:pPr>
        <w:ind w:right="20"/>
        <w:spacing w:after="0"/>
        <w:rPr>
          <w:sz w:val="20"/>
          <w:szCs w:val="20"/>
          <w:color w:val="auto"/>
        </w:rPr>
      </w:pPr>
      <w:r>
        <w:rPr>
          <w:rFonts w:ascii="Arial" w:cs="Arial" w:eastAsia="Arial" w:hAnsi="Arial"/>
          <w:sz w:val="20"/>
          <w:szCs w:val="20"/>
          <w:color w:val="auto"/>
        </w:rPr>
        <w:t>Financial results for 2021 and 2020 are presented on both a reported and a non-GAAP basis. Reported results were prepared in accordance with GAAP and include all revenue and expenses recognized during the period. Non-GAAP results adjust for certain non-cash items and for factors that are unusual or unpredictable, and exclude those costs, expenses, and other specified items presented in the reconciliation tables later in this release. AbbVie’s management believes non-GAAP financial measures provide useful information to investors regarding AbbVie’s results of operations and assist management, analysts, and investors in evaluating the performance of the business. Non-GAAP financial measures should be considered in addition to, and not as a substitute for, measures of financial performance prepared in accordance with GAAP. The company’s 2021 financial guidance is also being provided on both a reported and a non-GAAP basis.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53"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rPr>
        <w:t>Some statements in this news release are, or may be considered, forward-looking statements for purposes of the Private Securities Litigation Reform Act of 1995. The words "believe," "expect," "anticipate," "project" and similar expressions, among others, generally identify forward-looking statements. AbbVie cautions that these forward-looking statements are subject to risks and uncertainties that may cause actual results to differ materially from those indicated in the forward-looking statements. Such risks and uncertainties include, but are not limited to, the failure to realize the expected benefits of AbbVie’s acquisition of Allergan or to promptly and effectively integrate Allergan’s business, challenges to intellectual property, competition from other products, difficulties inherent in the research and development process, adverse litigation or government action, and changes to laws and regulations applicable to our industry. Additional information about the economic, competitive, governmental, technological and other factors that may affect AbbVie's operations is set forth in Item 1A, "Risk Factors," of AbbVie's 2020 Annual Report on Form 10-K, which has been filed with the Securities and Exchange Commission, as updated by its Quarterly Reports on Form 10-Q and in other documents that AbbVie subsequently files with the Securities and Exchange Commission that update, supplement or supersede such information. AbbVie undertakes no obligation to release publicly any revisions to forward-looking statements as a result of subsequent events or developments,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Media:</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Frank Benenati</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(224) 688-4169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Investors: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Liz Shea</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(847) 935-2211</w:t>
      </w:r>
    </w:p>
    <w:p>
      <w:pPr>
        <w:spacing w:after="0" w:line="200" w:lineRule="exact"/>
        <w:rPr>
          <w:sz w:val="20"/>
          <w:szCs w:val="20"/>
          <w:color w:val="auto"/>
        </w:rPr>
      </w:pPr>
    </w:p>
    <w:p>
      <w:pPr>
        <w:sectPr>
          <w:pgSz w:w="11900" w:h="16838" w:orient="portrait"/>
          <w:cols w:equalWidth="0" w:num="2">
            <w:col w:w="3440" w:space="720"/>
            <w:col w:w="7060"/>
          </w:cols>
          <w:pgMar w:left="340" w:top="1057" w:right="339" w:bottom="1440" w:gutter="0" w:footer="0" w:header="0"/>
        </w:sectPr>
      </w:pPr>
    </w:p>
    <w:p>
      <w:pPr>
        <w:spacing w:after="0" w:line="6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Todd Bosse</w:t>
      </w:r>
    </w:p>
    <w:p>
      <w:pPr>
        <w:spacing w:after="0" w:line="13" w:lineRule="exact"/>
        <w:rPr>
          <w:sz w:val="20"/>
          <w:szCs w:val="20"/>
          <w:color w:val="auto"/>
        </w:rPr>
      </w:pPr>
    </w:p>
    <w:p>
      <w:pPr>
        <w:ind w:left="4160"/>
        <w:spacing w:after="0"/>
        <w:rPr>
          <w:sz w:val="20"/>
          <w:szCs w:val="20"/>
          <w:color w:val="auto"/>
        </w:rPr>
      </w:pPr>
      <w:r>
        <w:rPr>
          <w:rFonts w:ascii="Arial" w:cs="Arial" w:eastAsia="Arial" w:hAnsi="Arial"/>
          <w:sz w:val="19"/>
          <w:szCs w:val="19"/>
          <w:color w:val="auto"/>
        </w:rPr>
        <w:t>(847) 936-1182</w:t>
      </w:r>
    </w:p>
    <w:p>
      <w:pPr>
        <w:spacing w:after="0" w:line="26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Jeffrey Byrne</w:t>
      </w:r>
    </w:p>
    <w:p>
      <w:pPr>
        <w:spacing w:after="0" w:line="13" w:lineRule="exact"/>
        <w:rPr>
          <w:sz w:val="20"/>
          <w:szCs w:val="20"/>
          <w:color w:val="auto"/>
        </w:rPr>
      </w:pPr>
    </w:p>
    <w:p>
      <w:pPr>
        <w:ind w:left="4160"/>
        <w:spacing w:after="0"/>
        <w:rPr>
          <w:sz w:val="20"/>
          <w:szCs w:val="20"/>
          <w:color w:val="auto"/>
        </w:rPr>
      </w:pPr>
      <w:r>
        <w:rPr>
          <w:rFonts w:ascii="Arial" w:cs="Arial" w:eastAsia="Arial" w:hAnsi="Arial"/>
          <w:sz w:val="19"/>
          <w:szCs w:val="19"/>
          <w:color w:val="auto"/>
        </w:rPr>
        <w:t>(847) 938-2923</w:t>
      </w:r>
    </w:p>
    <w:p>
      <w:pPr>
        <w:sectPr>
          <w:pgSz w:w="11900" w:h="16838" w:orient="portrait"/>
          <w:cols w:equalWidth="0" w:num="1">
            <w:col w:w="11220"/>
          </w:cols>
          <w:pgMar w:left="340" w:top="10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20"/>
          </w:cols>
          <w:pgMar w:left="340" w:top="1057"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Key Product Revenues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 Ended June 30, 2021</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(Unaudited)</w:t>
      </w:r>
    </w:p>
    <w:p>
      <w:pPr>
        <w:spacing w:after="0" w:line="109"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8"/>
          </w:tcPr>
          <w:p>
            <w:pPr>
              <w:ind w:left="120"/>
              <w:spacing w:after="0"/>
              <w:rPr>
                <w:sz w:val="20"/>
                <w:szCs w:val="20"/>
                <w:color w:val="auto"/>
              </w:rPr>
            </w:pPr>
            <w:r>
              <w:rPr>
                <w:rFonts w:ascii="Arial" w:cs="Arial" w:eastAsia="Arial" w:hAnsi="Arial"/>
                <w:sz w:val="18"/>
                <w:szCs w:val="18"/>
                <w:b w:val="1"/>
                <w:bCs w:val="1"/>
                <w:color w:val="auto"/>
              </w:rPr>
              <w:t>% Change vs. 2Q20</w:t>
            </w: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rPr>
              <w:t>Net Revenues (in millions)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Reported</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tcBorders>
              <w:bottom w:val="single" w:sz="8" w:color="auto"/>
            </w:tcBorders>
            <w:gridSpan w:val="9"/>
          </w:tcPr>
          <w:p>
            <w:pPr>
              <w:jc w:val="center"/>
              <w:spacing w:after="0" w:line="223" w:lineRule="exact"/>
              <w:rPr>
                <w:sz w:val="20"/>
                <w:szCs w:val="20"/>
                <w:color w:val="auto"/>
              </w:rPr>
            </w:pPr>
            <w:r>
              <w:rPr>
                <w:rFonts w:ascii="Arial" w:cs="Arial" w:eastAsia="Arial" w:hAnsi="Arial"/>
                <w:sz w:val="18"/>
                <w:szCs w:val="18"/>
                <w:b w:val="1"/>
                <w:bCs w:val="1"/>
                <w:color w:val="auto"/>
                <w:w w:val="97"/>
              </w:rPr>
              <w:t xml:space="preserve">Comparable Operational </w:t>
            </w:r>
            <w:r>
              <w:rPr>
                <w:rFonts w:ascii="Arial" w:cs="Arial" w:eastAsia="Arial" w:hAnsi="Arial"/>
                <w:sz w:val="23"/>
                <w:szCs w:val="23"/>
                <w:b w:val="1"/>
                <w:bCs w:val="1"/>
                <w:color w:val="auto"/>
                <w:w w:val="97"/>
                <w:vertAlign w:val="superscript"/>
              </w:rPr>
              <w:t>a, b</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line="182" w:lineRule="exact"/>
              <w:rPr>
                <w:sz w:val="20"/>
                <w:szCs w:val="20"/>
                <w:color w:val="auto"/>
              </w:rPr>
            </w:pPr>
            <w:r>
              <w:rPr>
                <w:rFonts w:ascii="Arial" w:cs="Arial" w:eastAsia="Arial" w:hAnsi="Arial"/>
                <w:sz w:val="18"/>
                <w:szCs w:val="18"/>
                <w:b w:val="1"/>
                <w:bCs w:val="1"/>
                <w:color w:val="auto"/>
                <w:w w:val="96"/>
              </w:rPr>
              <w:t>U.S.</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line="182" w:lineRule="exact"/>
              <w:rPr>
                <w:sz w:val="20"/>
                <w:szCs w:val="20"/>
                <w:color w:val="auto"/>
              </w:rPr>
            </w:pPr>
            <w:r>
              <w:rPr>
                <w:rFonts w:ascii="Arial" w:cs="Arial" w:eastAsia="Arial" w:hAnsi="Arial"/>
                <w:sz w:val="18"/>
                <w:szCs w:val="18"/>
                <w:b w:val="1"/>
                <w:bCs w:val="1"/>
                <w:color w:val="auto"/>
                <w:w w:val="97"/>
              </w:rPr>
              <w:t>Int’l.</w:t>
            </w:r>
          </w:p>
        </w:tc>
        <w:tc>
          <w:tcPr>
            <w:tcW w:w="260" w:type="dxa"/>
            <w:vAlign w:val="bottom"/>
          </w:tcPr>
          <w:p>
            <w:pPr>
              <w:spacing w:after="0"/>
              <w:rPr>
                <w:sz w:val="15"/>
                <w:szCs w:val="15"/>
                <w:color w:val="auto"/>
              </w:rPr>
            </w:pPr>
          </w:p>
        </w:tc>
        <w:tc>
          <w:tcPr>
            <w:tcW w:w="920" w:type="dxa"/>
            <w:vAlign w:val="bottom"/>
            <w:gridSpan w:val="3"/>
          </w:tcPr>
          <w:p>
            <w:pPr>
              <w:ind w:left="300"/>
              <w:spacing w:after="0" w:line="182"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U.S.</w:t>
            </w:r>
          </w:p>
        </w:tc>
        <w:tc>
          <w:tcPr>
            <w:tcW w:w="1020" w:type="dxa"/>
            <w:vAlign w:val="bottom"/>
            <w:gridSpan w:val="3"/>
          </w:tcPr>
          <w:p>
            <w:pPr>
              <w:jc w:val="center"/>
              <w:spacing w:after="0" w:line="182" w:lineRule="exact"/>
              <w:rPr>
                <w:sz w:val="20"/>
                <w:szCs w:val="20"/>
                <w:color w:val="auto"/>
              </w:rPr>
            </w:pPr>
            <w:r>
              <w:rPr>
                <w:rFonts w:ascii="Arial" w:cs="Arial" w:eastAsia="Arial" w:hAnsi="Arial"/>
                <w:sz w:val="18"/>
                <w:szCs w:val="18"/>
                <w:b w:val="1"/>
                <w:bCs w:val="1"/>
                <w:color w:val="auto"/>
                <w:w w:val="99"/>
              </w:rPr>
              <w:t>Int'l.</w:t>
            </w:r>
          </w:p>
        </w:tc>
        <w:tc>
          <w:tcPr>
            <w:tcW w:w="240" w:type="dxa"/>
            <w:vAlign w:val="bottom"/>
          </w:tcPr>
          <w:p>
            <w:pPr>
              <w:spacing w:after="0"/>
              <w:rPr>
                <w:sz w:val="15"/>
                <w:szCs w:val="15"/>
                <w:color w:val="auto"/>
              </w:rPr>
            </w:pPr>
          </w:p>
        </w:tc>
        <w:tc>
          <w:tcPr>
            <w:tcW w:w="6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U.S.</w:t>
            </w:r>
          </w:p>
        </w:tc>
        <w:tc>
          <w:tcPr>
            <w:tcW w:w="900" w:type="dxa"/>
            <w:vAlign w:val="bottom"/>
            <w:gridSpan w:val="3"/>
          </w:tcPr>
          <w:p>
            <w:pPr>
              <w:jc w:val="center"/>
              <w:ind w:right="40"/>
              <w:spacing w:after="0" w:line="182" w:lineRule="exact"/>
              <w:rPr>
                <w:sz w:val="20"/>
                <w:szCs w:val="20"/>
                <w:color w:val="auto"/>
              </w:rPr>
            </w:pPr>
            <w:r>
              <w:rPr>
                <w:rFonts w:ascii="Arial" w:cs="Arial" w:eastAsia="Arial" w:hAnsi="Arial"/>
                <w:sz w:val="18"/>
                <w:szCs w:val="18"/>
                <w:b w:val="1"/>
                <w:bCs w:val="1"/>
                <w:color w:val="auto"/>
                <w:w w:val="95"/>
              </w:rPr>
              <w:t>Int'l</w:t>
            </w:r>
          </w:p>
        </w:tc>
        <w:tc>
          <w:tcPr>
            <w:tcW w:w="920" w:type="dxa"/>
            <w:vAlign w:val="bottom"/>
            <w:gridSpan w:val="3"/>
          </w:tcPr>
          <w:p>
            <w:pPr>
              <w:ind w:left="280"/>
              <w:spacing w:after="0" w:line="182"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0" w:type="dxa"/>
            <w:vAlign w:val="bottom"/>
            <w:vMerge w:val="restart"/>
          </w:tcPr>
          <w:p>
            <w:pPr>
              <w:spacing w:after="0"/>
              <w:rPr>
                <w:sz w:val="20"/>
                <w:szCs w:val="20"/>
                <w:color w:val="auto"/>
              </w:rPr>
            </w:pPr>
            <w:r>
              <w:rPr>
                <w:rFonts w:ascii="Arial" w:cs="Arial" w:eastAsia="Arial" w:hAnsi="Arial"/>
                <w:sz w:val="18"/>
                <w:szCs w:val="18"/>
                <w:b w:val="1"/>
                <w:bCs w:val="1"/>
                <w:color w:val="auto"/>
              </w:rPr>
              <w:t>NET REVENUES</w:t>
            </w: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8"/>
              </w:rPr>
              <w:t>$10,804</w:t>
            </w:r>
          </w:p>
        </w:tc>
        <w:tc>
          <w:tcPr>
            <w:tcW w:w="9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8"/>
              </w:rPr>
              <w:t>$3,155</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8"/>
              </w:rPr>
              <w:t>$13,959</w:t>
            </w:r>
          </w:p>
        </w:tc>
        <w:tc>
          <w:tcPr>
            <w:tcW w:w="20" w:type="dxa"/>
            <w:vAlign w:val="bottom"/>
          </w:tcPr>
          <w:p>
            <w:pPr>
              <w:spacing w:after="0" w:line="20" w:lineRule="exact"/>
              <w:rPr>
                <w:sz w:val="1"/>
                <w:szCs w:val="1"/>
                <w:color w:val="auto"/>
              </w:rPr>
            </w:pPr>
          </w:p>
        </w:tc>
        <w:tc>
          <w:tcPr>
            <w:tcW w:w="940" w:type="dxa"/>
            <w:vAlign w:val="bottom"/>
            <w:gridSpan w:val="4"/>
            <w:vMerge w:val="restart"/>
          </w:tcPr>
          <w:p>
            <w:pPr>
              <w:jc w:val="center"/>
              <w:ind w:left="10"/>
              <w:spacing w:after="0"/>
              <w:rPr>
                <w:sz w:val="20"/>
                <w:szCs w:val="20"/>
                <w:color w:val="auto"/>
              </w:rPr>
            </w:pPr>
            <w:r>
              <w:rPr>
                <w:rFonts w:ascii="Arial" w:cs="Arial" w:eastAsia="Arial" w:hAnsi="Arial"/>
                <w:sz w:val="18"/>
                <w:szCs w:val="18"/>
                <w:b w:val="1"/>
                <w:bCs w:val="1"/>
                <w:color w:val="auto"/>
              </w:rPr>
              <w:t>32.6%</w:t>
            </w:r>
          </w:p>
        </w:tc>
        <w:tc>
          <w:tcPr>
            <w:tcW w:w="10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38.4%</w:t>
            </w:r>
          </w:p>
        </w:tc>
        <w:tc>
          <w:tcPr>
            <w:tcW w:w="8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7"/>
              </w:rPr>
              <w:t>33.9%</w:t>
            </w:r>
          </w:p>
        </w:tc>
        <w:tc>
          <w:tcPr>
            <w:tcW w:w="20" w:type="dxa"/>
            <w:vAlign w:val="bottom"/>
          </w:tcPr>
          <w:p>
            <w:pPr>
              <w:spacing w:after="0" w:line="20" w:lineRule="exact"/>
              <w:rPr>
                <w:sz w:val="1"/>
                <w:szCs w:val="1"/>
                <w:color w:val="auto"/>
              </w:rPr>
            </w:pPr>
          </w:p>
        </w:tc>
        <w:tc>
          <w:tcPr>
            <w:tcW w:w="1040" w:type="dxa"/>
            <w:vAlign w:val="bottom"/>
            <w:gridSpan w:val="4"/>
            <w:vMerge w:val="restart"/>
          </w:tcPr>
          <w:p>
            <w:pPr>
              <w:jc w:val="center"/>
              <w:ind w:right="20"/>
              <w:spacing w:after="0"/>
              <w:rPr>
                <w:sz w:val="20"/>
                <w:szCs w:val="20"/>
                <w:color w:val="auto"/>
              </w:rPr>
            </w:pPr>
            <w:r>
              <w:rPr>
                <w:rFonts w:ascii="Arial" w:cs="Arial" w:eastAsia="Arial" w:hAnsi="Arial"/>
                <w:sz w:val="18"/>
                <w:szCs w:val="18"/>
                <w:b w:val="1"/>
                <w:bCs w:val="1"/>
                <w:color w:val="auto"/>
                <w:w w:val="97"/>
              </w:rPr>
              <w:t>18.5%</w:t>
            </w:r>
          </w:p>
        </w:tc>
        <w:tc>
          <w:tcPr>
            <w:tcW w:w="900" w:type="dxa"/>
            <w:vAlign w:val="bottom"/>
            <w:gridSpan w:val="3"/>
            <w:vMerge w:val="restart"/>
          </w:tcPr>
          <w:p>
            <w:pPr>
              <w:jc w:val="center"/>
              <w:ind w:right="40"/>
              <w:spacing w:after="0"/>
              <w:rPr>
                <w:sz w:val="20"/>
                <w:szCs w:val="20"/>
                <w:color w:val="auto"/>
              </w:rPr>
            </w:pPr>
            <w:r>
              <w:rPr>
                <w:rFonts w:ascii="Arial" w:cs="Arial" w:eastAsia="Arial" w:hAnsi="Arial"/>
                <w:sz w:val="18"/>
                <w:szCs w:val="18"/>
                <w:b w:val="1"/>
                <w:bCs w:val="1"/>
                <w:color w:val="auto"/>
                <w:w w:val="97"/>
              </w:rPr>
              <w:t>22.4%</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7"/>
              </w:rPr>
              <w:t>19.3%</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00" w:type="dxa"/>
            <w:vAlign w:val="bottom"/>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vMerge w:val="continue"/>
          </w:tcPr>
          <w:p>
            <w:pPr>
              <w:spacing w:after="0"/>
              <w:rPr>
                <w:sz w:val="19"/>
                <w:szCs w:val="19"/>
                <w:color w:val="auto"/>
              </w:rPr>
            </w:pPr>
          </w:p>
        </w:tc>
        <w:tc>
          <w:tcPr>
            <w:tcW w:w="1020" w:type="dxa"/>
            <w:vAlign w:val="bottom"/>
            <w:gridSpan w:val="3"/>
            <w:vMerge w:val="continue"/>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40" w:type="dxa"/>
            <w:vAlign w:val="bottom"/>
            <w:gridSpan w:val="4"/>
            <w:vMerge w:val="continue"/>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600" w:type="dxa"/>
            <w:vAlign w:val="bottom"/>
          </w:tcPr>
          <w:p>
            <w:pPr>
              <w:spacing w:after="0"/>
              <w:rPr>
                <w:sz w:val="20"/>
                <w:szCs w:val="20"/>
                <w:color w:val="auto"/>
              </w:rPr>
            </w:pPr>
            <w:r>
              <w:rPr>
                <w:rFonts w:ascii="Arial" w:cs="Arial" w:eastAsia="Arial" w:hAnsi="Arial"/>
                <w:sz w:val="18"/>
                <w:szCs w:val="18"/>
                <w:b w:val="1"/>
                <w:bCs w:val="1"/>
                <w:color w:val="auto"/>
              </w:rPr>
              <w:t>Immunology</w:t>
            </w:r>
          </w:p>
        </w:tc>
        <w:tc>
          <w:tcPr>
            <w:tcW w:w="9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7"/>
              </w:rPr>
              <w:t>5,118</w:t>
            </w: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rPr>
              <w:t>1,002</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6,120</w:t>
            </w:r>
          </w:p>
        </w:tc>
        <w:tc>
          <w:tcPr>
            <w:tcW w:w="20" w:type="dxa"/>
            <w:vAlign w:val="bottom"/>
            <w:shd w:val="clear" w:color="auto" w:fill="000000"/>
          </w:tcPr>
          <w:p>
            <w:pPr>
              <w:spacing w:after="0"/>
              <w:rPr>
                <w:sz w:val="24"/>
                <w:szCs w:val="24"/>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rPr>
              <w:t>16.3</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5"/>
              </w:rPr>
              <w:t>9.4</w:t>
            </w:r>
          </w:p>
        </w:tc>
        <w:tc>
          <w:tcPr>
            <w:tcW w:w="320" w:type="dxa"/>
            <w:vAlign w:val="bottom"/>
          </w:tcPr>
          <w:p>
            <w:pPr>
              <w:spacing w:after="0"/>
              <w:rPr>
                <w:sz w:val="24"/>
                <w:szCs w:val="24"/>
                <w:color w:val="auto"/>
              </w:rPr>
            </w:pPr>
          </w:p>
        </w:tc>
        <w:tc>
          <w:tcPr>
            <w:tcW w:w="66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6"/>
              </w:rPr>
              <w:t>15.1</w:t>
            </w:r>
          </w:p>
        </w:tc>
        <w:tc>
          <w:tcPr>
            <w:tcW w:w="2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6"/>
              </w:rPr>
              <w:t>16.3</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rPr>
              <w:t>1.7</w:t>
            </w:r>
          </w:p>
        </w:tc>
        <w:tc>
          <w:tcPr>
            <w:tcW w:w="320" w:type="dxa"/>
            <w:vAlign w:val="bottom"/>
          </w:tcPr>
          <w:p>
            <w:pPr>
              <w:spacing w:after="0"/>
              <w:rPr>
                <w:sz w:val="24"/>
                <w:szCs w:val="24"/>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6"/>
              </w:rPr>
              <w:t>13.8</w:t>
            </w:r>
          </w:p>
        </w:tc>
        <w:tc>
          <w:tcPr>
            <w:tcW w:w="2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0"/>
              <w:spacing w:after="0"/>
              <w:rPr>
                <w:sz w:val="20"/>
                <w:szCs w:val="20"/>
                <w:color w:val="auto"/>
              </w:rPr>
            </w:pPr>
            <w:r>
              <w:rPr>
                <w:rFonts w:ascii="Arial" w:cs="Arial" w:eastAsia="Arial" w:hAnsi="Arial"/>
                <w:sz w:val="18"/>
                <w:szCs w:val="18"/>
                <w:color w:val="auto"/>
              </w:rPr>
              <w:t>Humira</w:t>
            </w:r>
          </w:p>
        </w:tc>
        <w:tc>
          <w:tcPr>
            <w:tcW w:w="920" w:type="dxa"/>
            <w:vAlign w:val="bottom"/>
            <w:gridSpan w:val="3"/>
          </w:tcPr>
          <w:p>
            <w:pPr>
              <w:jc w:val="center"/>
              <w:ind w:right="80"/>
              <w:spacing w:after="0"/>
              <w:rPr>
                <w:sz w:val="20"/>
                <w:szCs w:val="20"/>
                <w:color w:val="auto"/>
              </w:rPr>
            </w:pPr>
            <w:r>
              <w:rPr>
                <w:rFonts w:ascii="Arial" w:cs="Arial" w:eastAsia="Arial" w:hAnsi="Arial"/>
                <w:sz w:val="18"/>
                <w:szCs w:val="18"/>
                <w:color w:val="auto"/>
                <w:w w:val="97"/>
              </w:rPr>
              <w:t>4,257</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811</w:t>
            </w:r>
          </w:p>
        </w:tc>
        <w:tc>
          <w:tcPr>
            <w:tcW w:w="26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5,068</w:t>
            </w:r>
          </w:p>
        </w:tc>
        <w:tc>
          <w:tcPr>
            <w:tcW w:w="20" w:type="dxa"/>
            <w:vAlign w:val="bottom"/>
            <w:shd w:val="clear" w:color="auto" w:fill="000000"/>
          </w:tcPr>
          <w:p>
            <w:pPr>
              <w:spacing w:after="0"/>
              <w:rPr>
                <w:sz w:val="19"/>
                <w:szCs w:val="19"/>
                <w:color w:val="auto"/>
              </w:rPr>
            </w:pPr>
          </w:p>
        </w:tc>
        <w:tc>
          <w:tcPr>
            <w:tcW w:w="680" w:type="dxa"/>
            <w:vAlign w:val="bottom"/>
            <w:gridSpan w:val="3"/>
          </w:tcPr>
          <w:p>
            <w:pPr>
              <w:jc w:val="center"/>
              <w:ind w:left="270"/>
              <w:spacing w:after="0"/>
              <w:rPr>
                <w:sz w:val="20"/>
                <w:szCs w:val="20"/>
                <w:color w:val="auto"/>
              </w:rPr>
            </w:pPr>
            <w:r>
              <w:rPr>
                <w:rFonts w:ascii="Arial" w:cs="Arial" w:eastAsia="Arial" w:hAnsi="Arial"/>
                <w:sz w:val="18"/>
                <w:szCs w:val="18"/>
                <w:color w:val="auto"/>
                <w:w w:val="95"/>
              </w:rPr>
              <w:t>7.1</w:t>
            </w:r>
          </w:p>
        </w:tc>
        <w:tc>
          <w:tcPr>
            <w:tcW w:w="260" w:type="dxa"/>
            <w:vAlign w:val="bottom"/>
          </w:tcPr>
          <w:p>
            <w:pPr>
              <w:spacing w:after="0"/>
              <w:rPr>
                <w:sz w:val="19"/>
                <w:szCs w:val="19"/>
                <w:color w:val="auto"/>
              </w:rPr>
            </w:pP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97"/>
              </w:rPr>
              <w:t>(6.0)</w:t>
            </w: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80" w:type="dxa"/>
            <w:vAlign w:val="bottom"/>
            <w:gridSpan w:val="3"/>
          </w:tcPr>
          <w:p>
            <w:pPr>
              <w:jc w:val="center"/>
              <w:ind w:left="250"/>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19"/>
                <w:szCs w:val="19"/>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8"/>
                <w:szCs w:val="18"/>
                <w:color w:val="auto"/>
                <w:w w:val="97"/>
              </w:rPr>
              <w:t>(12.6)</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Skyrizi</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565</w:t>
            </w:r>
          </w:p>
        </w:tc>
        <w:tc>
          <w:tcPr>
            <w:tcW w:w="32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109</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674</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95.7</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97"/>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6"/>
              </w:rPr>
              <w:t>95.7</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color w:val="auto"/>
                <w:w w:val="97"/>
              </w:rPr>
              <w:t>&gt;100.0</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0"/>
              <w:spacing w:after="0"/>
              <w:rPr>
                <w:sz w:val="20"/>
                <w:szCs w:val="20"/>
                <w:color w:val="auto"/>
              </w:rPr>
            </w:pPr>
            <w:r>
              <w:rPr>
                <w:rFonts w:ascii="Arial" w:cs="Arial" w:eastAsia="Arial" w:hAnsi="Arial"/>
                <w:sz w:val="18"/>
                <w:szCs w:val="18"/>
                <w:color w:val="auto"/>
              </w:rPr>
              <w:t>Rinvoq</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296</w:t>
            </w:r>
          </w:p>
        </w:tc>
        <w:tc>
          <w:tcPr>
            <w:tcW w:w="32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82</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378</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&gt;100.0</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97"/>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7"/>
              </w:rPr>
              <w:t>&gt;100.0</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color w:val="auto"/>
                <w:w w:val="97"/>
              </w:rPr>
              <w:t>&gt;100.0</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600" w:type="dxa"/>
            <w:vAlign w:val="bottom"/>
          </w:tcPr>
          <w:p>
            <w:pPr>
              <w:spacing w:after="0"/>
              <w:rPr>
                <w:sz w:val="20"/>
                <w:szCs w:val="20"/>
                <w:color w:val="auto"/>
              </w:rPr>
            </w:pPr>
            <w:r>
              <w:rPr>
                <w:rFonts w:ascii="Arial" w:cs="Arial" w:eastAsia="Arial" w:hAnsi="Arial"/>
                <w:sz w:val="18"/>
                <w:szCs w:val="18"/>
                <w:b w:val="1"/>
                <w:bCs w:val="1"/>
                <w:color w:val="auto"/>
              </w:rPr>
              <w:t>Hematologic Oncology</w:t>
            </w:r>
          </w:p>
        </w:tc>
        <w:tc>
          <w:tcPr>
            <w:tcW w:w="9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7"/>
              </w:rPr>
              <w:t>1,322</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494</w:t>
            </w:r>
          </w:p>
        </w:tc>
        <w:tc>
          <w:tcPr>
            <w:tcW w:w="260" w:type="dxa"/>
            <w:vAlign w:val="bottom"/>
          </w:tcPr>
          <w:p>
            <w:pPr>
              <w:spacing w:after="0"/>
              <w:rPr>
                <w:sz w:val="24"/>
                <w:szCs w:val="24"/>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1,816</w:t>
            </w:r>
          </w:p>
        </w:tc>
        <w:tc>
          <w:tcPr>
            <w:tcW w:w="20" w:type="dxa"/>
            <w:vAlign w:val="bottom"/>
            <w:shd w:val="clear" w:color="auto" w:fill="000000"/>
          </w:tcPr>
          <w:p>
            <w:pPr>
              <w:spacing w:after="0"/>
              <w:rPr>
                <w:sz w:val="24"/>
                <w:szCs w:val="24"/>
                <w:color w:val="auto"/>
              </w:rPr>
            </w:pPr>
          </w:p>
        </w:tc>
        <w:tc>
          <w:tcPr>
            <w:tcW w:w="68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5"/>
              </w:rPr>
              <w:t>6.1</w:t>
            </w:r>
          </w:p>
        </w:tc>
        <w:tc>
          <w:tcPr>
            <w:tcW w:w="260" w:type="dxa"/>
            <w:vAlign w:val="bottom"/>
          </w:tcPr>
          <w:p>
            <w:pPr>
              <w:spacing w:after="0"/>
              <w:rPr>
                <w:sz w:val="24"/>
                <w:szCs w:val="24"/>
                <w:color w:val="auto"/>
              </w:rPr>
            </w:pPr>
          </w:p>
        </w:tc>
        <w:tc>
          <w:tcPr>
            <w:tcW w:w="70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rPr>
              <w:t>42.9</w:t>
            </w:r>
          </w:p>
        </w:tc>
        <w:tc>
          <w:tcPr>
            <w:tcW w:w="320" w:type="dxa"/>
            <w:vAlign w:val="bottom"/>
          </w:tcPr>
          <w:p>
            <w:pPr>
              <w:spacing w:after="0"/>
              <w:rPr>
                <w:sz w:val="24"/>
                <w:szCs w:val="24"/>
                <w:color w:val="auto"/>
              </w:rPr>
            </w:pPr>
          </w:p>
        </w:tc>
        <w:tc>
          <w:tcPr>
            <w:tcW w:w="66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6"/>
              </w:rPr>
              <w:t>14.1</w:t>
            </w:r>
          </w:p>
        </w:tc>
        <w:tc>
          <w:tcPr>
            <w:tcW w:w="2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68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rPr>
              <w:t>6.1</w:t>
            </w:r>
          </w:p>
        </w:tc>
        <w:tc>
          <w:tcPr>
            <w:tcW w:w="360" w:type="dxa"/>
            <w:vAlign w:val="bottom"/>
          </w:tcPr>
          <w:p>
            <w:pPr>
              <w:spacing w:after="0"/>
              <w:rPr>
                <w:sz w:val="24"/>
                <w:szCs w:val="24"/>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6"/>
              </w:rPr>
              <w:t>38.6</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6"/>
              </w:rPr>
              <w:t>13.2</w:t>
            </w:r>
          </w:p>
        </w:tc>
        <w:tc>
          <w:tcPr>
            <w:tcW w:w="2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600" w:type="dxa"/>
            <w:vAlign w:val="bottom"/>
          </w:tcPr>
          <w:p>
            <w:pPr>
              <w:ind w:left="200"/>
              <w:spacing w:after="0" w:line="242" w:lineRule="exact"/>
              <w:rPr>
                <w:sz w:val="20"/>
                <w:szCs w:val="20"/>
                <w:color w:val="auto"/>
              </w:rPr>
            </w:pPr>
            <w:r>
              <w:rPr>
                <w:rFonts w:ascii="Arial" w:cs="Arial" w:eastAsia="Arial" w:hAnsi="Arial"/>
                <w:sz w:val="18"/>
                <w:szCs w:val="18"/>
                <w:color w:val="auto"/>
              </w:rPr>
              <w:t>Imbruvica</w:t>
            </w:r>
            <w:r>
              <w:rPr>
                <w:rFonts w:ascii="Arial" w:cs="Arial" w:eastAsia="Arial" w:hAnsi="Arial"/>
                <w:sz w:val="23"/>
                <w:szCs w:val="23"/>
                <w:color w:val="auto"/>
                <w:vertAlign w:val="superscript"/>
              </w:rPr>
              <w:t>c</w:t>
            </w:r>
          </w:p>
        </w:tc>
        <w:tc>
          <w:tcPr>
            <w:tcW w:w="920" w:type="dxa"/>
            <w:vAlign w:val="bottom"/>
            <w:gridSpan w:val="3"/>
          </w:tcPr>
          <w:p>
            <w:pPr>
              <w:jc w:val="center"/>
              <w:ind w:right="80"/>
              <w:spacing w:after="0"/>
              <w:rPr>
                <w:sz w:val="20"/>
                <w:szCs w:val="20"/>
                <w:color w:val="auto"/>
              </w:rPr>
            </w:pPr>
            <w:r>
              <w:rPr>
                <w:rFonts w:ascii="Arial" w:cs="Arial" w:eastAsia="Arial" w:hAnsi="Arial"/>
                <w:sz w:val="18"/>
                <w:szCs w:val="18"/>
                <w:color w:val="auto"/>
                <w:w w:val="97"/>
              </w:rPr>
              <w:t>1,099</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282</w:t>
            </w:r>
          </w:p>
        </w:tc>
        <w:tc>
          <w:tcPr>
            <w:tcW w:w="260" w:type="dxa"/>
            <w:vAlign w:val="bottom"/>
          </w:tcPr>
          <w:p>
            <w:pPr>
              <w:spacing w:after="0"/>
              <w:rPr>
                <w:sz w:val="21"/>
                <w:szCs w:val="21"/>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1,381</w:t>
            </w:r>
          </w:p>
        </w:tc>
        <w:tc>
          <w:tcPr>
            <w:tcW w:w="20" w:type="dxa"/>
            <w:vAlign w:val="bottom"/>
            <w:shd w:val="clear" w:color="auto" w:fill="000000"/>
          </w:tcPr>
          <w:p>
            <w:pPr>
              <w:spacing w:after="0"/>
              <w:rPr>
                <w:sz w:val="21"/>
                <w:szCs w:val="21"/>
                <w:color w:val="auto"/>
              </w:rPr>
            </w:pPr>
          </w:p>
        </w:tc>
        <w:tc>
          <w:tcPr>
            <w:tcW w:w="680" w:type="dxa"/>
            <w:vAlign w:val="bottom"/>
            <w:gridSpan w:val="3"/>
          </w:tcPr>
          <w:p>
            <w:pPr>
              <w:jc w:val="center"/>
              <w:ind w:left="270"/>
              <w:spacing w:after="0"/>
              <w:rPr>
                <w:sz w:val="20"/>
                <w:szCs w:val="20"/>
                <w:color w:val="auto"/>
              </w:rPr>
            </w:pPr>
            <w:r>
              <w:rPr>
                <w:rFonts w:ascii="Arial" w:cs="Arial" w:eastAsia="Arial" w:hAnsi="Arial"/>
                <w:sz w:val="18"/>
                <w:szCs w:val="18"/>
                <w:color w:val="auto"/>
                <w:w w:val="95"/>
              </w:rPr>
              <w:t>4.3</w:t>
            </w:r>
          </w:p>
        </w:tc>
        <w:tc>
          <w:tcPr>
            <w:tcW w:w="260" w:type="dxa"/>
            <w:vAlign w:val="bottom"/>
          </w:tcPr>
          <w:p>
            <w:pPr>
              <w:spacing w:after="0"/>
              <w:rPr>
                <w:sz w:val="21"/>
                <w:szCs w:val="21"/>
                <w:color w:val="auto"/>
              </w:rPr>
            </w:pP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21"/>
                <w:szCs w:val="21"/>
                <w:color w:val="auto"/>
              </w:rPr>
            </w:pP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680" w:type="dxa"/>
            <w:vAlign w:val="bottom"/>
            <w:gridSpan w:val="3"/>
          </w:tcPr>
          <w:p>
            <w:pPr>
              <w:jc w:val="center"/>
              <w:ind w:left="25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1"/>
                <w:szCs w:val="21"/>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8"/>
                <w:szCs w:val="18"/>
                <w:color w:val="auto"/>
                <w:w w:val="96"/>
              </w:rPr>
              <w:t>20.6</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600" w:type="dxa"/>
            <w:vAlign w:val="bottom"/>
          </w:tcPr>
          <w:p>
            <w:pPr>
              <w:ind w:left="200"/>
              <w:spacing w:after="0"/>
              <w:rPr>
                <w:sz w:val="20"/>
                <w:szCs w:val="20"/>
                <w:color w:val="auto"/>
              </w:rPr>
            </w:pPr>
            <w:r>
              <w:rPr>
                <w:rFonts w:ascii="Arial" w:cs="Arial" w:eastAsia="Arial" w:hAnsi="Arial"/>
                <w:sz w:val="18"/>
                <w:szCs w:val="18"/>
                <w:color w:val="auto"/>
              </w:rPr>
              <w:t>Venclexta</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223</w:t>
            </w:r>
          </w:p>
        </w:tc>
        <w:tc>
          <w:tcPr>
            <w:tcW w:w="320" w:type="dxa"/>
            <w:vAlign w:val="bottom"/>
          </w:tcPr>
          <w:p>
            <w:pPr>
              <w:spacing w:after="0"/>
              <w:rPr>
                <w:sz w:val="18"/>
                <w:szCs w:val="18"/>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212</w:t>
            </w:r>
          </w:p>
        </w:tc>
        <w:tc>
          <w:tcPr>
            <w:tcW w:w="260" w:type="dxa"/>
            <w:vAlign w:val="bottom"/>
          </w:tcPr>
          <w:p>
            <w:pPr>
              <w:spacing w:after="0"/>
              <w:rPr>
                <w:sz w:val="18"/>
                <w:szCs w:val="18"/>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435</w:t>
            </w: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16.3</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89.3</w:t>
            </w:r>
          </w:p>
        </w:tc>
        <w:tc>
          <w:tcPr>
            <w:tcW w:w="320" w:type="dxa"/>
            <w:vAlign w:val="bottom"/>
          </w:tcPr>
          <w:p>
            <w:pPr>
              <w:spacing w:after="0"/>
              <w:rPr>
                <w:sz w:val="18"/>
                <w:szCs w:val="18"/>
                <w:color w:val="auto"/>
              </w:rPr>
            </w:pP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w w:val="96"/>
              </w:rPr>
              <w:t>43.2</w:t>
            </w: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6"/>
              </w:rPr>
              <w:t>16.3</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color w:val="auto"/>
                <w:w w:val="96"/>
              </w:rPr>
              <w:t>75.9</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6"/>
              </w:rPr>
              <w:t>38.3</w:t>
            </w: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600" w:type="dxa"/>
            <w:vAlign w:val="bottom"/>
          </w:tcPr>
          <w:p>
            <w:pPr>
              <w:spacing w:after="0"/>
              <w:rPr>
                <w:sz w:val="20"/>
                <w:szCs w:val="20"/>
                <w:color w:val="auto"/>
              </w:rPr>
            </w:pPr>
            <w:r>
              <w:rPr>
                <w:rFonts w:ascii="Arial" w:cs="Arial" w:eastAsia="Arial" w:hAnsi="Arial"/>
                <w:sz w:val="18"/>
                <w:szCs w:val="18"/>
                <w:b w:val="1"/>
                <w:bCs w:val="1"/>
                <w:color w:val="auto"/>
              </w:rPr>
              <w:t>Aesthetics</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9"/>
              </w:rPr>
              <w:t>925</w:t>
            </w:r>
          </w:p>
        </w:tc>
        <w:tc>
          <w:tcPr>
            <w:tcW w:w="320" w:type="dxa"/>
            <w:vAlign w:val="bottom"/>
          </w:tcPr>
          <w:p>
            <w:pPr>
              <w:spacing w:after="0"/>
              <w:rPr>
                <w:sz w:val="24"/>
                <w:szCs w:val="24"/>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509</w:t>
            </w:r>
          </w:p>
        </w:tc>
        <w:tc>
          <w:tcPr>
            <w:tcW w:w="260" w:type="dxa"/>
            <w:vAlign w:val="bottom"/>
          </w:tcPr>
          <w:p>
            <w:pPr>
              <w:spacing w:after="0"/>
              <w:rPr>
                <w:sz w:val="24"/>
                <w:szCs w:val="24"/>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1,434</w:t>
            </w:r>
          </w:p>
        </w:tc>
        <w:tc>
          <w:tcPr>
            <w:tcW w:w="20" w:type="dxa"/>
            <w:vAlign w:val="bottom"/>
            <w:shd w:val="clear" w:color="auto" w:fill="000000"/>
          </w:tcPr>
          <w:p>
            <w:pPr>
              <w:spacing w:after="0"/>
              <w:rPr>
                <w:sz w:val="24"/>
                <w:szCs w:val="24"/>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rPr>
              <w:t>&gt;100.0</w:t>
            </w:r>
          </w:p>
        </w:tc>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rPr>
              <w:t>&gt;100.0</w:t>
            </w:r>
          </w:p>
        </w:tc>
        <w:tc>
          <w:tcPr>
            <w:tcW w:w="8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&gt;100.0</w:t>
            </w:r>
          </w:p>
        </w:tc>
        <w:tc>
          <w:tcPr>
            <w:tcW w:w="20" w:type="dxa"/>
            <w:vAlign w:val="bottom"/>
            <w:shd w:val="clear" w:color="auto" w:fill="000000"/>
          </w:tcPr>
          <w:p>
            <w:pPr>
              <w:spacing w:after="0"/>
              <w:rPr>
                <w:sz w:val="24"/>
                <w:szCs w:val="24"/>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7"/>
              </w:rPr>
              <w:t>&gt;100.0</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7"/>
              </w:rPr>
              <w:t>&gt;100.0</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rPr>
              <w:t>&gt;100.0</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0"/>
              <w:spacing w:after="0"/>
              <w:rPr>
                <w:sz w:val="20"/>
                <w:szCs w:val="20"/>
                <w:color w:val="auto"/>
              </w:rPr>
            </w:pPr>
            <w:r>
              <w:rPr>
                <w:rFonts w:ascii="Arial" w:cs="Arial" w:eastAsia="Arial" w:hAnsi="Arial"/>
                <w:sz w:val="18"/>
                <w:szCs w:val="18"/>
                <w:color w:val="auto"/>
              </w:rPr>
              <w:t>Botox Cosmetic*</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366</w:t>
            </w:r>
          </w:p>
        </w:tc>
        <w:tc>
          <w:tcPr>
            <w:tcW w:w="32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218</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584</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&gt;100.0</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97"/>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7"/>
              </w:rPr>
              <w:t>&gt;100.0</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color w:val="auto"/>
                <w:w w:val="97"/>
              </w:rPr>
              <w:t>&gt;100.0</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Juvederm Collection*</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196</w:t>
            </w:r>
          </w:p>
        </w:tc>
        <w:tc>
          <w:tcPr>
            <w:tcW w:w="32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232</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428</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&gt;100.0</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97"/>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7"/>
              </w:rPr>
              <w:t>&gt;100.0</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color w:val="auto"/>
                <w:w w:val="97"/>
              </w:rPr>
              <w:t>&gt;100.0</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0"/>
              <w:spacing w:after="0"/>
              <w:rPr>
                <w:sz w:val="20"/>
                <w:szCs w:val="20"/>
                <w:color w:val="auto"/>
              </w:rPr>
            </w:pPr>
            <w:r>
              <w:rPr>
                <w:rFonts w:ascii="Arial" w:cs="Arial" w:eastAsia="Arial" w:hAnsi="Arial"/>
                <w:sz w:val="18"/>
                <w:szCs w:val="18"/>
                <w:color w:val="auto"/>
              </w:rPr>
              <w:t>Other Aesthetics*</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363</w:t>
            </w:r>
          </w:p>
        </w:tc>
        <w:tc>
          <w:tcPr>
            <w:tcW w:w="32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59</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422</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&gt;100.0</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97"/>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7"/>
              </w:rPr>
              <w:t>&gt;100.0</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color w:val="auto"/>
                <w:w w:val="97"/>
              </w:rPr>
              <w:t>&gt;100.0</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600" w:type="dxa"/>
            <w:vAlign w:val="bottom"/>
          </w:tcPr>
          <w:p>
            <w:pPr>
              <w:spacing w:after="0"/>
              <w:rPr>
                <w:sz w:val="20"/>
                <w:szCs w:val="20"/>
                <w:color w:val="auto"/>
              </w:rPr>
            </w:pPr>
            <w:r>
              <w:rPr>
                <w:rFonts w:ascii="Arial" w:cs="Arial" w:eastAsia="Arial" w:hAnsi="Arial"/>
                <w:sz w:val="18"/>
                <w:szCs w:val="18"/>
                <w:b w:val="1"/>
                <w:bCs w:val="1"/>
                <w:color w:val="auto"/>
              </w:rPr>
              <w:t>Neuroscience</w:t>
            </w:r>
          </w:p>
        </w:tc>
        <w:tc>
          <w:tcPr>
            <w:tcW w:w="9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7"/>
              </w:rPr>
              <w:t>1,238</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221</w:t>
            </w:r>
          </w:p>
        </w:tc>
        <w:tc>
          <w:tcPr>
            <w:tcW w:w="260" w:type="dxa"/>
            <w:vAlign w:val="bottom"/>
          </w:tcPr>
          <w:p>
            <w:pPr>
              <w:spacing w:after="0"/>
              <w:rPr>
                <w:sz w:val="24"/>
                <w:szCs w:val="24"/>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1,459</w:t>
            </w:r>
          </w:p>
        </w:tc>
        <w:tc>
          <w:tcPr>
            <w:tcW w:w="20" w:type="dxa"/>
            <w:vAlign w:val="bottom"/>
            <w:shd w:val="clear" w:color="auto" w:fill="000000"/>
          </w:tcPr>
          <w:p>
            <w:pPr>
              <w:spacing w:after="0"/>
              <w:rPr>
                <w:sz w:val="24"/>
                <w:szCs w:val="24"/>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rPr>
              <w:t>&gt;100.0</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rPr>
              <w:t>61.4</w:t>
            </w:r>
          </w:p>
        </w:tc>
        <w:tc>
          <w:tcPr>
            <w:tcW w:w="320" w:type="dxa"/>
            <w:vAlign w:val="bottom"/>
          </w:tcPr>
          <w:p>
            <w:pPr>
              <w:spacing w:after="0"/>
              <w:rPr>
                <w:sz w:val="24"/>
                <w:szCs w:val="24"/>
                <w:color w:val="auto"/>
              </w:rPr>
            </w:pPr>
          </w:p>
        </w:tc>
        <w:tc>
          <w:tcPr>
            <w:tcW w:w="66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6"/>
              </w:rPr>
              <w:t>98.8</w:t>
            </w:r>
          </w:p>
        </w:tc>
        <w:tc>
          <w:tcPr>
            <w:tcW w:w="2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6"/>
              </w:rPr>
              <w:t>29.5</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6"/>
              </w:rPr>
              <w:t>30.0</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6"/>
              </w:rPr>
              <w:t>29.6</w:t>
            </w:r>
          </w:p>
        </w:tc>
        <w:tc>
          <w:tcPr>
            <w:tcW w:w="2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Botox Therapeutic*</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488</w:t>
            </w:r>
          </w:p>
        </w:tc>
        <w:tc>
          <w:tcPr>
            <w:tcW w:w="32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115</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603</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92.4</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97"/>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6"/>
              </w:rPr>
              <w:t>32.9</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color w:val="auto"/>
                <w:w w:val="96"/>
              </w:rPr>
              <w:t>73.5</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6"/>
              </w:rPr>
              <w:t>38.6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0"/>
              <w:spacing w:after="0"/>
              <w:rPr>
                <w:sz w:val="20"/>
                <w:szCs w:val="20"/>
                <w:color w:val="auto"/>
              </w:rPr>
            </w:pPr>
            <w:r>
              <w:rPr>
                <w:rFonts w:ascii="Arial" w:cs="Arial" w:eastAsia="Arial" w:hAnsi="Arial"/>
                <w:sz w:val="18"/>
                <w:szCs w:val="18"/>
                <w:color w:val="auto"/>
              </w:rPr>
              <w:t>Vraylar*</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432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432</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&gt;100.0</w:t>
            </w:r>
          </w:p>
        </w:tc>
        <w:tc>
          <w:tcPr>
            <w:tcW w:w="340" w:type="dxa"/>
            <w:vAlign w:val="bottom"/>
          </w:tcPr>
          <w:p>
            <w:pPr>
              <w:spacing w:after="0"/>
              <w:rPr>
                <w:sz w:val="19"/>
                <w:szCs w:val="19"/>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n/a</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97"/>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6"/>
              </w:rPr>
              <w:t>25.8</w:t>
            </w:r>
          </w:p>
        </w:tc>
        <w:tc>
          <w:tcPr>
            <w:tcW w:w="280" w:type="dxa"/>
            <w:vAlign w:val="bottom"/>
          </w:tcPr>
          <w:p>
            <w:pPr>
              <w:spacing w:after="0"/>
              <w:rPr>
                <w:sz w:val="19"/>
                <w:szCs w:val="19"/>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8"/>
                <w:szCs w:val="18"/>
                <w:color w:val="auto"/>
              </w:rPr>
              <w:t>n/a</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6"/>
              </w:rPr>
              <w:t>25.8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Duodopa</w:t>
            </w:r>
          </w:p>
        </w:tc>
        <w:tc>
          <w:tcPr>
            <w:tcW w:w="60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25</w:t>
            </w:r>
          </w:p>
        </w:tc>
        <w:tc>
          <w:tcPr>
            <w:tcW w:w="32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102</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127</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(1.3)</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9"/>
                <w:szCs w:val="19"/>
                <w:color w:val="auto"/>
              </w:rPr>
            </w:pP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rPr>
              <w:t>(1.3)</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Ubrelvy*</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126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126</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&gt;100.0</w:t>
            </w:r>
          </w:p>
        </w:tc>
        <w:tc>
          <w:tcPr>
            <w:tcW w:w="340" w:type="dxa"/>
            <w:vAlign w:val="bottom"/>
          </w:tcPr>
          <w:p>
            <w:pPr>
              <w:spacing w:after="0"/>
              <w:rPr>
                <w:sz w:val="19"/>
                <w:szCs w:val="19"/>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n/a</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97"/>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7"/>
              </w:rPr>
              <w:t>&gt;100.0</w:t>
            </w:r>
          </w:p>
        </w:tc>
        <w:tc>
          <w:tcPr>
            <w:tcW w:w="280" w:type="dxa"/>
            <w:vAlign w:val="bottom"/>
          </w:tcPr>
          <w:p>
            <w:pPr>
              <w:spacing w:after="0"/>
              <w:rPr>
                <w:sz w:val="19"/>
                <w:szCs w:val="19"/>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8"/>
                <w:szCs w:val="18"/>
                <w:color w:val="auto"/>
              </w:rPr>
              <w:t>n/a</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Other Neuroscience*</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167</w:t>
            </w:r>
          </w:p>
        </w:tc>
        <w:tc>
          <w:tcPr>
            <w:tcW w:w="32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171</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61.0</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w w:val="96"/>
              </w:rPr>
              <w:t>62.9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7"/>
              </w:rPr>
              <w:t>(13.4)</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color w:val="auto"/>
                <w:w w:val="96"/>
              </w:rPr>
              <w:t>63.8</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(12.4)</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600" w:type="dxa"/>
            <w:vAlign w:val="bottom"/>
          </w:tcPr>
          <w:p>
            <w:pPr>
              <w:spacing w:after="0"/>
              <w:rPr>
                <w:sz w:val="20"/>
                <w:szCs w:val="20"/>
                <w:color w:val="auto"/>
              </w:rPr>
            </w:pPr>
            <w:r>
              <w:rPr>
                <w:rFonts w:ascii="Arial" w:cs="Arial" w:eastAsia="Arial" w:hAnsi="Arial"/>
                <w:sz w:val="18"/>
                <w:szCs w:val="18"/>
                <w:b w:val="1"/>
                <w:bCs w:val="1"/>
                <w:color w:val="auto"/>
              </w:rPr>
              <w:t>Eye Care</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9"/>
              </w:rPr>
              <w:t>616</w:t>
            </w:r>
          </w:p>
        </w:tc>
        <w:tc>
          <w:tcPr>
            <w:tcW w:w="320" w:type="dxa"/>
            <w:vAlign w:val="bottom"/>
          </w:tcPr>
          <w:p>
            <w:pPr>
              <w:spacing w:after="0"/>
              <w:rPr>
                <w:sz w:val="24"/>
                <w:szCs w:val="24"/>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303</w:t>
            </w:r>
          </w:p>
        </w:tc>
        <w:tc>
          <w:tcPr>
            <w:tcW w:w="260" w:type="dxa"/>
            <w:vAlign w:val="bottom"/>
          </w:tcPr>
          <w:p>
            <w:pPr>
              <w:spacing w:after="0"/>
              <w:rPr>
                <w:sz w:val="24"/>
                <w:szCs w:val="24"/>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9"/>
              </w:rPr>
              <w:t>919</w:t>
            </w:r>
          </w:p>
        </w:tc>
        <w:tc>
          <w:tcPr>
            <w:tcW w:w="2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rPr>
              <w:t>&gt;100.0</w:t>
            </w:r>
          </w:p>
        </w:tc>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rPr>
              <w:t>&gt;100.0</w:t>
            </w:r>
          </w:p>
        </w:tc>
        <w:tc>
          <w:tcPr>
            <w:tcW w:w="8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&gt;100.0</w:t>
            </w:r>
          </w:p>
        </w:tc>
        <w:tc>
          <w:tcPr>
            <w:tcW w:w="20" w:type="dxa"/>
            <w:vAlign w:val="bottom"/>
            <w:shd w:val="clear" w:color="auto" w:fill="000000"/>
          </w:tcPr>
          <w:p>
            <w:pPr>
              <w:spacing w:after="0"/>
              <w:rPr>
                <w:sz w:val="24"/>
                <w:szCs w:val="24"/>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6"/>
              </w:rPr>
              <w:t>24.8</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6"/>
              </w:rPr>
              <w:t>22.9</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6"/>
              </w:rPr>
              <w:t>24.1</w:t>
            </w:r>
          </w:p>
        </w:tc>
        <w:tc>
          <w:tcPr>
            <w:tcW w:w="2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Lumigan/Ganfort*</w:t>
            </w:r>
          </w:p>
        </w:tc>
        <w:tc>
          <w:tcPr>
            <w:tcW w:w="60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72</w:t>
            </w:r>
          </w:p>
        </w:tc>
        <w:tc>
          <w:tcPr>
            <w:tcW w:w="32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77</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149</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&gt;100.0</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86.2</w:t>
            </w:r>
          </w:p>
        </w:tc>
        <w:tc>
          <w:tcPr>
            <w:tcW w:w="320" w:type="dxa"/>
            <w:vAlign w:val="bottom"/>
          </w:tcPr>
          <w:p>
            <w:pPr>
              <w:spacing w:after="0"/>
              <w:rPr>
                <w:sz w:val="19"/>
                <w:szCs w:val="19"/>
                <w:color w:val="auto"/>
              </w:rPr>
            </w:pP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w w:val="96"/>
              </w:rPr>
              <w:t>94.6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6"/>
              </w:rPr>
              <w:t>17.7</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color w:val="auto"/>
              </w:rPr>
              <w:t>(5.6)</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0"/>
              <w:spacing w:after="0"/>
              <w:rPr>
                <w:sz w:val="20"/>
                <w:szCs w:val="20"/>
                <w:color w:val="auto"/>
              </w:rPr>
            </w:pPr>
            <w:r>
              <w:rPr>
                <w:rFonts w:ascii="Arial" w:cs="Arial" w:eastAsia="Arial" w:hAnsi="Arial"/>
                <w:sz w:val="18"/>
                <w:szCs w:val="18"/>
                <w:color w:val="auto"/>
              </w:rPr>
              <w:t>Alphagan/Combigan*</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102</w:t>
            </w:r>
          </w:p>
        </w:tc>
        <w:tc>
          <w:tcPr>
            <w:tcW w:w="32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40</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142</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&gt;100.0</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76.0</w:t>
            </w:r>
          </w:p>
        </w:tc>
        <w:tc>
          <w:tcPr>
            <w:tcW w:w="320" w:type="dxa"/>
            <w:vAlign w:val="bottom"/>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97"/>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6"/>
              </w:rPr>
              <w:t>23.0</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6"/>
              </w:rPr>
              <w:t>18.7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Restasis*</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312</w:t>
            </w:r>
          </w:p>
        </w:tc>
        <w:tc>
          <w:tcPr>
            <w:tcW w:w="32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15</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327</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&gt;100.0</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97"/>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6"/>
              </w:rPr>
              <w:t>22.8</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color w:val="auto"/>
                <w:w w:val="96"/>
              </w:rPr>
              <w:t>73.1</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6"/>
              </w:rPr>
              <w:t>24.6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Other Eye Care*</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130</w:t>
            </w:r>
          </w:p>
        </w:tc>
        <w:tc>
          <w:tcPr>
            <w:tcW w:w="32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171</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301</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&gt;100.0</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97"/>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6"/>
              </w:rPr>
              <w:t>36.0</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color w:val="auto"/>
                <w:w w:val="96"/>
              </w:rPr>
              <w:t>42.3</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6"/>
              </w:rPr>
              <w:t>39.4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600" w:type="dxa"/>
            <w:vAlign w:val="bottom"/>
          </w:tcPr>
          <w:p>
            <w:pPr>
              <w:spacing w:after="0"/>
              <w:rPr>
                <w:sz w:val="20"/>
                <w:szCs w:val="20"/>
                <w:color w:val="auto"/>
              </w:rPr>
            </w:pPr>
            <w:r>
              <w:rPr>
                <w:rFonts w:ascii="Arial" w:cs="Arial" w:eastAsia="Arial" w:hAnsi="Arial"/>
                <w:sz w:val="18"/>
                <w:szCs w:val="18"/>
                <w:b w:val="1"/>
                <w:bCs w:val="1"/>
                <w:color w:val="auto"/>
              </w:rPr>
              <w:t>Women's Health</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9"/>
              </w:rPr>
              <w:t>179</w:t>
            </w:r>
          </w:p>
        </w:tc>
        <w:tc>
          <w:tcPr>
            <w:tcW w:w="320" w:type="dxa"/>
            <w:vAlign w:val="bottom"/>
          </w:tcPr>
          <w:p>
            <w:pPr>
              <w:spacing w:after="0"/>
              <w:rPr>
                <w:sz w:val="24"/>
                <w:szCs w:val="24"/>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9"/>
              </w:rPr>
              <w:t>12</w:t>
            </w:r>
          </w:p>
        </w:tc>
        <w:tc>
          <w:tcPr>
            <w:tcW w:w="260" w:type="dxa"/>
            <w:vAlign w:val="bottom"/>
          </w:tcPr>
          <w:p>
            <w:pPr>
              <w:spacing w:after="0"/>
              <w:rPr>
                <w:sz w:val="24"/>
                <w:szCs w:val="24"/>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9"/>
              </w:rPr>
              <w:t>191</w:t>
            </w:r>
          </w:p>
        </w:tc>
        <w:tc>
          <w:tcPr>
            <w:tcW w:w="2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rPr>
              <w:t>26.7</w:t>
            </w:r>
          </w:p>
        </w:tc>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rPr>
              <w:t>&gt;100.0</w:t>
            </w:r>
          </w:p>
        </w:tc>
        <w:tc>
          <w:tcPr>
            <w:tcW w:w="66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6"/>
              </w:rPr>
              <w:t>29.9</w:t>
            </w:r>
          </w:p>
        </w:tc>
        <w:tc>
          <w:tcPr>
            <w:tcW w:w="2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7"/>
              </w:rPr>
              <w:t>(19.3)</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6"/>
              </w:rPr>
              <w:t>64.9</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(17.0)</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Lo Loestrin*</w:t>
            </w:r>
          </w:p>
        </w:tc>
        <w:tc>
          <w:tcPr>
            <w:tcW w:w="60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93</w:t>
            </w:r>
          </w:p>
        </w:tc>
        <w:tc>
          <w:tcPr>
            <w:tcW w:w="32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5</w:t>
            </w:r>
          </w:p>
        </w:tc>
        <w:tc>
          <w:tcPr>
            <w:tcW w:w="260" w:type="dxa"/>
            <w:vAlign w:val="bottom"/>
          </w:tcPr>
          <w:p>
            <w:pPr>
              <w:spacing w:after="0"/>
              <w:rPr>
                <w:sz w:val="19"/>
                <w:szCs w:val="19"/>
                <w:color w:val="auto"/>
              </w:rPr>
            </w:pPr>
          </w:p>
        </w:tc>
        <w:tc>
          <w:tcPr>
            <w:tcW w:w="7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98</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19.8</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w w:val="96"/>
              </w:rPr>
              <w:t>21.9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7"/>
              </w:rPr>
              <w:t>(30.9)</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color w:val="auto"/>
                <w:w w:val="96"/>
              </w:rPr>
              <w:t>38.5</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(29.7)</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Orilissa/Oriahnn</w:t>
            </w:r>
          </w:p>
        </w:tc>
        <w:tc>
          <w:tcPr>
            <w:tcW w:w="60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36</w:t>
            </w:r>
          </w:p>
        </w:tc>
        <w:tc>
          <w:tcPr>
            <w:tcW w:w="32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19"/>
                <w:szCs w:val="19"/>
                <w:color w:val="auto"/>
              </w:rPr>
            </w:pPr>
          </w:p>
        </w:tc>
        <w:tc>
          <w:tcPr>
            <w:tcW w:w="7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38</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21.3</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87.4</w:t>
            </w:r>
          </w:p>
        </w:tc>
        <w:tc>
          <w:tcPr>
            <w:tcW w:w="320" w:type="dxa"/>
            <w:vAlign w:val="bottom"/>
          </w:tcPr>
          <w:p>
            <w:pPr>
              <w:spacing w:after="0"/>
              <w:rPr>
                <w:sz w:val="19"/>
                <w:szCs w:val="19"/>
                <w:color w:val="auto"/>
              </w:rPr>
            </w:pP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w w:val="96"/>
              </w:rPr>
              <w:t>23.0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6"/>
              </w:rPr>
              <w:t>21.3</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color w:val="auto"/>
                <w:w w:val="96"/>
              </w:rPr>
              <w:t>67.6</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6"/>
              </w:rPr>
              <w:t>22.5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Other Women's Health*</w:t>
            </w:r>
          </w:p>
        </w:tc>
        <w:tc>
          <w:tcPr>
            <w:tcW w:w="60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50</w:t>
            </w:r>
          </w:p>
        </w:tc>
        <w:tc>
          <w:tcPr>
            <w:tcW w:w="32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5</w:t>
            </w:r>
          </w:p>
        </w:tc>
        <w:tc>
          <w:tcPr>
            <w:tcW w:w="260" w:type="dxa"/>
            <w:vAlign w:val="bottom"/>
          </w:tcPr>
          <w:p>
            <w:pPr>
              <w:spacing w:after="0"/>
              <w:rPr>
                <w:sz w:val="19"/>
                <w:szCs w:val="19"/>
                <w:color w:val="auto"/>
              </w:rPr>
            </w:pPr>
          </w:p>
        </w:tc>
        <w:tc>
          <w:tcPr>
            <w:tcW w:w="7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55</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47.8</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w w:val="96"/>
              </w:rPr>
              <w:t>53.7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7"/>
              </w:rPr>
              <w:t>(13.0)</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color w:val="auto"/>
                <w:w w:val="96"/>
              </w:rPr>
              <w:t>84.9</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600" w:type="dxa"/>
            <w:vAlign w:val="bottom"/>
          </w:tcPr>
          <w:p>
            <w:pPr>
              <w:spacing w:after="0"/>
              <w:rPr>
                <w:sz w:val="20"/>
                <w:szCs w:val="20"/>
                <w:color w:val="auto"/>
              </w:rPr>
            </w:pPr>
            <w:r>
              <w:rPr>
                <w:rFonts w:ascii="Arial" w:cs="Arial" w:eastAsia="Arial" w:hAnsi="Arial"/>
                <w:sz w:val="18"/>
                <w:szCs w:val="18"/>
                <w:b w:val="1"/>
                <w:bCs w:val="1"/>
                <w:color w:val="auto"/>
              </w:rPr>
              <w:t>Other Key Products</w:t>
            </w:r>
          </w:p>
        </w:tc>
        <w:tc>
          <w:tcPr>
            <w:tcW w:w="9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7"/>
              </w:rPr>
              <w:t>1,087</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293</w:t>
            </w:r>
          </w:p>
        </w:tc>
        <w:tc>
          <w:tcPr>
            <w:tcW w:w="260" w:type="dxa"/>
            <w:vAlign w:val="bottom"/>
          </w:tcPr>
          <w:p>
            <w:pPr>
              <w:spacing w:after="0"/>
              <w:rPr>
                <w:sz w:val="24"/>
                <w:szCs w:val="24"/>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1,380</w:t>
            </w:r>
          </w:p>
        </w:tc>
        <w:tc>
          <w:tcPr>
            <w:tcW w:w="20" w:type="dxa"/>
            <w:vAlign w:val="bottom"/>
            <w:shd w:val="clear" w:color="auto" w:fill="000000"/>
          </w:tcPr>
          <w:p>
            <w:pPr>
              <w:spacing w:after="0"/>
              <w:rPr>
                <w:sz w:val="24"/>
                <w:szCs w:val="24"/>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rPr>
              <w:t>23.3</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5"/>
              </w:rPr>
              <w:t>8.5</w:t>
            </w:r>
          </w:p>
        </w:tc>
        <w:tc>
          <w:tcPr>
            <w:tcW w:w="320" w:type="dxa"/>
            <w:vAlign w:val="bottom"/>
          </w:tcPr>
          <w:p>
            <w:pPr>
              <w:spacing w:after="0"/>
              <w:rPr>
                <w:sz w:val="24"/>
                <w:szCs w:val="24"/>
                <w:color w:val="auto"/>
              </w:rPr>
            </w:pPr>
          </w:p>
        </w:tc>
        <w:tc>
          <w:tcPr>
            <w:tcW w:w="66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6"/>
              </w:rPr>
              <w:t>19.9</w:t>
            </w:r>
          </w:p>
        </w:tc>
        <w:tc>
          <w:tcPr>
            <w:tcW w:w="2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6"/>
              </w:rPr>
              <w:t>11.9</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rPr>
              <w:t>1.7</w:t>
            </w:r>
          </w:p>
        </w:tc>
        <w:tc>
          <w:tcPr>
            <w:tcW w:w="320" w:type="dxa"/>
            <w:vAlign w:val="bottom"/>
          </w:tcPr>
          <w:p>
            <w:pPr>
              <w:spacing w:after="0"/>
              <w:rPr>
                <w:sz w:val="24"/>
                <w:szCs w:val="24"/>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rPr>
              <w:t>9.7</w:t>
            </w:r>
          </w:p>
        </w:tc>
        <w:tc>
          <w:tcPr>
            <w:tcW w:w="2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Mavyret</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204</w:t>
            </w:r>
          </w:p>
        </w:tc>
        <w:tc>
          <w:tcPr>
            <w:tcW w:w="32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238</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442</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37.6</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w w:val="95"/>
              </w:rPr>
              <w:t>4.1</w:t>
            </w:r>
          </w:p>
        </w:tc>
        <w:tc>
          <w:tcPr>
            <w:tcW w:w="320" w:type="dxa"/>
            <w:vAlign w:val="bottom"/>
          </w:tcPr>
          <w:p>
            <w:pPr>
              <w:spacing w:after="0"/>
              <w:rPr>
                <w:sz w:val="19"/>
                <w:szCs w:val="19"/>
                <w:color w:val="auto"/>
              </w:rPr>
            </w:pP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w w:val="96"/>
              </w:rPr>
              <w:t>17.2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6"/>
              </w:rPr>
              <w:t>37.6</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color w:val="auto"/>
              </w:rPr>
              <w:t>(1.4)</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6"/>
              </w:rPr>
              <w:t>13.9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0"/>
              <w:spacing w:after="0"/>
              <w:rPr>
                <w:sz w:val="20"/>
                <w:szCs w:val="20"/>
                <w:color w:val="auto"/>
              </w:rPr>
            </w:pPr>
            <w:r>
              <w:rPr>
                <w:rFonts w:ascii="Arial" w:cs="Arial" w:eastAsia="Arial" w:hAnsi="Arial"/>
                <w:sz w:val="18"/>
                <w:szCs w:val="18"/>
                <w:color w:val="auto"/>
              </w:rPr>
              <w:t>Creon</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280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280</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9"/>
                <w:szCs w:val="19"/>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n/a</w:t>
            </w: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w w:val="96"/>
              </w:rPr>
              <w:t>11.0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6"/>
              </w:rPr>
              <w:t>11.0</w:t>
            </w:r>
          </w:p>
        </w:tc>
        <w:tc>
          <w:tcPr>
            <w:tcW w:w="280" w:type="dxa"/>
            <w:vAlign w:val="bottom"/>
          </w:tcPr>
          <w:p>
            <w:pPr>
              <w:spacing w:after="0"/>
              <w:rPr>
                <w:sz w:val="19"/>
                <w:szCs w:val="19"/>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8"/>
                <w:szCs w:val="18"/>
                <w:color w:val="auto"/>
              </w:rPr>
              <w:t>n/a</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6"/>
              </w:rPr>
              <w:t>11.0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Lupron</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151</w:t>
            </w:r>
          </w:p>
        </w:tc>
        <w:tc>
          <w:tcPr>
            <w:tcW w:w="32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47</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198</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(10.2)</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rPr>
              <w:t>23.9</w:t>
            </w:r>
          </w:p>
        </w:tc>
        <w:tc>
          <w:tcPr>
            <w:tcW w:w="320" w:type="dxa"/>
            <w:vAlign w:val="bottom"/>
          </w:tcPr>
          <w:p>
            <w:pPr>
              <w:spacing w:after="0"/>
              <w:rPr>
                <w:sz w:val="19"/>
                <w:szCs w:val="19"/>
                <w:color w:val="auto"/>
              </w:rPr>
            </w:pP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7"/>
              </w:rPr>
              <w:t>(10.2)</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color w:val="auto"/>
                <w:w w:val="96"/>
              </w:rPr>
              <w:t>16.6</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Linzess/Constella*</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260</w:t>
            </w:r>
          </w:p>
        </w:tc>
        <w:tc>
          <w:tcPr>
            <w:tcW w:w="32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8</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268</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ind w:left="10"/>
              <w:spacing w:after="0"/>
              <w:rPr>
                <w:sz w:val="20"/>
                <w:szCs w:val="20"/>
                <w:color w:val="auto"/>
              </w:rPr>
            </w:pPr>
            <w:r>
              <w:rPr>
                <w:rFonts w:ascii="Arial" w:cs="Arial" w:eastAsia="Arial" w:hAnsi="Arial"/>
                <w:sz w:val="18"/>
                <w:szCs w:val="18"/>
                <w:color w:val="auto"/>
              </w:rPr>
              <w:t>&gt;100.0</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97"/>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6"/>
              </w:rPr>
              <w:t>18.4</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color w:val="auto"/>
                <w:w w:val="96"/>
              </w:rPr>
              <w:t>28.4</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6"/>
              </w:rPr>
              <w:t>18.6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0"/>
              <w:spacing w:after="0"/>
              <w:rPr>
                <w:sz w:val="20"/>
                <w:szCs w:val="20"/>
                <w:color w:val="auto"/>
              </w:rPr>
            </w:pPr>
            <w:r>
              <w:rPr>
                <w:rFonts w:ascii="Arial" w:cs="Arial" w:eastAsia="Arial" w:hAnsi="Arial"/>
                <w:sz w:val="18"/>
                <w:szCs w:val="18"/>
                <w:color w:val="auto"/>
              </w:rPr>
              <w:t>Synthroid</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192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192</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80" w:type="dxa"/>
            <w:vAlign w:val="bottom"/>
            <w:gridSpan w:val="3"/>
          </w:tcPr>
          <w:p>
            <w:pPr>
              <w:jc w:val="center"/>
              <w:ind w:left="270"/>
              <w:spacing w:after="0"/>
              <w:rPr>
                <w:sz w:val="20"/>
                <w:szCs w:val="20"/>
                <w:color w:val="auto"/>
              </w:rPr>
            </w:pPr>
            <w:r>
              <w:rPr>
                <w:rFonts w:ascii="Arial" w:cs="Arial" w:eastAsia="Arial" w:hAnsi="Arial"/>
                <w:sz w:val="18"/>
                <w:szCs w:val="18"/>
                <w:color w:val="auto"/>
                <w:w w:val="95"/>
              </w:rPr>
              <w:t>5.0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n/a</w:t>
            </w: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80" w:type="dxa"/>
            <w:vAlign w:val="bottom"/>
            <w:gridSpan w:val="3"/>
          </w:tcPr>
          <w:p>
            <w:pPr>
              <w:jc w:val="center"/>
              <w:ind w:left="25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8"/>
                <w:szCs w:val="18"/>
                <w:color w:val="auto"/>
              </w:rPr>
              <w:t>n/a</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80" w:right="240" w:hanging="172"/>
        <w:spacing w:after="0" w:line="258" w:lineRule="auto"/>
        <w:tabs>
          <w:tab w:leader="none" w:pos="96" w:val="left"/>
        </w:tabs>
        <w:numPr>
          <w:ilvl w:val="0"/>
          <w:numId w:val="7"/>
        </w:numPr>
        <w:rPr>
          <w:rFonts w:ascii="Arial" w:cs="Arial" w:eastAsia="Arial" w:hAnsi="Arial"/>
          <w:sz w:val="9"/>
          <w:szCs w:val="9"/>
          <w:color w:val="auto"/>
        </w:rPr>
      </w:pPr>
      <w:r>
        <w:rPr>
          <w:rFonts w:ascii="Arial" w:cs="Arial" w:eastAsia="Arial" w:hAnsi="Arial"/>
          <w:sz w:val="14"/>
          <w:szCs w:val="14"/>
          <w:color w:val="auto"/>
        </w:rPr>
        <w:t>"Comparable Operational" comparisons include full-quarter current year and prior year results for Allergan products, as if the acquisition closed on January 1, 2019, and are presented at constant currency rates that reflect comparative local currency net revenues at the prior year's foreign exchange rates.</w:t>
      </w:r>
    </w:p>
    <w:p>
      <w:pPr>
        <w:spacing w:after="0" w:line="72" w:lineRule="exact"/>
        <w:rPr>
          <w:sz w:val="20"/>
          <w:szCs w:val="20"/>
          <w:color w:val="auto"/>
        </w:rPr>
      </w:pPr>
    </w:p>
    <w:p>
      <w:pPr>
        <w:ind w:left="180" w:right="140" w:hanging="172"/>
        <w:spacing w:after="0" w:line="220" w:lineRule="auto"/>
        <w:tabs>
          <w:tab w:leader="none" w:pos="96"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All historically reported Allergan revenues have been recast to conform to AbbVie's revenue recognition accounting policies and reporting conventions for certain rebates and discounts. Historically reported Allergan revenues also exclude Zenpep and Viokace product revenues, which were both divested as part of the acquisition, as well as specified items.</w:t>
      </w:r>
    </w:p>
    <w:p>
      <w:pPr>
        <w:spacing w:after="0" w:line="39" w:lineRule="exact"/>
        <w:rPr>
          <w:sz w:val="20"/>
          <w:szCs w:val="20"/>
          <w:color w:val="auto"/>
        </w:rPr>
      </w:pPr>
    </w:p>
    <w:p>
      <w:pPr>
        <w:ind w:left="80" w:hanging="72"/>
        <w:spacing w:after="0"/>
        <w:tabs>
          <w:tab w:leader="none" w:pos="8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Reflects profit sharing for Imbruvica international revenues.</w:t>
      </w:r>
    </w:p>
    <w:p>
      <w:pPr>
        <w:spacing w:after="0" w:line="71" w:lineRule="exact"/>
        <w:rPr>
          <w:sz w:val="20"/>
          <w:szCs w:val="20"/>
          <w:color w:val="auto"/>
        </w:rPr>
      </w:pPr>
    </w:p>
    <w:p>
      <w:pPr>
        <w:ind w:right="6920" w:firstLine="8"/>
        <w:spacing w:after="0" w:line="399" w:lineRule="auto"/>
        <w:tabs>
          <w:tab w:leader="none" w:pos="96"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product(s) acquired as part of the Allergan acquisition. n/a = not applicable</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890" w:right="339" w:bottom="1440" w:gutter="0" w:footer="0" w:header="0"/>
        </w:sectPr>
      </w:pPr>
    </w:p>
    <w:bookmarkStart w:id="11" w:name="page12"/>
    <w:bookmarkEnd w:id="11"/>
    <w:p>
      <w:pPr>
        <w:jc w:val="center"/>
        <w:ind w:right="8"/>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color w:val="auto"/>
        </w:rPr>
        <w:t>Key Product Revenues</w:t>
      </w:r>
    </w:p>
    <w:p>
      <w:pPr>
        <w:spacing w:after="0" w:line="4"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color w:val="auto"/>
        </w:rPr>
        <w:t>Six Months Ended June 30, 2021</w:t>
      </w:r>
    </w:p>
    <w:p>
      <w:pPr>
        <w:spacing w:after="0" w:line="4"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color w:val="auto"/>
        </w:rPr>
        <w:t>(Unaudited)</w:t>
      </w:r>
    </w:p>
    <w:p>
      <w:pPr>
        <w:spacing w:after="0" w:line="109" w:lineRule="exact"/>
        <w:rPr>
          <w:sz w:val="20"/>
          <w:szCs w:val="20"/>
          <w:color w:val="auto"/>
        </w:rPr>
      </w:pPr>
    </w:p>
    <w:tbl>
      <w:tblPr>
        <w:tblLayout w:type="fixed"/>
        <w:tblInd w:w="12" w:type="dxa"/>
        <w:tblCellMar>
          <w:top w:w="0" w:type="dxa"/>
          <w:left w:w="0" w:type="dxa"/>
          <w:bottom w:w="0" w:type="dxa"/>
          <w:right w:w="0" w:type="dxa"/>
        </w:tblCellMar>
      </w:tblPr>
      <w:tr>
        <w:trPr>
          <w:trHeight w:val="239"/>
        </w:trPr>
        <w:tc>
          <w:tcPr>
            <w:tcW w:w="2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b w:val="1"/>
                <w:bCs w:val="1"/>
                <w:color w:val="auto"/>
              </w:rPr>
              <w:t>% Change vs. 6M20</w:t>
            </w: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rPr>
              <w:t>Net Revenues (in millions)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Reported</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Borders>
              <w:bottom w:val="single" w:sz="8" w:color="auto"/>
            </w:tcBorders>
            <w:gridSpan w:val="9"/>
          </w:tcPr>
          <w:p>
            <w:pPr>
              <w:jc w:val="center"/>
              <w:spacing w:after="0" w:line="223" w:lineRule="exact"/>
              <w:rPr>
                <w:sz w:val="20"/>
                <w:szCs w:val="20"/>
                <w:color w:val="auto"/>
              </w:rPr>
            </w:pPr>
            <w:r>
              <w:rPr>
                <w:rFonts w:ascii="Arial" w:cs="Arial" w:eastAsia="Arial" w:hAnsi="Arial"/>
                <w:sz w:val="18"/>
                <w:szCs w:val="18"/>
                <w:b w:val="1"/>
                <w:bCs w:val="1"/>
                <w:color w:val="auto"/>
                <w:w w:val="97"/>
              </w:rPr>
              <w:t xml:space="preserve">Comparable Operational </w:t>
            </w:r>
            <w:r>
              <w:rPr>
                <w:rFonts w:ascii="Arial" w:cs="Arial" w:eastAsia="Arial" w:hAnsi="Arial"/>
                <w:sz w:val="23"/>
                <w:szCs w:val="23"/>
                <w:b w:val="1"/>
                <w:bCs w:val="1"/>
                <w:color w:val="auto"/>
                <w:w w:val="97"/>
                <w:vertAlign w:val="superscript"/>
              </w:rPr>
              <w:t>a, b</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600" w:type="dxa"/>
            <w:vAlign w:val="bottom"/>
            <w:vMerge w:val="restart"/>
          </w:tcPr>
          <w:p>
            <w:pPr>
              <w:spacing w:after="0"/>
              <w:rPr>
                <w:sz w:val="20"/>
                <w:szCs w:val="20"/>
                <w:color w:val="auto"/>
              </w:rPr>
            </w:pPr>
            <w:r>
              <w:rPr>
                <w:rFonts w:ascii="Arial" w:cs="Arial" w:eastAsia="Arial" w:hAnsi="Arial"/>
                <w:sz w:val="18"/>
                <w:szCs w:val="18"/>
                <w:b w:val="1"/>
                <w:bCs w:val="1"/>
                <w:color w:val="auto"/>
              </w:rPr>
              <w:t>ADJUSTED NET REVENUES</w:t>
            </w:r>
            <w:r>
              <w:rPr>
                <w:rFonts w:ascii="Arial" w:cs="Arial" w:eastAsia="Arial" w:hAnsi="Arial"/>
                <w:sz w:val="23"/>
                <w:szCs w:val="23"/>
                <w:b w:val="1"/>
                <w:bCs w:val="1"/>
                <w:color w:val="auto"/>
                <w:vertAlign w:val="superscript"/>
              </w:rPr>
              <w:t>c</w:t>
            </w:r>
          </w:p>
        </w:tc>
        <w:tc>
          <w:tcPr>
            <w:tcW w:w="260" w:type="dxa"/>
            <w:vAlign w:val="bottom"/>
          </w:tcPr>
          <w:p>
            <w:pPr>
              <w:spacing w:after="0"/>
              <w:rPr>
                <w:sz w:val="15"/>
                <w:szCs w:val="15"/>
                <w:color w:val="auto"/>
              </w:rPr>
            </w:pPr>
          </w:p>
        </w:tc>
        <w:tc>
          <w:tcPr>
            <w:tcW w:w="6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U.S.</w:t>
            </w:r>
          </w:p>
        </w:tc>
        <w:tc>
          <w:tcPr>
            <w:tcW w:w="900" w:type="dxa"/>
            <w:vAlign w:val="bottom"/>
            <w:gridSpan w:val="3"/>
          </w:tcPr>
          <w:p>
            <w:pPr>
              <w:ind w:left="260"/>
              <w:spacing w:after="0" w:line="182" w:lineRule="exact"/>
              <w:rPr>
                <w:sz w:val="20"/>
                <w:szCs w:val="20"/>
                <w:color w:val="auto"/>
              </w:rPr>
            </w:pPr>
            <w:r>
              <w:rPr>
                <w:rFonts w:ascii="Arial" w:cs="Arial" w:eastAsia="Arial" w:hAnsi="Arial"/>
                <w:sz w:val="18"/>
                <w:szCs w:val="18"/>
                <w:b w:val="1"/>
                <w:bCs w:val="1"/>
                <w:color w:val="auto"/>
              </w:rPr>
              <w:t>Int’l.</w:t>
            </w:r>
          </w:p>
        </w:tc>
        <w:tc>
          <w:tcPr>
            <w:tcW w:w="280" w:type="dxa"/>
            <w:vAlign w:val="bottom"/>
          </w:tcPr>
          <w:p>
            <w:pPr>
              <w:spacing w:after="0"/>
              <w:rPr>
                <w:sz w:val="15"/>
                <w:szCs w:val="15"/>
                <w:color w:val="auto"/>
              </w:rPr>
            </w:pPr>
          </w:p>
        </w:tc>
        <w:tc>
          <w:tcPr>
            <w:tcW w:w="6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ind w:left="260"/>
              <w:spacing w:after="0" w:line="182" w:lineRule="exact"/>
              <w:rPr>
                <w:sz w:val="20"/>
                <w:szCs w:val="20"/>
                <w:color w:val="auto"/>
              </w:rPr>
            </w:pPr>
            <w:r>
              <w:rPr>
                <w:rFonts w:ascii="Arial" w:cs="Arial" w:eastAsia="Arial" w:hAnsi="Arial"/>
                <w:sz w:val="18"/>
                <w:szCs w:val="18"/>
                <w:b w:val="1"/>
                <w:bCs w:val="1"/>
                <w:color w:val="auto"/>
              </w:rPr>
              <w:t>U.S.</w:t>
            </w:r>
          </w:p>
        </w:tc>
        <w:tc>
          <w:tcPr>
            <w:tcW w:w="340" w:type="dxa"/>
            <w:vAlign w:val="bottom"/>
          </w:tcPr>
          <w:p>
            <w:pPr>
              <w:spacing w:after="0"/>
              <w:rPr>
                <w:sz w:val="15"/>
                <w:szCs w:val="15"/>
                <w:color w:val="auto"/>
              </w:rPr>
            </w:pPr>
          </w:p>
        </w:tc>
        <w:tc>
          <w:tcPr>
            <w:tcW w:w="700" w:type="dxa"/>
            <w:vAlign w:val="bottom"/>
            <w:gridSpan w:val="2"/>
          </w:tcPr>
          <w:p>
            <w:pPr>
              <w:jc w:val="center"/>
              <w:ind w:right="320"/>
              <w:spacing w:after="0" w:line="182" w:lineRule="exact"/>
              <w:rPr>
                <w:sz w:val="20"/>
                <w:szCs w:val="20"/>
                <w:color w:val="auto"/>
              </w:rPr>
            </w:pPr>
            <w:r>
              <w:rPr>
                <w:rFonts w:ascii="Arial" w:cs="Arial" w:eastAsia="Arial" w:hAnsi="Arial"/>
                <w:sz w:val="18"/>
                <w:szCs w:val="18"/>
                <w:b w:val="1"/>
                <w:bCs w:val="1"/>
                <w:color w:val="auto"/>
              </w:rPr>
              <w:t>Int’l.</w:t>
            </w:r>
          </w:p>
        </w:tc>
        <w:tc>
          <w:tcPr>
            <w:tcW w:w="860" w:type="dxa"/>
            <w:vAlign w:val="bottom"/>
            <w:gridSpan w:val="3"/>
          </w:tcPr>
          <w:p>
            <w:pPr>
              <w:ind w:left="240"/>
              <w:spacing w:after="0" w:line="182"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ind w:left="240"/>
              <w:spacing w:after="0" w:line="182" w:lineRule="exact"/>
              <w:rPr>
                <w:sz w:val="20"/>
                <w:szCs w:val="20"/>
                <w:color w:val="auto"/>
              </w:rPr>
            </w:pPr>
            <w:r>
              <w:rPr>
                <w:rFonts w:ascii="Arial" w:cs="Arial" w:eastAsia="Arial" w:hAnsi="Arial"/>
                <w:sz w:val="18"/>
                <w:szCs w:val="18"/>
                <w:b w:val="1"/>
                <w:bCs w:val="1"/>
                <w:color w:val="auto"/>
              </w:rPr>
              <w:t>U.S.</w:t>
            </w:r>
          </w:p>
        </w:tc>
        <w:tc>
          <w:tcPr>
            <w:tcW w:w="920" w:type="dxa"/>
            <w:vAlign w:val="bottom"/>
            <w:gridSpan w:val="3"/>
          </w:tcPr>
          <w:p>
            <w:pPr>
              <w:jc w:val="center"/>
              <w:ind w:right="40"/>
              <w:spacing w:after="0" w:line="182" w:lineRule="exact"/>
              <w:rPr>
                <w:sz w:val="20"/>
                <w:szCs w:val="20"/>
                <w:color w:val="auto"/>
              </w:rPr>
            </w:pPr>
            <w:r>
              <w:rPr>
                <w:rFonts w:ascii="Arial" w:cs="Arial" w:eastAsia="Arial" w:hAnsi="Arial"/>
                <w:sz w:val="18"/>
                <w:szCs w:val="18"/>
                <w:b w:val="1"/>
                <w:bCs w:val="1"/>
                <w:color w:val="auto"/>
                <w:w w:val="97"/>
              </w:rPr>
              <w:t>Int’l.</w:t>
            </w:r>
          </w:p>
        </w:tc>
        <w:tc>
          <w:tcPr>
            <w:tcW w:w="280" w:type="dxa"/>
            <w:vAlign w:val="bottom"/>
          </w:tcPr>
          <w:p>
            <w:pPr>
              <w:spacing w:after="0"/>
              <w:rPr>
                <w:sz w:val="15"/>
                <w:szCs w:val="15"/>
                <w:color w:val="auto"/>
              </w:rPr>
            </w:pPr>
          </w:p>
        </w:tc>
        <w:tc>
          <w:tcPr>
            <w:tcW w:w="6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0" w:type="dxa"/>
            <w:vAlign w:val="bottom"/>
            <w:vMerge w:val="continue"/>
          </w:tcPr>
          <w:p>
            <w:pPr>
              <w:spacing w:after="0" w:line="20" w:lineRule="exact"/>
              <w:rPr>
                <w:sz w:val="1"/>
                <w:szCs w:val="1"/>
                <w:color w:val="auto"/>
              </w:rPr>
            </w:pP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rPr>
              <w:t>$20,479</w:t>
            </w:r>
          </w:p>
        </w:tc>
        <w:tc>
          <w:tcPr>
            <w:tcW w:w="900" w:type="dxa"/>
            <w:vAlign w:val="bottom"/>
            <w:gridSpan w:val="3"/>
            <w:vMerge w:val="restart"/>
          </w:tcPr>
          <w:p>
            <w:pPr>
              <w:jc w:val="center"/>
              <w:ind w:right="20"/>
              <w:spacing w:after="0"/>
              <w:rPr>
                <w:sz w:val="20"/>
                <w:szCs w:val="20"/>
                <w:color w:val="auto"/>
              </w:rPr>
            </w:pPr>
            <w:r>
              <w:rPr>
                <w:rFonts w:ascii="Arial" w:cs="Arial" w:eastAsia="Arial" w:hAnsi="Arial"/>
                <w:sz w:val="18"/>
                <w:szCs w:val="18"/>
                <w:b w:val="1"/>
                <w:bCs w:val="1"/>
                <w:color w:val="auto"/>
              </w:rPr>
              <w:t>$6,415</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8"/>
              </w:rPr>
              <w:t>$26,894</w:t>
            </w:r>
          </w:p>
        </w:tc>
        <w:tc>
          <w:tcPr>
            <w:tcW w:w="20" w:type="dxa"/>
            <w:vAlign w:val="bottom"/>
          </w:tcPr>
          <w:p>
            <w:pPr>
              <w:spacing w:after="0" w:line="20" w:lineRule="exact"/>
              <w:rPr>
                <w:sz w:val="1"/>
                <w:szCs w:val="1"/>
                <w:color w:val="auto"/>
              </w:rPr>
            </w:pPr>
          </w:p>
        </w:tc>
        <w:tc>
          <w:tcPr>
            <w:tcW w:w="920" w:type="dxa"/>
            <w:vAlign w:val="bottom"/>
            <w:gridSpan w:val="4"/>
            <w:vMerge w:val="restart"/>
          </w:tcPr>
          <w:p>
            <w:pPr>
              <w:jc w:val="center"/>
              <w:ind w:left="10"/>
              <w:spacing w:after="0"/>
              <w:rPr>
                <w:sz w:val="20"/>
                <w:szCs w:val="20"/>
                <w:color w:val="auto"/>
              </w:rPr>
            </w:pPr>
            <w:r>
              <w:rPr>
                <w:rFonts w:ascii="Arial" w:cs="Arial" w:eastAsia="Arial" w:hAnsi="Arial"/>
                <w:sz w:val="18"/>
                <w:szCs w:val="18"/>
                <w:b w:val="1"/>
                <w:bCs w:val="1"/>
                <w:color w:val="auto"/>
                <w:w w:val="97"/>
              </w:rPr>
              <w:t>43.2%</w:t>
            </w:r>
          </w:p>
        </w:tc>
        <w:tc>
          <w:tcPr>
            <w:tcW w:w="10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7"/>
              </w:rPr>
              <w:t>35.3%</w:t>
            </w:r>
          </w:p>
        </w:tc>
        <w:tc>
          <w:tcPr>
            <w:tcW w:w="86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41.2%</w:t>
            </w:r>
          </w:p>
        </w:tc>
        <w:tc>
          <w:tcPr>
            <w:tcW w:w="20" w:type="dxa"/>
            <w:vAlign w:val="bottom"/>
          </w:tcPr>
          <w:p>
            <w:pPr>
              <w:spacing w:after="0" w:line="20" w:lineRule="exact"/>
              <w:rPr>
                <w:sz w:val="1"/>
                <w:szCs w:val="1"/>
                <w:color w:val="auto"/>
              </w:rPr>
            </w:pPr>
          </w:p>
        </w:tc>
        <w:tc>
          <w:tcPr>
            <w:tcW w:w="104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rPr>
              <w:t>12.9%</w:t>
            </w:r>
          </w:p>
        </w:tc>
        <w:tc>
          <w:tcPr>
            <w:tcW w:w="920" w:type="dxa"/>
            <w:vAlign w:val="bottom"/>
            <w:gridSpan w:val="3"/>
            <w:vMerge w:val="restart"/>
          </w:tcPr>
          <w:p>
            <w:pPr>
              <w:jc w:val="center"/>
              <w:ind w:right="40"/>
              <w:spacing w:after="0"/>
              <w:rPr>
                <w:sz w:val="20"/>
                <w:szCs w:val="20"/>
                <w:color w:val="auto"/>
              </w:rPr>
            </w:pPr>
            <w:r>
              <w:rPr>
                <w:rFonts w:ascii="Arial" w:cs="Arial" w:eastAsia="Arial" w:hAnsi="Arial"/>
                <w:sz w:val="18"/>
                <w:szCs w:val="18"/>
                <w:b w:val="1"/>
                <w:bCs w:val="1"/>
                <w:color w:val="auto"/>
                <w:w w:val="97"/>
              </w:rPr>
              <w:t>9.3%</w:t>
            </w:r>
          </w:p>
        </w:tc>
        <w:tc>
          <w:tcPr>
            <w:tcW w:w="9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12.0%</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600" w:type="dxa"/>
            <w:vAlign w:val="bottom"/>
            <w:vMerge w:val="continue"/>
          </w:tcPr>
          <w:p>
            <w:pPr>
              <w:spacing w:after="0"/>
              <w:rPr>
                <w:sz w:val="23"/>
                <w:szCs w:val="23"/>
                <w:color w:val="auto"/>
              </w:rPr>
            </w:pPr>
          </w:p>
        </w:tc>
        <w:tc>
          <w:tcPr>
            <w:tcW w:w="940" w:type="dxa"/>
            <w:vAlign w:val="bottom"/>
            <w:gridSpan w:val="3"/>
            <w:vMerge w:val="continue"/>
          </w:tcPr>
          <w:p>
            <w:pPr>
              <w:spacing w:after="0"/>
              <w:rPr>
                <w:sz w:val="23"/>
                <w:szCs w:val="23"/>
                <w:color w:val="auto"/>
              </w:rPr>
            </w:pPr>
          </w:p>
        </w:tc>
        <w:tc>
          <w:tcPr>
            <w:tcW w:w="900" w:type="dxa"/>
            <w:vAlign w:val="bottom"/>
            <w:gridSpan w:val="3"/>
            <w:vMerge w:val="continue"/>
          </w:tcPr>
          <w:p>
            <w:pPr>
              <w:spacing w:after="0"/>
              <w:rPr>
                <w:sz w:val="23"/>
                <w:szCs w:val="23"/>
                <w:color w:val="auto"/>
              </w:rPr>
            </w:pPr>
          </w:p>
        </w:tc>
        <w:tc>
          <w:tcPr>
            <w:tcW w:w="920" w:type="dxa"/>
            <w:vAlign w:val="bottom"/>
            <w:gridSpan w:val="3"/>
            <w:vMerge w:val="continue"/>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920" w:type="dxa"/>
            <w:vAlign w:val="bottom"/>
            <w:gridSpan w:val="4"/>
            <w:vMerge w:val="continue"/>
          </w:tcPr>
          <w:p>
            <w:pPr>
              <w:spacing w:after="0"/>
              <w:rPr>
                <w:sz w:val="23"/>
                <w:szCs w:val="23"/>
                <w:color w:val="auto"/>
              </w:rPr>
            </w:pPr>
          </w:p>
        </w:tc>
        <w:tc>
          <w:tcPr>
            <w:tcW w:w="1040" w:type="dxa"/>
            <w:vAlign w:val="bottom"/>
            <w:gridSpan w:val="3"/>
            <w:vMerge w:val="continue"/>
          </w:tcPr>
          <w:p>
            <w:pPr>
              <w:spacing w:after="0"/>
              <w:rPr>
                <w:sz w:val="23"/>
                <w:szCs w:val="23"/>
                <w:color w:val="auto"/>
              </w:rPr>
            </w:pPr>
          </w:p>
        </w:tc>
        <w:tc>
          <w:tcPr>
            <w:tcW w:w="860" w:type="dxa"/>
            <w:vAlign w:val="bottom"/>
            <w:gridSpan w:val="3"/>
            <w:vMerge w:val="continue"/>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040" w:type="dxa"/>
            <w:vAlign w:val="bottom"/>
            <w:gridSpan w:val="4"/>
            <w:vMerge w:val="continue"/>
          </w:tcPr>
          <w:p>
            <w:pPr>
              <w:spacing w:after="0"/>
              <w:rPr>
                <w:sz w:val="23"/>
                <w:szCs w:val="23"/>
                <w:color w:val="auto"/>
              </w:rPr>
            </w:pPr>
          </w:p>
        </w:tc>
        <w:tc>
          <w:tcPr>
            <w:tcW w:w="920" w:type="dxa"/>
            <w:vAlign w:val="bottom"/>
            <w:gridSpan w:val="3"/>
            <w:vMerge w:val="continue"/>
          </w:tcPr>
          <w:p>
            <w:pPr>
              <w:spacing w:after="0"/>
              <w:rPr>
                <w:sz w:val="23"/>
                <w:szCs w:val="23"/>
                <w:color w:val="auto"/>
              </w:rPr>
            </w:pPr>
          </w:p>
        </w:tc>
        <w:tc>
          <w:tcPr>
            <w:tcW w:w="900" w:type="dxa"/>
            <w:vAlign w:val="bottom"/>
            <w:gridSpan w:val="3"/>
            <w:vMerge w:val="continue"/>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600" w:type="dxa"/>
            <w:vAlign w:val="bottom"/>
          </w:tcPr>
          <w:p>
            <w:pPr>
              <w:spacing w:after="0"/>
              <w:rPr>
                <w:sz w:val="20"/>
                <w:szCs w:val="20"/>
                <w:color w:val="auto"/>
              </w:rPr>
            </w:pPr>
            <w:r>
              <w:rPr>
                <w:rFonts w:ascii="Arial" w:cs="Arial" w:eastAsia="Arial" w:hAnsi="Arial"/>
                <w:sz w:val="18"/>
                <w:szCs w:val="18"/>
                <w:b w:val="1"/>
                <w:bCs w:val="1"/>
                <w:color w:val="auto"/>
              </w:rPr>
              <w:t>Immunology</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9,751</w:t>
            </w:r>
          </w:p>
        </w:tc>
        <w:tc>
          <w:tcPr>
            <w:tcW w:w="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7"/>
              </w:rPr>
              <w:t>2,113</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rPr>
              <w:t>11,864</w:t>
            </w: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6"/>
              </w:rPr>
              <w:t>16.0</w:t>
            </w:r>
          </w:p>
        </w:tc>
        <w:tc>
          <w:tcPr>
            <w:tcW w:w="72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rPr>
              <w:t>5.5</w:t>
            </w:r>
          </w:p>
        </w:tc>
        <w:tc>
          <w:tcPr>
            <w:tcW w:w="320" w:type="dxa"/>
            <w:vAlign w:val="bottom"/>
          </w:tcPr>
          <w:p>
            <w:pPr>
              <w:spacing w:after="0"/>
              <w:rPr>
                <w:sz w:val="20"/>
                <w:szCs w:val="20"/>
                <w:color w:val="auto"/>
              </w:rPr>
            </w:pPr>
          </w:p>
        </w:tc>
        <w:tc>
          <w:tcPr>
            <w:tcW w:w="6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rPr>
              <w:t>14.0</w:t>
            </w:r>
          </w:p>
        </w:tc>
        <w:tc>
          <w:tcPr>
            <w:tcW w:w="2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b w:val="1"/>
                <w:bCs w:val="1"/>
                <w:color w:val="auto"/>
              </w:rPr>
              <w:t>16.0</w:t>
            </w:r>
          </w:p>
        </w:tc>
        <w:tc>
          <w:tcPr>
            <w:tcW w:w="9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7"/>
              </w:rPr>
              <w:t>(0.8)</w:t>
            </w:r>
          </w:p>
        </w:tc>
        <w:tc>
          <w:tcPr>
            <w:tcW w:w="68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rPr>
              <w:t>12.8</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0"/>
              <w:spacing w:after="0"/>
              <w:rPr>
                <w:sz w:val="20"/>
                <w:szCs w:val="20"/>
                <w:color w:val="auto"/>
              </w:rPr>
            </w:pPr>
            <w:r>
              <w:rPr>
                <w:rFonts w:ascii="Arial" w:cs="Arial" w:eastAsia="Arial" w:hAnsi="Arial"/>
                <w:sz w:val="18"/>
                <w:szCs w:val="18"/>
                <w:color w:val="auto"/>
              </w:rPr>
              <w:t>Humira</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rPr>
              <w:t>8,164</w:t>
            </w:r>
          </w:p>
        </w:tc>
        <w:tc>
          <w:tcPr>
            <w:tcW w:w="900" w:type="dxa"/>
            <w:vAlign w:val="bottom"/>
            <w:gridSpan w:val="3"/>
          </w:tcPr>
          <w:p>
            <w:pPr>
              <w:jc w:val="center"/>
              <w:ind w:right="20"/>
              <w:spacing w:after="0"/>
              <w:rPr>
                <w:sz w:val="20"/>
                <w:szCs w:val="20"/>
                <w:color w:val="auto"/>
              </w:rPr>
            </w:pPr>
            <w:r>
              <w:rPr>
                <w:rFonts w:ascii="Arial" w:cs="Arial" w:eastAsia="Arial" w:hAnsi="Arial"/>
                <w:sz w:val="18"/>
                <w:szCs w:val="18"/>
                <w:color w:val="auto"/>
                <w:w w:val="97"/>
              </w:rPr>
              <w:t>1,771</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9,935</w:t>
            </w:r>
          </w:p>
        </w:tc>
        <w:tc>
          <w:tcPr>
            <w:tcW w:w="20" w:type="dxa"/>
            <w:vAlign w:val="bottom"/>
            <w:shd w:val="clear" w:color="auto" w:fill="000000"/>
          </w:tcPr>
          <w:p>
            <w:pPr>
              <w:spacing w:after="0"/>
              <w:rPr>
                <w:sz w:val="19"/>
                <w:szCs w:val="19"/>
                <w:color w:val="auto"/>
              </w:rPr>
            </w:pPr>
          </w:p>
        </w:tc>
        <w:tc>
          <w:tcPr>
            <w:tcW w:w="680" w:type="dxa"/>
            <w:vAlign w:val="bottom"/>
            <w:gridSpan w:val="3"/>
          </w:tcPr>
          <w:p>
            <w:pPr>
              <w:jc w:val="center"/>
              <w:ind w:left="25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9"/>
                <w:szCs w:val="19"/>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rPr>
              <w:t>(7.3)</w:t>
            </w:r>
          </w:p>
        </w:tc>
        <w:tc>
          <w:tcPr>
            <w:tcW w:w="66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4.1</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7.0</w:t>
            </w:r>
          </w:p>
        </w:tc>
        <w:tc>
          <w:tcPr>
            <w:tcW w:w="340" w:type="dxa"/>
            <w:vAlign w:val="bottom"/>
          </w:tcPr>
          <w:p>
            <w:pPr>
              <w:spacing w:after="0"/>
              <w:rPr>
                <w:sz w:val="19"/>
                <w:szCs w:val="19"/>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8"/>
                <w:szCs w:val="18"/>
                <w:color w:val="auto"/>
              </w:rPr>
              <w:t>(12.6)</w:t>
            </w: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w w:val="95"/>
              </w:rPr>
              <w:t>3.0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Skyrizi</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rPr>
              <w:t>1,046</w:t>
            </w: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202</w:t>
            </w:r>
          </w:p>
        </w:tc>
        <w:tc>
          <w:tcPr>
            <w:tcW w:w="28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1,248</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6"/>
              </w:rPr>
              <w:t>88.5</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660" w:type="dxa"/>
            <w:vAlign w:val="bottom"/>
            <w:gridSpan w:val="2"/>
          </w:tcPr>
          <w:p>
            <w:pPr>
              <w:jc w:val="center"/>
              <w:ind w:left="130"/>
              <w:spacing w:after="0"/>
              <w:rPr>
                <w:sz w:val="20"/>
                <w:szCs w:val="20"/>
                <w:color w:val="auto"/>
              </w:rPr>
            </w:pPr>
            <w:r>
              <w:rPr>
                <w:rFonts w:ascii="Arial" w:cs="Arial" w:eastAsia="Arial" w:hAnsi="Arial"/>
                <w:sz w:val="18"/>
                <w:szCs w:val="18"/>
                <w:color w:val="auto"/>
              </w:rPr>
              <w:t>98.0</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rPr>
              <w:t>88.5</w:t>
            </w:r>
          </w:p>
        </w:tc>
        <w:tc>
          <w:tcPr>
            <w:tcW w:w="920" w:type="dxa"/>
            <w:vAlign w:val="bottom"/>
            <w:gridSpan w:val="3"/>
          </w:tcPr>
          <w:p>
            <w:pPr>
              <w:jc w:val="center"/>
              <w:ind w:right="40"/>
              <w:spacing w:after="0"/>
              <w:rPr>
                <w:sz w:val="20"/>
                <w:szCs w:val="20"/>
                <w:color w:val="auto"/>
              </w:rPr>
            </w:pPr>
            <w:r>
              <w:rPr>
                <w:rFonts w:ascii="Arial" w:cs="Arial" w:eastAsia="Arial" w:hAnsi="Arial"/>
                <w:sz w:val="18"/>
                <w:szCs w:val="18"/>
                <w:color w:val="auto"/>
              </w:rPr>
              <w:t>&gt;100.0</w:t>
            </w: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rPr>
              <w:t>95.7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0"/>
              <w:spacing w:after="0"/>
              <w:rPr>
                <w:sz w:val="20"/>
                <w:szCs w:val="20"/>
                <w:color w:val="auto"/>
              </w:rPr>
            </w:pPr>
            <w:r>
              <w:rPr>
                <w:rFonts w:ascii="Arial" w:cs="Arial" w:eastAsia="Arial" w:hAnsi="Arial"/>
                <w:sz w:val="18"/>
                <w:szCs w:val="18"/>
                <w:color w:val="auto"/>
              </w:rPr>
              <w:t>Rinvoq</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541</w:t>
            </w:r>
          </w:p>
        </w:tc>
        <w:tc>
          <w:tcPr>
            <w:tcW w:w="34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140</w:t>
            </w:r>
          </w:p>
        </w:tc>
        <w:tc>
          <w:tcPr>
            <w:tcW w:w="28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681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&gt;100.0</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rPr>
              <w:t>&gt;100.0</w:t>
            </w:r>
          </w:p>
        </w:tc>
        <w:tc>
          <w:tcPr>
            <w:tcW w:w="920" w:type="dxa"/>
            <w:vAlign w:val="bottom"/>
            <w:gridSpan w:val="3"/>
          </w:tcPr>
          <w:p>
            <w:pPr>
              <w:jc w:val="center"/>
              <w:ind w:right="40"/>
              <w:spacing w:after="0"/>
              <w:rPr>
                <w:sz w:val="20"/>
                <w:szCs w:val="20"/>
                <w:color w:val="auto"/>
              </w:rPr>
            </w:pPr>
            <w:r>
              <w:rPr>
                <w:rFonts w:ascii="Arial" w:cs="Arial" w:eastAsia="Arial" w:hAnsi="Arial"/>
                <w:sz w:val="18"/>
                <w:szCs w:val="18"/>
                <w:color w:val="auto"/>
              </w:rPr>
              <w:t>&gt;100.0</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600" w:type="dxa"/>
            <w:vAlign w:val="bottom"/>
          </w:tcPr>
          <w:p>
            <w:pPr>
              <w:spacing w:after="0"/>
              <w:rPr>
                <w:sz w:val="20"/>
                <w:szCs w:val="20"/>
                <w:color w:val="auto"/>
              </w:rPr>
            </w:pPr>
            <w:r>
              <w:rPr>
                <w:rFonts w:ascii="Arial" w:cs="Arial" w:eastAsia="Arial" w:hAnsi="Arial"/>
                <w:sz w:val="18"/>
                <w:szCs w:val="18"/>
                <w:b w:val="1"/>
                <w:bCs w:val="1"/>
                <w:color w:val="auto"/>
              </w:rPr>
              <w:t>Hematologic Oncology</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2,546</w:t>
            </w:r>
          </w:p>
        </w:tc>
        <w:tc>
          <w:tcPr>
            <w:tcW w:w="6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9"/>
              </w:rPr>
              <w:t>943</w:t>
            </w:r>
          </w:p>
        </w:tc>
        <w:tc>
          <w:tcPr>
            <w:tcW w:w="280" w:type="dxa"/>
            <w:vAlign w:val="bottom"/>
          </w:tcPr>
          <w:p>
            <w:pPr>
              <w:spacing w:after="0"/>
              <w:rPr>
                <w:sz w:val="24"/>
                <w:szCs w:val="24"/>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3,489</w:t>
            </w:r>
          </w:p>
        </w:tc>
        <w:tc>
          <w:tcPr>
            <w:tcW w:w="20" w:type="dxa"/>
            <w:vAlign w:val="bottom"/>
            <w:shd w:val="clear" w:color="auto" w:fill="000000"/>
          </w:tcPr>
          <w:p>
            <w:pPr>
              <w:spacing w:after="0"/>
              <w:rPr>
                <w:sz w:val="24"/>
                <w:szCs w:val="24"/>
                <w:color w:val="auto"/>
              </w:rPr>
            </w:pPr>
          </w:p>
        </w:tc>
        <w:tc>
          <w:tcPr>
            <w:tcW w:w="68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rPr>
              <w:t>5.5</w:t>
            </w:r>
          </w:p>
        </w:tc>
        <w:tc>
          <w:tcPr>
            <w:tcW w:w="240" w:type="dxa"/>
            <w:vAlign w:val="bottom"/>
          </w:tcPr>
          <w:p>
            <w:pPr>
              <w:spacing w:after="0"/>
              <w:rPr>
                <w:sz w:val="24"/>
                <w:szCs w:val="24"/>
                <w:color w:val="auto"/>
              </w:rPr>
            </w:pPr>
          </w:p>
        </w:tc>
        <w:tc>
          <w:tcPr>
            <w:tcW w:w="72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6"/>
              </w:rPr>
              <w:t>29.7</w:t>
            </w:r>
          </w:p>
        </w:tc>
        <w:tc>
          <w:tcPr>
            <w:tcW w:w="320" w:type="dxa"/>
            <w:vAlign w:val="bottom"/>
          </w:tcPr>
          <w:p>
            <w:pPr>
              <w:spacing w:after="0"/>
              <w:rPr>
                <w:sz w:val="24"/>
                <w:szCs w:val="24"/>
                <w:color w:val="auto"/>
              </w:rPr>
            </w:pPr>
          </w:p>
        </w:tc>
        <w:tc>
          <w:tcPr>
            <w:tcW w:w="6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rPr>
              <w:t>11.1</w:t>
            </w:r>
          </w:p>
        </w:tc>
        <w:tc>
          <w:tcPr>
            <w:tcW w:w="2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5"/>
              </w:rPr>
              <w:t>5.5</w:t>
            </w:r>
          </w:p>
        </w:tc>
        <w:tc>
          <w:tcPr>
            <w:tcW w:w="340" w:type="dxa"/>
            <w:vAlign w:val="bottom"/>
          </w:tcPr>
          <w:p>
            <w:pPr>
              <w:spacing w:after="0"/>
              <w:rPr>
                <w:sz w:val="24"/>
                <w:szCs w:val="24"/>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rPr>
              <w:t>26.2</w:t>
            </w:r>
          </w:p>
        </w:tc>
        <w:tc>
          <w:tcPr>
            <w:tcW w:w="300" w:type="dxa"/>
            <w:vAlign w:val="bottom"/>
          </w:tcPr>
          <w:p>
            <w:pPr>
              <w:spacing w:after="0"/>
              <w:rPr>
                <w:sz w:val="24"/>
                <w:szCs w:val="24"/>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rPr>
              <w:t>10.3</w:t>
            </w:r>
          </w:p>
        </w:tc>
        <w:tc>
          <w:tcPr>
            <w:tcW w:w="2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600" w:type="dxa"/>
            <w:vAlign w:val="bottom"/>
          </w:tcPr>
          <w:p>
            <w:pPr>
              <w:ind w:left="200"/>
              <w:spacing w:after="0" w:line="242" w:lineRule="exact"/>
              <w:rPr>
                <w:sz w:val="20"/>
                <w:szCs w:val="20"/>
                <w:color w:val="auto"/>
              </w:rPr>
            </w:pPr>
            <w:r>
              <w:rPr>
                <w:rFonts w:ascii="Arial" w:cs="Arial" w:eastAsia="Arial" w:hAnsi="Arial"/>
                <w:sz w:val="18"/>
                <w:szCs w:val="18"/>
                <w:color w:val="auto"/>
              </w:rPr>
              <w:t>Imbruvica</w:t>
            </w:r>
            <w:r>
              <w:rPr>
                <w:rFonts w:ascii="Arial" w:cs="Arial" w:eastAsia="Arial" w:hAnsi="Arial"/>
                <w:sz w:val="23"/>
                <w:szCs w:val="23"/>
                <w:color w:val="auto"/>
                <w:vertAlign w:val="superscript"/>
              </w:rPr>
              <w:t>d</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rPr>
              <w:t>2,098</w:t>
            </w: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551</w:t>
            </w:r>
          </w:p>
        </w:tc>
        <w:tc>
          <w:tcPr>
            <w:tcW w:w="280" w:type="dxa"/>
            <w:vAlign w:val="bottom"/>
          </w:tcPr>
          <w:p>
            <w:pPr>
              <w:spacing w:after="0"/>
              <w:rPr>
                <w:sz w:val="21"/>
                <w:szCs w:val="21"/>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2,649</w:t>
            </w:r>
          </w:p>
        </w:tc>
        <w:tc>
          <w:tcPr>
            <w:tcW w:w="20" w:type="dxa"/>
            <w:vAlign w:val="bottom"/>
            <w:shd w:val="clear" w:color="auto" w:fill="000000"/>
          </w:tcPr>
          <w:p>
            <w:pPr>
              <w:spacing w:after="0"/>
              <w:rPr>
                <w:sz w:val="21"/>
                <w:szCs w:val="21"/>
                <w:color w:val="auto"/>
              </w:rPr>
            </w:pPr>
          </w:p>
        </w:tc>
        <w:tc>
          <w:tcPr>
            <w:tcW w:w="680" w:type="dxa"/>
            <w:vAlign w:val="bottom"/>
            <w:gridSpan w:val="3"/>
          </w:tcPr>
          <w:p>
            <w:pPr>
              <w:jc w:val="center"/>
              <w:ind w:left="25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1"/>
                <w:szCs w:val="21"/>
                <w:color w:val="auto"/>
              </w:rPr>
            </w:pPr>
          </w:p>
        </w:tc>
        <w:tc>
          <w:tcPr>
            <w:tcW w:w="720" w:type="dxa"/>
            <w:vAlign w:val="bottom"/>
            <w:gridSpan w:val="2"/>
          </w:tcPr>
          <w:p>
            <w:pPr>
              <w:jc w:val="center"/>
              <w:ind w:left="250"/>
              <w:spacing w:after="0"/>
              <w:rPr>
                <w:sz w:val="20"/>
                <w:szCs w:val="20"/>
                <w:color w:val="auto"/>
              </w:rPr>
            </w:pPr>
            <w:r>
              <w:rPr>
                <w:rFonts w:ascii="Arial" w:cs="Arial" w:eastAsia="Arial" w:hAnsi="Arial"/>
                <w:sz w:val="18"/>
                <w:szCs w:val="18"/>
                <w:color w:val="auto"/>
                <w:w w:val="96"/>
              </w:rPr>
              <w:t>10.4</w:t>
            </w:r>
          </w:p>
        </w:tc>
        <w:tc>
          <w:tcPr>
            <w:tcW w:w="320" w:type="dxa"/>
            <w:vAlign w:val="bottom"/>
          </w:tcPr>
          <w:p>
            <w:pPr>
              <w:spacing w:after="0"/>
              <w:rPr>
                <w:sz w:val="21"/>
                <w:szCs w:val="21"/>
                <w:color w:val="auto"/>
              </w:rPr>
            </w:pPr>
          </w:p>
        </w:tc>
        <w:tc>
          <w:tcPr>
            <w:tcW w:w="66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5.1</w:t>
            </w:r>
          </w:p>
        </w:tc>
        <w:tc>
          <w:tcPr>
            <w:tcW w:w="20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3.8</w:t>
            </w:r>
          </w:p>
        </w:tc>
        <w:tc>
          <w:tcPr>
            <w:tcW w:w="340" w:type="dxa"/>
            <w:vAlign w:val="bottom"/>
          </w:tcPr>
          <w:p>
            <w:pPr>
              <w:spacing w:after="0"/>
              <w:rPr>
                <w:sz w:val="21"/>
                <w:szCs w:val="21"/>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1"/>
                <w:szCs w:val="21"/>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w w:val="95"/>
              </w:rPr>
              <w:t>5.1</w:t>
            </w:r>
          </w:p>
        </w:tc>
        <w:tc>
          <w:tcPr>
            <w:tcW w:w="22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600" w:type="dxa"/>
            <w:vAlign w:val="bottom"/>
          </w:tcPr>
          <w:p>
            <w:pPr>
              <w:ind w:left="200"/>
              <w:spacing w:after="0"/>
              <w:rPr>
                <w:sz w:val="20"/>
                <w:szCs w:val="20"/>
                <w:color w:val="auto"/>
              </w:rPr>
            </w:pPr>
            <w:r>
              <w:rPr>
                <w:rFonts w:ascii="Arial" w:cs="Arial" w:eastAsia="Arial" w:hAnsi="Arial"/>
                <w:sz w:val="18"/>
                <w:szCs w:val="18"/>
                <w:color w:val="auto"/>
              </w:rPr>
              <w:t>Venclexta</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448</w:t>
            </w:r>
          </w:p>
        </w:tc>
        <w:tc>
          <w:tcPr>
            <w:tcW w:w="340" w:type="dxa"/>
            <w:vAlign w:val="bottom"/>
          </w:tcPr>
          <w:p>
            <w:pPr>
              <w:spacing w:after="0"/>
              <w:rPr>
                <w:sz w:val="18"/>
                <w:szCs w:val="18"/>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392</w:t>
            </w:r>
          </w:p>
        </w:tc>
        <w:tc>
          <w:tcPr>
            <w:tcW w:w="280" w:type="dxa"/>
            <w:vAlign w:val="bottom"/>
          </w:tcPr>
          <w:p>
            <w:pPr>
              <w:spacing w:after="0"/>
              <w:rPr>
                <w:sz w:val="18"/>
                <w:szCs w:val="18"/>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840</w:t>
            </w: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6"/>
              </w:rPr>
              <w:t>14.2</w:t>
            </w:r>
          </w:p>
        </w:tc>
        <w:tc>
          <w:tcPr>
            <w:tcW w:w="720" w:type="dxa"/>
            <w:vAlign w:val="bottom"/>
            <w:gridSpan w:val="2"/>
          </w:tcPr>
          <w:p>
            <w:pPr>
              <w:jc w:val="center"/>
              <w:ind w:left="250"/>
              <w:spacing w:after="0"/>
              <w:rPr>
                <w:sz w:val="20"/>
                <w:szCs w:val="20"/>
                <w:color w:val="auto"/>
              </w:rPr>
            </w:pPr>
            <w:r>
              <w:rPr>
                <w:rFonts w:ascii="Arial" w:cs="Arial" w:eastAsia="Arial" w:hAnsi="Arial"/>
                <w:sz w:val="18"/>
                <w:szCs w:val="18"/>
                <w:color w:val="auto"/>
                <w:w w:val="96"/>
              </w:rPr>
              <w:t>71.8</w:t>
            </w:r>
          </w:p>
        </w:tc>
        <w:tc>
          <w:tcPr>
            <w:tcW w:w="320" w:type="dxa"/>
            <w:vAlign w:val="bottom"/>
          </w:tcPr>
          <w:p>
            <w:pPr>
              <w:spacing w:after="0"/>
              <w:rPr>
                <w:sz w:val="18"/>
                <w:szCs w:val="18"/>
                <w:color w:val="auto"/>
              </w:rPr>
            </w:pPr>
          </w:p>
        </w:tc>
        <w:tc>
          <w:tcPr>
            <w:tcW w:w="660" w:type="dxa"/>
            <w:vAlign w:val="bottom"/>
            <w:gridSpan w:val="2"/>
          </w:tcPr>
          <w:p>
            <w:pPr>
              <w:jc w:val="center"/>
              <w:ind w:left="130"/>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rPr>
              <w:t>14.2</w:t>
            </w: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rPr>
              <w:t>60.5</w:t>
            </w:r>
          </w:p>
        </w:tc>
        <w:tc>
          <w:tcPr>
            <w:tcW w:w="300" w:type="dxa"/>
            <w:vAlign w:val="bottom"/>
          </w:tcPr>
          <w:p>
            <w:pPr>
              <w:spacing w:after="0"/>
              <w:rPr>
                <w:sz w:val="18"/>
                <w:szCs w:val="18"/>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600" w:type="dxa"/>
            <w:vAlign w:val="bottom"/>
          </w:tcPr>
          <w:p>
            <w:pPr>
              <w:spacing w:after="0"/>
              <w:rPr>
                <w:sz w:val="20"/>
                <w:szCs w:val="20"/>
                <w:color w:val="auto"/>
              </w:rPr>
            </w:pPr>
            <w:r>
              <w:rPr>
                <w:rFonts w:ascii="Arial" w:cs="Arial" w:eastAsia="Arial" w:hAnsi="Arial"/>
                <w:sz w:val="18"/>
                <w:szCs w:val="18"/>
                <w:b w:val="1"/>
                <w:bCs w:val="1"/>
                <w:color w:val="auto"/>
              </w:rPr>
              <w:t>Aesthetics</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1,653</w:t>
            </w:r>
          </w:p>
        </w:tc>
        <w:tc>
          <w:tcPr>
            <w:tcW w:w="6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9"/>
              </w:rPr>
              <w:t>922</w:t>
            </w:r>
          </w:p>
        </w:tc>
        <w:tc>
          <w:tcPr>
            <w:tcW w:w="280" w:type="dxa"/>
            <w:vAlign w:val="bottom"/>
          </w:tcPr>
          <w:p>
            <w:pPr>
              <w:spacing w:after="0"/>
              <w:rPr>
                <w:sz w:val="24"/>
                <w:szCs w:val="24"/>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2,575</w:t>
            </w:r>
          </w:p>
        </w:tc>
        <w:tc>
          <w:tcPr>
            <w:tcW w:w="20" w:type="dxa"/>
            <w:vAlign w:val="bottom"/>
            <w:shd w:val="clear" w:color="auto" w:fill="000000"/>
          </w:tcPr>
          <w:p>
            <w:pPr>
              <w:spacing w:after="0"/>
              <w:rPr>
                <w:sz w:val="24"/>
                <w:szCs w:val="24"/>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7"/>
              </w:rPr>
              <w:t>&gt;100.0</w:t>
            </w:r>
          </w:p>
        </w:tc>
        <w:tc>
          <w:tcPr>
            <w:tcW w:w="1040" w:type="dxa"/>
            <w:vAlign w:val="bottom"/>
            <w:gridSpan w:val="3"/>
          </w:tcPr>
          <w:p>
            <w:pPr>
              <w:jc w:val="center"/>
              <w:spacing w:after="0"/>
              <w:rPr>
                <w:sz w:val="20"/>
                <w:szCs w:val="20"/>
                <w:color w:val="auto"/>
              </w:rPr>
            </w:pPr>
            <w:r>
              <w:rPr>
                <w:rFonts w:ascii="Arial" w:cs="Arial" w:eastAsia="Arial" w:hAnsi="Arial"/>
                <w:sz w:val="18"/>
                <w:szCs w:val="18"/>
                <w:b w:val="1"/>
                <w:bCs w:val="1"/>
                <w:color w:val="auto"/>
              </w:rPr>
              <w:t>&gt;100.0</w:t>
            </w:r>
          </w:p>
        </w:tc>
        <w:tc>
          <w:tcPr>
            <w:tcW w:w="860" w:type="dxa"/>
            <w:vAlign w:val="bottom"/>
            <w:gridSpan w:val="3"/>
          </w:tcPr>
          <w:p>
            <w:pPr>
              <w:jc w:val="center"/>
              <w:spacing w:after="0"/>
              <w:rPr>
                <w:sz w:val="20"/>
                <w:szCs w:val="20"/>
                <w:color w:val="auto"/>
              </w:rPr>
            </w:pPr>
            <w:r>
              <w:rPr>
                <w:rFonts w:ascii="Arial" w:cs="Arial" w:eastAsia="Arial" w:hAnsi="Arial"/>
                <w:sz w:val="18"/>
                <w:szCs w:val="18"/>
                <w:b w:val="1"/>
                <w:bCs w:val="1"/>
                <w:color w:val="auto"/>
              </w:rPr>
              <w:t>&gt;100.0</w:t>
            </w:r>
          </w:p>
        </w:tc>
        <w:tc>
          <w:tcPr>
            <w:tcW w:w="20" w:type="dxa"/>
            <w:vAlign w:val="bottom"/>
            <w:shd w:val="clear" w:color="auto" w:fill="000000"/>
          </w:tcPr>
          <w:p>
            <w:pPr>
              <w:spacing w:after="0"/>
              <w:rPr>
                <w:sz w:val="24"/>
                <w:szCs w:val="24"/>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b w:val="1"/>
                <w:bCs w:val="1"/>
                <w:color w:val="auto"/>
              </w:rPr>
              <w:t>69.9</w:t>
            </w:r>
          </w:p>
        </w:tc>
        <w:tc>
          <w:tcPr>
            <w:tcW w:w="9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rPr>
              <w:t>&gt;100.0</w:t>
            </w:r>
          </w:p>
        </w:tc>
        <w:tc>
          <w:tcPr>
            <w:tcW w:w="68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rPr>
              <w:t>80.7</w:t>
            </w:r>
          </w:p>
        </w:tc>
        <w:tc>
          <w:tcPr>
            <w:tcW w:w="2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Botox Cosmetic*</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671</w:t>
            </w:r>
          </w:p>
        </w:tc>
        <w:tc>
          <w:tcPr>
            <w:tcW w:w="34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390</w:t>
            </w:r>
          </w:p>
        </w:tc>
        <w:tc>
          <w:tcPr>
            <w:tcW w:w="28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1,061</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&gt;100.0</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rPr>
              <w:t>84.0</w:t>
            </w: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rPr>
              <w:t>83.7</w:t>
            </w:r>
          </w:p>
        </w:tc>
        <w:tc>
          <w:tcPr>
            <w:tcW w:w="300" w:type="dxa"/>
            <w:vAlign w:val="bottom"/>
          </w:tcPr>
          <w:p>
            <w:pPr>
              <w:spacing w:after="0"/>
              <w:rPr>
                <w:sz w:val="19"/>
                <w:szCs w:val="19"/>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rPr>
              <w:t>83.9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0"/>
              <w:spacing w:after="0"/>
              <w:rPr>
                <w:sz w:val="20"/>
                <w:szCs w:val="20"/>
                <w:color w:val="auto"/>
              </w:rPr>
            </w:pPr>
            <w:r>
              <w:rPr>
                <w:rFonts w:ascii="Arial" w:cs="Arial" w:eastAsia="Arial" w:hAnsi="Arial"/>
                <w:sz w:val="18"/>
                <w:szCs w:val="18"/>
                <w:color w:val="auto"/>
              </w:rPr>
              <w:t>Juvederm Collection*</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319</w:t>
            </w:r>
          </w:p>
        </w:tc>
        <w:tc>
          <w:tcPr>
            <w:tcW w:w="34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430</w:t>
            </w:r>
          </w:p>
        </w:tc>
        <w:tc>
          <w:tcPr>
            <w:tcW w:w="28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749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&gt;100.0</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rPr>
              <w:t>91.8</w:t>
            </w:r>
          </w:p>
        </w:tc>
        <w:tc>
          <w:tcPr>
            <w:tcW w:w="920" w:type="dxa"/>
            <w:vAlign w:val="bottom"/>
            <w:gridSpan w:val="3"/>
          </w:tcPr>
          <w:p>
            <w:pPr>
              <w:jc w:val="center"/>
              <w:ind w:right="40"/>
              <w:spacing w:after="0"/>
              <w:rPr>
                <w:sz w:val="20"/>
                <w:szCs w:val="20"/>
                <w:color w:val="auto"/>
              </w:rPr>
            </w:pPr>
            <w:r>
              <w:rPr>
                <w:rFonts w:ascii="Arial" w:cs="Arial" w:eastAsia="Arial" w:hAnsi="Arial"/>
                <w:sz w:val="18"/>
                <w:szCs w:val="18"/>
                <w:color w:val="auto"/>
              </w:rPr>
              <w:t>&gt;100.0</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0"/>
              <w:spacing w:after="0"/>
              <w:rPr>
                <w:sz w:val="20"/>
                <w:szCs w:val="20"/>
                <w:color w:val="auto"/>
              </w:rPr>
            </w:pPr>
            <w:r>
              <w:rPr>
                <w:rFonts w:ascii="Arial" w:cs="Arial" w:eastAsia="Arial" w:hAnsi="Arial"/>
                <w:sz w:val="18"/>
                <w:szCs w:val="18"/>
                <w:color w:val="auto"/>
              </w:rPr>
              <w:t>Other Aesthetics*</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663</w:t>
            </w:r>
          </w:p>
        </w:tc>
        <w:tc>
          <w:tcPr>
            <w:tcW w:w="34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102</w:t>
            </w:r>
          </w:p>
        </w:tc>
        <w:tc>
          <w:tcPr>
            <w:tcW w:w="28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765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&gt;100.0</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rPr>
              <w:t>49.9</w:t>
            </w:r>
          </w:p>
        </w:tc>
        <w:tc>
          <w:tcPr>
            <w:tcW w:w="920" w:type="dxa"/>
            <w:vAlign w:val="bottom"/>
            <w:gridSpan w:val="3"/>
          </w:tcPr>
          <w:p>
            <w:pPr>
              <w:jc w:val="center"/>
              <w:ind w:right="40"/>
              <w:spacing w:after="0"/>
              <w:rPr>
                <w:sz w:val="20"/>
                <w:szCs w:val="20"/>
                <w:color w:val="auto"/>
              </w:rPr>
            </w:pPr>
            <w:r>
              <w:rPr>
                <w:rFonts w:ascii="Arial" w:cs="Arial" w:eastAsia="Arial" w:hAnsi="Arial"/>
                <w:sz w:val="18"/>
                <w:szCs w:val="18"/>
                <w:color w:val="auto"/>
              </w:rPr>
              <w:t>&gt;100.0</w:t>
            </w: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rPr>
              <w:t>56.6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600" w:type="dxa"/>
            <w:vAlign w:val="bottom"/>
          </w:tcPr>
          <w:p>
            <w:pPr>
              <w:spacing w:after="0"/>
              <w:rPr>
                <w:sz w:val="20"/>
                <w:szCs w:val="20"/>
                <w:color w:val="auto"/>
              </w:rPr>
            </w:pPr>
            <w:r>
              <w:rPr>
                <w:rFonts w:ascii="Arial" w:cs="Arial" w:eastAsia="Arial" w:hAnsi="Arial"/>
                <w:sz w:val="18"/>
                <w:szCs w:val="18"/>
                <w:b w:val="1"/>
                <w:bCs w:val="1"/>
                <w:color w:val="auto"/>
              </w:rPr>
              <w:t>Neuroscience</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2,275</w:t>
            </w:r>
          </w:p>
        </w:tc>
        <w:tc>
          <w:tcPr>
            <w:tcW w:w="6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9"/>
              </w:rPr>
              <w:t>432</w:t>
            </w:r>
          </w:p>
        </w:tc>
        <w:tc>
          <w:tcPr>
            <w:tcW w:w="280" w:type="dxa"/>
            <w:vAlign w:val="bottom"/>
          </w:tcPr>
          <w:p>
            <w:pPr>
              <w:spacing w:after="0"/>
              <w:rPr>
                <w:sz w:val="24"/>
                <w:szCs w:val="24"/>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2,707</w:t>
            </w:r>
          </w:p>
        </w:tc>
        <w:tc>
          <w:tcPr>
            <w:tcW w:w="20" w:type="dxa"/>
            <w:vAlign w:val="bottom"/>
            <w:shd w:val="clear" w:color="auto" w:fill="000000"/>
          </w:tcPr>
          <w:p>
            <w:pPr>
              <w:spacing w:after="0"/>
              <w:rPr>
                <w:sz w:val="24"/>
                <w:szCs w:val="24"/>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7"/>
              </w:rPr>
              <w:t>&gt;100.0</w:t>
            </w:r>
          </w:p>
        </w:tc>
        <w:tc>
          <w:tcPr>
            <w:tcW w:w="72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6"/>
              </w:rPr>
              <w:t>82.7</w:t>
            </w:r>
          </w:p>
        </w:tc>
        <w:tc>
          <w:tcPr>
            <w:tcW w:w="320" w:type="dxa"/>
            <w:vAlign w:val="bottom"/>
          </w:tcPr>
          <w:p>
            <w:pPr>
              <w:spacing w:after="0"/>
              <w:rPr>
                <w:sz w:val="24"/>
                <w:szCs w:val="24"/>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b w:val="1"/>
                <w:bCs w:val="1"/>
                <w:color w:val="auto"/>
              </w:rPr>
              <w:t>&gt;100.0</w:t>
            </w:r>
          </w:p>
        </w:tc>
        <w:tc>
          <w:tcPr>
            <w:tcW w:w="20" w:type="dxa"/>
            <w:vAlign w:val="bottom"/>
            <w:shd w:val="clear" w:color="auto" w:fill="000000"/>
          </w:tcPr>
          <w:p>
            <w:pPr>
              <w:spacing w:after="0"/>
              <w:rPr>
                <w:sz w:val="24"/>
                <w:szCs w:val="24"/>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b w:val="1"/>
                <w:bCs w:val="1"/>
                <w:color w:val="auto"/>
              </w:rPr>
              <w:t>21.4</w:t>
            </w:r>
          </w:p>
        </w:tc>
        <w:tc>
          <w:tcPr>
            <w:tcW w:w="62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rPr>
              <w:t>14.2</w:t>
            </w:r>
          </w:p>
        </w:tc>
        <w:tc>
          <w:tcPr>
            <w:tcW w:w="300" w:type="dxa"/>
            <w:vAlign w:val="bottom"/>
          </w:tcPr>
          <w:p>
            <w:pPr>
              <w:spacing w:after="0"/>
              <w:rPr>
                <w:sz w:val="24"/>
                <w:szCs w:val="24"/>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rPr>
              <w:t>20.3</w:t>
            </w:r>
          </w:p>
        </w:tc>
        <w:tc>
          <w:tcPr>
            <w:tcW w:w="2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Botox Therapeutic*</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917</w:t>
            </w:r>
          </w:p>
        </w:tc>
        <w:tc>
          <w:tcPr>
            <w:tcW w:w="34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218</w:t>
            </w:r>
          </w:p>
        </w:tc>
        <w:tc>
          <w:tcPr>
            <w:tcW w:w="28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1,135</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&gt;100.0</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rPr>
              <w:t>19.2</w:t>
            </w: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rPr>
              <w:t>34.2</w:t>
            </w:r>
          </w:p>
        </w:tc>
        <w:tc>
          <w:tcPr>
            <w:tcW w:w="300" w:type="dxa"/>
            <w:vAlign w:val="bottom"/>
          </w:tcPr>
          <w:p>
            <w:pPr>
              <w:spacing w:after="0"/>
              <w:rPr>
                <w:sz w:val="19"/>
                <w:szCs w:val="19"/>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0"/>
              <w:spacing w:after="0"/>
              <w:rPr>
                <w:sz w:val="20"/>
                <w:szCs w:val="20"/>
                <w:color w:val="auto"/>
              </w:rPr>
            </w:pPr>
            <w:r>
              <w:rPr>
                <w:rFonts w:ascii="Arial" w:cs="Arial" w:eastAsia="Arial" w:hAnsi="Arial"/>
                <w:sz w:val="18"/>
                <w:szCs w:val="18"/>
                <w:color w:val="auto"/>
              </w:rPr>
              <w:t>Vraylar*</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778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778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&gt;100.0</w:t>
            </w:r>
          </w:p>
        </w:tc>
        <w:tc>
          <w:tcPr>
            <w:tcW w:w="340" w:type="dxa"/>
            <w:vAlign w:val="bottom"/>
          </w:tcPr>
          <w:p>
            <w:pPr>
              <w:spacing w:after="0"/>
              <w:rPr>
                <w:sz w:val="19"/>
                <w:szCs w:val="1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8"/>
                <w:szCs w:val="18"/>
                <w:color w:val="auto"/>
              </w:rPr>
              <w:t>n/a</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19"/>
                <w:szCs w:val="19"/>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n/a</w:t>
            </w: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Duodopa</w:t>
            </w:r>
          </w:p>
        </w:tc>
        <w:tc>
          <w:tcPr>
            <w:tcW w:w="6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50</w:t>
            </w:r>
          </w:p>
        </w:tc>
        <w:tc>
          <w:tcPr>
            <w:tcW w:w="34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206</w:t>
            </w:r>
          </w:p>
        </w:tc>
        <w:tc>
          <w:tcPr>
            <w:tcW w:w="28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256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rPr>
              <w:t>(0.3)</w:t>
            </w:r>
          </w:p>
        </w:tc>
        <w:tc>
          <w:tcPr>
            <w:tcW w:w="720" w:type="dxa"/>
            <w:vAlign w:val="bottom"/>
            <w:gridSpan w:val="2"/>
          </w:tcPr>
          <w:p>
            <w:pPr>
              <w:jc w:val="center"/>
              <w:ind w:left="25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9"/>
                <w:szCs w:val="19"/>
                <w:color w:val="auto"/>
              </w:rPr>
            </w:pPr>
          </w:p>
        </w:tc>
        <w:tc>
          <w:tcPr>
            <w:tcW w:w="66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5.8</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w w:val="97"/>
              </w:rPr>
              <w:t>(0.3)</w:t>
            </w:r>
          </w:p>
        </w:tc>
        <w:tc>
          <w:tcPr>
            <w:tcW w:w="920" w:type="dxa"/>
            <w:vAlign w:val="bottom"/>
            <w:gridSpan w:val="3"/>
          </w:tcPr>
          <w:p>
            <w:pPr>
              <w:jc w:val="center"/>
              <w:ind w:right="40"/>
              <w:spacing w:after="0"/>
              <w:rPr>
                <w:sz w:val="20"/>
                <w:szCs w:val="20"/>
                <w:color w:val="auto"/>
              </w:rPr>
            </w:pPr>
            <w:r>
              <w:rPr>
                <w:rFonts w:ascii="Arial" w:cs="Arial" w:eastAsia="Arial" w:hAnsi="Arial"/>
                <w:sz w:val="18"/>
                <w:szCs w:val="18"/>
                <w:color w:val="auto"/>
                <w:w w:val="97"/>
              </w:rPr>
              <w:t>(1.8)</w:t>
            </w: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w w:val="97"/>
              </w:rPr>
              <w:t>(1.5)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Ubrelvy*</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207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207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&gt;100.0</w:t>
            </w:r>
          </w:p>
        </w:tc>
        <w:tc>
          <w:tcPr>
            <w:tcW w:w="340" w:type="dxa"/>
            <w:vAlign w:val="bottom"/>
          </w:tcPr>
          <w:p>
            <w:pPr>
              <w:spacing w:after="0"/>
              <w:rPr>
                <w:sz w:val="19"/>
                <w:szCs w:val="1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8"/>
                <w:szCs w:val="18"/>
                <w:color w:val="auto"/>
              </w:rPr>
              <w:t>n/a</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rPr>
              <w:t>&gt;100.0</w:t>
            </w:r>
          </w:p>
        </w:tc>
        <w:tc>
          <w:tcPr>
            <w:tcW w:w="260" w:type="dxa"/>
            <w:vAlign w:val="bottom"/>
          </w:tcPr>
          <w:p>
            <w:pPr>
              <w:spacing w:after="0"/>
              <w:rPr>
                <w:sz w:val="19"/>
                <w:szCs w:val="19"/>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n/a</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Other Neuroscience*</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323</w:t>
            </w:r>
          </w:p>
        </w:tc>
        <w:tc>
          <w:tcPr>
            <w:tcW w:w="34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8</w:t>
            </w:r>
          </w:p>
        </w:tc>
        <w:tc>
          <w:tcPr>
            <w:tcW w:w="28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331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&gt;100.0</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rPr>
              <w:t>(16.4)</w:t>
            </w: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rPr>
              <w:t>27.9</w:t>
            </w:r>
          </w:p>
        </w:tc>
        <w:tc>
          <w:tcPr>
            <w:tcW w:w="300" w:type="dxa"/>
            <w:vAlign w:val="bottom"/>
          </w:tcPr>
          <w:p>
            <w:pPr>
              <w:spacing w:after="0"/>
              <w:rPr>
                <w:sz w:val="19"/>
                <w:szCs w:val="19"/>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(15.8)</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600" w:type="dxa"/>
            <w:vAlign w:val="bottom"/>
          </w:tcPr>
          <w:p>
            <w:pPr>
              <w:spacing w:after="0"/>
              <w:rPr>
                <w:sz w:val="20"/>
                <w:szCs w:val="20"/>
                <w:color w:val="auto"/>
              </w:rPr>
            </w:pPr>
            <w:r>
              <w:rPr>
                <w:rFonts w:ascii="Arial" w:cs="Arial" w:eastAsia="Arial" w:hAnsi="Arial"/>
                <w:sz w:val="18"/>
                <w:szCs w:val="18"/>
                <w:b w:val="1"/>
                <w:bCs w:val="1"/>
                <w:color w:val="auto"/>
              </w:rPr>
              <w:t>Eye Care</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1,146</w:t>
            </w:r>
          </w:p>
        </w:tc>
        <w:tc>
          <w:tcPr>
            <w:tcW w:w="6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9"/>
              </w:rPr>
              <w:t>590</w:t>
            </w:r>
          </w:p>
        </w:tc>
        <w:tc>
          <w:tcPr>
            <w:tcW w:w="280" w:type="dxa"/>
            <w:vAlign w:val="bottom"/>
          </w:tcPr>
          <w:p>
            <w:pPr>
              <w:spacing w:after="0"/>
              <w:rPr>
                <w:sz w:val="24"/>
                <w:szCs w:val="24"/>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1,736</w:t>
            </w:r>
          </w:p>
        </w:tc>
        <w:tc>
          <w:tcPr>
            <w:tcW w:w="20" w:type="dxa"/>
            <w:vAlign w:val="bottom"/>
            <w:shd w:val="clear" w:color="auto" w:fill="000000"/>
          </w:tcPr>
          <w:p>
            <w:pPr>
              <w:spacing w:after="0"/>
              <w:rPr>
                <w:sz w:val="24"/>
                <w:szCs w:val="24"/>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7"/>
              </w:rPr>
              <w:t>&gt;100.0</w:t>
            </w:r>
          </w:p>
        </w:tc>
        <w:tc>
          <w:tcPr>
            <w:tcW w:w="1040" w:type="dxa"/>
            <w:vAlign w:val="bottom"/>
            <w:gridSpan w:val="3"/>
          </w:tcPr>
          <w:p>
            <w:pPr>
              <w:jc w:val="center"/>
              <w:spacing w:after="0"/>
              <w:rPr>
                <w:sz w:val="20"/>
                <w:szCs w:val="20"/>
                <w:color w:val="auto"/>
              </w:rPr>
            </w:pPr>
            <w:r>
              <w:rPr>
                <w:rFonts w:ascii="Arial" w:cs="Arial" w:eastAsia="Arial" w:hAnsi="Arial"/>
                <w:sz w:val="18"/>
                <w:szCs w:val="18"/>
                <w:b w:val="1"/>
                <w:bCs w:val="1"/>
                <w:color w:val="auto"/>
              </w:rPr>
              <w:t>&gt;100.0</w:t>
            </w:r>
          </w:p>
        </w:tc>
        <w:tc>
          <w:tcPr>
            <w:tcW w:w="860" w:type="dxa"/>
            <w:vAlign w:val="bottom"/>
            <w:gridSpan w:val="3"/>
          </w:tcPr>
          <w:p>
            <w:pPr>
              <w:jc w:val="center"/>
              <w:spacing w:after="0"/>
              <w:rPr>
                <w:sz w:val="20"/>
                <w:szCs w:val="20"/>
                <w:color w:val="auto"/>
              </w:rPr>
            </w:pPr>
            <w:r>
              <w:rPr>
                <w:rFonts w:ascii="Arial" w:cs="Arial" w:eastAsia="Arial" w:hAnsi="Arial"/>
                <w:sz w:val="18"/>
                <w:szCs w:val="18"/>
                <w:b w:val="1"/>
                <w:bCs w:val="1"/>
                <w:color w:val="auto"/>
              </w:rPr>
              <w:t>&gt;100.0</w:t>
            </w:r>
          </w:p>
        </w:tc>
        <w:tc>
          <w:tcPr>
            <w:tcW w:w="20" w:type="dxa"/>
            <w:vAlign w:val="bottom"/>
            <w:shd w:val="clear" w:color="auto" w:fill="000000"/>
          </w:tcPr>
          <w:p>
            <w:pPr>
              <w:spacing w:after="0"/>
              <w:rPr>
                <w:sz w:val="24"/>
                <w:szCs w:val="24"/>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5"/>
              </w:rPr>
              <w:t>4.1</w:t>
            </w:r>
          </w:p>
        </w:tc>
        <w:tc>
          <w:tcPr>
            <w:tcW w:w="340" w:type="dxa"/>
            <w:vAlign w:val="bottom"/>
          </w:tcPr>
          <w:p>
            <w:pPr>
              <w:spacing w:after="0"/>
              <w:rPr>
                <w:sz w:val="24"/>
                <w:szCs w:val="24"/>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5"/>
              </w:rPr>
              <w:t>9.3</w:t>
            </w:r>
          </w:p>
        </w:tc>
        <w:tc>
          <w:tcPr>
            <w:tcW w:w="300" w:type="dxa"/>
            <w:vAlign w:val="bottom"/>
          </w:tcPr>
          <w:p>
            <w:pPr>
              <w:spacing w:after="0"/>
              <w:rPr>
                <w:sz w:val="24"/>
                <w:szCs w:val="24"/>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5"/>
              </w:rPr>
              <w:t>5.7</w:t>
            </w:r>
          </w:p>
        </w:tc>
        <w:tc>
          <w:tcPr>
            <w:tcW w:w="2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Lumigan/Ganfort*</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138</w:t>
            </w:r>
          </w:p>
        </w:tc>
        <w:tc>
          <w:tcPr>
            <w:tcW w:w="34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154</w:t>
            </w:r>
          </w:p>
        </w:tc>
        <w:tc>
          <w:tcPr>
            <w:tcW w:w="28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292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&gt;100.0</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w w:val="97"/>
              </w:rPr>
              <w:t>(3.0)</w:t>
            </w:r>
          </w:p>
        </w:tc>
        <w:tc>
          <w:tcPr>
            <w:tcW w:w="920" w:type="dxa"/>
            <w:vAlign w:val="bottom"/>
            <w:gridSpan w:val="3"/>
          </w:tcPr>
          <w:p>
            <w:pPr>
              <w:jc w:val="center"/>
              <w:ind w:right="40"/>
              <w:spacing w:after="0"/>
              <w:rPr>
                <w:sz w:val="20"/>
                <w:szCs w:val="20"/>
                <w:color w:val="auto"/>
              </w:rPr>
            </w:pPr>
            <w:r>
              <w:rPr>
                <w:rFonts w:ascii="Arial" w:cs="Arial" w:eastAsia="Arial" w:hAnsi="Arial"/>
                <w:sz w:val="18"/>
                <w:szCs w:val="18"/>
                <w:color w:val="auto"/>
                <w:w w:val="97"/>
              </w:rPr>
              <w:t>(7.7)</w:t>
            </w: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w w:val="97"/>
              </w:rPr>
              <w:t>(5.5)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Alphagan/Combigan*</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182</w:t>
            </w:r>
          </w:p>
        </w:tc>
        <w:tc>
          <w:tcPr>
            <w:tcW w:w="340" w:type="dxa"/>
            <w:vAlign w:val="bottom"/>
          </w:tcPr>
          <w:p>
            <w:pPr>
              <w:spacing w:after="0"/>
              <w:rPr>
                <w:sz w:val="19"/>
                <w:szCs w:val="19"/>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78</w:t>
            </w:r>
          </w:p>
        </w:tc>
        <w:tc>
          <w:tcPr>
            <w:tcW w:w="28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260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&gt;100.0</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3.8</w:t>
            </w:r>
          </w:p>
        </w:tc>
        <w:tc>
          <w:tcPr>
            <w:tcW w:w="340" w:type="dxa"/>
            <w:vAlign w:val="bottom"/>
          </w:tcPr>
          <w:p>
            <w:pPr>
              <w:spacing w:after="0"/>
              <w:rPr>
                <w:sz w:val="19"/>
                <w:szCs w:val="19"/>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5"/>
              </w:rPr>
              <w:t>6.2</w:t>
            </w:r>
          </w:p>
        </w:tc>
        <w:tc>
          <w:tcPr>
            <w:tcW w:w="300" w:type="dxa"/>
            <w:vAlign w:val="bottom"/>
          </w:tcPr>
          <w:p>
            <w:pPr>
              <w:spacing w:after="0"/>
              <w:rPr>
                <w:sz w:val="19"/>
                <w:szCs w:val="19"/>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w w:val="95"/>
              </w:rPr>
              <w:t>4.6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0"/>
              <w:spacing w:after="0"/>
              <w:rPr>
                <w:sz w:val="20"/>
                <w:szCs w:val="20"/>
                <w:color w:val="auto"/>
              </w:rPr>
            </w:pPr>
            <w:r>
              <w:rPr>
                <w:rFonts w:ascii="Arial" w:cs="Arial" w:eastAsia="Arial" w:hAnsi="Arial"/>
                <w:sz w:val="18"/>
                <w:szCs w:val="18"/>
                <w:color w:val="auto"/>
              </w:rPr>
              <w:t>Restasis*</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579</w:t>
            </w:r>
          </w:p>
        </w:tc>
        <w:tc>
          <w:tcPr>
            <w:tcW w:w="340" w:type="dxa"/>
            <w:vAlign w:val="bottom"/>
          </w:tcPr>
          <w:p>
            <w:pPr>
              <w:spacing w:after="0"/>
              <w:rPr>
                <w:sz w:val="19"/>
                <w:szCs w:val="19"/>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28</w:t>
            </w:r>
          </w:p>
        </w:tc>
        <w:tc>
          <w:tcPr>
            <w:tcW w:w="28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607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&gt;100.0</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1.9</w:t>
            </w:r>
          </w:p>
        </w:tc>
        <w:tc>
          <w:tcPr>
            <w:tcW w:w="340" w:type="dxa"/>
            <w:vAlign w:val="bottom"/>
          </w:tcPr>
          <w:p>
            <w:pPr>
              <w:spacing w:after="0"/>
              <w:rPr>
                <w:sz w:val="19"/>
                <w:szCs w:val="19"/>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rPr>
              <w:t>43.3</w:t>
            </w:r>
          </w:p>
        </w:tc>
        <w:tc>
          <w:tcPr>
            <w:tcW w:w="300" w:type="dxa"/>
            <w:vAlign w:val="bottom"/>
          </w:tcPr>
          <w:p>
            <w:pPr>
              <w:spacing w:after="0"/>
              <w:rPr>
                <w:sz w:val="19"/>
                <w:szCs w:val="19"/>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w w:val="95"/>
              </w:rPr>
              <w:t>3.3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Other Eye Care*</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247</w:t>
            </w:r>
          </w:p>
        </w:tc>
        <w:tc>
          <w:tcPr>
            <w:tcW w:w="34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330</w:t>
            </w:r>
          </w:p>
        </w:tc>
        <w:tc>
          <w:tcPr>
            <w:tcW w:w="28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577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&gt;100.0</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rPr>
              <w:t>14.7</w:t>
            </w: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rPr>
              <w:t>17.6</w:t>
            </w:r>
          </w:p>
        </w:tc>
        <w:tc>
          <w:tcPr>
            <w:tcW w:w="300" w:type="dxa"/>
            <w:vAlign w:val="bottom"/>
          </w:tcPr>
          <w:p>
            <w:pPr>
              <w:spacing w:after="0"/>
              <w:rPr>
                <w:sz w:val="19"/>
                <w:szCs w:val="19"/>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600" w:type="dxa"/>
            <w:vAlign w:val="bottom"/>
          </w:tcPr>
          <w:p>
            <w:pPr>
              <w:spacing w:after="0"/>
              <w:rPr>
                <w:sz w:val="20"/>
                <w:szCs w:val="20"/>
                <w:color w:val="auto"/>
              </w:rPr>
            </w:pPr>
            <w:r>
              <w:rPr>
                <w:rFonts w:ascii="Arial" w:cs="Arial" w:eastAsia="Arial" w:hAnsi="Arial"/>
                <w:sz w:val="18"/>
                <w:szCs w:val="18"/>
                <w:b w:val="1"/>
                <w:bCs w:val="1"/>
                <w:color w:val="auto"/>
              </w:rPr>
              <w:t>Women's Health</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356</w:t>
            </w:r>
          </w:p>
        </w:tc>
        <w:tc>
          <w:tcPr>
            <w:tcW w:w="340" w:type="dxa"/>
            <w:vAlign w:val="bottom"/>
          </w:tcPr>
          <w:p>
            <w:pPr>
              <w:spacing w:after="0"/>
              <w:rPr>
                <w:sz w:val="24"/>
                <w:szCs w:val="24"/>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15</w:t>
            </w:r>
          </w:p>
        </w:tc>
        <w:tc>
          <w:tcPr>
            <w:tcW w:w="280" w:type="dxa"/>
            <w:vAlign w:val="bottom"/>
          </w:tcPr>
          <w:p>
            <w:pPr>
              <w:spacing w:after="0"/>
              <w:rPr>
                <w:sz w:val="24"/>
                <w:szCs w:val="24"/>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9"/>
              </w:rPr>
              <w:t>371</w:t>
            </w:r>
          </w:p>
        </w:tc>
        <w:tc>
          <w:tcPr>
            <w:tcW w:w="2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7"/>
              </w:rPr>
              <w:t>&gt;100.0</w:t>
            </w:r>
          </w:p>
        </w:tc>
        <w:tc>
          <w:tcPr>
            <w:tcW w:w="1040" w:type="dxa"/>
            <w:vAlign w:val="bottom"/>
            <w:gridSpan w:val="3"/>
          </w:tcPr>
          <w:p>
            <w:pPr>
              <w:jc w:val="center"/>
              <w:spacing w:after="0"/>
              <w:rPr>
                <w:sz w:val="20"/>
                <w:szCs w:val="20"/>
                <w:color w:val="auto"/>
              </w:rPr>
            </w:pPr>
            <w:r>
              <w:rPr>
                <w:rFonts w:ascii="Arial" w:cs="Arial" w:eastAsia="Arial" w:hAnsi="Arial"/>
                <w:sz w:val="18"/>
                <w:szCs w:val="18"/>
                <w:b w:val="1"/>
                <w:bCs w:val="1"/>
                <w:color w:val="auto"/>
              </w:rPr>
              <w:t>&gt;100.0</w:t>
            </w:r>
          </w:p>
        </w:tc>
        <w:tc>
          <w:tcPr>
            <w:tcW w:w="860" w:type="dxa"/>
            <w:vAlign w:val="bottom"/>
            <w:gridSpan w:val="3"/>
          </w:tcPr>
          <w:p>
            <w:pPr>
              <w:jc w:val="center"/>
              <w:spacing w:after="0"/>
              <w:rPr>
                <w:sz w:val="20"/>
                <w:szCs w:val="20"/>
                <w:color w:val="auto"/>
              </w:rPr>
            </w:pPr>
            <w:r>
              <w:rPr>
                <w:rFonts w:ascii="Arial" w:cs="Arial" w:eastAsia="Arial" w:hAnsi="Arial"/>
                <w:sz w:val="18"/>
                <w:szCs w:val="18"/>
                <w:b w:val="1"/>
                <w:bCs w:val="1"/>
                <w:color w:val="auto"/>
              </w:rPr>
              <w:t>&gt;100.0</w:t>
            </w:r>
          </w:p>
        </w:tc>
        <w:tc>
          <w:tcPr>
            <w:tcW w:w="20" w:type="dxa"/>
            <w:vAlign w:val="bottom"/>
            <w:shd w:val="clear" w:color="auto" w:fill="000000"/>
          </w:tcPr>
          <w:p>
            <w:pPr>
              <w:spacing w:after="0"/>
              <w:rPr>
                <w:sz w:val="24"/>
                <w:szCs w:val="24"/>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b w:val="1"/>
                <w:bCs w:val="1"/>
                <w:color w:val="auto"/>
              </w:rPr>
              <w:t>(19.5)</w:t>
            </w:r>
          </w:p>
        </w:tc>
        <w:tc>
          <w:tcPr>
            <w:tcW w:w="9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7"/>
              </w:rPr>
              <w:t>(9.8)</w:t>
            </w: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rPr>
              <w:t>(19.2)</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Lo Loestrin*</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195</w:t>
            </w:r>
          </w:p>
        </w:tc>
        <w:tc>
          <w:tcPr>
            <w:tcW w:w="34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7</w:t>
            </w:r>
          </w:p>
        </w:tc>
        <w:tc>
          <w:tcPr>
            <w:tcW w:w="28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202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&gt;100.0</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rPr>
              <w:t>(21.9)</w:t>
            </w: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9"/>
                <w:szCs w:val="19"/>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(21.2)</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Orilissa/Oriahnn</w:t>
            </w:r>
          </w:p>
        </w:tc>
        <w:tc>
          <w:tcPr>
            <w:tcW w:w="6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65</w:t>
            </w:r>
          </w:p>
        </w:tc>
        <w:tc>
          <w:tcPr>
            <w:tcW w:w="34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w:t>
            </w:r>
          </w:p>
        </w:tc>
        <w:tc>
          <w:tcPr>
            <w:tcW w:w="280" w:type="dxa"/>
            <w:vAlign w:val="bottom"/>
          </w:tcPr>
          <w:p>
            <w:pPr>
              <w:spacing w:after="0"/>
              <w:rPr>
                <w:sz w:val="19"/>
                <w:szCs w:val="19"/>
                <w:color w:val="auto"/>
              </w:rPr>
            </w:pPr>
          </w:p>
        </w:tc>
        <w:tc>
          <w:tcPr>
            <w:tcW w:w="70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68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80" w:type="dxa"/>
            <w:vAlign w:val="bottom"/>
            <w:gridSpan w:val="3"/>
          </w:tcPr>
          <w:p>
            <w:pPr>
              <w:jc w:val="center"/>
              <w:ind w:left="25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720" w:type="dxa"/>
            <w:vAlign w:val="bottom"/>
            <w:gridSpan w:val="2"/>
          </w:tcPr>
          <w:p>
            <w:pPr>
              <w:jc w:val="center"/>
              <w:ind w:left="250"/>
              <w:spacing w:after="0"/>
              <w:rPr>
                <w:sz w:val="20"/>
                <w:szCs w:val="20"/>
                <w:color w:val="auto"/>
              </w:rPr>
            </w:pPr>
            <w:r>
              <w:rPr>
                <w:rFonts w:ascii="Arial" w:cs="Arial" w:eastAsia="Arial" w:hAnsi="Arial"/>
                <w:sz w:val="18"/>
                <w:szCs w:val="18"/>
                <w:color w:val="auto"/>
                <w:w w:val="96"/>
              </w:rPr>
              <w:t>72.9</w:t>
            </w:r>
          </w:p>
        </w:tc>
        <w:tc>
          <w:tcPr>
            <w:tcW w:w="320" w:type="dxa"/>
            <w:vAlign w:val="bottom"/>
          </w:tcPr>
          <w:p>
            <w:pPr>
              <w:spacing w:after="0"/>
              <w:rPr>
                <w:sz w:val="19"/>
                <w:szCs w:val="19"/>
                <w:color w:val="auto"/>
              </w:rPr>
            </w:pPr>
          </w:p>
        </w:tc>
        <w:tc>
          <w:tcPr>
            <w:tcW w:w="660" w:type="dxa"/>
            <w:vAlign w:val="bottom"/>
            <w:gridSpan w:val="2"/>
          </w:tcPr>
          <w:p>
            <w:pPr>
              <w:jc w:val="center"/>
              <w:ind w:left="13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8.2</w:t>
            </w:r>
          </w:p>
        </w:tc>
        <w:tc>
          <w:tcPr>
            <w:tcW w:w="340" w:type="dxa"/>
            <w:vAlign w:val="bottom"/>
          </w:tcPr>
          <w:p>
            <w:pPr>
              <w:spacing w:after="0"/>
              <w:rPr>
                <w:sz w:val="19"/>
                <w:szCs w:val="19"/>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rPr>
              <w:t>60.2</w:t>
            </w:r>
          </w:p>
        </w:tc>
        <w:tc>
          <w:tcPr>
            <w:tcW w:w="300" w:type="dxa"/>
            <w:vAlign w:val="bottom"/>
          </w:tcPr>
          <w:p>
            <w:pPr>
              <w:spacing w:after="0"/>
              <w:rPr>
                <w:sz w:val="19"/>
                <w:szCs w:val="19"/>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w w:val="95"/>
              </w:rPr>
              <w:t>9.7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Other Women's Health*</w:t>
            </w:r>
          </w:p>
        </w:tc>
        <w:tc>
          <w:tcPr>
            <w:tcW w:w="6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96</w:t>
            </w:r>
          </w:p>
        </w:tc>
        <w:tc>
          <w:tcPr>
            <w:tcW w:w="34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w:t>
            </w:r>
          </w:p>
        </w:tc>
        <w:tc>
          <w:tcPr>
            <w:tcW w:w="28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101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&gt;100.0</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rPr>
              <w:t>(27.4)</w:t>
            </w:r>
          </w:p>
        </w:tc>
        <w:tc>
          <w:tcPr>
            <w:tcW w:w="920" w:type="dxa"/>
            <w:vAlign w:val="bottom"/>
            <w:gridSpan w:val="3"/>
          </w:tcPr>
          <w:p>
            <w:pPr>
              <w:jc w:val="center"/>
              <w:ind w:right="40"/>
              <w:spacing w:after="0"/>
              <w:rPr>
                <w:sz w:val="20"/>
                <w:szCs w:val="20"/>
                <w:color w:val="auto"/>
              </w:rPr>
            </w:pPr>
            <w:r>
              <w:rPr>
                <w:rFonts w:ascii="Arial" w:cs="Arial" w:eastAsia="Arial" w:hAnsi="Arial"/>
                <w:sz w:val="18"/>
                <w:szCs w:val="18"/>
                <w:color w:val="auto"/>
              </w:rPr>
              <w:t>(39.0)</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(28.0)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600" w:type="dxa"/>
            <w:vAlign w:val="bottom"/>
          </w:tcPr>
          <w:p>
            <w:pPr>
              <w:spacing w:after="0"/>
              <w:rPr>
                <w:sz w:val="20"/>
                <w:szCs w:val="20"/>
                <w:color w:val="auto"/>
              </w:rPr>
            </w:pPr>
            <w:r>
              <w:rPr>
                <w:rFonts w:ascii="Arial" w:cs="Arial" w:eastAsia="Arial" w:hAnsi="Arial"/>
                <w:sz w:val="18"/>
                <w:szCs w:val="18"/>
                <w:b w:val="1"/>
                <w:bCs w:val="1"/>
                <w:color w:val="auto"/>
              </w:rPr>
              <w:t>Other Key Products</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2,108</w:t>
            </w:r>
          </w:p>
        </w:tc>
        <w:tc>
          <w:tcPr>
            <w:tcW w:w="6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9"/>
              </w:rPr>
              <w:t>587</w:t>
            </w:r>
          </w:p>
        </w:tc>
        <w:tc>
          <w:tcPr>
            <w:tcW w:w="280" w:type="dxa"/>
            <w:vAlign w:val="bottom"/>
          </w:tcPr>
          <w:p>
            <w:pPr>
              <w:spacing w:after="0"/>
              <w:rPr>
                <w:sz w:val="24"/>
                <w:szCs w:val="24"/>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2,695</w:t>
            </w:r>
          </w:p>
        </w:tc>
        <w:tc>
          <w:tcPr>
            <w:tcW w:w="20" w:type="dxa"/>
            <w:vAlign w:val="bottom"/>
            <w:shd w:val="clear" w:color="auto" w:fill="000000"/>
          </w:tcPr>
          <w:p>
            <w:pPr>
              <w:spacing w:after="0"/>
              <w:rPr>
                <w:sz w:val="24"/>
                <w:szCs w:val="24"/>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6"/>
              </w:rPr>
              <w:t>17.8</w:t>
            </w:r>
          </w:p>
        </w:tc>
        <w:tc>
          <w:tcPr>
            <w:tcW w:w="1040" w:type="dxa"/>
            <w:vAlign w:val="bottom"/>
            <w:gridSpan w:val="3"/>
          </w:tcPr>
          <w:p>
            <w:pPr>
              <w:jc w:val="center"/>
              <w:spacing w:after="0"/>
              <w:rPr>
                <w:sz w:val="20"/>
                <w:szCs w:val="20"/>
                <w:color w:val="auto"/>
              </w:rPr>
            </w:pPr>
            <w:r>
              <w:rPr>
                <w:rFonts w:ascii="Arial" w:cs="Arial" w:eastAsia="Arial" w:hAnsi="Arial"/>
                <w:sz w:val="18"/>
                <w:szCs w:val="18"/>
                <w:b w:val="1"/>
                <w:bCs w:val="1"/>
                <w:color w:val="auto"/>
              </w:rPr>
              <w:t>(7.3)</w:t>
            </w:r>
          </w:p>
        </w:tc>
        <w:tc>
          <w:tcPr>
            <w:tcW w:w="6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rPr>
              <w:t>11.2</w:t>
            </w:r>
          </w:p>
        </w:tc>
        <w:tc>
          <w:tcPr>
            <w:tcW w:w="2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5"/>
              </w:rPr>
              <w:t>1.7</w:t>
            </w:r>
          </w:p>
        </w:tc>
        <w:tc>
          <w:tcPr>
            <w:tcW w:w="340" w:type="dxa"/>
            <w:vAlign w:val="bottom"/>
          </w:tcPr>
          <w:p>
            <w:pPr>
              <w:spacing w:after="0"/>
              <w:rPr>
                <w:sz w:val="24"/>
                <w:szCs w:val="24"/>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rPr>
              <w:t>(13.7)</w:t>
            </w:r>
          </w:p>
        </w:tc>
        <w:tc>
          <w:tcPr>
            <w:tcW w:w="68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7"/>
              </w:rPr>
              <w:t>(1.9)</w:t>
            </w:r>
          </w:p>
        </w:tc>
        <w:tc>
          <w:tcPr>
            <w:tcW w:w="2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Mavyret</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374</w:t>
            </w:r>
          </w:p>
        </w:tc>
        <w:tc>
          <w:tcPr>
            <w:tcW w:w="34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483</w:t>
            </w:r>
          </w:p>
        </w:tc>
        <w:tc>
          <w:tcPr>
            <w:tcW w:w="28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857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rPr>
              <w:t>(1.9)</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97"/>
              </w:rPr>
              <w:t>(12.9)</w:t>
            </w:r>
          </w:p>
        </w:tc>
        <w:tc>
          <w:tcPr>
            <w:tcW w:w="66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(8.4)</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w w:val="97"/>
              </w:rPr>
              <w:t>(1.9)</w:t>
            </w:r>
          </w:p>
        </w:tc>
        <w:tc>
          <w:tcPr>
            <w:tcW w:w="920" w:type="dxa"/>
            <w:vAlign w:val="bottom"/>
            <w:gridSpan w:val="3"/>
          </w:tcPr>
          <w:p>
            <w:pPr>
              <w:jc w:val="center"/>
              <w:ind w:right="40"/>
              <w:spacing w:after="0"/>
              <w:rPr>
                <w:sz w:val="20"/>
                <w:szCs w:val="20"/>
                <w:color w:val="auto"/>
              </w:rPr>
            </w:pPr>
            <w:r>
              <w:rPr>
                <w:rFonts w:ascii="Arial" w:cs="Arial" w:eastAsia="Arial" w:hAnsi="Arial"/>
                <w:sz w:val="18"/>
                <w:szCs w:val="18"/>
                <w:color w:val="auto"/>
              </w:rPr>
              <w:t>(17.9)</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(11.4)</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Creon</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554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554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80" w:type="dxa"/>
            <w:vAlign w:val="bottom"/>
            <w:gridSpan w:val="3"/>
          </w:tcPr>
          <w:p>
            <w:pPr>
              <w:jc w:val="center"/>
              <w:ind w:left="25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4.8</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4.8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n/a</w:t>
            </w: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w w:val="95"/>
              </w:rPr>
              <w:t>4.8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0"/>
              <w:spacing w:after="0"/>
              <w:rPr>
                <w:sz w:val="20"/>
                <w:szCs w:val="20"/>
                <w:color w:val="auto"/>
              </w:rPr>
            </w:pPr>
            <w:r>
              <w:rPr>
                <w:rFonts w:ascii="Arial" w:cs="Arial" w:eastAsia="Arial" w:hAnsi="Arial"/>
                <w:sz w:val="18"/>
                <w:szCs w:val="18"/>
                <w:color w:val="auto"/>
              </w:rPr>
              <w:t>Lupron</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322</w:t>
            </w:r>
          </w:p>
        </w:tc>
        <w:tc>
          <w:tcPr>
            <w:tcW w:w="340" w:type="dxa"/>
            <w:vAlign w:val="bottom"/>
          </w:tcPr>
          <w:p>
            <w:pPr>
              <w:spacing w:after="0"/>
              <w:rPr>
                <w:sz w:val="19"/>
                <w:szCs w:val="19"/>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89</w:t>
            </w:r>
          </w:p>
        </w:tc>
        <w:tc>
          <w:tcPr>
            <w:tcW w:w="28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411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(11.2)</w:t>
            </w:r>
          </w:p>
        </w:tc>
        <w:tc>
          <w:tcPr>
            <w:tcW w:w="720" w:type="dxa"/>
            <w:vAlign w:val="bottom"/>
            <w:gridSpan w:val="2"/>
          </w:tcPr>
          <w:p>
            <w:pPr>
              <w:jc w:val="center"/>
              <w:ind w:left="250"/>
              <w:spacing w:after="0"/>
              <w:rPr>
                <w:sz w:val="20"/>
                <w:szCs w:val="20"/>
                <w:color w:val="auto"/>
              </w:rPr>
            </w:pPr>
            <w:r>
              <w:rPr>
                <w:rFonts w:ascii="Arial" w:cs="Arial" w:eastAsia="Arial" w:hAnsi="Arial"/>
                <w:sz w:val="18"/>
                <w:szCs w:val="18"/>
                <w:color w:val="auto"/>
                <w:w w:val="96"/>
              </w:rPr>
              <w:t>17.3</w:t>
            </w:r>
          </w:p>
        </w:tc>
        <w:tc>
          <w:tcPr>
            <w:tcW w:w="320" w:type="dxa"/>
            <w:vAlign w:val="bottom"/>
          </w:tcPr>
          <w:p>
            <w:pPr>
              <w:spacing w:after="0"/>
              <w:rPr>
                <w:sz w:val="19"/>
                <w:szCs w:val="19"/>
                <w:color w:val="auto"/>
              </w:rPr>
            </w:pPr>
          </w:p>
        </w:tc>
        <w:tc>
          <w:tcPr>
            <w:tcW w:w="66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(6.3)</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rPr>
              <w:t>(11.2)</w:t>
            </w: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9"/>
                <w:szCs w:val="19"/>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w w:val="97"/>
              </w:rPr>
              <w:t>(7.1)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Linzess/Constella*</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475</w:t>
            </w:r>
          </w:p>
        </w:tc>
        <w:tc>
          <w:tcPr>
            <w:tcW w:w="340" w:type="dxa"/>
            <w:vAlign w:val="bottom"/>
          </w:tcPr>
          <w:p>
            <w:pPr>
              <w:spacing w:after="0"/>
              <w:rPr>
                <w:sz w:val="19"/>
                <w:szCs w:val="19"/>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15</w:t>
            </w:r>
          </w:p>
        </w:tc>
        <w:tc>
          <w:tcPr>
            <w:tcW w:w="280" w:type="dxa"/>
            <w:vAlign w:val="bottom"/>
          </w:tcPr>
          <w:p>
            <w:pPr>
              <w:spacing w:after="0"/>
              <w:rPr>
                <w:sz w:val="19"/>
                <w:szCs w:val="19"/>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490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w w:val="97"/>
              </w:rPr>
              <w:t>&gt;100.0</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rPr>
              <w:t>15.3</w:t>
            </w: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5"/>
              </w:rPr>
              <w:t>8.8</w:t>
            </w:r>
          </w:p>
        </w:tc>
        <w:tc>
          <w:tcPr>
            <w:tcW w:w="300" w:type="dxa"/>
            <w:vAlign w:val="bottom"/>
          </w:tcPr>
          <w:p>
            <w:pPr>
              <w:spacing w:after="0"/>
              <w:rPr>
                <w:sz w:val="19"/>
                <w:szCs w:val="19"/>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0"/>
              <w:spacing w:after="0"/>
              <w:rPr>
                <w:sz w:val="20"/>
                <w:szCs w:val="20"/>
                <w:color w:val="auto"/>
              </w:rPr>
            </w:pPr>
            <w:r>
              <w:rPr>
                <w:rFonts w:ascii="Arial" w:cs="Arial" w:eastAsia="Arial" w:hAnsi="Arial"/>
                <w:sz w:val="18"/>
                <w:szCs w:val="18"/>
                <w:color w:val="auto"/>
              </w:rPr>
              <w:t>Synthroid</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383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383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1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(1.2)</w:t>
            </w:r>
          </w:p>
        </w:tc>
        <w:tc>
          <w:tcPr>
            <w:tcW w:w="2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color w:val="auto"/>
                <w:w w:val="97"/>
              </w:rPr>
              <w:t>(1.2)</w:t>
            </w:r>
          </w:p>
        </w:tc>
        <w:tc>
          <w:tcPr>
            <w:tcW w:w="260" w:type="dxa"/>
            <w:vAlign w:val="bottom"/>
          </w:tcPr>
          <w:p>
            <w:pPr>
              <w:spacing w:after="0"/>
              <w:rPr>
                <w:sz w:val="19"/>
                <w:szCs w:val="19"/>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n/a</w:t>
            </w: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w w:val="97"/>
              </w:rPr>
              <w:t>(1.2)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72" w:right="300" w:hanging="172"/>
        <w:spacing w:after="0" w:line="258" w:lineRule="auto"/>
        <w:tabs>
          <w:tab w:leader="none" w:pos="88" w:val="left"/>
        </w:tabs>
        <w:numPr>
          <w:ilvl w:val="0"/>
          <w:numId w:val="11"/>
        </w:numPr>
        <w:rPr>
          <w:rFonts w:ascii="Arial" w:cs="Arial" w:eastAsia="Arial" w:hAnsi="Arial"/>
          <w:sz w:val="9"/>
          <w:szCs w:val="9"/>
          <w:color w:val="auto"/>
        </w:rPr>
      </w:pPr>
      <w:r>
        <w:rPr>
          <w:rFonts w:ascii="Arial" w:cs="Arial" w:eastAsia="Arial" w:hAnsi="Arial"/>
          <w:sz w:val="14"/>
          <w:szCs w:val="14"/>
          <w:color w:val="auto"/>
        </w:rPr>
        <w:t>"Comparable Operational" comparisons include full-period current year and prior year results for Allergan products, as if the acquisition closed on January 1, 2019, and are presented at constant currency rates that reflect comparative local currency net revenues at the prior year's foreign exchange rates.</w:t>
      </w:r>
    </w:p>
    <w:p>
      <w:pPr>
        <w:spacing w:after="0" w:line="72" w:lineRule="exact"/>
        <w:rPr>
          <w:sz w:val="20"/>
          <w:szCs w:val="20"/>
          <w:color w:val="auto"/>
        </w:rPr>
      </w:pPr>
    </w:p>
    <w:p>
      <w:pPr>
        <w:ind w:left="172" w:right="140" w:hanging="172"/>
        <w:spacing w:after="0" w:line="220" w:lineRule="auto"/>
        <w:tabs>
          <w:tab w:leader="none" w:pos="88"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All historically reported Allergan revenues have been recast to conform to AbbVie's revenue recognition accounting policies and reporting conventions for certain rebates and discounts. Historically reported Allergan revenues also exclude Zenpep and Viokace product revenues, which were both divested as part of the acquisition, as well as specified items.</w:t>
      </w:r>
    </w:p>
    <w:p>
      <w:pPr>
        <w:spacing w:after="0" w:line="85" w:lineRule="exact"/>
        <w:rPr>
          <w:sz w:val="20"/>
          <w:szCs w:val="20"/>
          <w:color w:val="auto"/>
        </w:rPr>
      </w:pPr>
    </w:p>
    <w:p>
      <w:pPr>
        <w:ind w:left="172" w:right="340" w:hanging="172"/>
        <w:spacing w:after="0" w:line="211" w:lineRule="auto"/>
        <w:tabs>
          <w:tab w:leader="none" w:pos="83"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Adjusted net revenues exclude specified items. Refer to the Reconciliation of GAAP Reported to Non-GAAP Adjusted Information for further details. Percentage change is calculated using adjusted net revenues.</w:t>
      </w:r>
    </w:p>
    <w:p>
      <w:pPr>
        <w:spacing w:after="0" w:line="71" w:lineRule="exact"/>
        <w:rPr>
          <w:sz w:val="20"/>
          <w:szCs w:val="20"/>
          <w:color w:val="auto"/>
        </w:rPr>
      </w:pPr>
    </w:p>
    <w:p>
      <w:pPr>
        <w:ind w:left="72" w:hanging="72"/>
        <w:spacing w:after="0"/>
        <w:tabs>
          <w:tab w:leader="none" w:pos="72" w:val="left"/>
        </w:tabs>
        <w:numPr>
          <w:ilvl w:val="0"/>
          <w:numId w:val="14"/>
        </w:numPr>
        <w:rPr>
          <w:rFonts w:ascii="Arial" w:cs="Arial" w:eastAsia="Arial" w:hAnsi="Arial"/>
          <w:sz w:val="9"/>
          <w:szCs w:val="9"/>
          <w:color w:val="auto"/>
        </w:rPr>
      </w:pPr>
      <w:r>
        <w:rPr>
          <w:rFonts w:ascii="Arial" w:cs="Arial" w:eastAsia="Arial" w:hAnsi="Arial"/>
          <w:sz w:val="14"/>
          <w:szCs w:val="14"/>
          <w:color w:val="auto"/>
        </w:rPr>
        <w:t>Reflects profit sharing for Imbruvica international revenues.</w:t>
      </w:r>
    </w:p>
    <w:p>
      <w:pPr>
        <w:spacing w:after="0" w:line="96" w:lineRule="exact"/>
        <w:rPr>
          <w:sz w:val="20"/>
          <w:szCs w:val="20"/>
          <w:color w:val="auto"/>
        </w:rPr>
      </w:pPr>
    </w:p>
    <w:p>
      <w:pPr>
        <w:ind w:left="-8" w:right="6920" w:firstLine="8"/>
        <w:spacing w:after="0" w:line="399" w:lineRule="auto"/>
        <w:tabs>
          <w:tab w:leader="none" w:pos="88"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product(s) acquired as part of the Allergan acquisition. n/a = not applicable</w:t>
      </w:r>
    </w:p>
    <w:p>
      <w:pPr>
        <w:sectPr>
          <w:pgSz w:w="11900" w:h="16838" w:orient="portrait"/>
          <w:cols w:equalWidth="0" w:num="1">
            <w:col w:w="11232"/>
          </w:cols>
          <w:pgMar w:left="328" w:top="890"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11132"/>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32"/>
          </w:cols>
          <w:pgMar w:left="328" w:top="890"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Earnings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 and Six Months Ended June 30, 2021 and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data)</w:t>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rPr>
              <w:t>Second Quarter</w:t>
            </w:r>
          </w:p>
        </w:tc>
        <w:tc>
          <w:tcPr>
            <w:tcW w:w="280" w:type="dxa"/>
            <w:vAlign w:val="bottom"/>
          </w:tcPr>
          <w:p>
            <w:pPr>
              <w:spacing w:after="0"/>
              <w:rPr>
                <w:sz w:val="17"/>
                <w:szCs w:val="17"/>
                <w:color w:val="auto"/>
              </w:rPr>
            </w:pPr>
          </w:p>
        </w:tc>
        <w:tc>
          <w:tcPr>
            <w:tcW w:w="23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rPr>
              <w:t>Ended June 30</w:t>
            </w:r>
          </w:p>
        </w:tc>
        <w:tc>
          <w:tcPr>
            <w:tcW w:w="280" w:type="dxa"/>
            <w:vAlign w:val="bottom"/>
          </w:tcPr>
          <w:p>
            <w:pPr>
              <w:spacing w:after="0"/>
              <w:rPr>
                <w:sz w:val="19"/>
                <w:szCs w:val="19"/>
                <w:color w:val="auto"/>
              </w:rPr>
            </w:pPr>
          </w:p>
        </w:tc>
        <w:tc>
          <w:tcPr>
            <w:tcW w:w="23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Net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13,959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10,425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26,969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19,044</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Cost of products sold</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5,222</w:t>
            </w: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Acquired in-process research and development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Other operating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14,689</w:t>
            </w:r>
          </w:p>
        </w:tc>
        <w:tc>
          <w:tcPr>
            <w:tcW w:w="0" w:type="dxa"/>
            <w:vAlign w:val="bottom"/>
          </w:tcPr>
          <w:p>
            <w:pPr>
              <w:spacing w:after="0"/>
              <w:rPr>
                <w:sz w:val="1"/>
                <w:szCs w:val="1"/>
                <w:color w:val="auto"/>
              </w:rPr>
            </w:pPr>
          </w:p>
        </w:tc>
      </w:tr>
      <w:tr>
        <w:trPr>
          <w:trHeight w:val="466"/>
        </w:trPr>
        <w:tc>
          <w:tcPr>
            <w:tcW w:w="5900" w:type="dxa"/>
            <w:vAlign w:val="bottom"/>
          </w:tcPr>
          <w:p>
            <w:pPr>
              <w:spacing w:after="0"/>
              <w:rPr>
                <w:sz w:val="20"/>
                <w:szCs w:val="20"/>
                <w:color w:val="auto"/>
              </w:rPr>
            </w:pPr>
            <w:r>
              <w:rPr>
                <w:rFonts w:ascii="Arial" w:cs="Arial" w:eastAsia="Arial" w:hAnsi="Arial"/>
                <w:sz w:val="18"/>
                <w:szCs w:val="18"/>
                <w:color w:val="auto"/>
              </w:rPr>
              <w:t>Operating earnings</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8,544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486"/>
        </w:trPr>
        <w:tc>
          <w:tcPr>
            <w:tcW w:w="5900" w:type="dxa"/>
            <w:vAlign w:val="bottom"/>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Net foreign exchange loss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Earnings (loss) before income tax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Net earnings (loss)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Net earnings (loss) attributable to noncontrolling interest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Net earnings (loss) attributable to AbbVie Inc.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900" w:type="dxa"/>
            <w:vAlign w:val="bottom"/>
          </w:tcPr>
          <w:p>
            <w:pPr>
              <w:spacing w:after="0"/>
              <w:rPr>
                <w:sz w:val="20"/>
                <w:szCs w:val="20"/>
                <w:color w:val="auto"/>
              </w:rPr>
            </w:pPr>
            <w:r>
              <w:rPr>
                <w:rFonts w:ascii="Arial" w:cs="Arial" w:eastAsia="Arial" w:hAnsi="Arial"/>
                <w:sz w:val="18"/>
                <w:szCs w:val="18"/>
                <w:color w:val="auto"/>
              </w:rPr>
              <w:t>Diluted earnings (loss) per share attributable to AbbVie Inc.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900" w:type="dxa"/>
            <w:vAlign w:val="bottom"/>
          </w:tcPr>
          <w:p>
            <w:pPr>
              <w:spacing w:after="0"/>
              <w:rPr>
                <w:sz w:val="20"/>
                <w:szCs w:val="20"/>
                <w:color w:val="auto"/>
              </w:rPr>
            </w:pPr>
            <w:r>
              <w:rPr>
                <w:rFonts w:ascii="Arial" w:cs="Arial" w:eastAsia="Arial" w:hAnsi="Arial"/>
                <w:sz w:val="18"/>
                <w:szCs w:val="18"/>
                <w:color w:val="auto"/>
              </w:rPr>
              <w:t>Weighted-average diluted shares outstanding</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486"/>
        </w:trPr>
        <w:tc>
          <w:tcPr>
            <w:tcW w:w="5900" w:type="dxa"/>
            <w:vAlign w:val="bottom"/>
          </w:tcPr>
          <w:p>
            <w:pPr>
              <w:spacing w:after="0"/>
              <w:rPr>
                <w:sz w:val="20"/>
                <w:szCs w:val="20"/>
                <w:color w:val="auto"/>
              </w:rPr>
            </w:pPr>
            <w:r>
              <w:rPr>
                <w:rFonts w:ascii="Arial" w:cs="Arial" w:eastAsia="Arial" w:hAnsi="Arial"/>
                <w:sz w:val="18"/>
                <w:szCs w:val="18"/>
                <w:color w:val="auto"/>
              </w:rPr>
              <w:t>Adjusted diluted earnings per share</w:t>
            </w:r>
            <w:r>
              <w:rPr>
                <w:rFonts w:ascii="Arial" w:cs="Arial" w:eastAsia="Arial" w:hAnsi="Arial"/>
                <w:sz w:val="23"/>
                <w:szCs w:val="23"/>
                <w:color w:val="auto"/>
                <w:vertAlign w:val="superscript"/>
              </w:rPr>
              <w:t>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
        </w:trPr>
        <w:tc>
          <w:tcPr>
            <w:tcW w:w="5900" w:type="dxa"/>
            <w:vAlign w:val="bottom"/>
            <w:vMerge w:val="restart"/>
          </w:tcPr>
          <w:p>
            <w:pPr>
              <w:spacing w:after="0"/>
              <w:rPr>
                <w:sz w:val="20"/>
                <w:szCs w:val="20"/>
                <w:color w:val="auto"/>
              </w:rPr>
            </w:pPr>
            <w:r>
              <w:rPr>
                <w:rFonts w:ascii="Arial" w:cs="Arial" w:eastAsia="Arial" w:hAnsi="Arial"/>
                <w:sz w:val="18"/>
                <w:szCs w:val="18"/>
                <w:color w:val="auto"/>
              </w:rPr>
              <w:t>Adjusted weighted-average diluted shares outstanding</w:t>
            </w:r>
            <w:r>
              <w:rPr>
                <w:rFonts w:ascii="Arial" w:cs="Arial" w:eastAsia="Arial" w:hAnsi="Arial"/>
                <w:sz w:val="23"/>
                <w:szCs w:val="23"/>
                <w:color w:val="auto"/>
                <w:vertAlign w:val="superscript"/>
              </w:rPr>
              <w:t>a</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5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180" w:right="60" w:hanging="172"/>
        <w:spacing w:after="0" w:line="249" w:lineRule="auto"/>
        <w:tabs>
          <w:tab w:leader="none" w:pos="270" w:val="left"/>
        </w:tabs>
        <w:numPr>
          <w:ilvl w:val="0"/>
          <w:numId w:val="16"/>
        </w:numPr>
        <w:rPr>
          <w:rFonts w:ascii="Arial" w:cs="Arial" w:eastAsia="Arial" w:hAnsi="Arial"/>
          <w:sz w:val="9"/>
          <w:szCs w:val="9"/>
          <w:color w:val="auto"/>
        </w:rPr>
      </w:pPr>
      <w:r>
        <w:rPr>
          <w:rFonts w:ascii="Arial" w:cs="Arial" w:eastAsia="Arial" w:hAnsi="Arial"/>
          <w:sz w:val="14"/>
          <w:szCs w:val="14"/>
          <w:color w:val="auto"/>
        </w:rPr>
        <w:t>Refer to the Reconciliation of GAAP Reported to Non-GAAP Adjusted Information for further details. Weighted-average diluted shares outstanding includes the effect of dilutive securities. Due to the GAAP net loss in the second quarter ended June 30, 2020, certain shares issuable under stock-based compensation plans that were dilutive on a non-GAAP basis were excluded from the computation of GAAP diluted EPS because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89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Reported to Non-GAAP Adjusted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 Ended 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80" w:type="dxa"/>
            <w:vAlign w:val="bottom"/>
          </w:tcPr>
          <w:p>
            <w:pPr>
              <w:spacing w:after="0"/>
              <w:rPr>
                <w:sz w:val="20"/>
                <w:szCs w:val="20"/>
                <w:color w:val="auto"/>
              </w:rPr>
            </w:pPr>
            <w:r>
              <w:rPr>
                <w:rFonts w:ascii="Arial" w:cs="Arial" w:eastAsia="Arial" w:hAnsi="Arial"/>
                <w:sz w:val="18"/>
                <w:szCs w:val="18"/>
                <w:color w:val="auto"/>
              </w:rPr>
              <w:t>1.   Specified items impacted results as follows: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6"/>
        </w:trPr>
        <w:tc>
          <w:tcPr>
            <w:tcW w:w="66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2Q21</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r>
      <w:tr>
        <w:trPr>
          <w:trHeight w:val="223"/>
        </w:trPr>
        <w:tc>
          <w:tcPr>
            <w:tcW w:w="6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Diluted</w:t>
            </w:r>
          </w:p>
        </w:tc>
      </w:tr>
      <w:tr>
        <w:trPr>
          <w:trHeight w:val="223"/>
        </w:trPr>
        <w:tc>
          <w:tcPr>
            <w:tcW w:w="6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Pre-tax</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line="223" w:lineRule="exact"/>
              <w:rPr>
                <w:sz w:val="20"/>
                <w:szCs w:val="20"/>
                <w:color w:val="auto"/>
              </w:rPr>
            </w:pPr>
            <w:r>
              <w:rPr>
                <w:rFonts w:ascii="Arial" w:cs="Arial" w:eastAsia="Arial" w:hAnsi="Arial"/>
                <w:sz w:val="18"/>
                <w:szCs w:val="18"/>
                <w:color w:val="auto"/>
                <w:w w:val="99"/>
              </w:rPr>
              <w:t>After-tax</w:t>
            </w:r>
            <w:r>
              <w:rPr>
                <w:rFonts w:ascii="Arial" w:cs="Arial" w:eastAsia="Arial" w:hAnsi="Arial"/>
                <w:sz w:val="23"/>
                <w:szCs w:val="23"/>
                <w:color w:val="auto"/>
                <w:w w:val="99"/>
                <w:vertAlign w:val="superscript"/>
              </w:rPr>
              <w:t>a</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EPS</w:t>
            </w:r>
          </w:p>
        </w:tc>
      </w:tr>
      <w:tr>
        <w:trPr>
          <w:trHeight w:val="232"/>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As reported (GAAP)</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1,163</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766</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0.42</w:t>
            </w:r>
          </w:p>
        </w:tc>
      </w:tr>
      <w:tr>
        <w:trPr>
          <w:trHeight w:val="220"/>
        </w:trPr>
        <w:tc>
          <w:tcPr>
            <w:tcW w:w="6680" w:type="dxa"/>
            <w:vAlign w:val="bottom"/>
          </w:tcPr>
          <w:p>
            <w:pPr>
              <w:ind w:left="20"/>
              <w:spacing w:after="0"/>
              <w:rPr>
                <w:sz w:val="20"/>
                <w:szCs w:val="20"/>
                <w:color w:val="auto"/>
              </w:rPr>
            </w:pPr>
            <w:r>
              <w:rPr>
                <w:rFonts w:ascii="Arial" w:cs="Arial" w:eastAsia="Arial" w:hAnsi="Arial"/>
                <w:sz w:val="18"/>
                <w:szCs w:val="18"/>
                <w:color w:val="auto"/>
              </w:rPr>
              <w:t>Adjusted for specified items: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1,999</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1,662</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0.95</w:t>
            </w: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Acquisition and integration costs</w:t>
            </w: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Milestones and other R&amp;D expenses</w:t>
            </w: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Acquired IPR&amp;D</w:t>
            </w: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2,692</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2,690</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Litigation matters</w:t>
            </w: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As adjusted (non-GAAP)</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6,358</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5,556</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w:t>
            </w:r>
          </w:p>
        </w:tc>
      </w:tr>
      <w:tr>
        <w:trPr>
          <w:trHeight w:val="20"/>
        </w:trPr>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Represents net earnings attributable to AbbVie Inc.</w:t>
      </w:r>
    </w:p>
    <w:p>
      <w:pPr>
        <w:spacing w:after="0" w:line="16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Acquisition and integration costs reflect Allergan-related integration costs. Milestones and other R&amp;D expenses include milestone payments for previously announced collaborations and the purchase of an FDA priority review voucher from a third party. Acquired IPR&amp;D primarily reflects upfront payments related to R&amp;D collaborations and licensing arrangements with third parties. Other primarily includes restructuring charges associated with streamlining global operations and COVID-19 related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2. The impact of the specified items by line item was as follows: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2Q21</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8"/>
              </w:rPr>
              <w:t>Cost of</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7"/>
              </w:rPr>
              <w:t>Other</w:t>
            </w:r>
          </w:p>
        </w:tc>
        <w:tc>
          <w:tcPr>
            <w:tcW w:w="200" w:type="dxa"/>
            <w:vAlign w:val="bottom"/>
          </w:tcPr>
          <w:p>
            <w:pPr>
              <w:spacing w:after="0"/>
              <w:rPr>
                <w:sz w:val="15"/>
                <w:szCs w:val="15"/>
                <w:color w:val="auto"/>
              </w:rPr>
            </w:pPr>
          </w:p>
        </w:tc>
        <w:tc>
          <w:tcPr>
            <w:tcW w:w="900" w:type="dxa"/>
            <w:vAlign w:val="bottom"/>
          </w:tcPr>
          <w:p>
            <w:pPr>
              <w:jc w:val="center"/>
              <w:ind w:right="50"/>
              <w:spacing w:after="0" w:line="182" w:lineRule="exact"/>
              <w:rPr>
                <w:sz w:val="20"/>
                <w:szCs w:val="20"/>
                <w:color w:val="auto"/>
              </w:rPr>
            </w:pPr>
            <w:r>
              <w:rPr>
                <w:rFonts w:ascii="Arial" w:cs="Arial" w:eastAsia="Arial" w:hAnsi="Arial"/>
                <w:sz w:val="18"/>
                <w:szCs w:val="18"/>
                <w:color w:val="auto"/>
                <w:w w:val="97"/>
              </w:rPr>
              <w:t>Other</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8"/>
              </w:rPr>
              <w:t>products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Acquired</w:t>
            </w:r>
          </w:p>
        </w:tc>
        <w:tc>
          <w:tcPr>
            <w:tcW w:w="180" w:type="dxa"/>
            <w:vAlign w:val="bottom"/>
          </w:tcPr>
          <w:p>
            <w:pPr>
              <w:spacing w:after="0"/>
              <w:rPr>
                <w:sz w:val="15"/>
                <w:szCs w:val="15"/>
                <w:color w:val="auto"/>
              </w:rPr>
            </w:pPr>
          </w:p>
        </w:tc>
        <w:tc>
          <w:tcPr>
            <w:tcW w:w="980" w:type="dxa"/>
            <w:vAlign w:val="bottom"/>
          </w:tcPr>
          <w:p>
            <w:pPr>
              <w:jc w:val="center"/>
              <w:ind w:right="90"/>
              <w:spacing w:after="0" w:line="176" w:lineRule="exact"/>
              <w:rPr>
                <w:sz w:val="20"/>
                <w:szCs w:val="20"/>
                <w:color w:val="auto"/>
              </w:rPr>
            </w:pPr>
            <w:r>
              <w:rPr>
                <w:rFonts w:ascii="Arial" w:cs="Arial" w:eastAsia="Arial" w:hAnsi="Arial"/>
                <w:sz w:val="18"/>
                <w:szCs w:val="18"/>
                <w:color w:val="auto"/>
              </w:rPr>
              <w:t>operating</w:t>
            </w:r>
          </w:p>
        </w:tc>
        <w:tc>
          <w:tcPr>
            <w:tcW w:w="200" w:type="dxa"/>
            <w:vAlign w:val="bottom"/>
          </w:tcPr>
          <w:p>
            <w:pPr>
              <w:spacing w:after="0"/>
              <w:rPr>
                <w:sz w:val="15"/>
                <w:szCs w:val="15"/>
                <w:color w:val="auto"/>
              </w:rPr>
            </w:pPr>
          </w:p>
        </w:tc>
        <w:tc>
          <w:tcPr>
            <w:tcW w:w="90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8"/>
              </w:rPr>
              <w:t>expense,</w:t>
            </w:r>
          </w:p>
        </w:tc>
        <w:tc>
          <w:tcPr>
            <w:tcW w:w="0" w:type="dxa"/>
            <w:vAlign w:val="bottom"/>
          </w:tcPr>
          <w:p>
            <w:pPr>
              <w:spacing w:after="0"/>
              <w:rPr>
                <w:sz w:val="1"/>
                <w:szCs w:val="1"/>
                <w:color w:val="auto"/>
              </w:rPr>
            </w:pPr>
          </w:p>
        </w:tc>
      </w:tr>
      <w:tr>
        <w:trPr>
          <w:trHeight w:val="217"/>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As reported (GAAP)</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6"/>
              </w:rPr>
              <w:t>sold</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SG&amp;A</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R&amp;D</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IPR&amp;D</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income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5"/>
              </w:rPr>
              <w:t>net</w:t>
            </w:r>
          </w:p>
        </w:tc>
        <w:tc>
          <w:tcPr>
            <w:tcW w:w="0" w:type="dxa"/>
            <w:vAlign w:val="bottom"/>
          </w:tcPr>
          <w:p>
            <w:pPr>
              <w:spacing w:after="0"/>
              <w:rPr>
                <w:sz w:val="1"/>
                <w:szCs w:val="1"/>
                <w:color w:val="auto"/>
              </w:rPr>
            </w:pPr>
          </w:p>
        </w:tc>
      </w:tr>
      <w:tr>
        <w:trPr>
          <w:trHeight w:val="232"/>
        </w:trPr>
        <w:tc>
          <w:tcPr>
            <w:tcW w:w="43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4,523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3,164</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1,802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97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2,658</w:t>
            </w:r>
          </w:p>
        </w:tc>
        <w:tc>
          <w:tcPr>
            <w:tcW w:w="0" w:type="dxa"/>
            <w:vAlign w:val="bottom"/>
          </w:tcPr>
          <w:p>
            <w:pPr>
              <w:spacing w:after="0"/>
              <w:rPr>
                <w:sz w:val="1"/>
                <w:szCs w:val="1"/>
                <w:color w:val="auto"/>
              </w:rPr>
            </w:pPr>
          </w:p>
        </w:tc>
      </w:tr>
      <w:tr>
        <w:trPr>
          <w:trHeight w:val="220"/>
        </w:trPr>
        <w:tc>
          <w:tcPr>
            <w:tcW w:w="4320" w:type="dxa"/>
            <w:vAlign w:val="bottom"/>
          </w:tcPr>
          <w:p>
            <w:pPr>
              <w:spacing w:after="0"/>
              <w:rPr>
                <w:sz w:val="20"/>
                <w:szCs w:val="20"/>
                <w:color w:val="auto"/>
              </w:rPr>
            </w:pPr>
            <w:r>
              <w:rPr>
                <w:rFonts w:ascii="Arial" w:cs="Arial" w:eastAsia="Arial" w:hAnsi="Arial"/>
                <w:sz w:val="18"/>
                <w:szCs w:val="18"/>
                <w:color w:val="auto"/>
              </w:rPr>
              <w:t>Adjusted for specified items: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Arial" w:cs="Arial" w:eastAsia="Arial" w:hAnsi="Arial"/>
                <w:sz w:val="18"/>
                <w:szCs w:val="18"/>
                <w:color w:val="auto"/>
              </w:rPr>
              <w:t>Intangible asset amortization</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(1,999)</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tcPr>
          <w:p>
            <w:pPr>
              <w:ind w:left="120"/>
              <w:spacing w:after="0"/>
              <w:rPr>
                <w:sz w:val="20"/>
                <w:szCs w:val="20"/>
                <w:color w:val="auto"/>
              </w:rPr>
            </w:pPr>
            <w:r>
              <w:rPr>
                <w:rFonts w:ascii="Arial" w:cs="Arial" w:eastAsia="Arial" w:hAnsi="Arial"/>
                <w:sz w:val="18"/>
                <w:szCs w:val="18"/>
                <w:color w:val="auto"/>
              </w:rPr>
              <w:t>Acquisition and integration costs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tcPr>
          <w:p>
            <w:pPr>
              <w:ind w:left="120"/>
              <w:spacing w:after="0"/>
              <w:rPr>
                <w:sz w:val="20"/>
                <w:szCs w:val="20"/>
                <w:color w:val="auto"/>
              </w:rPr>
            </w:pPr>
            <w:r>
              <w:rPr>
                <w:rFonts w:ascii="Arial" w:cs="Arial" w:eastAsia="Arial" w:hAnsi="Arial"/>
                <w:sz w:val="18"/>
                <w:szCs w:val="18"/>
                <w:color w:val="auto"/>
              </w:rPr>
              <w:t>Milestones and other R&amp;D expenses</w:t>
            </w:r>
          </w:p>
        </w:tc>
        <w:tc>
          <w:tcPr>
            <w:tcW w:w="1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tcPr>
          <w:p>
            <w:pPr>
              <w:ind w:left="120"/>
              <w:spacing w:after="0"/>
              <w:rPr>
                <w:sz w:val="20"/>
                <w:szCs w:val="20"/>
                <w:color w:val="auto"/>
              </w:rPr>
            </w:pPr>
            <w:r>
              <w:rPr>
                <w:rFonts w:ascii="Arial" w:cs="Arial" w:eastAsia="Arial" w:hAnsi="Arial"/>
                <w:sz w:val="18"/>
                <w:szCs w:val="18"/>
                <w:color w:val="auto"/>
              </w:rPr>
              <w:t>Acquired IPR&amp;D</w:t>
            </w:r>
          </w:p>
        </w:tc>
        <w:tc>
          <w:tcPr>
            <w:tcW w:w="1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30"/>
        </w:trPr>
        <w:tc>
          <w:tcPr>
            <w:tcW w:w="4320" w:type="dxa"/>
            <w:vAlign w:val="bottom"/>
          </w:tcPr>
          <w:p>
            <w:pPr>
              <w:ind w:left="120"/>
              <w:spacing w:after="0"/>
              <w:rPr>
                <w:sz w:val="20"/>
                <w:szCs w:val="20"/>
                <w:color w:val="auto"/>
              </w:rPr>
            </w:pPr>
            <w:r>
              <w:rPr>
                <w:rFonts w:ascii="Arial" w:cs="Arial" w:eastAsia="Arial" w:hAnsi="Arial"/>
                <w:sz w:val="18"/>
                <w:szCs w:val="18"/>
                <w:color w:val="auto"/>
              </w:rPr>
              <w:t>Litigation matters</w:t>
            </w:r>
          </w:p>
        </w:tc>
        <w:tc>
          <w:tcPr>
            <w:tcW w:w="1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2,479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2,953</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3. The adjusted tax rate for the second quarter of 2021 was 12.6 percent, as detailed below:</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5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2Q21</w:t>
            </w:r>
          </w:p>
        </w:tc>
        <w:tc>
          <w:tcPr>
            <w:tcW w:w="1440" w:type="dxa"/>
            <w:vAlign w:val="bottom"/>
            <w:tcBorders>
              <w:bottom w:val="single" w:sz="8" w:color="auto"/>
            </w:tcBorders>
          </w:tcPr>
          <w:p>
            <w:pPr>
              <w:spacing w:after="0"/>
              <w:rPr>
                <w:sz w:val="20"/>
                <w:szCs w:val="20"/>
                <w:color w:val="auto"/>
              </w:rPr>
            </w:pPr>
          </w:p>
        </w:tc>
      </w:tr>
      <w:tr>
        <w:trPr>
          <w:trHeight w:val="223"/>
        </w:trPr>
        <w:tc>
          <w:tcPr>
            <w:tcW w:w="6540" w:type="dxa"/>
            <w:vAlign w:val="bottom"/>
          </w:tcPr>
          <w:p>
            <w:pPr>
              <w:spacing w:after="0"/>
              <w:rPr>
                <w:sz w:val="19"/>
                <w:szCs w:val="19"/>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Pre-tax earnings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Income taxes</w:t>
            </w: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Tax rate</w:t>
            </w:r>
          </w:p>
        </w:tc>
      </w:tr>
      <w:tr>
        <w:trPr>
          <w:trHeight w:val="232"/>
        </w:trPr>
        <w:tc>
          <w:tcPr>
            <w:tcW w:w="654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1,163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394</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33.8 %</w:t>
            </w:r>
          </w:p>
        </w:tc>
      </w:tr>
      <w:tr>
        <w:trPr>
          <w:trHeight w:val="220"/>
        </w:trPr>
        <w:tc>
          <w:tcPr>
            <w:tcW w:w="6540" w:type="dxa"/>
            <w:vAlign w:val="bottom"/>
          </w:tcPr>
          <w:p>
            <w:pPr>
              <w:spacing w:after="0"/>
              <w:rPr>
                <w:sz w:val="20"/>
                <w:szCs w:val="20"/>
                <w:color w:val="auto"/>
              </w:rPr>
            </w:pPr>
            <w:r>
              <w:rPr>
                <w:rFonts w:ascii="Arial" w:cs="Arial" w:eastAsia="Arial" w:hAnsi="Arial"/>
                <w:sz w:val="18"/>
                <w:szCs w:val="18"/>
                <w:color w:val="auto"/>
              </w:rPr>
              <w:t>Specified items</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5,195</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405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7.8 %</w:t>
            </w: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799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12.6 %</w:t>
            </w:r>
          </w:p>
        </w:tc>
      </w:tr>
      <w:tr>
        <w:trPr>
          <w:trHeight w:val="20"/>
        </w:trPr>
        <w:tc>
          <w:tcPr>
            <w:tcW w:w="6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066"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Reconciliation of GAAP Reported to Non-GAAP Adjusted Information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Quarter Ended June 30, 2020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 (In millions, except per share data)</w:t>
      </w:r>
    </w:p>
    <w:p>
      <w:pPr>
        <w:sectPr>
          <w:pgSz w:w="11900" w:h="16838" w:orient="portrait"/>
          <w:cols w:equalWidth="0" w:num="1">
            <w:col w:w="11240"/>
          </w:cols>
          <w:pgMar w:left="320" w:top="890" w:right="339" w:bottom="1440" w:gutter="0" w:footer="0" w:header="0"/>
        </w:sectPr>
      </w:pPr>
    </w:p>
    <w:p>
      <w:pPr>
        <w:spacing w:after="0" w:line="117"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Specified items impacted results as follows: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reported (GAAP)</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for specified items: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 asset amortization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Acquisition and integration costs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Milestones and other R&amp;D expenses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Acquired IPR&amp;D</w:t>
      </w:r>
    </w:p>
    <w:p>
      <w:pPr>
        <w:spacing w:after="0" w:line="23" w:lineRule="exact"/>
        <w:rPr>
          <w:sz w:val="20"/>
          <w:szCs w:val="20"/>
          <w:color w:val="auto"/>
        </w:rPr>
      </w:pPr>
    </w:p>
    <w:p>
      <w:pPr>
        <w:ind w:left="140" w:right="2000"/>
        <w:spacing w:after="0" w:line="261" w:lineRule="auto"/>
        <w:rPr>
          <w:sz w:val="20"/>
          <w:szCs w:val="20"/>
          <w:color w:val="auto"/>
        </w:rPr>
      </w:pPr>
      <w:r>
        <w:rPr>
          <w:rFonts w:ascii="Arial" w:cs="Arial" w:eastAsia="Arial" w:hAnsi="Arial"/>
          <w:sz w:val="18"/>
          <w:szCs w:val="18"/>
          <w:color w:val="auto"/>
        </w:rPr>
        <w:t>Change in fair value of contingent consideration Other</w:t>
      </w:r>
    </w:p>
    <w:p>
      <w:pPr>
        <w:ind w:left="20"/>
        <w:spacing w:after="0"/>
        <w:rPr>
          <w:sz w:val="20"/>
          <w:szCs w:val="20"/>
          <w:color w:val="auto"/>
        </w:rPr>
      </w:pPr>
      <w:r>
        <w:rPr>
          <w:rFonts w:ascii="Arial" w:cs="Arial" w:eastAsia="Arial" w:hAnsi="Arial"/>
          <w:sz w:val="18"/>
          <w:szCs w:val="18"/>
          <w:b w:val="1"/>
          <w:bCs w:val="1"/>
          <w:color w:val="auto"/>
        </w:rPr>
        <w:t>As adjusted (non-GAAP)</w:t>
      </w:r>
    </w:p>
    <w:p>
      <w:pPr>
        <w:spacing w:after="0" w:line="139"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Represents net earnings (loss) attributable to AbbVie Inc.</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2Q20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9"/>
              </w:rPr>
              <w:t>Diluted</w:t>
            </w:r>
          </w:p>
        </w:tc>
      </w:tr>
      <w:tr>
        <w:trPr>
          <w:trHeight w:val="223"/>
        </w:trPr>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Pre-tax</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line="223" w:lineRule="exact"/>
              <w:rPr>
                <w:sz w:val="20"/>
                <w:szCs w:val="20"/>
                <w:color w:val="auto"/>
              </w:rPr>
            </w:pPr>
            <w:r>
              <w:rPr>
                <w:rFonts w:ascii="Arial" w:cs="Arial" w:eastAsia="Arial" w:hAnsi="Arial"/>
                <w:sz w:val="18"/>
                <w:szCs w:val="18"/>
                <w:color w:val="auto"/>
                <w:w w:val="99"/>
              </w:rPr>
              <w:t>After-tax</w:t>
            </w:r>
            <w:r>
              <w:rPr>
                <w:rFonts w:ascii="Arial" w:cs="Arial" w:eastAsia="Arial" w:hAnsi="Arial"/>
                <w:sz w:val="23"/>
                <w:szCs w:val="23"/>
                <w:color w:val="auto"/>
                <w:w w:val="99"/>
                <w:vertAlign w:val="superscript"/>
              </w:rPr>
              <w:t>a</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EPS</w:t>
            </w:r>
          </w:p>
        </w:tc>
      </w:tr>
      <w:tr>
        <w:trPr>
          <w:trHeight w:val="232"/>
        </w:trPr>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(693)</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(738)</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center"/>
              <w:ind w:left="550"/>
              <w:spacing w:after="0"/>
              <w:rPr>
                <w:sz w:val="20"/>
                <w:szCs w:val="20"/>
                <w:color w:val="auto"/>
              </w:rPr>
            </w:pPr>
            <w:r>
              <w:rPr>
                <w:rFonts w:ascii="Arial" w:cs="Arial" w:eastAsia="Arial" w:hAnsi="Arial"/>
                <w:sz w:val="18"/>
                <w:szCs w:val="18"/>
                <w:b w:val="1"/>
                <w:bCs w:val="1"/>
                <w:color w:val="auto"/>
                <w:w w:val="97"/>
              </w:rPr>
              <w:t>(0.46)</w:t>
            </w:r>
          </w:p>
        </w:tc>
      </w:tr>
      <w:tr>
        <w:trPr>
          <w:trHeight w:val="450"/>
        </w:trPr>
        <w:tc>
          <w:tcPr>
            <w:tcW w:w="28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1,406</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1,190</w:t>
            </w:r>
          </w:p>
        </w:tc>
        <w:tc>
          <w:tcPr>
            <w:tcW w:w="380" w:type="dxa"/>
            <w:vAlign w:val="bottom"/>
          </w:tcPr>
          <w:p>
            <w:pPr>
              <w:spacing w:after="0"/>
              <w:rPr>
                <w:sz w:val="24"/>
                <w:szCs w:val="24"/>
                <w:color w:val="auto"/>
              </w:rPr>
            </w:pPr>
          </w:p>
        </w:tc>
        <w:tc>
          <w:tcPr>
            <w:tcW w:w="1180" w:type="dxa"/>
            <w:vAlign w:val="bottom"/>
          </w:tcPr>
          <w:p>
            <w:pPr>
              <w:jc w:val="center"/>
              <w:ind w:left="570"/>
              <w:spacing w:after="0"/>
              <w:rPr>
                <w:sz w:val="20"/>
                <w:szCs w:val="20"/>
                <w:color w:val="auto"/>
              </w:rPr>
            </w:pPr>
            <w:r>
              <w:rPr>
                <w:rFonts w:ascii="Arial" w:cs="Arial" w:eastAsia="Arial" w:hAnsi="Arial"/>
                <w:sz w:val="18"/>
                <w:szCs w:val="18"/>
                <w:color w:val="auto"/>
              </w:rPr>
              <w:t>0.72</w:t>
            </w:r>
          </w:p>
        </w:tc>
      </w:tr>
      <w:tr>
        <w:trPr>
          <w:trHeight w:val="230"/>
        </w:trPr>
        <w:tc>
          <w:tcPr>
            <w:tcW w:w="2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1,919</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1,784</w:t>
            </w:r>
          </w:p>
        </w:tc>
        <w:tc>
          <w:tcPr>
            <w:tcW w:w="380" w:type="dxa"/>
            <w:vAlign w:val="bottom"/>
          </w:tcPr>
          <w:p>
            <w:pPr>
              <w:spacing w:after="0"/>
              <w:rPr>
                <w:sz w:val="19"/>
                <w:szCs w:val="19"/>
                <w:color w:val="auto"/>
              </w:rPr>
            </w:pPr>
          </w:p>
        </w:tc>
        <w:tc>
          <w:tcPr>
            <w:tcW w:w="1180" w:type="dxa"/>
            <w:vAlign w:val="bottom"/>
          </w:tcPr>
          <w:p>
            <w:pPr>
              <w:jc w:val="center"/>
              <w:ind w:left="570"/>
              <w:spacing w:after="0"/>
              <w:rPr>
                <w:sz w:val="20"/>
                <w:szCs w:val="20"/>
                <w:color w:val="auto"/>
              </w:rPr>
            </w:pPr>
            <w:r>
              <w:rPr>
                <w:rFonts w:ascii="Arial" w:cs="Arial" w:eastAsia="Arial" w:hAnsi="Arial"/>
                <w:sz w:val="18"/>
                <w:szCs w:val="18"/>
                <w:color w:val="auto"/>
              </w:rPr>
              <w:t>1.08</w:t>
            </w:r>
          </w:p>
        </w:tc>
      </w:tr>
      <w:tr>
        <w:trPr>
          <w:trHeight w:val="229"/>
        </w:trPr>
        <w:tc>
          <w:tcPr>
            <w:tcW w:w="2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9"/>
                <w:szCs w:val="19"/>
                <w:color w:val="auto"/>
              </w:rPr>
            </w:pPr>
          </w:p>
        </w:tc>
        <w:tc>
          <w:tcPr>
            <w:tcW w:w="1180" w:type="dxa"/>
            <w:vAlign w:val="bottom"/>
          </w:tcPr>
          <w:p>
            <w:pPr>
              <w:jc w:val="center"/>
              <w:ind w:left="570"/>
              <w:spacing w:after="0"/>
              <w:rPr>
                <w:sz w:val="20"/>
                <w:szCs w:val="20"/>
                <w:color w:val="auto"/>
              </w:rPr>
            </w:pPr>
            <w:r>
              <w:rPr>
                <w:rFonts w:ascii="Arial" w:cs="Arial" w:eastAsia="Arial" w:hAnsi="Arial"/>
                <w:sz w:val="18"/>
                <w:szCs w:val="18"/>
                <w:color w:val="auto"/>
              </w:rPr>
              <w:t>0.03</w:t>
            </w:r>
          </w:p>
        </w:tc>
      </w:tr>
      <w:tr>
        <w:trPr>
          <w:trHeight w:val="230"/>
        </w:trPr>
        <w:tc>
          <w:tcPr>
            <w:tcW w:w="2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853</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853</w:t>
            </w:r>
          </w:p>
        </w:tc>
        <w:tc>
          <w:tcPr>
            <w:tcW w:w="380" w:type="dxa"/>
            <w:vAlign w:val="bottom"/>
          </w:tcPr>
          <w:p>
            <w:pPr>
              <w:spacing w:after="0"/>
              <w:rPr>
                <w:sz w:val="19"/>
                <w:szCs w:val="19"/>
                <w:color w:val="auto"/>
              </w:rPr>
            </w:pPr>
          </w:p>
        </w:tc>
        <w:tc>
          <w:tcPr>
            <w:tcW w:w="1180" w:type="dxa"/>
            <w:vAlign w:val="bottom"/>
          </w:tcPr>
          <w:p>
            <w:pPr>
              <w:jc w:val="center"/>
              <w:ind w:left="570"/>
              <w:spacing w:after="0"/>
              <w:rPr>
                <w:sz w:val="20"/>
                <w:szCs w:val="20"/>
                <w:color w:val="auto"/>
              </w:rPr>
            </w:pPr>
            <w:r>
              <w:rPr>
                <w:rFonts w:ascii="Arial" w:cs="Arial" w:eastAsia="Arial" w:hAnsi="Arial"/>
                <w:sz w:val="18"/>
                <w:szCs w:val="18"/>
                <w:color w:val="auto"/>
              </w:rPr>
              <w:t>0.52</w:t>
            </w:r>
          </w:p>
        </w:tc>
      </w:tr>
      <w:tr>
        <w:trPr>
          <w:trHeight w:val="229"/>
        </w:trPr>
        <w:tc>
          <w:tcPr>
            <w:tcW w:w="2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809</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809</w:t>
            </w:r>
          </w:p>
        </w:tc>
        <w:tc>
          <w:tcPr>
            <w:tcW w:w="380" w:type="dxa"/>
            <w:vAlign w:val="bottom"/>
          </w:tcPr>
          <w:p>
            <w:pPr>
              <w:spacing w:after="0"/>
              <w:rPr>
                <w:sz w:val="19"/>
                <w:szCs w:val="19"/>
                <w:color w:val="auto"/>
              </w:rPr>
            </w:pPr>
          </w:p>
        </w:tc>
        <w:tc>
          <w:tcPr>
            <w:tcW w:w="1180" w:type="dxa"/>
            <w:vAlign w:val="bottom"/>
          </w:tcPr>
          <w:p>
            <w:pPr>
              <w:jc w:val="center"/>
              <w:ind w:left="570"/>
              <w:spacing w:after="0"/>
              <w:rPr>
                <w:sz w:val="20"/>
                <w:szCs w:val="20"/>
                <w:color w:val="auto"/>
              </w:rPr>
            </w:pPr>
            <w:r>
              <w:rPr>
                <w:rFonts w:ascii="Arial" w:cs="Arial" w:eastAsia="Arial" w:hAnsi="Arial"/>
                <w:sz w:val="18"/>
                <w:szCs w:val="18"/>
                <w:color w:val="auto"/>
              </w:rPr>
              <w:t>0.49</w:t>
            </w:r>
          </w:p>
        </w:tc>
      </w:tr>
      <w:tr>
        <w:trPr>
          <w:trHeight w:val="229"/>
        </w:trPr>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7"/>
              </w:rPr>
              <w:t>(0.04)</w:t>
            </w: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4,395</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3,895</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rPr>
              <w:t>2.34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431" w:lineRule="exact"/>
        <w:rPr>
          <w:sz w:val="20"/>
          <w:szCs w:val="20"/>
          <w:color w:val="auto"/>
        </w:rPr>
      </w:pPr>
    </w:p>
    <w:p>
      <w:pPr>
        <w:sectPr>
          <w:pgSz w:w="11900" w:h="16838" w:orient="portrait"/>
          <w:cols w:equalWidth="0" w:num="2">
            <w:col w:w="5940" w:space="720"/>
            <w:col w:w="4580"/>
          </w:cols>
          <w:pgMar w:left="320" w:top="890" w:right="339" w:bottom="1440" w:gutter="0" w:footer="0" w:header="0"/>
          <w:type w:val="continuous"/>
        </w:sectPr>
      </w:pPr>
    </w:p>
    <w:p>
      <w:pPr>
        <w:ind w:right="440"/>
        <w:spacing w:after="0" w:line="254" w:lineRule="auto"/>
        <w:rPr>
          <w:sz w:val="20"/>
          <w:szCs w:val="20"/>
          <w:color w:val="auto"/>
        </w:rPr>
      </w:pPr>
      <w:r>
        <w:rPr>
          <w:rFonts w:ascii="Arial" w:cs="Arial" w:eastAsia="Arial" w:hAnsi="Arial"/>
          <w:sz w:val="18"/>
          <w:szCs w:val="18"/>
          <w:color w:val="auto"/>
        </w:rPr>
        <w:t>Acquisition and integration costs reflect transaction, financing and integration costs related to the Allergan acquisition as well as the amortization of the acquisition date fair value step-up for inventory. Milestones and other R&amp;D expenses include milestone payments for previously announced collaborations. Acquired IPR&amp;D primarily reflects upfront payments related to R&amp;D collaborations and licensing arrangements with third parties. Other primarily includes COVID-19 related expenses and tax audit settlements.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2. The impact of the specified items by line item was as follows: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2Q20</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70"/>
              <w:spacing w:after="0" w:line="182" w:lineRule="exact"/>
              <w:rPr>
                <w:sz w:val="20"/>
                <w:szCs w:val="20"/>
                <w:color w:val="auto"/>
              </w:rPr>
            </w:pPr>
            <w:r>
              <w:rPr>
                <w:rFonts w:ascii="Arial" w:cs="Arial" w:eastAsia="Arial" w:hAnsi="Arial"/>
                <w:sz w:val="18"/>
                <w:szCs w:val="18"/>
                <w:color w:val="auto"/>
              </w:rPr>
              <w:t>Cost of</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9"/>
              </w:rPr>
              <w:t>Interest</w:t>
            </w:r>
          </w:p>
        </w:tc>
        <w:tc>
          <w:tcPr>
            <w:tcW w:w="108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99"/>
              </w:rPr>
              <w:t>Net foreign</w:t>
            </w:r>
          </w:p>
        </w:tc>
        <w:tc>
          <w:tcPr>
            <w:tcW w:w="200" w:type="dxa"/>
            <w:vAlign w:val="bottom"/>
          </w:tcPr>
          <w:p>
            <w:pPr>
              <w:spacing w:after="0"/>
              <w:rPr>
                <w:sz w:val="15"/>
                <w:szCs w:val="15"/>
                <w:color w:val="auto"/>
              </w:rPr>
            </w:pPr>
          </w:p>
        </w:tc>
        <w:tc>
          <w:tcPr>
            <w:tcW w:w="88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97"/>
              </w:rPr>
              <w:t>Other</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70"/>
              <w:spacing w:after="0" w:line="176" w:lineRule="exact"/>
              <w:rPr>
                <w:sz w:val="20"/>
                <w:szCs w:val="20"/>
                <w:color w:val="auto"/>
              </w:rPr>
            </w:pPr>
            <w:r>
              <w:rPr>
                <w:rFonts w:ascii="Arial" w:cs="Arial" w:eastAsia="Arial" w:hAnsi="Arial"/>
                <w:sz w:val="18"/>
                <w:szCs w:val="18"/>
                <w:color w:val="auto"/>
              </w:rPr>
              <w:t>products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8"/>
              </w:rPr>
              <w:t>Acquired</w:t>
            </w:r>
          </w:p>
        </w:tc>
        <w:tc>
          <w:tcPr>
            <w:tcW w:w="200" w:type="dxa"/>
            <w:vAlign w:val="bottom"/>
          </w:tcPr>
          <w:p>
            <w:pPr>
              <w:spacing w:after="0"/>
              <w:rPr>
                <w:sz w:val="15"/>
                <w:szCs w:val="15"/>
                <w:color w:val="auto"/>
              </w:rPr>
            </w:pPr>
          </w:p>
        </w:tc>
        <w:tc>
          <w:tcPr>
            <w:tcW w:w="920" w:type="dxa"/>
            <w:vAlign w:val="bottom"/>
          </w:tcPr>
          <w:p>
            <w:pPr>
              <w:jc w:val="center"/>
              <w:ind w:right="90"/>
              <w:spacing w:after="0" w:line="176" w:lineRule="exact"/>
              <w:rPr>
                <w:sz w:val="20"/>
                <w:szCs w:val="20"/>
                <w:color w:val="auto"/>
              </w:rPr>
            </w:pPr>
            <w:r>
              <w:rPr>
                <w:rFonts w:ascii="Arial" w:cs="Arial" w:eastAsia="Arial" w:hAnsi="Arial"/>
                <w:sz w:val="18"/>
                <w:szCs w:val="18"/>
                <w:color w:val="auto"/>
              </w:rPr>
              <w:t>expense,</w:t>
            </w:r>
          </w:p>
        </w:tc>
        <w:tc>
          <w:tcPr>
            <w:tcW w:w="108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9"/>
              </w:rPr>
              <w:t>exchange</w:t>
            </w:r>
          </w:p>
        </w:tc>
        <w:tc>
          <w:tcPr>
            <w:tcW w:w="200" w:type="dxa"/>
            <w:vAlign w:val="bottom"/>
          </w:tcPr>
          <w:p>
            <w:pPr>
              <w:spacing w:after="0"/>
              <w:rPr>
                <w:sz w:val="15"/>
                <w:szCs w:val="15"/>
                <w:color w:val="auto"/>
              </w:rPr>
            </w:pPr>
          </w:p>
        </w:tc>
        <w:tc>
          <w:tcPr>
            <w:tcW w:w="8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8"/>
              </w:rPr>
              <w:t>expense,</w:t>
            </w:r>
          </w:p>
        </w:tc>
        <w:tc>
          <w:tcPr>
            <w:tcW w:w="0" w:type="dxa"/>
            <w:vAlign w:val="bottom"/>
          </w:tcPr>
          <w:p>
            <w:pPr>
              <w:spacing w:after="0"/>
              <w:rPr>
                <w:sz w:val="1"/>
                <w:szCs w:val="1"/>
                <w:color w:val="auto"/>
              </w:rPr>
            </w:pPr>
          </w:p>
        </w:tc>
      </w:tr>
      <w:tr>
        <w:trPr>
          <w:trHeight w:val="217"/>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As reported (GAAP)</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rPr>
              <w:t>sold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SG&amp;A</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R&amp;D</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8"/>
              </w:rPr>
              <w:t>IPR&amp;D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rPr>
              <w:t>net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9"/>
              </w:rPr>
              <w:t>loss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5"/>
              </w:rPr>
              <w:t>net</w:t>
            </w:r>
          </w:p>
        </w:tc>
        <w:tc>
          <w:tcPr>
            <w:tcW w:w="0" w:type="dxa"/>
            <w:vAlign w:val="bottom"/>
          </w:tcPr>
          <w:p>
            <w:pPr>
              <w:spacing w:after="0"/>
              <w:rPr>
                <w:sz w:val="1"/>
                <w:szCs w:val="1"/>
                <w:color w:val="auto"/>
              </w:rPr>
            </w:pPr>
          </w:p>
        </w:tc>
      </w:tr>
      <w:tr>
        <w:trPr>
          <w:trHeight w:val="232"/>
        </w:trPr>
        <w:tc>
          <w:tcPr>
            <w:tcW w:w="364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3,711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3,527</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1,582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853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614</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802</w:t>
            </w:r>
          </w:p>
        </w:tc>
        <w:tc>
          <w:tcPr>
            <w:tcW w:w="0" w:type="dxa"/>
            <w:vAlign w:val="bottom"/>
          </w:tcPr>
          <w:p>
            <w:pPr>
              <w:spacing w:after="0"/>
              <w:rPr>
                <w:sz w:val="1"/>
                <w:szCs w:val="1"/>
                <w:color w:val="auto"/>
              </w:rPr>
            </w:pPr>
          </w:p>
        </w:tc>
      </w:tr>
      <w:tr>
        <w:trPr>
          <w:trHeight w:val="220"/>
        </w:trPr>
        <w:tc>
          <w:tcPr>
            <w:tcW w:w="3640" w:type="dxa"/>
            <w:vAlign w:val="bottom"/>
          </w:tcPr>
          <w:p>
            <w:pPr>
              <w:spacing w:after="0"/>
              <w:rPr>
                <w:sz w:val="20"/>
                <w:szCs w:val="20"/>
                <w:color w:val="auto"/>
              </w:rPr>
            </w:pPr>
            <w:r>
              <w:rPr>
                <w:rFonts w:ascii="Arial" w:cs="Arial" w:eastAsia="Arial" w:hAnsi="Arial"/>
                <w:sz w:val="18"/>
                <w:szCs w:val="18"/>
                <w:color w:val="auto"/>
              </w:rPr>
              <w:t>Adjusted for specified items: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120"/>
              <w:spacing w:after="0"/>
              <w:rPr>
                <w:sz w:val="20"/>
                <w:szCs w:val="20"/>
                <w:color w:val="auto"/>
              </w:rPr>
            </w:pPr>
            <w:r>
              <w:rPr>
                <w:rFonts w:ascii="Arial" w:cs="Arial" w:eastAsia="Arial" w:hAnsi="Arial"/>
                <w:sz w:val="18"/>
                <w:szCs w:val="18"/>
                <w:color w:val="auto"/>
              </w:rPr>
              <w:t>Intangible asset amortization</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(1,406)</w:t>
            </w:r>
          </w:p>
        </w:tc>
        <w:tc>
          <w:tcPr>
            <w:tcW w:w="2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Acquisition and integration costs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Milestones and other R&amp;D expenses</w:t>
            </w:r>
          </w:p>
        </w:tc>
        <w:tc>
          <w:tcPr>
            <w:tcW w:w="1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Acquired IPR&amp;D</w:t>
            </w:r>
          </w:p>
        </w:tc>
        <w:tc>
          <w:tcPr>
            <w:tcW w:w="1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(853)</w:t>
            </w:r>
          </w:p>
        </w:tc>
        <w:tc>
          <w:tcPr>
            <w:tcW w:w="20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3640" w:type="dxa"/>
            <w:vAlign w:val="bottom"/>
          </w:tcPr>
          <w:p>
            <w:pPr>
              <w:ind w:left="120"/>
              <w:spacing w:after="0" w:line="189" w:lineRule="exact"/>
              <w:rPr>
                <w:sz w:val="20"/>
                <w:szCs w:val="20"/>
                <w:color w:val="auto"/>
              </w:rPr>
            </w:pPr>
            <w:r>
              <w:rPr>
                <w:rFonts w:ascii="Arial" w:cs="Arial" w:eastAsia="Arial" w:hAnsi="Arial"/>
                <w:sz w:val="18"/>
                <w:szCs w:val="18"/>
                <w:color w:val="auto"/>
              </w:rPr>
              <w:t>Change in fair value of contingent</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40" w:type="dxa"/>
            <w:vAlign w:val="bottom"/>
          </w:tcPr>
          <w:p>
            <w:pPr>
              <w:ind w:left="280"/>
              <w:spacing w:after="0"/>
              <w:rPr>
                <w:sz w:val="20"/>
                <w:szCs w:val="20"/>
                <w:color w:val="auto"/>
              </w:rPr>
            </w:pPr>
            <w:r>
              <w:rPr>
                <w:rFonts w:ascii="Arial" w:cs="Arial" w:eastAsia="Arial" w:hAnsi="Arial"/>
                <w:sz w:val="18"/>
                <w:szCs w:val="18"/>
                <w:color w:val="auto"/>
              </w:rPr>
              <w:t>consideration</w:t>
            </w: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9"/>
        </w:trPr>
        <w:tc>
          <w:tcPr>
            <w:tcW w:w="3640" w:type="dxa"/>
            <w:vAlign w:val="bottom"/>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1,796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2,392</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484</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3. The adjusted tax rate for the second quarter of 2020 was 11.4 percent, as detailed below:</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5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2Q20</w:t>
            </w:r>
          </w:p>
        </w:tc>
        <w:tc>
          <w:tcPr>
            <w:tcW w:w="1440" w:type="dxa"/>
            <w:vAlign w:val="bottom"/>
            <w:tcBorders>
              <w:bottom w:val="single" w:sz="8" w:color="auto"/>
            </w:tcBorders>
          </w:tcPr>
          <w:p>
            <w:pPr>
              <w:spacing w:after="0"/>
              <w:rPr>
                <w:sz w:val="20"/>
                <w:szCs w:val="20"/>
                <w:color w:val="auto"/>
              </w:rPr>
            </w:pPr>
          </w:p>
        </w:tc>
      </w:tr>
      <w:tr>
        <w:trPr>
          <w:trHeight w:val="223"/>
        </w:trPr>
        <w:tc>
          <w:tcPr>
            <w:tcW w:w="6540" w:type="dxa"/>
            <w:vAlign w:val="bottom"/>
          </w:tcPr>
          <w:p>
            <w:pPr>
              <w:spacing w:after="0"/>
              <w:rPr>
                <w:sz w:val="19"/>
                <w:szCs w:val="19"/>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Pre-tax earnings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Income taxes</w:t>
            </w: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Tax rate</w:t>
            </w:r>
          </w:p>
        </w:tc>
      </w:tr>
      <w:tr>
        <w:trPr>
          <w:trHeight w:val="232"/>
        </w:trPr>
        <w:tc>
          <w:tcPr>
            <w:tcW w:w="654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(693)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46</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(6.5)%</w:t>
            </w:r>
          </w:p>
        </w:tc>
      </w:tr>
      <w:tr>
        <w:trPr>
          <w:trHeight w:val="220"/>
        </w:trPr>
        <w:tc>
          <w:tcPr>
            <w:tcW w:w="6540" w:type="dxa"/>
            <w:vAlign w:val="bottom"/>
          </w:tcPr>
          <w:p>
            <w:pPr>
              <w:spacing w:after="0"/>
              <w:rPr>
                <w:sz w:val="20"/>
                <w:szCs w:val="20"/>
                <w:color w:val="auto"/>
              </w:rPr>
            </w:pPr>
            <w:r>
              <w:rPr>
                <w:rFonts w:ascii="Arial" w:cs="Arial" w:eastAsia="Arial" w:hAnsi="Arial"/>
                <w:sz w:val="18"/>
                <w:szCs w:val="18"/>
                <w:color w:val="auto"/>
              </w:rPr>
              <w:t>Specified items</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5,088</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455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8.9 %</w:t>
            </w: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4,395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501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11.4 %</w:t>
            </w:r>
          </w:p>
        </w:tc>
      </w:tr>
      <w:tr>
        <w:trPr>
          <w:trHeight w:val="20"/>
        </w:trPr>
        <w:tc>
          <w:tcPr>
            <w:tcW w:w="6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890"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Reported to Non-GAAP Adjusted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Six Months Ended 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data)</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640" w:type="dxa"/>
            <w:vAlign w:val="bottom"/>
          </w:tcPr>
          <w:p>
            <w:pPr>
              <w:ind w:left="40"/>
              <w:spacing w:after="0"/>
              <w:rPr>
                <w:sz w:val="20"/>
                <w:szCs w:val="20"/>
                <w:color w:val="auto"/>
              </w:rPr>
            </w:pPr>
            <w:r>
              <w:rPr>
                <w:rFonts w:ascii="Arial" w:cs="Arial" w:eastAsia="Arial" w:hAnsi="Arial"/>
                <w:sz w:val="18"/>
                <w:szCs w:val="18"/>
                <w:color w:val="auto"/>
              </w:rPr>
              <w:t>1.   Specified items impacted results as follows: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7"/>
        </w:trPr>
        <w:tc>
          <w:tcPr>
            <w:tcW w:w="66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6M21</w:t>
            </w: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r>
      <w:tr>
        <w:trPr>
          <w:trHeight w:val="223"/>
        </w:trPr>
        <w:tc>
          <w:tcPr>
            <w:tcW w:w="6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Diluted</w:t>
            </w:r>
          </w:p>
        </w:tc>
      </w:tr>
      <w:tr>
        <w:trPr>
          <w:trHeight w:val="223"/>
        </w:trPr>
        <w:tc>
          <w:tcPr>
            <w:tcW w:w="6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Pre-tax</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line="223" w:lineRule="exact"/>
              <w:rPr>
                <w:sz w:val="20"/>
                <w:szCs w:val="20"/>
                <w:color w:val="auto"/>
              </w:rPr>
            </w:pPr>
            <w:r>
              <w:rPr>
                <w:rFonts w:ascii="Arial" w:cs="Arial" w:eastAsia="Arial" w:hAnsi="Arial"/>
                <w:sz w:val="18"/>
                <w:szCs w:val="18"/>
                <w:color w:val="auto"/>
                <w:w w:val="99"/>
              </w:rPr>
              <w:t>After-tax</w:t>
            </w:r>
            <w:r>
              <w:rPr>
                <w:rFonts w:ascii="Arial" w:cs="Arial" w:eastAsia="Arial" w:hAnsi="Arial"/>
                <w:sz w:val="23"/>
                <w:szCs w:val="23"/>
                <w:color w:val="auto"/>
                <w:w w:val="99"/>
                <w:vertAlign w:val="superscript"/>
              </w:rPr>
              <w:t>a</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EPS</w:t>
            </w:r>
          </w:p>
        </w:tc>
      </w:tr>
      <w:tr>
        <w:trPr>
          <w:trHeight w:val="232"/>
        </w:trPr>
        <w:tc>
          <w:tcPr>
            <w:tcW w:w="664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5,030</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4,319</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2.41</w:t>
            </w:r>
          </w:p>
        </w:tc>
      </w:tr>
      <w:tr>
        <w:trPr>
          <w:trHeight w:val="220"/>
        </w:trPr>
        <w:tc>
          <w:tcPr>
            <w:tcW w:w="6640" w:type="dxa"/>
            <w:vAlign w:val="bottom"/>
          </w:tcPr>
          <w:p>
            <w:pPr>
              <w:spacing w:after="0"/>
              <w:rPr>
                <w:sz w:val="20"/>
                <w:szCs w:val="20"/>
                <w:color w:val="auto"/>
              </w:rPr>
            </w:pPr>
            <w:r>
              <w:rPr>
                <w:rFonts w:ascii="Arial" w:cs="Arial" w:eastAsia="Arial" w:hAnsi="Arial"/>
                <w:sz w:val="18"/>
                <w:szCs w:val="18"/>
                <w:color w:val="auto"/>
              </w:rPr>
              <w:t>Adjusted for specified items: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640" w:type="dxa"/>
            <w:vAlign w:val="bottom"/>
          </w:tcPr>
          <w:p>
            <w:pPr>
              <w:ind w:left="12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4,008</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3,344</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6640" w:type="dxa"/>
            <w:vAlign w:val="bottom"/>
          </w:tcPr>
          <w:p>
            <w:pPr>
              <w:ind w:left="120"/>
              <w:spacing w:after="0"/>
              <w:rPr>
                <w:sz w:val="20"/>
                <w:szCs w:val="20"/>
                <w:color w:val="auto"/>
              </w:rPr>
            </w:pPr>
            <w:r>
              <w:rPr>
                <w:rFonts w:ascii="Arial" w:cs="Arial" w:eastAsia="Arial" w:hAnsi="Arial"/>
                <w:sz w:val="18"/>
                <w:szCs w:val="18"/>
                <w:color w:val="auto"/>
              </w:rPr>
              <w:t>Acquisition and integration costs</w:t>
            </w:r>
          </w:p>
        </w:tc>
        <w:tc>
          <w:tcPr>
            <w:tcW w:w="2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29"/>
        </w:trPr>
        <w:tc>
          <w:tcPr>
            <w:tcW w:w="6640" w:type="dxa"/>
            <w:vAlign w:val="bottom"/>
          </w:tcPr>
          <w:p>
            <w:pPr>
              <w:ind w:left="120"/>
              <w:spacing w:after="0"/>
              <w:rPr>
                <w:sz w:val="20"/>
                <w:szCs w:val="20"/>
                <w:color w:val="auto"/>
              </w:rPr>
            </w:pPr>
            <w:r>
              <w:rPr>
                <w:rFonts w:ascii="Arial" w:cs="Arial" w:eastAsia="Arial" w:hAnsi="Arial"/>
                <w:sz w:val="18"/>
                <w:szCs w:val="18"/>
                <w:color w:val="auto"/>
              </w:rPr>
              <w:t>Milestones and other R&amp;D expenses</w:t>
            </w:r>
          </w:p>
        </w:tc>
        <w:tc>
          <w:tcPr>
            <w:tcW w:w="2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29"/>
        </w:trPr>
        <w:tc>
          <w:tcPr>
            <w:tcW w:w="6640" w:type="dxa"/>
            <w:vAlign w:val="bottom"/>
          </w:tcPr>
          <w:p>
            <w:pPr>
              <w:ind w:left="120"/>
              <w:spacing w:after="0"/>
              <w:rPr>
                <w:sz w:val="20"/>
                <w:szCs w:val="20"/>
                <w:color w:val="auto"/>
              </w:rPr>
            </w:pPr>
            <w:r>
              <w:rPr>
                <w:rFonts w:ascii="Arial" w:cs="Arial" w:eastAsia="Arial" w:hAnsi="Arial"/>
                <w:sz w:val="18"/>
                <w:szCs w:val="18"/>
                <w:color w:val="auto"/>
              </w:rPr>
              <w:t>Acquired IPR&amp;D</w:t>
            </w:r>
          </w:p>
        </w:tc>
        <w:tc>
          <w:tcPr>
            <w:tcW w:w="2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30"/>
        </w:trPr>
        <w:tc>
          <w:tcPr>
            <w:tcW w:w="6640" w:type="dxa"/>
            <w:vAlign w:val="bottom"/>
          </w:tcPr>
          <w:p>
            <w:pPr>
              <w:ind w:left="12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2,349</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2,347</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6640" w:type="dxa"/>
            <w:vAlign w:val="bottom"/>
          </w:tcPr>
          <w:p>
            <w:pPr>
              <w:ind w:left="120"/>
              <w:spacing w:after="0"/>
              <w:rPr>
                <w:sz w:val="20"/>
                <w:szCs w:val="20"/>
                <w:color w:val="auto"/>
              </w:rPr>
            </w:pPr>
            <w:r>
              <w:rPr>
                <w:rFonts w:ascii="Arial" w:cs="Arial" w:eastAsia="Arial" w:hAnsi="Arial"/>
                <w:sz w:val="18"/>
                <w:szCs w:val="18"/>
                <w:color w:val="auto"/>
              </w:rPr>
              <w:t>Litigation matters</w:t>
            </w:r>
          </w:p>
        </w:tc>
        <w:tc>
          <w:tcPr>
            <w:tcW w:w="2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6640" w:type="dxa"/>
            <w:vAlign w:val="bottom"/>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12,366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10,824</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6.06</w:t>
            </w: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Represents net earnings attributable to AbbVie Inc.</w:t>
      </w: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Acquisition and integration costs reflect integration costs as well as amortization of the acquisition date fair value step-up for inventory related to the Allergan acquisition. Milestones and other R&amp;D expenses include milestone payments for previously announced collaborations and the purchase of FDA priority review vouchers from third parties. Acquired IPR&amp;D primarily reflects upfront payments related to R&amp;D collaborations and licensing arrangements with third parties. Other primarily includes restructuring charges associated with streamlining global operations and COVID-19 related expenses, offset by milestone revenue under an existing collaboration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2. The impact of the specified items by line item was as follows: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6M21</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8"/>
              </w:rPr>
              <w:t>Cost of</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90"/>
              <w:spacing w:after="0" w:line="182" w:lineRule="exact"/>
              <w:rPr>
                <w:sz w:val="20"/>
                <w:szCs w:val="20"/>
                <w:color w:val="auto"/>
              </w:rPr>
            </w:pPr>
            <w:r>
              <w:rPr>
                <w:rFonts w:ascii="Arial" w:cs="Arial" w:eastAsia="Arial" w:hAnsi="Arial"/>
                <w:sz w:val="18"/>
                <w:szCs w:val="18"/>
                <w:color w:val="auto"/>
              </w:rPr>
              <w:t>Other</w:t>
            </w:r>
          </w:p>
        </w:tc>
        <w:tc>
          <w:tcPr>
            <w:tcW w:w="180" w:type="dxa"/>
            <w:vAlign w:val="bottom"/>
          </w:tcPr>
          <w:p>
            <w:pPr>
              <w:spacing w:after="0"/>
              <w:rPr>
                <w:sz w:val="15"/>
                <w:szCs w:val="15"/>
                <w:color w:val="auto"/>
              </w:rPr>
            </w:pPr>
          </w:p>
        </w:tc>
        <w:tc>
          <w:tcPr>
            <w:tcW w:w="88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97"/>
              </w:rPr>
              <w:t>Other</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Net</w:t>
            </w:r>
          </w:p>
        </w:tc>
        <w:tc>
          <w:tcPr>
            <w:tcW w:w="200" w:type="dxa"/>
            <w:vAlign w:val="bottom"/>
          </w:tcPr>
          <w:p>
            <w:pPr>
              <w:spacing w:after="0"/>
              <w:rPr>
                <w:sz w:val="15"/>
                <w:szCs w:val="15"/>
                <w:color w:val="auto"/>
              </w:rPr>
            </w:pPr>
          </w:p>
        </w:tc>
        <w:tc>
          <w:tcPr>
            <w:tcW w:w="9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8"/>
              </w:rPr>
              <w:t>products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110"/>
              <w:spacing w:after="0" w:line="176" w:lineRule="exact"/>
              <w:rPr>
                <w:sz w:val="20"/>
                <w:szCs w:val="20"/>
                <w:color w:val="auto"/>
              </w:rPr>
            </w:pPr>
            <w:r>
              <w:rPr>
                <w:rFonts w:ascii="Arial" w:cs="Arial" w:eastAsia="Arial" w:hAnsi="Arial"/>
                <w:sz w:val="18"/>
                <w:szCs w:val="18"/>
                <w:color w:val="auto"/>
                <w:w w:val="98"/>
              </w:rPr>
              <w:t>Acquired</w:t>
            </w:r>
          </w:p>
        </w:tc>
        <w:tc>
          <w:tcPr>
            <w:tcW w:w="180" w:type="dxa"/>
            <w:vAlign w:val="bottom"/>
          </w:tcPr>
          <w:p>
            <w:pPr>
              <w:spacing w:after="0"/>
              <w:rPr>
                <w:sz w:val="15"/>
                <w:szCs w:val="15"/>
                <w:color w:val="auto"/>
              </w:rPr>
            </w:pPr>
          </w:p>
        </w:tc>
        <w:tc>
          <w:tcPr>
            <w:tcW w:w="92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8"/>
              </w:rPr>
              <w:t>operating</w:t>
            </w:r>
          </w:p>
        </w:tc>
        <w:tc>
          <w:tcPr>
            <w:tcW w:w="180" w:type="dxa"/>
            <w:vAlign w:val="bottom"/>
          </w:tcPr>
          <w:p>
            <w:pPr>
              <w:spacing w:after="0"/>
              <w:rPr>
                <w:sz w:val="15"/>
                <w:szCs w:val="15"/>
                <w:color w:val="auto"/>
              </w:rPr>
            </w:pPr>
          </w:p>
        </w:tc>
        <w:tc>
          <w:tcPr>
            <w:tcW w:w="8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8"/>
              </w:rPr>
              <w:t>expense,</w:t>
            </w:r>
          </w:p>
        </w:tc>
        <w:tc>
          <w:tcPr>
            <w:tcW w:w="0" w:type="dxa"/>
            <w:vAlign w:val="bottom"/>
          </w:tcPr>
          <w:p>
            <w:pPr>
              <w:spacing w:after="0"/>
              <w:rPr>
                <w:sz w:val="1"/>
                <w:szCs w:val="1"/>
                <w:color w:val="auto"/>
              </w:rPr>
            </w:pPr>
          </w:p>
        </w:tc>
      </w:tr>
      <w:tr>
        <w:trPr>
          <w:trHeight w:val="217"/>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As reported (GAAP)</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7"/>
              </w:rPr>
              <w:t>revenues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sold</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SG&amp;A</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R&amp;D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IPR&amp;D</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income</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5"/>
              </w:rPr>
              <w:t>net</w:t>
            </w:r>
          </w:p>
        </w:tc>
        <w:tc>
          <w:tcPr>
            <w:tcW w:w="0" w:type="dxa"/>
            <w:vAlign w:val="bottom"/>
          </w:tcPr>
          <w:p>
            <w:pPr>
              <w:spacing w:after="0"/>
              <w:rPr>
                <w:sz w:val="1"/>
                <w:szCs w:val="1"/>
                <w:color w:val="auto"/>
              </w:rPr>
            </w:pPr>
          </w:p>
        </w:tc>
      </w:tr>
      <w:tr>
        <w:trPr>
          <w:trHeight w:val="232"/>
        </w:trPr>
        <w:tc>
          <w:tcPr>
            <w:tcW w:w="364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26,969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8,736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6,006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3,584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167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2,263</w:t>
            </w:r>
          </w:p>
        </w:tc>
        <w:tc>
          <w:tcPr>
            <w:tcW w:w="0" w:type="dxa"/>
            <w:vAlign w:val="bottom"/>
          </w:tcPr>
          <w:p>
            <w:pPr>
              <w:spacing w:after="0"/>
              <w:rPr>
                <w:sz w:val="1"/>
                <w:szCs w:val="1"/>
                <w:color w:val="auto"/>
              </w:rPr>
            </w:pPr>
          </w:p>
        </w:tc>
      </w:tr>
      <w:tr>
        <w:trPr>
          <w:trHeight w:val="220"/>
        </w:trPr>
        <w:tc>
          <w:tcPr>
            <w:tcW w:w="3640" w:type="dxa"/>
            <w:vAlign w:val="bottom"/>
          </w:tcPr>
          <w:p>
            <w:pPr>
              <w:spacing w:after="0"/>
              <w:rPr>
                <w:sz w:val="20"/>
                <w:szCs w:val="20"/>
                <w:color w:val="auto"/>
              </w:rPr>
            </w:pPr>
            <w:r>
              <w:rPr>
                <w:rFonts w:ascii="Arial" w:cs="Arial" w:eastAsia="Arial" w:hAnsi="Arial"/>
                <w:sz w:val="18"/>
                <w:szCs w:val="18"/>
                <w:color w:val="auto"/>
              </w:rPr>
              <w:t>Adjusted for specified items: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Intangible asset amortization</w:t>
            </w:r>
          </w:p>
        </w:tc>
        <w:tc>
          <w:tcPr>
            <w:tcW w:w="1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(4,008)</w:t>
            </w:r>
          </w:p>
        </w:tc>
        <w:tc>
          <w:tcPr>
            <w:tcW w:w="24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Acquisition and integration costs</w:t>
            </w:r>
          </w:p>
        </w:tc>
        <w:tc>
          <w:tcPr>
            <w:tcW w:w="1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Milestones and other R&amp;D expenses</w:t>
            </w:r>
          </w:p>
        </w:tc>
        <w:tc>
          <w:tcPr>
            <w:tcW w:w="1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Acquired IPR&amp;D</w:t>
            </w:r>
          </w:p>
        </w:tc>
        <w:tc>
          <w:tcPr>
            <w:tcW w:w="1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3640" w:type="dxa"/>
            <w:vAlign w:val="bottom"/>
          </w:tcPr>
          <w:p>
            <w:pPr>
              <w:ind w:left="120"/>
              <w:spacing w:after="0" w:line="189" w:lineRule="exact"/>
              <w:rPr>
                <w:sz w:val="20"/>
                <w:szCs w:val="20"/>
                <w:color w:val="auto"/>
              </w:rPr>
            </w:pPr>
            <w:r>
              <w:rPr>
                <w:rFonts w:ascii="Arial" w:cs="Arial" w:eastAsia="Arial" w:hAnsi="Arial"/>
                <w:sz w:val="18"/>
                <w:szCs w:val="18"/>
                <w:color w:val="auto"/>
              </w:rPr>
              <w:t>Change in fair value of contingent</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40" w:type="dxa"/>
            <w:vAlign w:val="bottom"/>
          </w:tcPr>
          <w:p>
            <w:pPr>
              <w:ind w:left="120"/>
              <w:spacing w:after="0"/>
              <w:rPr>
                <w:sz w:val="20"/>
                <w:szCs w:val="20"/>
                <w:color w:val="auto"/>
              </w:rPr>
            </w:pPr>
            <w:r>
              <w:rPr>
                <w:rFonts w:ascii="Arial" w:cs="Arial" w:eastAsia="Arial" w:hAnsi="Arial"/>
                <w:sz w:val="18"/>
                <w:szCs w:val="18"/>
                <w:color w:val="auto"/>
              </w:rPr>
              <w:t>consideration</w:t>
            </w: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Litigation matters</w:t>
            </w:r>
          </w:p>
        </w:tc>
        <w:tc>
          <w:tcPr>
            <w:tcW w:w="1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26,894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4,564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5,696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3. The adjusted tax rate for the first six months of 2021 was 12.4 percent, as detailed below:</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5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6M21</w:t>
            </w: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As reported (GAAP)</w:t>
            </w: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Pre-tax earnings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Income taxes</w:t>
            </w: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Tax rate</w:t>
            </w:r>
          </w:p>
        </w:tc>
        <w:tc>
          <w:tcPr>
            <w:tcW w:w="0" w:type="dxa"/>
            <w:vAlign w:val="bottom"/>
          </w:tcPr>
          <w:p>
            <w:pPr>
              <w:spacing w:after="0"/>
              <w:rPr>
                <w:sz w:val="1"/>
                <w:szCs w:val="1"/>
                <w:color w:val="auto"/>
              </w:rPr>
            </w:pPr>
          </w:p>
        </w:tc>
      </w:tr>
      <w:tr>
        <w:trPr>
          <w:trHeight w:val="232"/>
        </w:trPr>
        <w:tc>
          <w:tcPr>
            <w:tcW w:w="6540" w:type="dxa"/>
            <w:vAlign w:val="bottom"/>
            <w:vMerge w:val="continue"/>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5,030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706</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14.0 %</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20"/>
                <w:szCs w:val="20"/>
                <w:color w:val="auto"/>
              </w:rPr>
            </w:pPr>
            <w:r>
              <w:rPr>
                <w:rFonts w:ascii="Arial" w:cs="Arial" w:eastAsia="Arial" w:hAnsi="Arial"/>
                <w:sz w:val="18"/>
                <w:szCs w:val="18"/>
                <w:color w:val="auto"/>
              </w:rPr>
              <w:t>Specified items</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7,336</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831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12,366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1,537</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890"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Reconciliation of GAAP Reported to Non-GAAP Adjusted Information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Six Months Ended June 30, 2020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 (In millions, except per share data)</w:t>
      </w:r>
    </w:p>
    <w:p>
      <w:pPr>
        <w:sectPr>
          <w:pgSz w:w="11900" w:h="16838" w:orient="portrait"/>
          <w:cols w:equalWidth="0" w:num="1">
            <w:col w:w="11240"/>
          </w:cols>
          <w:pgMar w:left="320" w:top="890" w:right="339" w:bottom="1440" w:gutter="0" w:footer="0" w:header="0"/>
        </w:sectPr>
      </w:pPr>
    </w:p>
    <w:p>
      <w:pPr>
        <w:spacing w:after="0" w:line="117"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Specified items impacted results as follows: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reported (GAAP)</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for specified items: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 asset amortization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Acquisition and integration costs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Milestones and other R&amp;D expenses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Acquired IPR&amp;D</w:t>
      </w:r>
    </w:p>
    <w:p>
      <w:pPr>
        <w:spacing w:after="0" w:line="23" w:lineRule="exact"/>
        <w:rPr>
          <w:sz w:val="20"/>
          <w:szCs w:val="20"/>
          <w:color w:val="auto"/>
        </w:rPr>
      </w:pPr>
    </w:p>
    <w:p>
      <w:pPr>
        <w:ind w:left="140" w:right="2000"/>
        <w:spacing w:after="0" w:line="261" w:lineRule="auto"/>
        <w:rPr>
          <w:sz w:val="20"/>
          <w:szCs w:val="20"/>
          <w:color w:val="auto"/>
        </w:rPr>
      </w:pPr>
      <w:r>
        <w:rPr>
          <w:rFonts w:ascii="Arial" w:cs="Arial" w:eastAsia="Arial" w:hAnsi="Arial"/>
          <w:sz w:val="18"/>
          <w:szCs w:val="18"/>
          <w:color w:val="auto"/>
        </w:rPr>
        <w:t>Change in fair value of contingent consideration Other</w:t>
      </w:r>
    </w:p>
    <w:p>
      <w:pPr>
        <w:ind w:left="20"/>
        <w:spacing w:after="0"/>
        <w:rPr>
          <w:sz w:val="20"/>
          <w:szCs w:val="20"/>
          <w:color w:val="auto"/>
        </w:rPr>
      </w:pPr>
      <w:r>
        <w:rPr>
          <w:rFonts w:ascii="Arial" w:cs="Arial" w:eastAsia="Arial" w:hAnsi="Arial"/>
          <w:sz w:val="18"/>
          <w:szCs w:val="18"/>
          <w:b w:val="1"/>
          <w:bCs w:val="1"/>
          <w:color w:val="auto"/>
        </w:rPr>
        <w:t>As adjusted (non-GAAP)</w:t>
      </w:r>
    </w:p>
    <w:p>
      <w:pPr>
        <w:spacing w:after="0" w:line="139"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Represents net earnings attributable to AbbVie Inc.</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6M20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9"/>
              </w:rPr>
              <w:t>Diluted</w:t>
            </w:r>
          </w:p>
        </w:tc>
      </w:tr>
      <w:tr>
        <w:trPr>
          <w:trHeight w:val="223"/>
        </w:trPr>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Pre-tax</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line="223" w:lineRule="exact"/>
              <w:rPr>
                <w:sz w:val="20"/>
                <w:szCs w:val="20"/>
                <w:color w:val="auto"/>
              </w:rPr>
            </w:pPr>
            <w:r>
              <w:rPr>
                <w:rFonts w:ascii="Arial" w:cs="Arial" w:eastAsia="Arial" w:hAnsi="Arial"/>
                <w:sz w:val="18"/>
                <w:szCs w:val="18"/>
                <w:color w:val="auto"/>
                <w:w w:val="99"/>
              </w:rPr>
              <w:t>After-tax</w:t>
            </w:r>
            <w:r>
              <w:rPr>
                <w:rFonts w:ascii="Arial" w:cs="Arial" w:eastAsia="Arial" w:hAnsi="Arial"/>
                <w:sz w:val="23"/>
                <w:szCs w:val="23"/>
                <w:color w:val="auto"/>
                <w:w w:val="99"/>
                <w:vertAlign w:val="superscript"/>
              </w:rPr>
              <w:t>a</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EPS</w:t>
            </w:r>
          </w:p>
        </w:tc>
      </w:tr>
      <w:tr>
        <w:trPr>
          <w:trHeight w:val="232"/>
        </w:trPr>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2,405</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2,272</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center"/>
              <w:ind w:left="570"/>
              <w:spacing w:after="0"/>
              <w:rPr>
                <w:sz w:val="20"/>
                <w:szCs w:val="20"/>
                <w:color w:val="auto"/>
              </w:rPr>
            </w:pPr>
            <w:r>
              <w:rPr>
                <w:rFonts w:ascii="Arial" w:cs="Arial" w:eastAsia="Arial" w:hAnsi="Arial"/>
                <w:sz w:val="18"/>
                <w:szCs w:val="18"/>
                <w:b w:val="1"/>
                <w:bCs w:val="1"/>
                <w:color w:val="auto"/>
              </w:rPr>
              <w:t>1.43</w:t>
            </w:r>
          </w:p>
        </w:tc>
      </w:tr>
      <w:tr>
        <w:trPr>
          <w:trHeight w:val="450"/>
        </w:trPr>
        <w:tc>
          <w:tcPr>
            <w:tcW w:w="28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1,850</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1,561</w:t>
            </w:r>
          </w:p>
        </w:tc>
        <w:tc>
          <w:tcPr>
            <w:tcW w:w="380" w:type="dxa"/>
            <w:vAlign w:val="bottom"/>
          </w:tcPr>
          <w:p>
            <w:pPr>
              <w:spacing w:after="0"/>
              <w:rPr>
                <w:sz w:val="24"/>
                <w:szCs w:val="24"/>
                <w:color w:val="auto"/>
              </w:rPr>
            </w:pPr>
          </w:p>
        </w:tc>
        <w:tc>
          <w:tcPr>
            <w:tcW w:w="1180" w:type="dxa"/>
            <w:vAlign w:val="bottom"/>
          </w:tcPr>
          <w:p>
            <w:pPr>
              <w:jc w:val="center"/>
              <w:ind w:left="570"/>
              <w:spacing w:after="0"/>
              <w:rPr>
                <w:sz w:val="20"/>
                <w:szCs w:val="20"/>
                <w:color w:val="auto"/>
              </w:rPr>
            </w:pPr>
            <w:r>
              <w:rPr>
                <w:rFonts w:ascii="Arial" w:cs="Arial" w:eastAsia="Arial" w:hAnsi="Arial"/>
                <w:sz w:val="18"/>
                <w:szCs w:val="18"/>
                <w:color w:val="auto"/>
              </w:rPr>
              <w:t>0.99</w:t>
            </w:r>
          </w:p>
        </w:tc>
      </w:tr>
      <w:tr>
        <w:trPr>
          <w:trHeight w:val="230"/>
        </w:trPr>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2,107</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1,942</w:t>
            </w:r>
          </w:p>
        </w:tc>
        <w:tc>
          <w:tcPr>
            <w:tcW w:w="380" w:type="dxa"/>
            <w:vAlign w:val="bottom"/>
          </w:tcPr>
          <w:p>
            <w:pPr>
              <w:spacing w:after="0"/>
              <w:rPr>
                <w:sz w:val="19"/>
                <w:szCs w:val="19"/>
                <w:color w:val="auto"/>
              </w:rPr>
            </w:pPr>
          </w:p>
        </w:tc>
        <w:tc>
          <w:tcPr>
            <w:tcW w:w="1180" w:type="dxa"/>
            <w:vAlign w:val="bottom"/>
          </w:tcPr>
          <w:p>
            <w:pPr>
              <w:jc w:val="center"/>
              <w:ind w:left="570"/>
              <w:spacing w:after="0"/>
              <w:rPr>
                <w:sz w:val="20"/>
                <w:szCs w:val="20"/>
                <w:color w:val="auto"/>
              </w:rPr>
            </w:pPr>
            <w:r>
              <w:rPr>
                <w:rFonts w:ascii="Arial" w:cs="Arial" w:eastAsia="Arial" w:hAnsi="Arial"/>
                <w:sz w:val="18"/>
                <w:szCs w:val="18"/>
                <w:color w:val="auto"/>
              </w:rPr>
              <w:t>1.24</w:t>
            </w:r>
          </w:p>
        </w:tc>
      </w:tr>
      <w:tr>
        <w:trPr>
          <w:trHeight w:val="229"/>
        </w:trPr>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w:t>
            </w:r>
          </w:p>
        </w:tc>
        <w:tc>
          <w:tcPr>
            <w:tcW w:w="380" w:type="dxa"/>
            <w:vAlign w:val="bottom"/>
          </w:tcPr>
          <w:p>
            <w:pPr>
              <w:spacing w:after="0"/>
              <w:rPr>
                <w:sz w:val="19"/>
                <w:szCs w:val="19"/>
                <w:color w:val="auto"/>
              </w:rPr>
            </w:pPr>
          </w:p>
        </w:tc>
        <w:tc>
          <w:tcPr>
            <w:tcW w:w="1180" w:type="dxa"/>
            <w:vAlign w:val="bottom"/>
          </w:tcPr>
          <w:p>
            <w:pPr>
              <w:jc w:val="center"/>
              <w:ind w:left="570"/>
              <w:spacing w:after="0"/>
              <w:rPr>
                <w:sz w:val="20"/>
                <w:szCs w:val="20"/>
                <w:color w:val="auto"/>
              </w:rPr>
            </w:pPr>
            <w:r>
              <w:rPr>
                <w:rFonts w:ascii="Arial" w:cs="Arial" w:eastAsia="Arial" w:hAnsi="Arial"/>
                <w:sz w:val="18"/>
                <w:szCs w:val="18"/>
                <w:color w:val="auto"/>
              </w:rPr>
              <w:t>0.11</w:t>
            </w:r>
          </w:p>
        </w:tc>
      </w:tr>
      <w:tr>
        <w:trPr>
          <w:trHeight w:val="230"/>
        </w:trPr>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853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853</w:t>
            </w:r>
          </w:p>
        </w:tc>
        <w:tc>
          <w:tcPr>
            <w:tcW w:w="380" w:type="dxa"/>
            <w:vAlign w:val="bottom"/>
          </w:tcPr>
          <w:p>
            <w:pPr>
              <w:spacing w:after="0"/>
              <w:rPr>
                <w:sz w:val="19"/>
                <w:szCs w:val="19"/>
                <w:color w:val="auto"/>
              </w:rPr>
            </w:pPr>
          </w:p>
        </w:tc>
        <w:tc>
          <w:tcPr>
            <w:tcW w:w="1180" w:type="dxa"/>
            <w:vAlign w:val="bottom"/>
          </w:tcPr>
          <w:p>
            <w:pPr>
              <w:jc w:val="center"/>
              <w:ind w:left="570"/>
              <w:spacing w:after="0"/>
              <w:rPr>
                <w:sz w:val="20"/>
                <w:szCs w:val="20"/>
                <w:color w:val="auto"/>
              </w:rPr>
            </w:pPr>
            <w:r>
              <w:rPr>
                <w:rFonts w:ascii="Arial" w:cs="Arial" w:eastAsia="Arial" w:hAnsi="Arial"/>
                <w:sz w:val="18"/>
                <w:szCs w:val="18"/>
                <w:color w:val="auto"/>
              </w:rPr>
              <w:t>0.54</w:t>
            </w:r>
          </w:p>
        </w:tc>
      </w:tr>
      <w:tr>
        <w:trPr>
          <w:trHeight w:val="229"/>
        </w:trPr>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881</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881</w:t>
            </w:r>
          </w:p>
        </w:tc>
        <w:tc>
          <w:tcPr>
            <w:tcW w:w="380" w:type="dxa"/>
            <w:vAlign w:val="bottom"/>
          </w:tcPr>
          <w:p>
            <w:pPr>
              <w:spacing w:after="0"/>
              <w:rPr>
                <w:sz w:val="19"/>
                <w:szCs w:val="19"/>
                <w:color w:val="auto"/>
              </w:rPr>
            </w:pPr>
          </w:p>
        </w:tc>
        <w:tc>
          <w:tcPr>
            <w:tcW w:w="1180" w:type="dxa"/>
            <w:vAlign w:val="bottom"/>
          </w:tcPr>
          <w:p>
            <w:pPr>
              <w:jc w:val="center"/>
              <w:ind w:left="570"/>
              <w:spacing w:after="0"/>
              <w:rPr>
                <w:sz w:val="20"/>
                <w:szCs w:val="20"/>
                <w:color w:val="auto"/>
              </w:rPr>
            </w:pPr>
            <w:r>
              <w:rPr>
                <w:rFonts w:ascii="Arial" w:cs="Arial" w:eastAsia="Arial" w:hAnsi="Arial"/>
                <w:sz w:val="18"/>
                <w:szCs w:val="18"/>
                <w:color w:val="auto"/>
              </w:rPr>
              <w:t>0.56</w:t>
            </w:r>
          </w:p>
        </w:tc>
      </w:tr>
      <w:tr>
        <w:trPr>
          <w:trHeight w:val="229"/>
        </w:trPr>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7"/>
              </w:rPr>
              <w:t>(0.11)</w:t>
            </w: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8,398</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7,508</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rPr>
              <w:t>4.76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431" w:lineRule="exact"/>
        <w:rPr>
          <w:sz w:val="20"/>
          <w:szCs w:val="20"/>
          <w:color w:val="auto"/>
        </w:rPr>
      </w:pPr>
    </w:p>
    <w:p>
      <w:pPr>
        <w:sectPr>
          <w:pgSz w:w="11900" w:h="16838" w:orient="portrait"/>
          <w:cols w:equalWidth="0" w:num="2">
            <w:col w:w="5940" w:space="720"/>
            <w:col w:w="4580"/>
          </w:cols>
          <w:pgMar w:left="320" w:top="890" w:right="339" w:bottom="1440" w:gutter="0" w:footer="0" w:header="0"/>
          <w:type w:val="continuous"/>
        </w:sectPr>
      </w:pPr>
    </w:p>
    <w:p>
      <w:pPr>
        <w:spacing w:after="0" w:line="253" w:lineRule="auto"/>
        <w:rPr>
          <w:sz w:val="20"/>
          <w:szCs w:val="20"/>
          <w:color w:val="auto"/>
        </w:rPr>
      </w:pPr>
      <w:r>
        <w:rPr>
          <w:rFonts w:ascii="Arial" w:cs="Arial" w:eastAsia="Arial" w:hAnsi="Arial"/>
          <w:sz w:val="18"/>
          <w:szCs w:val="18"/>
          <w:color w:val="auto"/>
        </w:rPr>
        <w:t>Acquisition and integration costs reflect transaction, financing and integration costs related to the Allergan acquisition as well as the amortization of the acquisition date fair value step-up for inventory. Milestones and other R&amp;D expenses include milestone payments for previously announced collaborations and the purchase of an FDA priority review voucher from a third party. Acquired IPR&amp;D primarily reflects upfront payments related to R&amp;D collaborations and licensing arrangements with third parties. Other primarily includes the impacts of tax law changes and COVID-19 related charitable contributions and expenses.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2. The impact of the specified items by line item was as follows: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6M20</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182"/>
        </w:trPr>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70"/>
              <w:spacing w:after="0" w:line="182" w:lineRule="exact"/>
              <w:rPr>
                <w:sz w:val="20"/>
                <w:szCs w:val="20"/>
                <w:color w:val="auto"/>
              </w:rPr>
            </w:pPr>
            <w:r>
              <w:rPr>
                <w:rFonts w:ascii="Arial" w:cs="Arial" w:eastAsia="Arial" w:hAnsi="Arial"/>
                <w:sz w:val="18"/>
                <w:szCs w:val="18"/>
                <w:color w:val="auto"/>
              </w:rPr>
              <w:t>Cost of</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9"/>
              </w:rPr>
              <w:t>Interest</w:t>
            </w:r>
          </w:p>
        </w:tc>
        <w:tc>
          <w:tcPr>
            <w:tcW w:w="108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99"/>
              </w:rPr>
              <w:t>Net foreign</w:t>
            </w:r>
          </w:p>
        </w:tc>
        <w:tc>
          <w:tcPr>
            <w:tcW w:w="200" w:type="dxa"/>
            <w:vAlign w:val="bottom"/>
          </w:tcPr>
          <w:p>
            <w:pPr>
              <w:spacing w:after="0"/>
              <w:rPr>
                <w:sz w:val="15"/>
                <w:szCs w:val="15"/>
                <w:color w:val="auto"/>
              </w:rPr>
            </w:pPr>
          </w:p>
        </w:tc>
        <w:tc>
          <w:tcPr>
            <w:tcW w:w="88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97"/>
              </w:rPr>
              <w:t>Other</w:t>
            </w:r>
          </w:p>
        </w:tc>
      </w:tr>
      <w:tr>
        <w:trPr>
          <w:trHeight w:val="175"/>
        </w:trPr>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70"/>
              <w:spacing w:after="0" w:line="176" w:lineRule="exact"/>
              <w:rPr>
                <w:sz w:val="20"/>
                <w:szCs w:val="20"/>
                <w:color w:val="auto"/>
              </w:rPr>
            </w:pPr>
            <w:r>
              <w:rPr>
                <w:rFonts w:ascii="Arial" w:cs="Arial" w:eastAsia="Arial" w:hAnsi="Arial"/>
                <w:sz w:val="18"/>
                <w:szCs w:val="18"/>
                <w:color w:val="auto"/>
              </w:rPr>
              <w:t>products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8"/>
              </w:rPr>
              <w:t>Acquired</w:t>
            </w:r>
          </w:p>
        </w:tc>
        <w:tc>
          <w:tcPr>
            <w:tcW w:w="200" w:type="dxa"/>
            <w:vAlign w:val="bottom"/>
          </w:tcPr>
          <w:p>
            <w:pPr>
              <w:spacing w:after="0"/>
              <w:rPr>
                <w:sz w:val="15"/>
                <w:szCs w:val="15"/>
                <w:color w:val="auto"/>
              </w:rPr>
            </w:pPr>
          </w:p>
        </w:tc>
        <w:tc>
          <w:tcPr>
            <w:tcW w:w="920" w:type="dxa"/>
            <w:vAlign w:val="bottom"/>
          </w:tcPr>
          <w:p>
            <w:pPr>
              <w:jc w:val="center"/>
              <w:ind w:right="90"/>
              <w:spacing w:after="0" w:line="176" w:lineRule="exact"/>
              <w:rPr>
                <w:sz w:val="20"/>
                <w:szCs w:val="20"/>
                <w:color w:val="auto"/>
              </w:rPr>
            </w:pPr>
            <w:r>
              <w:rPr>
                <w:rFonts w:ascii="Arial" w:cs="Arial" w:eastAsia="Arial" w:hAnsi="Arial"/>
                <w:sz w:val="18"/>
                <w:szCs w:val="18"/>
                <w:color w:val="auto"/>
              </w:rPr>
              <w:t>expense,</w:t>
            </w:r>
          </w:p>
        </w:tc>
        <w:tc>
          <w:tcPr>
            <w:tcW w:w="108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9"/>
              </w:rPr>
              <w:t>exchange</w:t>
            </w:r>
          </w:p>
        </w:tc>
        <w:tc>
          <w:tcPr>
            <w:tcW w:w="200" w:type="dxa"/>
            <w:vAlign w:val="bottom"/>
          </w:tcPr>
          <w:p>
            <w:pPr>
              <w:spacing w:after="0"/>
              <w:rPr>
                <w:sz w:val="15"/>
                <w:szCs w:val="15"/>
                <w:color w:val="auto"/>
              </w:rPr>
            </w:pPr>
          </w:p>
        </w:tc>
        <w:tc>
          <w:tcPr>
            <w:tcW w:w="8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8"/>
              </w:rPr>
              <w:t>expense,</w:t>
            </w:r>
          </w:p>
        </w:tc>
      </w:tr>
      <w:tr>
        <w:trPr>
          <w:trHeight w:val="217"/>
        </w:trPr>
        <w:tc>
          <w:tcPr>
            <w:tcW w:w="3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rPr>
              <w:t>sold</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SG&amp;A</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R&amp;D</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8"/>
              </w:rPr>
              <w:t>IPR&amp;D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rPr>
              <w:t>net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9"/>
              </w:rPr>
              <w:t>loss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5"/>
              </w:rPr>
              <w:t>net</w:t>
            </w:r>
          </w:p>
        </w:tc>
      </w:tr>
      <w:tr>
        <w:trPr>
          <w:trHeight w:val="232"/>
        </w:trPr>
        <w:tc>
          <w:tcPr>
            <w:tcW w:w="364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5,653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5,222</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2,961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853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1,042</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34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874</w:t>
            </w:r>
          </w:p>
        </w:tc>
      </w:tr>
      <w:tr>
        <w:trPr>
          <w:trHeight w:val="220"/>
        </w:trPr>
        <w:tc>
          <w:tcPr>
            <w:tcW w:w="3640" w:type="dxa"/>
            <w:vAlign w:val="bottom"/>
          </w:tcPr>
          <w:p>
            <w:pPr>
              <w:spacing w:after="0"/>
              <w:rPr>
                <w:sz w:val="20"/>
                <w:szCs w:val="20"/>
                <w:color w:val="auto"/>
              </w:rPr>
            </w:pPr>
            <w:r>
              <w:rPr>
                <w:rFonts w:ascii="Arial" w:cs="Arial" w:eastAsia="Arial" w:hAnsi="Arial"/>
                <w:sz w:val="18"/>
                <w:szCs w:val="18"/>
                <w:color w:val="auto"/>
              </w:rPr>
              <w:t>Adjusted for specified items: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3640" w:type="dxa"/>
            <w:vAlign w:val="bottom"/>
          </w:tcPr>
          <w:p>
            <w:pPr>
              <w:ind w:left="120"/>
              <w:spacing w:after="0"/>
              <w:rPr>
                <w:sz w:val="20"/>
                <w:szCs w:val="20"/>
                <w:color w:val="auto"/>
              </w:rPr>
            </w:pPr>
            <w:r>
              <w:rPr>
                <w:rFonts w:ascii="Arial" w:cs="Arial" w:eastAsia="Arial" w:hAnsi="Arial"/>
                <w:sz w:val="18"/>
                <w:szCs w:val="18"/>
                <w:color w:val="auto"/>
              </w:rPr>
              <w:t>Intangible asset amortization</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(1,850)</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Acquisition and integration costs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(1,186)</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Milestones and other R&amp;D expenses</w:t>
            </w:r>
          </w:p>
        </w:tc>
        <w:tc>
          <w:tcPr>
            <w:tcW w:w="1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Acquired IPR&amp;D</w:t>
            </w:r>
          </w:p>
        </w:tc>
        <w:tc>
          <w:tcPr>
            <w:tcW w:w="1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(853)</w:t>
            </w:r>
          </w:p>
        </w:tc>
        <w:tc>
          <w:tcPr>
            <w:tcW w:w="20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3640" w:type="dxa"/>
            <w:vAlign w:val="bottom"/>
          </w:tcPr>
          <w:p>
            <w:pPr>
              <w:ind w:left="120"/>
              <w:spacing w:after="0" w:line="189" w:lineRule="exact"/>
              <w:rPr>
                <w:sz w:val="20"/>
                <w:szCs w:val="20"/>
                <w:color w:val="auto"/>
              </w:rPr>
            </w:pPr>
            <w:r>
              <w:rPr>
                <w:rFonts w:ascii="Arial" w:cs="Arial" w:eastAsia="Arial" w:hAnsi="Arial"/>
                <w:sz w:val="18"/>
                <w:szCs w:val="18"/>
                <w:color w:val="auto"/>
              </w:rPr>
              <w:t>Change in fair value of contingent</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7"/>
        </w:trPr>
        <w:tc>
          <w:tcPr>
            <w:tcW w:w="3640" w:type="dxa"/>
            <w:vAlign w:val="bottom"/>
          </w:tcPr>
          <w:p>
            <w:pPr>
              <w:ind w:left="280"/>
              <w:spacing w:after="0"/>
              <w:rPr>
                <w:sz w:val="20"/>
                <w:szCs w:val="20"/>
                <w:color w:val="auto"/>
              </w:rPr>
            </w:pPr>
            <w:r>
              <w:rPr>
                <w:rFonts w:ascii="Arial" w:cs="Arial" w:eastAsia="Arial" w:hAnsi="Arial"/>
                <w:sz w:val="18"/>
                <w:szCs w:val="18"/>
                <w:color w:val="auto"/>
              </w:rPr>
              <w:t>consideration</w:t>
            </w: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(881)</w:t>
            </w:r>
          </w:p>
        </w:tc>
      </w:tr>
      <w:tr>
        <w:trPr>
          <w:trHeight w:val="229"/>
        </w:trPr>
        <w:tc>
          <w:tcPr>
            <w:tcW w:w="3640" w:type="dxa"/>
            <w:vAlign w:val="bottom"/>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6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3,290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3,991</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2,566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768</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r>
      <w:tr>
        <w:trPr>
          <w:trHeight w:val="20"/>
        </w:trPr>
        <w:tc>
          <w:tcPr>
            <w:tcW w:w="3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3. The adjusted tax rate for the first six months of 2020 was 10.6 percent, as detailed below:</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5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6M20</w:t>
            </w: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As reported (GAAP)</w:t>
            </w: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Pre-tax earnings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Income taxes</w:t>
            </w: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Tax rate</w:t>
            </w:r>
          </w:p>
        </w:tc>
        <w:tc>
          <w:tcPr>
            <w:tcW w:w="0" w:type="dxa"/>
            <w:vAlign w:val="bottom"/>
          </w:tcPr>
          <w:p>
            <w:pPr>
              <w:spacing w:after="0"/>
              <w:rPr>
                <w:sz w:val="1"/>
                <w:szCs w:val="1"/>
                <w:color w:val="auto"/>
              </w:rPr>
            </w:pPr>
          </w:p>
        </w:tc>
      </w:tr>
      <w:tr>
        <w:trPr>
          <w:trHeight w:val="232"/>
        </w:trPr>
        <w:tc>
          <w:tcPr>
            <w:tcW w:w="6540" w:type="dxa"/>
            <w:vAlign w:val="bottom"/>
            <w:vMerge w:val="continue"/>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2,405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134</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5.6 %</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20"/>
                <w:szCs w:val="20"/>
                <w:color w:val="auto"/>
              </w:rPr>
            </w:pPr>
            <w:r>
              <w:rPr>
                <w:rFonts w:ascii="Arial" w:cs="Arial" w:eastAsia="Arial" w:hAnsi="Arial"/>
                <w:sz w:val="18"/>
                <w:szCs w:val="18"/>
                <w:color w:val="auto"/>
              </w:rPr>
              <w:t>Specified items</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5,993</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757</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8,398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891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10.6 %</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w:t>
      </w:r>
    </w:p>
    <w:sectPr>
      <w:pgSz w:w="11900" w:h="16838" w:orient="portrait"/>
      <w:cols w:equalWidth="0" w:num="1">
        <w:col w:w="11240"/>
      </w:cols>
      <w:pgMar w:left="320" w:top="89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lvl w:ilvl="1">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a"/>
      <w:numFmt w:val="bullet"/>
      <w:start w:val="1"/>
    </w:lvl>
  </w:abstractNum>
  <w:abstractNum w:abstractNumId="7">
    <w:nsid w:val="1BEFD79F"/>
    <w:multiLevelType w:val="hybridMultilevel"/>
    <w:lvl w:ilvl="0">
      <w:lvlJc w:val="left"/>
      <w:lvlText w:val="b"/>
      <w:numFmt w:val="bullet"/>
      <w:start w:val="1"/>
    </w:lvl>
  </w:abstractNum>
  <w:abstractNum w:abstractNumId="8">
    <w:nsid w:val="41A7C4C9"/>
    <w:multiLevelType w:val="hybridMultilevel"/>
    <w:lvl w:ilvl="0">
      <w:lvlJc w:val="left"/>
      <w:lvlText w:val="c"/>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a"/>
      <w:numFmt w:val="bullet"/>
      <w:start w:val="1"/>
    </w:lvl>
  </w:abstractNum>
  <w:abstractNum w:abstractNumId="11">
    <w:nsid w:val="25E45D32"/>
    <w:multiLevelType w:val="hybridMultilevel"/>
    <w:lvl w:ilvl="0">
      <w:lvlJc w:val="left"/>
      <w:lvlText w:val="b"/>
      <w:numFmt w:val="bullet"/>
      <w:start w:val="1"/>
    </w:lvl>
  </w:abstractNum>
  <w:abstractNum w:abstractNumId="12">
    <w:nsid w:val="519B500D"/>
    <w:multiLevelType w:val="hybridMultilevel"/>
    <w:lvl w:ilvl="0">
      <w:lvlJc w:val="left"/>
      <w:lvlText w:val="c"/>
      <w:numFmt w:val="bullet"/>
      <w:start w:val="1"/>
    </w:lvl>
  </w:abstractNum>
  <w:abstractNum w:abstractNumId="13">
    <w:nsid w:val="431BD7B7"/>
    <w:multiLevelType w:val="hybridMultilevel"/>
    <w:lvl w:ilvl="0">
      <w:lvlJc w:val="left"/>
      <w:lvlText w:val="d"/>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a"/>
      <w:numFmt w:val="bullet"/>
      <w:start w:val="1"/>
    </w:lvl>
  </w:abstractNum>
  <w:abstractNum w:abstractNumId="16">
    <w:nsid w:val="257130A3"/>
    <w:multiLevelType w:val="hybridMultilevel"/>
    <w:lvl w:ilvl="0">
      <w:lvlJc w:val="left"/>
      <w:lvlText w:val="a"/>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a"/>
      <w:numFmt w:val="bullet"/>
      <w:start w:val="1"/>
    </w:lvl>
  </w:abstractNum>
  <w:abstractNum w:abstractNumId="19">
    <w:nsid w:val="628C895D"/>
    <w:multiLevelType w:val="hybridMultilevel"/>
    <w:lvl w:ilvl="0">
      <w:lvlJc w:val="left"/>
      <w:lvlText w:val="a"/>
      <w:numFmt w:val="bullet"/>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2021-07-30T07:30:02Z</dcterms:created>
  <dcterms:modified xsi:type="dcterms:W3CDTF">2021-07-30T07:30:02Z</dcterms:modified>
</cp:coreProperties>
</file>