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4"/>
          <w:szCs w:val="24"/>
          <w:color w:val="auto"/>
        </w:rPr>
      </w:pPr>
    </w:p>
    <w:p>
      <w:pPr>
        <w:spacing w:after="0" w:line="293"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UNITED STATES</w:t>
      </w:r>
    </w:p>
    <w:p>
      <w:pPr>
        <w:spacing w:after="0" w:line="17"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SECURITIES AND EXCHANGE COMMISSION</w:t>
      </w:r>
    </w:p>
    <w:p>
      <w:pPr>
        <w:spacing w:after="0" w:line="1"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ind w:right="-440"/>
        <w:spacing w:after="0"/>
        <w:rPr>
          <w:sz w:val="20"/>
          <w:szCs w:val="20"/>
          <w:color w:val="auto"/>
        </w:rPr>
      </w:pPr>
      <w:r>
        <w:rPr>
          <w:rFonts w:ascii="Arial" w:cs="Arial" w:eastAsia="Arial" w:hAnsi="Arial"/>
          <w:sz w:val="21"/>
          <w:szCs w:val="21"/>
          <w:b w:val="1"/>
          <w:bCs w:val="1"/>
          <w:color w:val="auto"/>
        </w:rPr>
        <w:t>SCHEDULE 14A</w:t>
      </w:r>
    </w:p>
    <w:p>
      <w:pPr>
        <w:spacing w:after="0" w:line="215"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Proxy Statement Pursuant to Section 14(a) of</w:t>
      </w:r>
    </w:p>
    <w:p>
      <w:pPr>
        <w:spacing w:after="0" w:line="17"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the Securities Exchange Act of 1934</w:t>
      </w:r>
    </w:p>
    <w:p>
      <w:pPr>
        <w:spacing w:after="0" w:line="158"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Filed by the Registrant </w:t>
      </w:r>
      <w:r>
        <w:rPr>
          <w:rFonts w:ascii="Arial Unicode MS" w:cs="Arial Unicode MS" w:eastAsia="Arial Unicode MS" w:hAnsi="Arial Unicode MS"/>
          <w:sz w:val="16"/>
          <w:szCs w:val="16"/>
          <w:color w:val="auto"/>
        </w:rPr>
        <w:t>⌧</w:t>
      </w:r>
    </w:p>
    <w:p>
      <w:pPr>
        <w:spacing w:after="0" w:line="81"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Filed by a Party other than the Registrant </w:t>
      </w:r>
      <w:r>
        <w:rPr>
          <w:rFonts w:ascii="Arial Unicode MS" w:cs="Arial Unicode MS" w:eastAsia="Arial Unicode MS" w:hAnsi="Arial Unicode MS"/>
          <w:sz w:val="16"/>
          <w:szCs w:val="16"/>
          <w:color w:val="auto"/>
        </w:rPr>
        <w:t>☐</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62" w:lineRule="exact"/>
        <w:rPr>
          <w:sz w:val="24"/>
          <w:szCs w:val="24"/>
          <w:color w:val="auto"/>
        </w:rPr>
      </w:pPr>
    </w:p>
    <w:p>
      <w:pPr>
        <w:ind w:left="500" w:hanging="500"/>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24" w:lineRule="exact"/>
        <w:rPr>
          <w:rFonts w:ascii="Arial" w:cs="Arial" w:eastAsia="Arial" w:hAnsi="Arial"/>
          <w:sz w:val="16"/>
          <w:szCs w:val="16"/>
          <w:color w:val="auto"/>
        </w:rPr>
      </w:pPr>
    </w:p>
    <w:p>
      <w:pPr>
        <w:ind w:left="500" w:hanging="500"/>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9"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Definitive Proxy Statement</w:t>
      </w:r>
    </w:p>
    <w:p>
      <w:pPr>
        <w:spacing w:after="0" w:line="19" w:lineRule="exact"/>
        <w:rPr>
          <w:rFonts w:ascii="Arial" w:cs="Arial" w:eastAsia="Arial" w:hAnsi="Arial"/>
          <w:sz w:val="16"/>
          <w:szCs w:val="16"/>
          <w:color w:val="auto"/>
        </w:rPr>
      </w:pPr>
    </w:p>
    <w:p>
      <w:pPr>
        <w:ind w:left="500" w:hanging="500"/>
        <w:spacing w:after="0" w:line="237"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22" w:lineRule="exact"/>
        <w:rPr>
          <w:rFonts w:ascii="Arial" w:cs="Arial" w:eastAsia="Arial" w:hAnsi="Arial"/>
          <w:sz w:val="16"/>
          <w:szCs w:val="16"/>
          <w:color w:val="auto"/>
        </w:rPr>
      </w:pPr>
    </w:p>
    <w:p>
      <w:pPr>
        <w:ind w:left="500" w:hanging="500"/>
        <w:spacing w:after="0" w:line="237"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215"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AbbVie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3004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0470" cy="7620"/>
                    </a:xfrm>
                    <a:prstGeom prst="rect">
                      <a:avLst/>
                    </a:prstGeom>
                    <a:noFill/>
                  </pic:spPr>
                </pic:pic>
              </a:graphicData>
            </a:graphic>
          </wp:anchor>
        </w:drawing>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(Name of Registrant as Specified In Its Charter)</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63004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0470" cy="762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5" w:lineRule="exact"/>
        <w:rPr>
          <w:sz w:val="24"/>
          <w:szCs w:val="24"/>
          <w:color w:val="auto"/>
        </w:rPr>
      </w:pPr>
    </w:p>
    <w:p>
      <w:pPr>
        <w:ind w:left="520" w:hanging="520"/>
        <w:spacing w:after="0"/>
        <w:tabs>
          <w:tab w:leader="none" w:pos="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fee required.</w:t>
      </w:r>
    </w:p>
    <w:p>
      <w:pPr>
        <w:ind w:left="520" w:hanging="520"/>
        <w:spacing w:after="0" w:line="234"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42" w:lineRule="exact"/>
        <w:rPr>
          <w:rFonts w:ascii="Arial" w:cs="Arial" w:eastAsia="Arial" w:hAnsi="Arial"/>
          <w:sz w:val="16"/>
          <w:szCs w:val="16"/>
          <w:color w:val="auto"/>
        </w:rPr>
      </w:pPr>
    </w:p>
    <w:p>
      <w:pPr>
        <w:ind w:left="520" w:hanging="520"/>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796925</wp:posOffset>
            </wp:positionV>
            <wp:extent cx="630047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0470" cy="15875"/>
                    </a:xfrm>
                    <a:prstGeom prst="rect">
                      <a:avLst/>
                    </a:prstGeom>
                    <a:noFill/>
                  </pic:spPr>
                </pic:pic>
              </a:graphicData>
            </a:graphic>
          </wp:anchor>
        </w:drawing>
      </w:r>
    </w:p>
    <w:p>
      <w:pPr>
        <w:sectPr>
          <w:pgSz w:w="11900" w:h="16838" w:orient="portrait"/>
          <w:cols w:equalWidth="0" w:num="1">
            <w:col w:w="9479"/>
          </w:cols>
          <w:pgMar w:left="980" w:top="615"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EE"/>
        </w:rPr>
        <w:t>Table of Contents</w:t>
      </w:r>
    </w:p>
    <w:p>
      <w:pPr>
        <w:spacing w:after="0" w:line="393" w:lineRule="exact"/>
        <w:rPr>
          <w:sz w:val="20"/>
          <w:szCs w:val="20"/>
          <w:color w:val="auto"/>
        </w:rPr>
      </w:pPr>
    </w:p>
    <w:p>
      <w:pPr>
        <w:spacing w:after="0"/>
        <w:rPr>
          <w:sz w:val="20"/>
          <w:szCs w:val="20"/>
          <w:color w:val="auto"/>
        </w:rPr>
      </w:pPr>
      <w:r>
        <w:rPr>
          <w:rFonts w:ascii="Arial" w:cs="Arial" w:eastAsia="Arial" w:hAnsi="Arial"/>
          <w:sz w:val="33"/>
          <w:szCs w:val="33"/>
          <w:b w:val="1"/>
          <w:bCs w:val="1"/>
          <w:color w:val="808080"/>
        </w:rPr>
        <w:t xml:space="preserve">Notice of </w:t>
      </w:r>
      <w:r>
        <w:rPr>
          <w:rFonts w:ascii="Arial" w:cs="Arial" w:eastAsia="Arial" w:hAnsi="Arial"/>
          <w:sz w:val="36"/>
          <w:szCs w:val="36"/>
          <w:b w:val="1"/>
          <w:bCs w:val="1"/>
          <w:color w:val="071D49"/>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4379595</wp:posOffset>
            </wp:positionH>
            <wp:positionV relativeFrom="paragraph">
              <wp:posOffset>14605</wp:posOffset>
            </wp:positionV>
            <wp:extent cx="1922780" cy="344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2780" cy="34417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33"/>
          <w:szCs w:val="33"/>
          <w:b w:val="1"/>
          <w:bCs w:val="1"/>
          <w:color w:val="808080"/>
        </w:rPr>
        <w:t>Annual Meeting</w:t>
      </w:r>
    </w:p>
    <w:p>
      <w:pPr>
        <w:spacing w:after="0" w:line="2" w:lineRule="exact"/>
        <w:rPr>
          <w:sz w:val="20"/>
          <w:szCs w:val="20"/>
          <w:color w:val="auto"/>
        </w:rPr>
      </w:pPr>
    </w:p>
    <w:p>
      <w:pPr>
        <w:spacing w:after="0"/>
        <w:rPr>
          <w:sz w:val="20"/>
          <w:szCs w:val="20"/>
          <w:color w:val="auto"/>
        </w:rPr>
      </w:pPr>
      <w:r>
        <w:rPr>
          <w:rFonts w:ascii="Arial" w:cs="Arial" w:eastAsia="Arial" w:hAnsi="Arial"/>
          <w:sz w:val="33"/>
          <w:szCs w:val="33"/>
          <w:b w:val="1"/>
          <w:bCs w:val="1"/>
          <w:color w:val="808080"/>
        </w:rPr>
        <w:t>of Stockholders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the stockholders of our company:</w:t>
      </w:r>
    </w:p>
    <w:p>
      <w:pPr>
        <w:spacing w:after="0" w:line="124" w:lineRule="exact"/>
        <w:rPr>
          <w:sz w:val="20"/>
          <w:szCs w:val="20"/>
          <w:color w:val="auto"/>
        </w:rPr>
      </w:pPr>
    </w:p>
    <w:p>
      <w:pPr>
        <w:ind w:right="220"/>
        <w:spacing w:after="0" w:line="267" w:lineRule="auto"/>
        <w:rPr>
          <w:sz w:val="20"/>
          <w:szCs w:val="20"/>
          <w:color w:val="auto"/>
        </w:rPr>
      </w:pPr>
      <w:r>
        <w:rPr>
          <w:rFonts w:ascii="Arial" w:cs="Arial" w:eastAsia="Arial" w:hAnsi="Arial"/>
          <w:sz w:val="16"/>
          <w:szCs w:val="16"/>
          <w:color w:val="auto"/>
        </w:rPr>
        <w:t xml:space="preserve">You are cordially invited to attend the 2026 Annual Meeting of Stockholders to be held on May 8, 2026, where we will be voting on the below matters. You will be able to attend the Annual Meeting, vote, and submit questions via live webcast by visiting </w:t>
      </w:r>
      <w:r>
        <w:rPr>
          <w:rFonts w:ascii="Arial" w:cs="Arial" w:eastAsia="Arial" w:hAnsi="Arial"/>
          <w:sz w:val="16"/>
          <w:szCs w:val="16"/>
          <w:b w:val="1"/>
          <w:bCs w:val="1"/>
          <w:color w:val="071D49"/>
        </w:rPr>
        <w:t>www.virtualshareholdermeeting.com/ABBV2026</w:t>
      </w:r>
      <w:r>
        <w:rPr>
          <w:rFonts w:ascii="Arial" w:cs="Arial" w:eastAsia="Arial" w:hAnsi="Arial"/>
          <w:sz w:val="16"/>
          <w:szCs w:val="16"/>
          <w:color w:val="000000"/>
        </w:rPr>
        <w: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Items of business</w:t>
      </w:r>
    </w:p>
    <w:p>
      <w:pPr>
        <w:spacing w:after="0" w:line="99" w:lineRule="exact"/>
        <w:rPr>
          <w:sz w:val="20"/>
          <w:szCs w:val="20"/>
          <w:color w:val="auto"/>
        </w:rPr>
      </w:pPr>
    </w:p>
    <w:p>
      <w:pPr>
        <w:ind w:left="620" w:hanging="300"/>
        <w:spacing w:after="0"/>
        <w:tabs>
          <w:tab w:leader="none" w:pos="620" w:val="left"/>
        </w:tabs>
        <w:numPr>
          <w:ilvl w:val="0"/>
          <w:numId w:val="4"/>
        </w:numPr>
        <w:rPr>
          <w:rFonts w:ascii="Times New Roman" w:cs="Times New Roman" w:eastAsia="Times New Roman" w:hAnsi="Times New Roman"/>
          <w:sz w:val="16"/>
          <w:szCs w:val="16"/>
          <w:color w:val="071D49"/>
        </w:rPr>
      </w:pPr>
      <w:r>
        <w:rPr>
          <w:rFonts w:ascii="Arial" w:cs="Arial" w:eastAsia="Arial" w:hAnsi="Arial"/>
          <w:sz w:val="16"/>
          <w:szCs w:val="16"/>
          <w:color w:val="auto"/>
        </w:rPr>
        <w:t>To elect four directors to hold office until the 2029 Annual Meeting or until their successors are elected.</w:t>
      </w:r>
    </w:p>
    <w:p>
      <w:pPr>
        <w:spacing w:after="0" w:line="73" w:lineRule="exact"/>
        <w:rPr>
          <w:rFonts w:ascii="Times New Roman" w:cs="Times New Roman" w:eastAsia="Times New Roman" w:hAnsi="Times New Roman"/>
          <w:sz w:val="16"/>
          <w:szCs w:val="16"/>
          <w:color w:val="071D49"/>
        </w:rPr>
      </w:pPr>
    </w:p>
    <w:p>
      <w:pPr>
        <w:ind w:left="620" w:hanging="300"/>
        <w:spacing w:after="0"/>
        <w:tabs>
          <w:tab w:leader="none" w:pos="620" w:val="left"/>
        </w:tabs>
        <w:numPr>
          <w:ilvl w:val="0"/>
          <w:numId w:val="4"/>
        </w:numPr>
        <w:rPr>
          <w:rFonts w:ascii="Times New Roman" w:cs="Times New Roman" w:eastAsia="Times New Roman" w:hAnsi="Times New Roman"/>
          <w:sz w:val="16"/>
          <w:szCs w:val="16"/>
          <w:color w:val="071D49"/>
        </w:rPr>
      </w:pPr>
      <w:r>
        <w:rPr>
          <w:rFonts w:ascii="Arial" w:cs="Arial" w:eastAsia="Arial" w:hAnsi="Arial"/>
          <w:sz w:val="16"/>
          <w:szCs w:val="16"/>
          <w:color w:val="auto"/>
        </w:rPr>
        <w:t>To ratify the appointment of Ernst &amp; Young LLP as AbbVie’s independent registered public accounting firm for 2026.</w:t>
      </w:r>
    </w:p>
    <w:p>
      <w:pPr>
        <w:spacing w:after="0" w:line="86" w:lineRule="exact"/>
        <w:rPr>
          <w:rFonts w:ascii="Times New Roman" w:cs="Times New Roman" w:eastAsia="Times New Roman" w:hAnsi="Times New Roman"/>
          <w:sz w:val="16"/>
          <w:szCs w:val="16"/>
          <w:color w:val="071D49"/>
        </w:rPr>
      </w:pPr>
    </w:p>
    <w:p>
      <w:pPr>
        <w:ind w:left="620" w:hanging="300"/>
        <w:spacing w:after="0"/>
        <w:tabs>
          <w:tab w:leader="none" w:pos="620" w:val="left"/>
        </w:tabs>
        <w:numPr>
          <w:ilvl w:val="0"/>
          <w:numId w:val="4"/>
        </w:numPr>
        <w:rPr>
          <w:rFonts w:ascii="Times New Roman" w:cs="Times New Roman" w:eastAsia="Times New Roman" w:hAnsi="Times New Roman"/>
          <w:sz w:val="16"/>
          <w:szCs w:val="16"/>
          <w:color w:val="071D49"/>
        </w:rPr>
      </w:pPr>
      <w:r>
        <w:rPr>
          <w:rFonts w:ascii="Arial" w:cs="Arial" w:eastAsia="Arial" w:hAnsi="Arial"/>
          <w:sz w:val="16"/>
          <w:szCs w:val="16"/>
          <w:color w:val="auto"/>
        </w:rPr>
        <w:t>To vote on an advisory basis on the approval of executive compensation.</w:t>
      </w:r>
    </w:p>
    <w:p>
      <w:pPr>
        <w:spacing w:after="0" w:line="73" w:lineRule="exact"/>
        <w:rPr>
          <w:rFonts w:ascii="Times New Roman" w:cs="Times New Roman" w:eastAsia="Times New Roman" w:hAnsi="Times New Roman"/>
          <w:sz w:val="16"/>
          <w:szCs w:val="16"/>
          <w:color w:val="071D49"/>
        </w:rPr>
      </w:pPr>
    </w:p>
    <w:p>
      <w:pPr>
        <w:ind w:left="620" w:hanging="300"/>
        <w:spacing w:after="0"/>
        <w:tabs>
          <w:tab w:leader="none" w:pos="620" w:val="left"/>
        </w:tabs>
        <w:numPr>
          <w:ilvl w:val="0"/>
          <w:numId w:val="4"/>
        </w:numPr>
        <w:rPr>
          <w:rFonts w:ascii="Times New Roman" w:cs="Times New Roman" w:eastAsia="Times New Roman" w:hAnsi="Times New Roman"/>
          <w:sz w:val="16"/>
          <w:szCs w:val="16"/>
          <w:color w:val="071D49"/>
        </w:rPr>
      </w:pPr>
      <w:r>
        <w:rPr>
          <w:rFonts w:ascii="Arial" w:cs="Arial" w:eastAsia="Arial" w:hAnsi="Arial"/>
          <w:sz w:val="16"/>
          <w:szCs w:val="16"/>
          <w:color w:val="auto"/>
        </w:rPr>
        <w:t>To vote on a management proposal to eliminate supermajority voting.</w:t>
      </w:r>
    </w:p>
    <w:p>
      <w:pPr>
        <w:spacing w:after="0" w:line="73" w:lineRule="exact"/>
        <w:rPr>
          <w:rFonts w:ascii="Times New Roman" w:cs="Times New Roman" w:eastAsia="Times New Roman" w:hAnsi="Times New Roman"/>
          <w:sz w:val="16"/>
          <w:szCs w:val="16"/>
          <w:color w:val="071D49"/>
        </w:rPr>
      </w:pPr>
    </w:p>
    <w:p>
      <w:pPr>
        <w:ind w:left="620" w:right="380" w:hanging="300"/>
        <w:spacing w:after="0" w:line="282" w:lineRule="auto"/>
        <w:tabs>
          <w:tab w:leader="none" w:pos="620" w:val="left"/>
        </w:tabs>
        <w:numPr>
          <w:ilvl w:val="0"/>
          <w:numId w:val="4"/>
        </w:numPr>
        <w:rPr>
          <w:rFonts w:ascii="Times New Roman" w:cs="Times New Roman" w:eastAsia="Times New Roman" w:hAnsi="Times New Roman"/>
          <w:sz w:val="16"/>
          <w:szCs w:val="16"/>
          <w:color w:val="071D49"/>
        </w:rPr>
      </w:pPr>
      <w:r>
        <w:rPr>
          <w:rFonts w:ascii="Arial" w:cs="Arial" w:eastAsia="Arial" w:hAnsi="Arial"/>
          <w:sz w:val="16"/>
          <w:szCs w:val="16"/>
          <w:color w:val="auto"/>
        </w:rPr>
        <w:t>To consider any other matters that may properly come before the meeting, including one stockholder proposal, if presented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6300470" cy="371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0470" cy="3712845"/>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71D49"/>
        </w:rPr>
        <w:t>Your vote is important.</w:t>
      </w:r>
    </w:p>
    <w:p>
      <w:pPr>
        <w:spacing w:after="0" w:line="12"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Please vote promptly using one of the methods mentioned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422275" cy="312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000000"/>
                        </a:clrFrom>
                        <a:clrTo>
                          <a:srgbClr val="000000">
                            <a:alpha val="0"/>
                          </a:srgbClr>
                        </a:clrTo>
                      </a:clrChange>
                      <a:extLst>
                        <a:ext uri="{28A0092B-C50C-407E-A947-70E740481C1C}"/>
                      </a:extLst>
                    </a:blip>
                    <a:srcRect/>
                    <a:stretch>
                      <a:fillRect/>
                    </a:stretch>
                  </pic:blipFill>
                  <pic:spPr bwMode="auto">
                    <a:xfrm>
                      <a:off x="0" y="0"/>
                      <a:ext cx="422275" cy="3124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422275" cy="3124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22275" cy="31242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Internet</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Visit www.proxyvote.com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469265" cy="297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000000"/>
                        </a:clrFrom>
                        <a:clrTo>
                          <a:srgbClr val="000000">
                            <a:alpha val="0"/>
                          </a:srgbClr>
                        </a:clrTo>
                      </a:clrChange>
                      <a:extLst>
                        <a:ext uri="{28A0092B-C50C-407E-A947-70E740481C1C}"/>
                      </a:extLst>
                    </a:blip>
                    <a:srcRect/>
                    <a:stretch>
                      <a:fillRect/>
                    </a:stretch>
                  </pic:blipFill>
                  <pic:spPr bwMode="auto">
                    <a:xfrm>
                      <a:off x="0" y="0"/>
                      <a:ext cx="469265" cy="297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58420</wp:posOffset>
            </wp:positionV>
            <wp:extent cx="469265" cy="297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69265" cy="297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The Annual Meeting of Stockholders of AbbVie Inc. (the “Annual Meeting”) will be held on Friday, May 8, 2026 at 9:00 a.m. CT. This year’s Annual Meeting will be a virtual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253365</wp:posOffset>
            </wp:positionV>
            <wp:extent cx="398780" cy="4533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000000"/>
                        </a:clrFrom>
                        <a:clrTo>
                          <a:srgbClr val="000000">
                            <a:alpha val="0"/>
                          </a:srgbClr>
                        </a:clrTo>
                      </a:clrChange>
                      <a:extLst>
                        <a:ext uri="{28A0092B-C50C-407E-A947-70E740481C1C}"/>
                      </a:extLst>
                    </a:blip>
                    <a:srcRect/>
                    <a:stretch>
                      <a:fillRect/>
                    </a:stretch>
                  </pic:blipFill>
                  <pic:spPr bwMode="auto">
                    <a:xfrm>
                      <a:off x="0" y="0"/>
                      <a:ext cx="398780" cy="45339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253365</wp:posOffset>
            </wp:positionV>
            <wp:extent cx="398780" cy="4533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98780" cy="453390"/>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253365</wp:posOffset>
            </wp:positionV>
            <wp:extent cx="382905" cy="4533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000000"/>
                        </a:clrFrom>
                        <a:clrTo>
                          <a:srgbClr val="000000">
                            <a:alpha val="0"/>
                          </a:srgbClr>
                        </a:clrTo>
                      </a:clrChange>
                      <a:extLst>
                        <a:ext uri="{28A0092B-C50C-407E-A947-70E740481C1C}"/>
                      </a:extLst>
                    </a:blip>
                    <a:srcRect/>
                    <a:stretch>
                      <a:fillRect/>
                    </a:stretch>
                  </pic:blipFill>
                  <pic:spPr bwMode="auto">
                    <a:xfrm>
                      <a:off x="0" y="0"/>
                      <a:ext cx="382905" cy="453390"/>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253365</wp:posOffset>
            </wp:positionV>
            <wp:extent cx="382905" cy="4533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82905" cy="4533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245745</wp:posOffset>
            </wp:positionV>
            <wp:extent cx="492760" cy="469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000000"/>
                        </a:clrFrom>
                        <a:clrTo>
                          <a:srgbClr val="000000">
                            <a:alpha val="0"/>
                          </a:srgbClr>
                        </a:clrTo>
                      </a:clrChange>
                      <a:extLst>
                        <a:ext uri="{28A0092B-C50C-407E-A947-70E740481C1C}"/>
                      </a:extLst>
                    </a:blip>
                    <a:srcRect/>
                    <a:stretch>
                      <a:fillRect/>
                    </a:stretch>
                  </pic:blipFill>
                  <pic:spPr bwMode="auto">
                    <a:xfrm>
                      <a:off x="0" y="0"/>
                      <a:ext cx="492760" cy="46926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245745</wp:posOffset>
            </wp:positionV>
            <wp:extent cx="492760" cy="469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92760" cy="469265"/>
                    </a:xfrm>
                    <a:prstGeom prst="rect">
                      <a:avLst/>
                    </a:prstGeom>
                    <a:noFill/>
                  </pic:spPr>
                </pic:pic>
              </a:graphicData>
            </a:graphic>
          </wp:anchor>
        </w:drawing>
      </w:r>
    </w:p>
    <w:p>
      <w:pPr>
        <w:spacing w:after="0" w:line="1048" w:lineRule="exact"/>
        <w:rPr>
          <w:sz w:val="20"/>
          <w:szCs w:val="20"/>
          <w:color w:val="auto"/>
        </w:rPr>
      </w:pPr>
    </w:p>
    <w:p>
      <w:pPr>
        <w:sectPr>
          <w:pgSz w:w="11900" w:h="16838" w:orient="portrait"/>
          <w:cols w:equalWidth="0" w:num="2">
            <w:col w:w="2340" w:space="720"/>
            <w:col w:w="6840"/>
          </w:cols>
          <w:pgMar w:left="980" w:top="480" w:right="101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Mail</w:t>
      </w:r>
    </w:p>
    <w:p>
      <w:pPr>
        <w:spacing w:after="0" w:line="22"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Sign and return your proxy card in the enclosed envelope if you received a printed version of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wp:posOffset>
            </wp:positionV>
            <wp:extent cx="242570" cy="398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000000"/>
                        </a:clrFrom>
                        <a:clrTo>
                          <a:srgbClr val="000000">
                            <a:alpha val="0"/>
                          </a:srgbClr>
                        </a:clrTo>
                      </a:clrChange>
                      <a:extLst>
                        <a:ext uri="{28A0092B-C50C-407E-A947-70E740481C1C}"/>
                      </a:extLst>
                    </a:blip>
                    <a:srcRect/>
                    <a:stretch>
                      <a:fillRect/>
                    </a:stretch>
                  </pic:blipFill>
                  <pic:spPr bwMode="auto">
                    <a:xfrm>
                      <a:off x="0" y="0"/>
                      <a:ext cx="242570" cy="3987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49530</wp:posOffset>
            </wp:positionV>
            <wp:extent cx="242570" cy="398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2570" cy="398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580" w:type="dxa"/>
            <w:vAlign w:val="bottom"/>
          </w:tcPr>
          <w:p>
            <w:pPr>
              <w:jc w:val="center"/>
              <w:ind w:right="189"/>
              <w:spacing w:after="0"/>
              <w:rPr>
                <w:sz w:val="20"/>
                <w:szCs w:val="20"/>
                <w:color w:val="auto"/>
              </w:rPr>
            </w:pPr>
            <w:r>
              <w:rPr>
                <w:rFonts w:ascii="Arial" w:cs="Arial" w:eastAsia="Arial" w:hAnsi="Arial"/>
                <w:sz w:val="16"/>
                <w:szCs w:val="16"/>
                <w:b w:val="1"/>
                <w:bCs w:val="1"/>
                <w:color w:val="auto"/>
              </w:rPr>
              <w:t>DATE AND TIME:</w:t>
            </w:r>
          </w:p>
        </w:tc>
        <w:tc>
          <w:tcPr>
            <w:tcW w:w="3080" w:type="dxa"/>
            <w:vAlign w:val="bottom"/>
          </w:tcPr>
          <w:p>
            <w:pPr>
              <w:jc w:val="center"/>
              <w:ind w:left="189"/>
              <w:spacing w:after="0"/>
              <w:rPr>
                <w:sz w:val="20"/>
                <w:szCs w:val="20"/>
                <w:color w:val="auto"/>
              </w:rPr>
            </w:pPr>
            <w:r>
              <w:rPr>
                <w:rFonts w:ascii="Arial" w:cs="Arial" w:eastAsia="Arial" w:hAnsi="Arial"/>
                <w:sz w:val="16"/>
                <w:szCs w:val="16"/>
                <w:b w:val="1"/>
                <w:bCs w:val="1"/>
                <w:color w:val="auto"/>
              </w:rPr>
              <w:t>WHERE:</w:t>
            </w:r>
          </w:p>
        </w:tc>
      </w:tr>
      <w:tr>
        <w:trPr>
          <w:trHeight w:val="166"/>
        </w:trPr>
        <w:tc>
          <w:tcPr>
            <w:tcW w:w="1580" w:type="dxa"/>
            <w:vAlign w:val="bottom"/>
          </w:tcPr>
          <w:p>
            <w:pPr>
              <w:jc w:val="center"/>
              <w:ind w:right="189"/>
              <w:spacing w:after="0"/>
              <w:rPr>
                <w:sz w:val="20"/>
                <w:szCs w:val="20"/>
                <w:color w:val="auto"/>
              </w:rPr>
            </w:pPr>
            <w:r>
              <w:rPr>
                <w:rFonts w:ascii="Arial" w:cs="Arial" w:eastAsia="Arial" w:hAnsi="Arial"/>
                <w:sz w:val="13"/>
                <w:szCs w:val="13"/>
                <w:color w:val="auto"/>
              </w:rPr>
              <w:t>Friday, May 8, 2026</w:t>
            </w:r>
          </w:p>
        </w:tc>
        <w:tc>
          <w:tcPr>
            <w:tcW w:w="3080" w:type="dxa"/>
            <w:vAlign w:val="bottom"/>
          </w:tcPr>
          <w:p>
            <w:pPr>
              <w:jc w:val="center"/>
              <w:ind w:left="189"/>
              <w:spacing w:after="0"/>
              <w:rPr>
                <w:sz w:val="20"/>
                <w:szCs w:val="20"/>
                <w:color w:val="auto"/>
              </w:rPr>
            </w:pPr>
            <w:r>
              <w:rPr>
                <w:rFonts w:ascii="Arial" w:cs="Arial" w:eastAsia="Arial" w:hAnsi="Arial"/>
                <w:sz w:val="13"/>
                <w:szCs w:val="13"/>
                <w:color w:val="auto"/>
              </w:rPr>
              <w:t>Via live webcast online at</w:t>
            </w:r>
          </w:p>
        </w:tc>
      </w:tr>
      <w:tr>
        <w:trPr>
          <w:trHeight w:val="173"/>
        </w:trPr>
        <w:tc>
          <w:tcPr>
            <w:tcW w:w="1580" w:type="dxa"/>
            <w:vAlign w:val="bottom"/>
          </w:tcPr>
          <w:p>
            <w:pPr>
              <w:jc w:val="center"/>
              <w:ind w:right="189"/>
              <w:spacing w:after="0"/>
              <w:rPr>
                <w:sz w:val="20"/>
                <w:szCs w:val="20"/>
                <w:color w:val="auto"/>
              </w:rPr>
            </w:pPr>
            <w:r>
              <w:rPr>
                <w:rFonts w:ascii="Arial" w:cs="Arial" w:eastAsia="Arial" w:hAnsi="Arial"/>
                <w:sz w:val="13"/>
                <w:szCs w:val="13"/>
                <w:color w:val="auto"/>
              </w:rPr>
              <w:t>9:00 a.m. CT</w:t>
            </w:r>
          </w:p>
        </w:tc>
        <w:tc>
          <w:tcPr>
            <w:tcW w:w="3080" w:type="dxa"/>
            <w:vAlign w:val="bottom"/>
          </w:tcPr>
          <w:p>
            <w:pPr>
              <w:jc w:val="center"/>
              <w:ind w:left="189"/>
              <w:spacing w:after="0"/>
              <w:rPr>
                <w:sz w:val="20"/>
                <w:szCs w:val="20"/>
                <w:color w:val="auto"/>
              </w:rPr>
            </w:pPr>
            <w:r>
              <w:rPr>
                <w:rFonts w:ascii="Arial" w:cs="Arial" w:eastAsia="Arial" w:hAnsi="Arial"/>
                <w:sz w:val="13"/>
                <w:szCs w:val="13"/>
                <w:color w:val="auto"/>
              </w:rPr>
              <w:t>www.virtualshareholdermeeting.com/ABBV2026.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ADMISSION:</w:t>
      </w:r>
    </w:p>
    <w:p>
      <w:pPr>
        <w:spacing w:after="0" w:line="59" w:lineRule="exact"/>
        <w:rPr>
          <w:sz w:val="20"/>
          <w:szCs w:val="20"/>
          <w:color w:val="auto"/>
        </w:rPr>
      </w:pPr>
    </w:p>
    <w:p>
      <w:pPr>
        <w:jc w:val="center"/>
        <w:spacing w:after="0" w:line="243" w:lineRule="auto"/>
        <w:rPr>
          <w:sz w:val="20"/>
          <w:szCs w:val="20"/>
          <w:color w:val="auto"/>
        </w:rPr>
      </w:pPr>
      <w:r>
        <w:rPr>
          <w:rFonts w:ascii="Arial" w:cs="Arial" w:eastAsia="Arial" w:hAnsi="Arial"/>
          <w:sz w:val="13"/>
          <w:szCs w:val="13"/>
          <w:color w:val="auto"/>
        </w:rPr>
        <w:t>Stockholders of record at the close of business on March 9, 2026 are</w:t>
      </w:r>
    </w:p>
    <w:p>
      <w:pPr>
        <w:jc w:val="center"/>
        <w:spacing w:after="0"/>
        <w:rPr>
          <w:sz w:val="20"/>
          <w:szCs w:val="20"/>
          <w:color w:val="auto"/>
        </w:rPr>
      </w:pPr>
      <w:r>
        <w:rPr>
          <w:rFonts w:ascii="Arial" w:cs="Arial" w:eastAsia="Arial" w:hAnsi="Arial"/>
          <w:sz w:val="13"/>
          <w:szCs w:val="13"/>
          <w:color w:val="auto"/>
        </w:rPr>
        <w:t>entitled to notice of and</w:t>
      </w:r>
    </w:p>
    <w:p>
      <w:pPr>
        <w:jc w:val="center"/>
        <w:spacing w:after="0"/>
        <w:rPr>
          <w:sz w:val="20"/>
          <w:szCs w:val="20"/>
          <w:color w:val="auto"/>
        </w:rPr>
      </w:pPr>
      <w:r>
        <w:rPr>
          <w:rFonts w:ascii="Arial" w:cs="Arial" w:eastAsia="Arial" w:hAnsi="Arial"/>
          <w:sz w:val="13"/>
          <w:szCs w:val="13"/>
          <w:color w:val="auto"/>
        </w:rPr>
        <w:t>to vote at the annual meeting.</w:t>
      </w:r>
    </w:p>
    <w:p>
      <w:pPr>
        <w:spacing w:after="0" w:line="200" w:lineRule="exact"/>
        <w:rPr>
          <w:sz w:val="20"/>
          <w:szCs w:val="20"/>
          <w:color w:val="auto"/>
        </w:rPr>
      </w:pPr>
    </w:p>
    <w:p>
      <w:pPr>
        <w:sectPr>
          <w:pgSz w:w="11900" w:h="16838" w:orient="portrait"/>
          <w:cols w:equalWidth="0" w:num="3">
            <w:col w:w="2520" w:space="600"/>
            <w:col w:w="4660" w:space="380"/>
            <w:col w:w="1740"/>
          </w:cols>
          <w:pgMar w:left="980" w:top="480" w:right="101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Telephone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Call toll-free 1-800-690-6903 in the U.S.</w:t>
      </w:r>
    </w:p>
    <w:p>
      <w:pPr>
        <w:spacing w:after="0"/>
        <w:rPr>
          <w:sz w:val="20"/>
          <w:szCs w:val="20"/>
          <w:color w:val="auto"/>
        </w:rPr>
      </w:pPr>
      <w:r>
        <w:rPr>
          <w:rFonts w:ascii="Arial" w:cs="Arial" w:eastAsia="Arial" w:hAnsi="Arial"/>
          <w:sz w:val="13"/>
          <w:szCs w:val="13"/>
          <w:color w:val="auto"/>
        </w:rPr>
        <w:t>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445770" cy="3594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000000"/>
                        </a:clrFrom>
                        <a:clrTo>
                          <a:srgbClr val="000000">
                            <a:alpha val="0"/>
                          </a:srgbClr>
                        </a:clrTo>
                      </a:clrChange>
                      <a:extLst>
                        <a:ext uri="{28A0092B-C50C-407E-A947-70E740481C1C}"/>
                      </a:extLst>
                    </a:blip>
                    <a:srcRect/>
                    <a:stretch>
                      <a:fillRect/>
                    </a:stretch>
                  </pic:blipFill>
                  <pic:spPr bwMode="auto">
                    <a:xfrm>
                      <a:off x="0" y="0"/>
                      <a:ext cx="445770" cy="3594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58420</wp:posOffset>
            </wp:positionV>
            <wp:extent cx="445770" cy="3594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445770" cy="35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 the virtual meeting</w:t>
      </w:r>
    </w:p>
    <w:p>
      <w:pPr>
        <w:spacing w:after="0" w:line="22"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To be admitted to the virtual meeting, you must enter the control number found on your proxy card, voting instructions form, or notice you received.</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support of and interest in the company.</w:t>
      </w:r>
    </w:p>
    <w:p>
      <w:pPr>
        <w:spacing w:after="0" w:line="247" w:lineRule="exact"/>
        <w:rPr>
          <w:sz w:val="20"/>
          <w:szCs w:val="20"/>
          <w:color w:val="auto"/>
        </w:rPr>
      </w:pPr>
    </w:p>
    <w:p>
      <w:pPr>
        <w:jc w:val="right"/>
        <w:ind w:right="1340"/>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31"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Perry C. Siatis</w:t>
      </w:r>
    </w:p>
    <w:p>
      <w:pPr>
        <w:spacing w:after="0" w:line="136"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Secretary</w:t>
      </w:r>
    </w:p>
    <w:p>
      <w:pPr>
        <w:spacing w:after="0" w:line="17"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548005</wp:posOffset>
            </wp:positionV>
            <wp:extent cx="630047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2">
            <w:col w:w="2520" w:space="540"/>
            <w:col w:w="6840"/>
          </w:cols>
          <w:pgMar w:left="980" w:top="480" w:right="10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135890</wp:posOffset>
            </wp:positionV>
            <wp:extent cx="1719580" cy="328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95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39"/>
          <w:szCs w:val="39"/>
          <w:color w:val="071D49"/>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587819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gridSpan w:val="32"/>
          </w:tcPr>
          <w:p>
            <w:pPr>
              <w:spacing w:after="0"/>
              <w:rPr>
                <w:sz w:val="20"/>
                <w:szCs w:val="20"/>
                <w:color w:val="auto"/>
              </w:rPr>
            </w:pPr>
            <w:r>
              <w:rPr>
                <w:rFonts w:ascii="Arial" w:cs="Arial" w:eastAsia="Arial" w:hAnsi="Arial"/>
                <w:sz w:val="16"/>
                <w:szCs w:val="16"/>
                <w:b w:val="1"/>
                <w:bCs w:val="1"/>
                <w:color w:val="071D49"/>
              </w:rPr>
              <w:t>PROXY SUMMARY</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071D49"/>
              </w:rPr>
              <w:t>1</w:t>
            </w:r>
          </w:p>
        </w:tc>
        <w:tc>
          <w:tcPr>
            <w:tcW w:w="0" w:type="dxa"/>
            <w:vAlign w:val="bottom"/>
          </w:tcPr>
          <w:p>
            <w:pPr>
              <w:spacing w:after="0"/>
              <w:rPr>
                <w:sz w:val="1"/>
                <w:szCs w:val="1"/>
                <w:color w:val="auto"/>
              </w:rPr>
            </w:pPr>
          </w:p>
        </w:tc>
      </w:tr>
      <w:tr>
        <w:trPr>
          <w:trHeight w:val="20"/>
        </w:trPr>
        <w:tc>
          <w:tcPr>
            <w:tcW w:w="28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80" w:type="dxa"/>
            <w:vAlign w:val="bottom"/>
          </w:tcPr>
          <w:p>
            <w:pPr>
              <w:spacing w:after="0"/>
              <w:rPr>
                <w:sz w:val="11"/>
                <w:szCs w:val="11"/>
                <w:color w:val="auto"/>
              </w:rPr>
            </w:pPr>
          </w:p>
        </w:tc>
        <w:tc>
          <w:tcPr>
            <w:tcW w:w="3680" w:type="dxa"/>
            <w:vAlign w:val="bottom"/>
            <w:gridSpan w:val="31"/>
          </w:tcPr>
          <w:p>
            <w:pPr>
              <w:spacing w:after="0" w:line="137" w:lineRule="exact"/>
              <w:rPr>
                <w:sz w:val="20"/>
                <w:szCs w:val="20"/>
                <w:color w:val="auto"/>
              </w:rPr>
            </w:pPr>
            <w:r>
              <w:rPr>
                <w:rFonts w:ascii="Arial" w:cs="Arial" w:eastAsia="Arial" w:hAnsi="Arial"/>
                <w:sz w:val="15"/>
                <w:szCs w:val="15"/>
                <w:color w:val="0000EE"/>
              </w:rPr>
              <w:t>About the Meeting</w:t>
            </w:r>
          </w:p>
        </w:tc>
        <w:tc>
          <w:tcPr>
            <w:tcW w:w="340" w:type="dxa"/>
            <w:vAlign w:val="bottom"/>
          </w:tcPr>
          <w:p>
            <w:pPr>
              <w:jc w:val="right"/>
              <w:spacing w:after="0" w:line="137"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1340" w:type="dxa"/>
            <w:vAlign w:val="bottom"/>
            <w:tcBorders>
              <w:top w:val="single" w:sz="8" w:color="0000EE"/>
            </w:tcBorders>
            <w:gridSpan w:val="10"/>
          </w:tcPr>
          <w:p>
            <w:pPr>
              <w:spacing w:after="0" w:line="165" w:lineRule="exact"/>
              <w:rPr>
                <w:sz w:val="20"/>
                <w:szCs w:val="20"/>
                <w:color w:val="auto"/>
              </w:rPr>
            </w:pPr>
            <w:r>
              <w:rPr>
                <w:rFonts w:ascii="Arial" w:cs="Arial" w:eastAsia="Arial" w:hAnsi="Arial"/>
                <w:sz w:val="16"/>
                <w:szCs w:val="16"/>
                <w:color w:val="0000EE"/>
              </w:rPr>
              <w:t>Who We Are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jc w:val="right"/>
              <w:spacing w:after="0" w:line="165"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940" w:type="dxa"/>
            <w:vAlign w:val="bottom"/>
            <w:tcBorders>
              <w:top w:val="single" w:sz="8" w:color="0000EE"/>
            </w:tcBorders>
            <w:gridSpan w:val="7"/>
          </w:tcPr>
          <w:p>
            <w:pPr>
              <w:spacing w:after="0" w:line="165" w:lineRule="exact"/>
              <w:rPr>
                <w:sz w:val="20"/>
                <w:szCs w:val="20"/>
                <w:color w:val="auto"/>
              </w:rPr>
            </w:pPr>
            <w:r>
              <w:rPr>
                <w:rFonts w:ascii="Arial" w:cs="Arial" w:eastAsia="Arial" w:hAnsi="Arial"/>
                <w:sz w:val="16"/>
                <w:szCs w:val="16"/>
                <w:color w:val="0000EE"/>
                <w:w w:val="95"/>
              </w:rPr>
              <w:t>Our Business</w:t>
            </w:r>
          </w:p>
        </w:tc>
        <w:tc>
          <w:tcPr>
            <w:tcW w:w="2740" w:type="dxa"/>
            <w:vAlign w:val="bottom"/>
            <w:gridSpan w:val="24"/>
          </w:tcPr>
          <w:p>
            <w:pPr>
              <w:ind w:left="100"/>
              <w:spacing w:after="0" w:line="165" w:lineRule="exact"/>
              <w:rPr>
                <w:sz w:val="20"/>
                <w:szCs w:val="20"/>
                <w:color w:val="auto"/>
              </w:rPr>
            </w:pPr>
            <w:r>
              <w:rPr>
                <w:rFonts w:ascii="Arial" w:cs="Arial" w:eastAsia="Arial" w:hAnsi="Arial"/>
                <w:sz w:val="16"/>
                <w:szCs w:val="16"/>
                <w:color w:val="0000EE"/>
              </w:rPr>
              <w:t>Performance</w:t>
            </w:r>
          </w:p>
        </w:tc>
        <w:tc>
          <w:tcPr>
            <w:tcW w:w="340" w:type="dxa"/>
            <w:vAlign w:val="bottom"/>
          </w:tcPr>
          <w:p>
            <w:pPr>
              <w:jc w:val="right"/>
              <w:spacing w:after="0" w:line="165"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1980" w:type="dxa"/>
            <w:vAlign w:val="bottom"/>
            <w:tcBorders>
              <w:top w:val="single" w:sz="8" w:color="0000EE"/>
              <w:bottom w:val="single" w:sz="8" w:color="0000EE"/>
            </w:tcBorders>
            <w:gridSpan w:val="14"/>
          </w:tcPr>
          <w:p>
            <w:pPr>
              <w:spacing w:after="0" w:line="165" w:lineRule="exact"/>
              <w:rPr>
                <w:sz w:val="20"/>
                <w:szCs w:val="20"/>
                <w:color w:val="auto"/>
              </w:rPr>
            </w:pPr>
            <w:r>
              <w:rPr>
                <w:rFonts w:ascii="Arial" w:cs="Arial" w:eastAsia="Arial" w:hAnsi="Arial"/>
                <w:sz w:val="16"/>
                <w:szCs w:val="16"/>
                <w:color w:val="0000EE"/>
              </w:rPr>
              <w:t>Our Governance Highlights</w:t>
            </w: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jc w:val="right"/>
              <w:spacing w:after="0" w:line="165"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2000" w:type="dxa"/>
            <w:vAlign w:val="bottom"/>
            <w:gridSpan w:val="15"/>
          </w:tcPr>
          <w:p>
            <w:pPr>
              <w:spacing w:after="0" w:line="165" w:lineRule="exact"/>
              <w:rPr>
                <w:sz w:val="20"/>
                <w:szCs w:val="20"/>
                <w:color w:val="auto"/>
              </w:rPr>
            </w:pPr>
            <w:r>
              <w:rPr>
                <w:rFonts w:ascii="Arial" w:cs="Arial" w:eastAsia="Arial" w:hAnsi="Arial"/>
                <w:sz w:val="16"/>
                <w:szCs w:val="16"/>
                <w:color w:val="0000EE"/>
              </w:rPr>
              <w:t>Our Approach to ESG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jc w:val="right"/>
              <w:spacing w:after="0" w:line="165"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1600" w:type="dxa"/>
            <w:vAlign w:val="bottom"/>
            <w:tcBorders>
              <w:top w:val="single" w:sz="8" w:color="0000EE"/>
              <w:bottom w:val="single" w:sz="8" w:color="0000EE"/>
            </w:tcBorders>
            <w:gridSpan w:val="11"/>
          </w:tcPr>
          <w:p>
            <w:pPr>
              <w:spacing w:after="0" w:line="165" w:lineRule="exact"/>
              <w:rPr>
                <w:sz w:val="20"/>
                <w:szCs w:val="20"/>
                <w:color w:val="auto"/>
              </w:rPr>
            </w:pPr>
            <w:r>
              <w:rPr>
                <w:rFonts w:ascii="Arial" w:cs="Arial" w:eastAsia="Arial" w:hAnsi="Arial"/>
                <w:sz w:val="16"/>
                <w:szCs w:val="16"/>
                <w:color w:val="0000EE"/>
                <w:w w:val="89"/>
              </w:rPr>
              <w:t>Executive Compensation</w:t>
            </w:r>
          </w:p>
        </w:tc>
        <w:tc>
          <w:tcPr>
            <w:tcW w:w="160" w:type="dxa"/>
            <w:vAlign w:val="bottom"/>
            <w:tcBorders>
              <w:bottom w:val="single" w:sz="8" w:color="0000EE"/>
            </w:tcBorders>
          </w:tcPr>
          <w:p>
            <w:pPr>
              <w:spacing w:after="0"/>
              <w:rPr>
                <w:sz w:val="14"/>
                <w:szCs w:val="14"/>
                <w:color w:val="auto"/>
              </w:rPr>
            </w:pPr>
          </w:p>
        </w:tc>
        <w:tc>
          <w:tcPr>
            <w:tcW w:w="840" w:type="dxa"/>
            <w:vAlign w:val="bottom"/>
            <w:tcBorders>
              <w:bottom w:val="single" w:sz="8" w:color="0000EE"/>
            </w:tcBorders>
            <w:gridSpan w:val="9"/>
          </w:tcPr>
          <w:p>
            <w:pPr>
              <w:ind w:left="100"/>
              <w:spacing w:after="0" w:line="165" w:lineRule="exact"/>
              <w:rPr>
                <w:sz w:val="20"/>
                <w:szCs w:val="20"/>
                <w:color w:val="auto"/>
              </w:rPr>
            </w:pPr>
            <w:r>
              <w:rPr>
                <w:rFonts w:ascii="Arial" w:cs="Arial" w:eastAsia="Arial" w:hAnsi="Arial"/>
                <w:sz w:val="16"/>
                <w:szCs w:val="16"/>
                <w:color w:val="0000EE"/>
              </w:rPr>
              <w:t>Highlights</w:t>
            </w:r>
          </w:p>
        </w:tc>
        <w:tc>
          <w:tcPr>
            <w:tcW w:w="1080" w:type="dxa"/>
            <w:vAlign w:val="bottom"/>
            <w:gridSpan w:val="10"/>
          </w:tcPr>
          <w:p>
            <w:pPr>
              <w:spacing w:after="0"/>
              <w:rPr>
                <w:sz w:val="14"/>
                <w:szCs w:val="14"/>
                <w:color w:val="auto"/>
              </w:rPr>
            </w:pPr>
          </w:p>
        </w:tc>
        <w:tc>
          <w:tcPr>
            <w:tcW w:w="340" w:type="dxa"/>
            <w:vAlign w:val="bottom"/>
          </w:tcPr>
          <w:p>
            <w:pPr>
              <w:jc w:val="right"/>
              <w:spacing w:after="0" w:line="165"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49"/>
        </w:trPr>
        <w:tc>
          <w:tcPr>
            <w:tcW w:w="3960" w:type="dxa"/>
            <w:vAlign w:val="bottom"/>
            <w:gridSpan w:val="32"/>
          </w:tcPr>
          <w:p>
            <w:pPr>
              <w:spacing w:after="0"/>
              <w:rPr>
                <w:sz w:val="20"/>
                <w:szCs w:val="20"/>
                <w:color w:val="auto"/>
              </w:rPr>
            </w:pPr>
            <w:r>
              <w:rPr>
                <w:rFonts w:ascii="Arial" w:cs="Arial" w:eastAsia="Arial" w:hAnsi="Arial"/>
                <w:sz w:val="16"/>
                <w:szCs w:val="16"/>
                <w:b w:val="1"/>
                <w:bCs w:val="1"/>
                <w:color w:val="071D49"/>
              </w:rPr>
              <w:t>INFORMATION CONCERNING DIRECTOR</w:t>
            </w: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071D49"/>
              </w:rPr>
              <w:t>10</w:t>
            </w:r>
          </w:p>
        </w:tc>
        <w:tc>
          <w:tcPr>
            <w:tcW w:w="0" w:type="dxa"/>
            <w:vAlign w:val="bottom"/>
          </w:tcPr>
          <w:p>
            <w:pPr>
              <w:spacing w:after="0"/>
              <w:rPr>
                <w:sz w:val="1"/>
                <w:szCs w:val="1"/>
                <w:color w:val="auto"/>
              </w:rPr>
            </w:pPr>
          </w:p>
        </w:tc>
      </w:tr>
      <w:tr>
        <w:trPr>
          <w:trHeight w:val="165"/>
        </w:trPr>
        <w:tc>
          <w:tcPr>
            <w:tcW w:w="3200" w:type="dxa"/>
            <w:vAlign w:val="bottom"/>
            <w:tcBorders>
              <w:top w:val="single" w:sz="8" w:color="071D49"/>
            </w:tcBorders>
            <w:gridSpan w:val="26"/>
          </w:tcPr>
          <w:p>
            <w:pPr>
              <w:spacing w:after="0" w:line="165" w:lineRule="exact"/>
              <w:rPr>
                <w:sz w:val="20"/>
                <w:szCs w:val="20"/>
                <w:color w:val="auto"/>
              </w:rPr>
            </w:pPr>
            <w:r>
              <w:rPr>
                <w:rFonts w:ascii="Arial" w:cs="Arial" w:eastAsia="Arial" w:hAnsi="Arial"/>
                <w:sz w:val="16"/>
                <w:szCs w:val="16"/>
                <w:b w:val="1"/>
                <w:bCs w:val="1"/>
                <w:color w:val="071D49"/>
              </w:rPr>
              <w:t>NOMINEES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gridSpan w:val="32"/>
          </w:tcPr>
          <w:p>
            <w:pPr>
              <w:spacing w:after="0"/>
              <w:rPr>
                <w:sz w:val="20"/>
                <w:szCs w:val="20"/>
                <w:color w:val="auto"/>
              </w:rPr>
            </w:pPr>
            <w:r>
              <w:rPr>
                <w:rFonts w:ascii="Arial" w:cs="Arial" w:eastAsia="Arial" w:hAnsi="Arial"/>
                <w:sz w:val="16"/>
                <w:szCs w:val="16"/>
                <w:b w:val="1"/>
                <w:bCs w:val="1"/>
                <w:color w:val="071D49"/>
              </w:rPr>
              <w:t>THE BOARD OF DIRECTORS AND ITS</w:t>
            </w: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071D49"/>
              </w:rPr>
              <w:t>18</w:t>
            </w:r>
          </w:p>
        </w:tc>
        <w:tc>
          <w:tcPr>
            <w:tcW w:w="0" w:type="dxa"/>
            <w:vAlign w:val="bottom"/>
          </w:tcPr>
          <w:p>
            <w:pPr>
              <w:spacing w:after="0"/>
              <w:rPr>
                <w:sz w:val="1"/>
                <w:szCs w:val="1"/>
                <w:color w:val="auto"/>
              </w:rPr>
            </w:pPr>
          </w:p>
        </w:tc>
      </w:tr>
      <w:tr>
        <w:trPr>
          <w:trHeight w:val="165"/>
        </w:trPr>
        <w:tc>
          <w:tcPr>
            <w:tcW w:w="2960" w:type="dxa"/>
            <w:vAlign w:val="bottom"/>
            <w:tcBorders>
              <w:top w:val="single" w:sz="8" w:color="071D49"/>
            </w:tcBorders>
            <w:gridSpan w:val="23"/>
          </w:tcPr>
          <w:p>
            <w:pPr>
              <w:spacing w:after="0" w:line="165" w:lineRule="exact"/>
              <w:rPr>
                <w:sz w:val="20"/>
                <w:szCs w:val="20"/>
                <w:color w:val="auto"/>
              </w:rPr>
            </w:pPr>
            <w:r>
              <w:rPr>
                <w:rFonts w:ascii="Arial" w:cs="Arial" w:eastAsia="Arial" w:hAnsi="Arial"/>
                <w:sz w:val="16"/>
                <w:szCs w:val="16"/>
                <w:b w:val="1"/>
                <w:bCs w:val="1"/>
                <w:color w:val="071D49"/>
              </w:rPr>
              <w:t>COMMITTEES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gridSpan w:val="32"/>
          </w:tcPr>
          <w:p>
            <w:pPr>
              <w:spacing w:after="0"/>
              <w:rPr>
                <w:sz w:val="20"/>
                <w:szCs w:val="20"/>
                <w:color w:val="auto"/>
              </w:rPr>
            </w:pPr>
            <w:r>
              <w:rPr>
                <w:rFonts w:ascii="Arial" w:cs="Arial" w:eastAsia="Arial" w:hAnsi="Arial"/>
                <w:sz w:val="16"/>
                <w:szCs w:val="16"/>
                <w:b w:val="1"/>
                <w:bCs w:val="1"/>
                <w:color w:val="071D49"/>
              </w:rPr>
              <w:t>COMMUNICATING WITH THE BOARD OF</w:t>
            </w: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071D49"/>
              </w:rPr>
              <w:t>25</w:t>
            </w:r>
          </w:p>
        </w:tc>
        <w:tc>
          <w:tcPr>
            <w:tcW w:w="0" w:type="dxa"/>
            <w:vAlign w:val="bottom"/>
          </w:tcPr>
          <w:p>
            <w:pPr>
              <w:spacing w:after="0"/>
              <w:rPr>
                <w:sz w:val="1"/>
                <w:szCs w:val="1"/>
                <w:color w:val="auto"/>
              </w:rPr>
            </w:pPr>
          </w:p>
        </w:tc>
      </w:tr>
      <w:tr>
        <w:trPr>
          <w:trHeight w:val="165"/>
        </w:trPr>
        <w:tc>
          <w:tcPr>
            <w:tcW w:w="3180" w:type="dxa"/>
            <w:vAlign w:val="bottom"/>
            <w:tcBorders>
              <w:top w:val="single" w:sz="8" w:color="071D49"/>
            </w:tcBorders>
            <w:gridSpan w:val="25"/>
          </w:tcPr>
          <w:p>
            <w:pPr>
              <w:spacing w:after="0" w:line="165" w:lineRule="exact"/>
              <w:rPr>
                <w:sz w:val="20"/>
                <w:szCs w:val="20"/>
                <w:color w:val="auto"/>
              </w:rPr>
            </w:pPr>
            <w:r>
              <w:rPr>
                <w:rFonts w:ascii="Arial" w:cs="Arial" w:eastAsia="Arial" w:hAnsi="Arial"/>
                <w:sz w:val="16"/>
                <w:szCs w:val="16"/>
                <w:b w:val="1"/>
                <w:bCs w:val="1"/>
                <w:color w:val="071D49"/>
              </w:rPr>
              <w:t>DIRECTORS</w:t>
            </w:r>
          </w:p>
        </w:tc>
        <w:tc>
          <w:tcPr>
            <w:tcW w:w="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gridSpan w:val="32"/>
          </w:tcPr>
          <w:p>
            <w:pPr>
              <w:spacing w:after="0"/>
              <w:rPr>
                <w:sz w:val="20"/>
                <w:szCs w:val="20"/>
                <w:color w:val="auto"/>
              </w:rPr>
            </w:pPr>
            <w:r>
              <w:rPr>
                <w:rFonts w:ascii="Arial" w:cs="Arial" w:eastAsia="Arial" w:hAnsi="Arial"/>
                <w:sz w:val="16"/>
                <w:szCs w:val="16"/>
                <w:b w:val="1"/>
                <w:bCs w:val="1"/>
                <w:color w:val="071D49"/>
              </w:rPr>
              <w:t>DIRECTOR COMPENSATION</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071D49"/>
              </w:rPr>
              <w:t>26</w:t>
            </w:r>
          </w:p>
        </w:tc>
        <w:tc>
          <w:tcPr>
            <w:tcW w:w="0" w:type="dxa"/>
            <w:vAlign w:val="bottom"/>
          </w:tcPr>
          <w:p>
            <w:pPr>
              <w:spacing w:after="0"/>
              <w:rPr>
                <w:sz w:val="1"/>
                <w:szCs w:val="1"/>
                <w:color w:val="auto"/>
              </w:rPr>
            </w:pPr>
          </w:p>
        </w:tc>
      </w:tr>
      <w:tr>
        <w:trPr>
          <w:trHeight w:val="20"/>
        </w:trPr>
        <w:tc>
          <w:tcPr>
            <w:tcW w:w="28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60" w:type="dxa"/>
            <w:vAlign w:val="bottom"/>
            <w:tcBorders>
              <w:top w:val="single" w:sz="8" w:color="071D49"/>
              <w:bottom w:val="single" w:sz="8" w:color="071D49"/>
            </w:tcBorders>
          </w:tcPr>
          <w:p>
            <w:pPr>
              <w:spacing w:after="0" w:line="20" w:lineRule="exact"/>
              <w:rPr>
                <w:sz w:val="1"/>
                <w:szCs w:val="1"/>
                <w:color w:val="auto"/>
              </w:rPr>
            </w:pPr>
          </w:p>
        </w:tc>
        <w:tc>
          <w:tcPr>
            <w:tcW w:w="16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gridSpan w:val="32"/>
          </w:tcPr>
          <w:p>
            <w:pPr>
              <w:spacing w:after="0"/>
              <w:rPr>
                <w:sz w:val="20"/>
                <w:szCs w:val="20"/>
                <w:color w:val="auto"/>
              </w:rPr>
            </w:pPr>
            <w:r>
              <w:rPr>
                <w:rFonts w:ascii="Arial" w:cs="Arial" w:eastAsia="Arial" w:hAnsi="Arial"/>
                <w:sz w:val="16"/>
                <w:szCs w:val="16"/>
                <w:b w:val="1"/>
                <w:bCs w:val="1"/>
                <w:color w:val="071D49"/>
              </w:rPr>
              <w:t>SECURITIES OWNERSHIP</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071D49"/>
              </w:rPr>
              <w:t>29</w:t>
            </w:r>
          </w:p>
        </w:tc>
        <w:tc>
          <w:tcPr>
            <w:tcW w:w="0" w:type="dxa"/>
            <w:vAlign w:val="bottom"/>
          </w:tcPr>
          <w:p>
            <w:pPr>
              <w:spacing w:after="0"/>
              <w:rPr>
                <w:sz w:val="1"/>
                <w:szCs w:val="1"/>
                <w:color w:val="auto"/>
              </w:rPr>
            </w:pPr>
          </w:p>
        </w:tc>
      </w:tr>
      <w:tr>
        <w:trPr>
          <w:trHeight w:val="20"/>
        </w:trPr>
        <w:tc>
          <w:tcPr>
            <w:tcW w:w="28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60" w:type="dxa"/>
            <w:vAlign w:val="bottom"/>
            <w:tcBorders>
              <w:top w:val="single" w:sz="8" w:color="071D49"/>
              <w:bottom w:val="single" w:sz="8" w:color="071D49"/>
            </w:tcBorders>
          </w:tcPr>
          <w:p>
            <w:pPr>
              <w:spacing w:after="0" w:line="20" w:lineRule="exact"/>
              <w:rPr>
                <w:sz w:val="1"/>
                <w:szCs w:val="1"/>
                <w:color w:val="auto"/>
              </w:rPr>
            </w:pPr>
          </w:p>
        </w:tc>
        <w:tc>
          <w:tcPr>
            <w:tcW w:w="16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gridSpan w:val="32"/>
          </w:tcPr>
          <w:p>
            <w:pPr>
              <w:spacing w:after="0"/>
              <w:rPr>
                <w:sz w:val="20"/>
                <w:szCs w:val="20"/>
                <w:color w:val="auto"/>
              </w:rPr>
            </w:pPr>
            <w:r>
              <w:rPr>
                <w:rFonts w:ascii="Arial" w:cs="Arial" w:eastAsia="Arial" w:hAnsi="Arial"/>
                <w:sz w:val="16"/>
                <w:szCs w:val="16"/>
                <w:b w:val="1"/>
                <w:bCs w:val="1"/>
                <w:color w:val="071D49"/>
              </w:rPr>
              <w:t>EXECUTIVE COMPENSATION</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071D49"/>
              </w:rPr>
              <w:t>31</w:t>
            </w:r>
          </w:p>
        </w:tc>
        <w:tc>
          <w:tcPr>
            <w:tcW w:w="0" w:type="dxa"/>
            <w:vAlign w:val="bottom"/>
          </w:tcPr>
          <w:p>
            <w:pPr>
              <w:spacing w:after="0"/>
              <w:rPr>
                <w:sz w:val="1"/>
                <w:szCs w:val="1"/>
                <w:color w:val="auto"/>
              </w:rPr>
            </w:pPr>
          </w:p>
        </w:tc>
      </w:tr>
      <w:tr>
        <w:trPr>
          <w:trHeight w:val="20"/>
        </w:trPr>
        <w:tc>
          <w:tcPr>
            <w:tcW w:w="28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60" w:type="dxa"/>
            <w:vAlign w:val="bottom"/>
            <w:tcBorders>
              <w:top w:val="single" w:sz="8" w:color="071D49"/>
              <w:bottom w:val="single" w:sz="8" w:color="071D49"/>
            </w:tcBorders>
          </w:tcPr>
          <w:p>
            <w:pPr>
              <w:spacing w:after="0" w:line="20" w:lineRule="exact"/>
              <w:rPr>
                <w:sz w:val="1"/>
                <w:szCs w:val="1"/>
                <w:color w:val="auto"/>
              </w:rPr>
            </w:pPr>
          </w:p>
        </w:tc>
        <w:tc>
          <w:tcPr>
            <w:tcW w:w="16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80" w:type="dxa"/>
            <w:vAlign w:val="bottom"/>
          </w:tcPr>
          <w:p>
            <w:pPr>
              <w:spacing w:after="0"/>
              <w:rPr>
                <w:sz w:val="11"/>
                <w:szCs w:val="11"/>
                <w:color w:val="auto"/>
              </w:rPr>
            </w:pPr>
          </w:p>
        </w:tc>
        <w:tc>
          <w:tcPr>
            <w:tcW w:w="3680" w:type="dxa"/>
            <w:vAlign w:val="bottom"/>
            <w:gridSpan w:val="31"/>
          </w:tcPr>
          <w:p>
            <w:pPr>
              <w:spacing w:after="0" w:line="137" w:lineRule="exact"/>
              <w:rPr>
                <w:sz w:val="20"/>
                <w:szCs w:val="20"/>
                <w:color w:val="auto"/>
              </w:rPr>
            </w:pPr>
            <w:r>
              <w:rPr>
                <w:rFonts w:ascii="Arial" w:cs="Arial" w:eastAsia="Arial" w:hAnsi="Arial"/>
                <w:sz w:val="15"/>
                <w:szCs w:val="15"/>
                <w:color w:val="0000EE"/>
              </w:rPr>
              <w:t>Compensation Discussion and Analysis</w:t>
            </w:r>
          </w:p>
        </w:tc>
        <w:tc>
          <w:tcPr>
            <w:tcW w:w="340" w:type="dxa"/>
            <w:vAlign w:val="bottom"/>
          </w:tcPr>
          <w:p>
            <w:pPr>
              <w:jc w:val="right"/>
              <w:spacing w:after="0" w:line="137"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2880" w:type="dxa"/>
            <w:vAlign w:val="bottom"/>
            <w:tcBorders>
              <w:top w:val="single" w:sz="8" w:color="0000EE"/>
            </w:tcBorders>
            <w:gridSpan w:val="23"/>
          </w:tcPr>
          <w:p>
            <w:pPr>
              <w:spacing w:after="0" w:line="165" w:lineRule="exact"/>
              <w:rPr>
                <w:sz w:val="20"/>
                <w:szCs w:val="20"/>
                <w:color w:val="auto"/>
              </w:rPr>
            </w:pPr>
            <w:r>
              <w:rPr>
                <w:rFonts w:ascii="Arial" w:cs="Arial" w:eastAsia="Arial" w:hAnsi="Arial"/>
                <w:sz w:val="16"/>
                <w:szCs w:val="16"/>
                <w:color w:val="0000EE"/>
              </w:rPr>
              <w:t>Compensation Committee Report</w:t>
            </w:r>
          </w:p>
        </w:tc>
        <w:tc>
          <w:tcPr>
            <w:tcW w:w="10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jc w:val="right"/>
              <w:spacing w:after="0" w:line="165"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2440" w:type="dxa"/>
            <w:vAlign w:val="bottom"/>
            <w:tcBorders>
              <w:top w:val="single" w:sz="8" w:color="0000EE"/>
            </w:tcBorders>
            <w:gridSpan w:val="19"/>
          </w:tcPr>
          <w:p>
            <w:pPr>
              <w:spacing w:after="0" w:line="165" w:lineRule="exact"/>
              <w:rPr>
                <w:sz w:val="20"/>
                <w:szCs w:val="20"/>
                <w:color w:val="auto"/>
              </w:rPr>
            </w:pPr>
            <w:r>
              <w:rPr>
                <w:rFonts w:ascii="Arial" w:cs="Arial" w:eastAsia="Arial" w:hAnsi="Arial"/>
                <w:sz w:val="16"/>
                <w:szCs w:val="16"/>
                <w:color w:val="0000EE"/>
              </w:rPr>
              <w:t>Compensation Risk Assessment</w:t>
            </w:r>
          </w:p>
        </w:tc>
        <w:tc>
          <w:tcPr>
            <w:tcW w:w="140" w:type="dxa"/>
            <w:vAlign w:val="bottom"/>
          </w:tcPr>
          <w:p>
            <w:pPr>
              <w:spacing w:after="0"/>
              <w:rPr>
                <w:sz w:val="14"/>
                <w:szCs w:val="14"/>
                <w:color w:val="auto"/>
              </w:rPr>
            </w:pPr>
          </w:p>
        </w:tc>
        <w:tc>
          <w:tcPr>
            <w:tcW w:w="400" w:type="dxa"/>
            <w:vAlign w:val="bottom"/>
            <w:gridSpan w:val="6"/>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jc w:val="right"/>
              <w:spacing w:after="0" w:line="165"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2260" w:type="dxa"/>
            <w:vAlign w:val="bottom"/>
            <w:tcBorders>
              <w:top w:val="single" w:sz="8" w:color="0000EE"/>
              <w:bottom w:val="single" w:sz="8" w:color="0000EE"/>
            </w:tcBorders>
            <w:gridSpan w:val="17"/>
          </w:tcPr>
          <w:p>
            <w:pPr>
              <w:spacing w:after="0" w:line="165" w:lineRule="exact"/>
              <w:rPr>
                <w:sz w:val="20"/>
                <w:szCs w:val="20"/>
                <w:color w:val="auto"/>
              </w:rPr>
            </w:pPr>
            <w:r>
              <w:rPr>
                <w:rFonts w:ascii="Arial" w:cs="Arial" w:eastAsia="Arial" w:hAnsi="Arial"/>
                <w:sz w:val="16"/>
                <w:szCs w:val="16"/>
                <w:color w:val="0000EE"/>
              </w:rPr>
              <w:t>Summary Compensation Table</w:t>
            </w:r>
          </w:p>
        </w:tc>
        <w:tc>
          <w:tcPr>
            <w:tcW w:w="120" w:type="dxa"/>
            <w:vAlign w:val="bottom"/>
            <w:tcBorders>
              <w:top w:val="single" w:sz="8" w:color="0000EE"/>
            </w:tcBorders>
          </w:tcPr>
          <w:p>
            <w:pPr>
              <w:spacing w:after="0"/>
              <w:rPr>
                <w:sz w:val="14"/>
                <w:szCs w:val="14"/>
                <w:color w:val="auto"/>
              </w:rPr>
            </w:pPr>
          </w:p>
        </w:tc>
        <w:tc>
          <w:tcPr>
            <w:tcW w:w="200" w:type="dxa"/>
            <w:vAlign w:val="bottom"/>
            <w:gridSpan w:val="2"/>
          </w:tcPr>
          <w:p>
            <w:pPr>
              <w:spacing w:after="0"/>
              <w:rPr>
                <w:sz w:val="14"/>
                <w:szCs w:val="14"/>
                <w:color w:val="auto"/>
              </w:rPr>
            </w:pPr>
          </w:p>
        </w:tc>
        <w:tc>
          <w:tcPr>
            <w:tcW w:w="400" w:type="dxa"/>
            <w:vAlign w:val="bottom"/>
            <w:gridSpan w:val="6"/>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jc w:val="right"/>
              <w:spacing w:after="0" w:line="165"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3680" w:type="dxa"/>
            <w:vAlign w:val="bottom"/>
            <w:gridSpan w:val="31"/>
          </w:tcPr>
          <w:p>
            <w:pPr>
              <w:spacing w:after="0" w:line="165" w:lineRule="exact"/>
              <w:rPr>
                <w:sz w:val="20"/>
                <w:szCs w:val="20"/>
                <w:color w:val="auto"/>
              </w:rPr>
            </w:pPr>
            <w:r>
              <w:rPr>
                <w:rFonts w:ascii="Arial" w:cs="Arial" w:eastAsia="Arial" w:hAnsi="Arial"/>
                <w:sz w:val="16"/>
                <w:szCs w:val="16"/>
                <w:color w:val="0000EE"/>
              </w:rPr>
              <w:t>2025 Grants of Plan-Based Awards</w:t>
            </w:r>
          </w:p>
        </w:tc>
        <w:tc>
          <w:tcPr>
            <w:tcW w:w="340" w:type="dxa"/>
            <w:vAlign w:val="bottom"/>
          </w:tcPr>
          <w:p>
            <w:pPr>
              <w:jc w:val="right"/>
              <w:spacing w:after="0" w:line="165"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2580" w:type="dxa"/>
            <w:vAlign w:val="bottom"/>
            <w:tcBorders>
              <w:top w:val="single" w:sz="8" w:color="0000EE"/>
            </w:tcBorders>
            <w:gridSpan w:val="20"/>
          </w:tcPr>
          <w:p>
            <w:pPr>
              <w:spacing w:after="0" w:line="165" w:lineRule="exact"/>
              <w:rPr>
                <w:sz w:val="20"/>
                <w:szCs w:val="20"/>
                <w:color w:val="auto"/>
              </w:rPr>
            </w:pPr>
            <w:r>
              <w:rPr>
                <w:rFonts w:ascii="Arial" w:cs="Arial" w:eastAsia="Arial" w:hAnsi="Arial"/>
                <w:sz w:val="16"/>
                <w:szCs w:val="16"/>
                <w:color w:val="0000EE"/>
              </w:rPr>
              <w:t>2025 Outstanding Equity Awards at</w:t>
            </w:r>
          </w:p>
        </w:tc>
        <w:tc>
          <w:tcPr>
            <w:tcW w:w="1100" w:type="dxa"/>
            <w:vAlign w:val="bottom"/>
            <w:gridSpan w:val="11"/>
          </w:tcPr>
          <w:p>
            <w:pPr>
              <w:ind w:left="40"/>
              <w:spacing w:after="0" w:line="165" w:lineRule="exact"/>
              <w:rPr>
                <w:sz w:val="20"/>
                <w:szCs w:val="20"/>
                <w:color w:val="auto"/>
              </w:rPr>
            </w:pPr>
            <w:r>
              <w:rPr>
                <w:rFonts w:ascii="Arial" w:cs="Arial" w:eastAsia="Arial" w:hAnsi="Arial"/>
                <w:sz w:val="16"/>
                <w:szCs w:val="16"/>
                <w:color w:val="0000EE"/>
              </w:rPr>
              <w:t>Fiscal Year</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00" w:type="dxa"/>
            <w:vAlign w:val="bottom"/>
            <w:tcBorders>
              <w:top w:val="single" w:sz="8" w:color="0000EE"/>
              <w:bottom w:val="single" w:sz="8" w:color="0000EE"/>
            </w:tcBorders>
          </w:tcPr>
          <w:p>
            <w:pPr>
              <w:spacing w:after="0" w:line="165" w:lineRule="exact"/>
              <w:rPr>
                <w:sz w:val="20"/>
                <w:szCs w:val="20"/>
                <w:color w:val="auto"/>
              </w:rPr>
            </w:pPr>
            <w:r>
              <w:rPr>
                <w:rFonts w:ascii="Arial" w:cs="Arial" w:eastAsia="Arial" w:hAnsi="Arial"/>
                <w:sz w:val="16"/>
                <w:szCs w:val="16"/>
                <w:color w:val="0000EE"/>
                <w:w w:val="98"/>
              </w:rPr>
              <w:t>End</w:t>
            </w:r>
          </w:p>
        </w:tc>
        <w:tc>
          <w:tcPr>
            <w:tcW w:w="2940" w:type="dxa"/>
            <w:vAlign w:val="bottom"/>
            <w:tcBorders>
              <w:top w:val="single" w:sz="8" w:color="0000EE"/>
            </w:tcBorders>
            <w:gridSpan w:val="26"/>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480" w:type="dxa"/>
            <w:vAlign w:val="bottom"/>
            <w:gridSpan w:val="2"/>
          </w:tcPr>
          <w:p>
            <w:pPr>
              <w:spacing w:after="0" w:line="165" w:lineRule="exact"/>
              <w:rPr>
                <w:sz w:val="20"/>
                <w:szCs w:val="20"/>
                <w:color w:val="auto"/>
              </w:rPr>
            </w:pPr>
            <w:r>
              <w:rPr>
                <w:rFonts w:ascii="Arial" w:cs="Arial" w:eastAsia="Arial" w:hAnsi="Arial"/>
                <w:sz w:val="16"/>
                <w:szCs w:val="16"/>
                <w:color w:val="0000EE"/>
              </w:rPr>
              <w:t>2025</w:t>
            </w:r>
          </w:p>
        </w:tc>
        <w:tc>
          <w:tcPr>
            <w:tcW w:w="3200" w:type="dxa"/>
            <w:vAlign w:val="bottom"/>
            <w:gridSpan w:val="29"/>
          </w:tcPr>
          <w:p>
            <w:pPr>
              <w:spacing w:after="0" w:line="165" w:lineRule="exact"/>
              <w:rPr>
                <w:sz w:val="20"/>
                <w:szCs w:val="20"/>
                <w:color w:val="auto"/>
              </w:rPr>
            </w:pPr>
            <w:r>
              <w:rPr>
                <w:rFonts w:ascii="Arial" w:cs="Arial" w:eastAsia="Arial" w:hAnsi="Arial"/>
                <w:sz w:val="16"/>
                <w:szCs w:val="16"/>
                <w:color w:val="0000EE"/>
              </w:rPr>
              <w:t>Option Exercises and Stock Vested</w:t>
            </w:r>
          </w:p>
        </w:tc>
        <w:tc>
          <w:tcPr>
            <w:tcW w:w="340" w:type="dxa"/>
            <w:vAlign w:val="bottom"/>
          </w:tcPr>
          <w:p>
            <w:pPr>
              <w:jc w:val="right"/>
              <w:spacing w:after="0" w:line="165"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2980" w:type="dxa"/>
            <w:vAlign w:val="bottom"/>
            <w:tcBorders>
              <w:top w:val="single" w:sz="8" w:color="0000EE"/>
            </w:tcBorders>
            <w:gridSpan w:val="26"/>
          </w:tcPr>
          <w:p>
            <w:pPr>
              <w:spacing w:after="0" w:line="165" w:lineRule="exact"/>
              <w:rPr>
                <w:sz w:val="20"/>
                <w:szCs w:val="20"/>
                <w:color w:val="auto"/>
              </w:rPr>
            </w:pPr>
            <w:r>
              <w:rPr>
                <w:rFonts w:ascii="Arial" w:cs="Arial" w:eastAsia="Arial" w:hAnsi="Arial"/>
                <w:sz w:val="16"/>
                <w:szCs w:val="16"/>
                <w:color w:val="0000EE"/>
              </w:rPr>
              <w:t>Potential Payments upon Termination or</w:t>
            </w:r>
          </w:p>
        </w:tc>
        <w:tc>
          <w:tcPr>
            <w:tcW w:w="700" w:type="dxa"/>
            <w:vAlign w:val="bottom"/>
            <w:gridSpan w:val="5"/>
          </w:tcPr>
          <w:p>
            <w:pPr>
              <w:spacing w:after="0" w:line="165" w:lineRule="exact"/>
              <w:rPr>
                <w:sz w:val="20"/>
                <w:szCs w:val="20"/>
                <w:color w:val="auto"/>
              </w:rPr>
            </w:pPr>
            <w:r>
              <w:rPr>
                <w:rFonts w:ascii="Arial" w:cs="Arial" w:eastAsia="Arial" w:hAnsi="Arial"/>
                <w:sz w:val="16"/>
                <w:szCs w:val="16"/>
                <w:color w:val="0000EE"/>
              </w:rPr>
              <w:t>Change</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360" w:type="dxa"/>
            <w:vAlign w:val="bottom"/>
            <w:tcBorders>
              <w:top w:val="single" w:sz="8" w:color="0000EE"/>
            </w:tcBorders>
            <w:gridSpan w:val="29"/>
          </w:tcPr>
          <w:p>
            <w:pPr>
              <w:spacing w:after="0" w:line="165" w:lineRule="exact"/>
              <w:rPr>
                <w:sz w:val="20"/>
                <w:szCs w:val="20"/>
                <w:color w:val="auto"/>
              </w:rPr>
            </w:pPr>
            <w:r>
              <w:rPr>
                <w:rFonts w:ascii="Arial" w:cs="Arial" w:eastAsia="Arial" w:hAnsi="Arial"/>
                <w:sz w:val="16"/>
                <w:szCs w:val="16"/>
                <w:color w:val="0000EE"/>
              </w:rPr>
              <w:t>in Control</w:t>
            </w: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80" w:type="dxa"/>
            <w:vAlign w:val="bottom"/>
            <w:gridSpan w:val="1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60" w:type="dxa"/>
            <w:vAlign w:val="bottom"/>
            <w:gridSpan w:val="32"/>
          </w:tcPr>
          <w:p>
            <w:pPr>
              <w:spacing w:after="0"/>
              <w:rPr>
                <w:sz w:val="20"/>
                <w:szCs w:val="20"/>
                <w:color w:val="auto"/>
              </w:rPr>
            </w:pPr>
            <w:r>
              <w:rPr>
                <w:rFonts w:ascii="Arial" w:cs="Arial" w:eastAsia="Arial" w:hAnsi="Arial"/>
                <w:sz w:val="16"/>
                <w:szCs w:val="16"/>
                <w:b w:val="1"/>
                <w:bCs w:val="1"/>
                <w:color w:val="071D49"/>
              </w:rPr>
              <w:t>RATIFICATION OF ERNST &amp; YOUNG LLP AS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gridSpan w:val="10"/>
            <w:shd w:val="clear" w:color="auto" w:fill="071D49"/>
          </w:tcPr>
          <w:p>
            <w:pPr>
              <w:spacing w:after="0" w:line="20" w:lineRule="exact"/>
              <w:rPr>
                <w:sz w:val="1"/>
                <w:szCs w:val="1"/>
                <w:color w:val="auto"/>
              </w:rPr>
            </w:pPr>
          </w:p>
        </w:tc>
        <w:tc>
          <w:tcPr>
            <w:tcW w:w="1880" w:type="dxa"/>
            <w:vAlign w:val="bottom"/>
            <w:gridSpan w:val="18"/>
            <w:shd w:val="clear" w:color="auto" w:fill="071D4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960" w:type="dxa"/>
            <w:vAlign w:val="bottom"/>
            <w:gridSpan w:val="32"/>
          </w:tcPr>
          <w:p>
            <w:pPr>
              <w:spacing w:after="0" w:line="165" w:lineRule="exact"/>
              <w:rPr>
                <w:sz w:val="20"/>
                <w:szCs w:val="20"/>
                <w:color w:val="auto"/>
              </w:rPr>
            </w:pPr>
            <w:r>
              <w:rPr>
                <w:rFonts w:ascii="Arial" w:cs="Arial" w:eastAsia="Arial" w:hAnsi="Arial"/>
                <w:sz w:val="16"/>
                <w:szCs w:val="16"/>
                <w:b w:val="1"/>
                <w:bCs w:val="1"/>
                <w:color w:val="071D49"/>
              </w:rPr>
              <w:t>ABBVIE’S INDEPENDENT REGISTERED PUBLIC</w:t>
            </w: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071D49"/>
              </w:rPr>
              <w:t>70</w:t>
            </w:r>
          </w:p>
        </w:tc>
        <w:tc>
          <w:tcPr>
            <w:tcW w:w="0" w:type="dxa"/>
            <w:vAlign w:val="bottom"/>
          </w:tcPr>
          <w:p>
            <w:pPr>
              <w:spacing w:after="0"/>
              <w:rPr>
                <w:sz w:val="1"/>
                <w:szCs w:val="1"/>
                <w:color w:val="auto"/>
              </w:rPr>
            </w:pPr>
          </w:p>
        </w:tc>
      </w:tr>
      <w:tr>
        <w:trPr>
          <w:trHeight w:val="165"/>
        </w:trPr>
        <w:tc>
          <w:tcPr>
            <w:tcW w:w="3760" w:type="dxa"/>
            <w:vAlign w:val="bottom"/>
            <w:tcBorders>
              <w:top w:val="single" w:sz="8" w:color="071D49"/>
            </w:tcBorders>
            <w:gridSpan w:val="30"/>
          </w:tcPr>
          <w:p>
            <w:pPr>
              <w:spacing w:after="0" w:line="165" w:lineRule="exact"/>
              <w:rPr>
                <w:sz w:val="20"/>
                <w:szCs w:val="20"/>
                <w:color w:val="auto"/>
              </w:rPr>
            </w:pPr>
            <w:r>
              <w:rPr>
                <w:rFonts w:ascii="Arial" w:cs="Arial" w:eastAsia="Arial" w:hAnsi="Arial"/>
                <w:sz w:val="16"/>
                <w:szCs w:val="16"/>
                <w:b w:val="1"/>
                <w:bCs w:val="1"/>
                <w:color w:val="071D49"/>
              </w:rPr>
              <w:t>ACCOUNTING FIRM</w:t>
            </w:r>
          </w:p>
        </w:tc>
        <w:tc>
          <w:tcPr>
            <w:tcW w:w="200" w:type="dxa"/>
            <w:vAlign w:val="bottom"/>
            <w:gridSpan w:val="2"/>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617220</wp:posOffset>
            </wp:positionV>
            <wp:extent cx="5878195"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900" w:type="dxa"/>
            <w:vAlign w:val="bottom"/>
            <w:gridSpan w:val="26"/>
          </w:tcPr>
          <w:p>
            <w:pPr>
              <w:spacing w:after="0"/>
              <w:rPr>
                <w:sz w:val="20"/>
                <w:szCs w:val="20"/>
                <w:color w:val="auto"/>
              </w:rPr>
            </w:pPr>
            <w:r>
              <w:rPr>
                <w:rFonts w:ascii="Arial" w:cs="Arial" w:eastAsia="Arial" w:hAnsi="Arial"/>
                <w:sz w:val="16"/>
                <w:szCs w:val="16"/>
                <w:b w:val="1"/>
                <w:bCs w:val="1"/>
                <w:color w:val="071D49"/>
              </w:rPr>
              <w:t>AUDIT INFORMATION</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71D49"/>
              </w:rPr>
              <w:t>71</w:t>
            </w: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48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40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40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00" w:type="dxa"/>
            <w:vAlign w:val="bottom"/>
          </w:tcPr>
          <w:p>
            <w:pPr>
              <w:spacing w:after="0"/>
              <w:rPr>
                <w:sz w:val="11"/>
                <w:szCs w:val="11"/>
                <w:color w:val="auto"/>
              </w:rPr>
            </w:pPr>
          </w:p>
        </w:tc>
        <w:tc>
          <w:tcPr>
            <w:tcW w:w="3600" w:type="dxa"/>
            <w:vAlign w:val="bottom"/>
            <w:gridSpan w:val="25"/>
          </w:tcPr>
          <w:p>
            <w:pPr>
              <w:spacing w:after="0" w:line="137" w:lineRule="exact"/>
              <w:rPr>
                <w:sz w:val="20"/>
                <w:szCs w:val="20"/>
                <w:color w:val="auto"/>
              </w:rPr>
            </w:pPr>
            <w:r>
              <w:rPr>
                <w:rFonts w:ascii="Arial" w:cs="Arial" w:eastAsia="Arial" w:hAnsi="Arial"/>
                <w:sz w:val="15"/>
                <w:szCs w:val="15"/>
                <w:color w:val="0000EE"/>
              </w:rPr>
              <w:t>Audit Fees and Non-Audit Fees</w:t>
            </w:r>
          </w:p>
        </w:tc>
        <w:tc>
          <w:tcPr>
            <w:tcW w:w="400" w:type="dxa"/>
            <w:vAlign w:val="bottom"/>
          </w:tcPr>
          <w:p>
            <w:pPr>
              <w:jc w:val="right"/>
              <w:spacing w:after="0" w:line="137" w:lineRule="exact"/>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2280" w:type="dxa"/>
            <w:vAlign w:val="bottom"/>
            <w:tcBorders>
              <w:top w:val="single" w:sz="8" w:color="0000EE"/>
            </w:tcBorders>
            <w:gridSpan w:val="18"/>
          </w:tcPr>
          <w:p>
            <w:pPr>
              <w:spacing w:after="0" w:line="165" w:lineRule="exact"/>
              <w:rPr>
                <w:sz w:val="20"/>
                <w:szCs w:val="20"/>
                <w:color w:val="auto"/>
              </w:rPr>
            </w:pPr>
            <w:r>
              <w:rPr>
                <w:rFonts w:ascii="Arial" w:cs="Arial" w:eastAsia="Arial" w:hAnsi="Arial"/>
                <w:sz w:val="16"/>
                <w:szCs w:val="16"/>
                <w:color w:val="0000EE"/>
              </w:rPr>
              <w:t>Policy on Audit Committee Pre-</w:t>
            </w:r>
          </w:p>
        </w:tc>
        <w:tc>
          <w:tcPr>
            <w:tcW w:w="1320" w:type="dxa"/>
            <w:vAlign w:val="bottom"/>
            <w:gridSpan w:val="7"/>
          </w:tcPr>
          <w:p>
            <w:pPr>
              <w:spacing w:after="0" w:line="165" w:lineRule="exact"/>
              <w:rPr>
                <w:sz w:val="20"/>
                <w:szCs w:val="20"/>
                <w:color w:val="auto"/>
              </w:rPr>
            </w:pPr>
            <w:r>
              <w:rPr>
                <w:rFonts w:ascii="Arial" w:cs="Arial" w:eastAsia="Arial" w:hAnsi="Arial"/>
                <w:sz w:val="16"/>
                <w:szCs w:val="16"/>
                <w:color w:val="0000EE"/>
              </w:rPr>
              <w:t>Approval of</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920" w:type="dxa"/>
            <w:vAlign w:val="bottom"/>
            <w:tcBorders>
              <w:top w:val="single" w:sz="8" w:color="0000EE"/>
            </w:tcBorders>
            <w:gridSpan w:val="21"/>
          </w:tcPr>
          <w:p>
            <w:pPr>
              <w:spacing w:after="0" w:line="165" w:lineRule="exact"/>
              <w:rPr>
                <w:sz w:val="20"/>
                <w:szCs w:val="20"/>
                <w:color w:val="auto"/>
              </w:rPr>
            </w:pPr>
            <w:r>
              <w:rPr>
                <w:rFonts w:ascii="Arial" w:cs="Arial" w:eastAsia="Arial" w:hAnsi="Arial"/>
                <w:sz w:val="16"/>
                <w:szCs w:val="16"/>
                <w:color w:val="0000EE"/>
                <w:w w:val="97"/>
              </w:rPr>
              <w:t>Audit and Permissible Non-Audit Services</w:t>
            </w:r>
          </w:p>
        </w:tc>
        <w:tc>
          <w:tcPr>
            <w:tcW w:w="120" w:type="dxa"/>
            <w:vAlign w:val="bottom"/>
          </w:tcPr>
          <w:p>
            <w:pPr>
              <w:spacing w:after="0"/>
              <w:rPr>
                <w:sz w:val="14"/>
                <w:szCs w:val="14"/>
                <w:color w:val="auto"/>
              </w:rPr>
            </w:pPr>
          </w:p>
        </w:tc>
        <w:tc>
          <w:tcPr>
            <w:tcW w:w="380" w:type="dxa"/>
            <w:vAlign w:val="bottom"/>
            <w:gridSpan w:val="2"/>
          </w:tcPr>
          <w:p>
            <w:pPr>
              <w:ind w:left="40"/>
              <w:spacing w:after="0" w:line="165" w:lineRule="exact"/>
              <w:rPr>
                <w:sz w:val="20"/>
                <w:szCs w:val="20"/>
                <w:color w:val="auto"/>
              </w:rPr>
            </w:pPr>
            <w:r>
              <w:rPr>
                <w:rFonts w:ascii="Arial" w:cs="Arial" w:eastAsia="Arial" w:hAnsi="Arial"/>
                <w:sz w:val="16"/>
                <w:szCs w:val="16"/>
                <w:color w:val="0000EE"/>
              </w:rPr>
              <w:t>of</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tcBorders>
              <w:top w:val="single" w:sz="8" w:color="0000EE"/>
            </w:tcBorders>
            <w:gridSpan w:val="23"/>
          </w:tcPr>
          <w:p>
            <w:pPr>
              <w:spacing w:after="0" w:line="165" w:lineRule="exact"/>
              <w:rPr>
                <w:sz w:val="20"/>
                <w:szCs w:val="20"/>
                <w:color w:val="auto"/>
              </w:rPr>
            </w:pPr>
            <w:r>
              <w:rPr>
                <w:rFonts w:ascii="Arial" w:cs="Arial" w:eastAsia="Arial" w:hAnsi="Arial"/>
                <w:sz w:val="16"/>
                <w:szCs w:val="16"/>
                <w:color w:val="0000EE"/>
              </w:rPr>
              <w:t>the Independent Registered Public</w:t>
            </w:r>
          </w:p>
        </w:tc>
        <w:tc>
          <w:tcPr>
            <w:tcW w:w="22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top w:val="single" w:sz="8" w:color="0000EE"/>
              <w:bottom w:val="single" w:sz="8" w:color="0000EE"/>
            </w:tcBorders>
            <w:gridSpan w:val="7"/>
          </w:tcPr>
          <w:p>
            <w:pPr>
              <w:spacing w:after="0" w:line="165" w:lineRule="exact"/>
              <w:rPr>
                <w:sz w:val="20"/>
                <w:szCs w:val="20"/>
                <w:color w:val="auto"/>
              </w:rPr>
            </w:pPr>
            <w:r>
              <w:rPr>
                <w:rFonts w:ascii="Arial" w:cs="Arial" w:eastAsia="Arial" w:hAnsi="Arial"/>
                <w:sz w:val="16"/>
                <w:szCs w:val="16"/>
                <w:color w:val="0000EE"/>
              </w:rPr>
              <w:t>Accounting Firm</w:t>
            </w:r>
          </w:p>
        </w:tc>
        <w:tc>
          <w:tcPr>
            <w:tcW w:w="1300" w:type="dxa"/>
            <w:vAlign w:val="bottom"/>
            <w:tcBorders>
              <w:top w:val="single" w:sz="8" w:color="0000EE"/>
            </w:tcBorders>
            <w:gridSpan w:val="11"/>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380" w:type="dxa"/>
            <w:vAlign w:val="bottom"/>
            <w:gridSpan w:val="8"/>
          </w:tcPr>
          <w:p>
            <w:pPr>
              <w:spacing w:after="0" w:line="165" w:lineRule="exact"/>
              <w:rPr>
                <w:sz w:val="20"/>
                <w:szCs w:val="20"/>
                <w:color w:val="auto"/>
              </w:rPr>
            </w:pPr>
            <w:r>
              <w:rPr>
                <w:rFonts w:ascii="Arial" w:cs="Arial" w:eastAsia="Arial" w:hAnsi="Arial"/>
                <w:sz w:val="16"/>
                <w:szCs w:val="16"/>
                <w:color w:val="0000EE"/>
              </w:rPr>
              <w:t>Audit Committee</w:t>
            </w:r>
          </w:p>
        </w:tc>
        <w:tc>
          <w:tcPr>
            <w:tcW w:w="2220" w:type="dxa"/>
            <w:vAlign w:val="bottom"/>
            <w:gridSpan w:val="17"/>
          </w:tcPr>
          <w:p>
            <w:pPr>
              <w:spacing w:after="0" w:line="165" w:lineRule="exact"/>
              <w:rPr>
                <w:sz w:val="20"/>
                <w:szCs w:val="20"/>
                <w:color w:val="auto"/>
              </w:rPr>
            </w:pPr>
            <w:r>
              <w:rPr>
                <w:rFonts w:ascii="Arial" w:cs="Arial" w:eastAsia="Arial" w:hAnsi="Arial"/>
                <w:sz w:val="16"/>
                <w:szCs w:val="16"/>
                <w:color w:val="0000EE"/>
              </w:rPr>
              <w:t>Report</w:t>
            </w:r>
          </w:p>
        </w:tc>
        <w:tc>
          <w:tcPr>
            <w:tcW w:w="400" w:type="dxa"/>
            <w:vAlign w:val="bottom"/>
          </w:tcPr>
          <w:p>
            <w:pPr>
              <w:jc w:val="right"/>
              <w:spacing w:after="0" w:line="165"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140" w:type="dxa"/>
            <w:vAlign w:val="bottom"/>
            <w:tcBorders>
              <w:bottom w:val="single" w:sz="8" w:color="071D49"/>
            </w:tcBorders>
            <w:gridSpan w:val="21"/>
          </w:tcPr>
          <w:p>
            <w:pPr>
              <w:spacing w:after="0"/>
              <w:rPr>
                <w:sz w:val="20"/>
                <w:szCs w:val="20"/>
                <w:color w:val="auto"/>
              </w:rPr>
            </w:pPr>
            <w:r>
              <w:rPr>
                <w:rFonts w:ascii="Arial" w:cs="Arial" w:eastAsia="Arial" w:hAnsi="Arial"/>
                <w:sz w:val="16"/>
                <w:szCs w:val="16"/>
                <w:b w:val="1"/>
                <w:bCs w:val="1"/>
                <w:color w:val="071D49"/>
              </w:rPr>
              <w:t>SAY ON PAY—ADVISORY VOTE ON THE</w:t>
            </w:r>
          </w:p>
        </w:tc>
        <w:tc>
          <w:tcPr>
            <w:tcW w:w="760" w:type="dxa"/>
            <w:vAlign w:val="bottom"/>
            <w:gridSpan w:val="5"/>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b w:val="1"/>
                <w:bCs w:val="1"/>
                <w:color w:val="071D49"/>
              </w:rPr>
              <w:t>73</w:t>
            </w:r>
          </w:p>
        </w:tc>
        <w:tc>
          <w:tcPr>
            <w:tcW w:w="0" w:type="dxa"/>
            <w:vAlign w:val="bottom"/>
          </w:tcPr>
          <w:p>
            <w:pPr>
              <w:spacing w:after="0"/>
              <w:rPr>
                <w:sz w:val="1"/>
                <w:szCs w:val="1"/>
                <w:color w:val="auto"/>
              </w:rPr>
            </w:pPr>
          </w:p>
        </w:tc>
      </w:tr>
      <w:tr>
        <w:trPr>
          <w:trHeight w:val="165"/>
        </w:trPr>
        <w:tc>
          <w:tcPr>
            <w:tcW w:w="3900" w:type="dxa"/>
            <w:vAlign w:val="bottom"/>
            <w:gridSpan w:val="26"/>
          </w:tcPr>
          <w:p>
            <w:pPr>
              <w:spacing w:after="0" w:line="165" w:lineRule="exact"/>
              <w:rPr>
                <w:sz w:val="20"/>
                <w:szCs w:val="20"/>
                <w:color w:val="auto"/>
              </w:rPr>
            </w:pPr>
            <w:r>
              <w:rPr>
                <w:rFonts w:ascii="Arial" w:cs="Arial" w:eastAsia="Arial" w:hAnsi="Arial"/>
                <w:sz w:val="16"/>
                <w:szCs w:val="16"/>
                <w:b w:val="1"/>
                <w:bCs w:val="1"/>
                <w:color w:val="071D49"/>
              </w:rPr>
              <w:t>APPROVAL OF EXECUTIVE COMPENSATION</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48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22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400" w:type="dxa"/>
            <w:vAlign w:val="bottom"/>
            <w:tcBorders>
              <w:top w:val="single" w:sz="8" w:color="071D49"/>
              <w:bottom w:val="single" w:sz="8" w:color="071D49"/>
            </w:tcBorders>
          </w:tcPr>
          <w:p>
            <w:pPr>
              <w:spacing w:after="0" w:line="20" w:lineRule="exact"/>
              <w:rPr>
                <w:sz w:val="1"/>
                <w:szCs w:val="1"/>
                <w:color w:val="auto"/>
              </w:rPr>
            </w:pPr>
          </w:p>
        </w:tc>
        <w:tc>
          <w:tcPr>
            <w:tcW w:w="16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40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gridSpan w:val="26"/>
          </w:tcPr>
          <w:p>
            <w:pPr>
              <w:spacing w:after="0"/>
              <w:rPr>
                <w:sz w:val="20"/>
                <w:szCs w:val="20"/>
                <w:color w:val="auto"/>
              </w:rPr>
            </w:pPr>
            <w:r>
              <w:rPr>
                <w:rFonts w:ascii="Arial" w:cs="Arial" w:eastAsia="Arial" w:hAnsi="Arial"/>
                <w:sz w:val="16"/>
                <w:szCs w:val="16"/>
                <w:b w:val="1"/>
                <w:bCs w:val="1"/>
                <w:color w:val="071D49"/>
              </w:rPr>
              <w:t>MANAGEMENT PROPOSAL TO ELIMINATE</w:t>
            </w:r>
          </w:p>
        </w:tc>
        <w:tc>
          <w:tcPr>
            <w:tcW w:w="400" w:type="dxa"/>
            <w:vAlign w:val="bottom"/>
            <w:vMerge w:val="restart"/>
          </w:tcPr>
          <w:p>
            <w:pPr>
              <w:jc w:val="right"/>
              <w:spacing w:after="0"/>
              <w:rPr>
                <w:sz w:val="20"/>
                <w:szCs w:val="20"/>
                <w:color w:val="auto"/>
              </w:rPr>
            </w:pPr>
            <w:r>
              <w:rPr>
                <w:rFonts w:ascii="Arial" w:cs="Arial" w:eastAsia="Arial" w:hAnsi="Arial"/>
                <w:sz w:val="16"/>
                <w:szCs w:val="16"/>
                <w:b w:val="1"/>
                <w:bCs w:val="1"/>
                <w:color w:val="071D49"/>
              </w:rPr>
              <w:t>74</w:t>
            </w:r>
          </w:p>
        </w:tc>
        <w:tc>
          <w:tcPr>
            <w:tcW w:w="0" w:type="dxa"/>
            <w:vAlign w:val="bottom"/>
          </w:tcPr>
          <w:p>
            <w:pPr>
              <w:spacing w:after="0"/>
              <w:rPr>
                <w:sz w:val="1"/>
                <w:szCs w:val="1"/>
                <w:color w:val="auto"/>
              </w:rPr>
            </w:pPr>
          </w:p>
        </w:tc>
      </w:tr>
      <w:tr>
        <w:trPr>
          <w:trHeight w:val="165"/>
        </w:trPr>
        <w:tc>
          <w:tcPr>
            <w:tcW w:w="3340" w:type="dxa"/>
            <w:vAlign w:val="bottom"/>
            <w:tcBorders>
              <w:top w:val="single" w:sz="8" w:color="071D49"/>
            </w:tcBorders>
            <w:gridSpan w:val="22"/>
          </w:tcPr>
          <w:p>
            <w:pPr>
              <w:spacing w:after="0" w:line="165" w:lineRule="exact"/>
              <w:rPr>
                <w:sz w:val="20"/>
                <w:szCs w:val="20"/>
                <w:color w:val="auto"/>
              </w:rPr>
            </w:pPr>
            <w:r>
              <w:rPr>
                <w:rFonts w:ascii="Arial" w:cs="Arial" w:eastAsia="Arial" w:hAnsi="Arial"/>
                <w:sz w:val="16"/>
                <w:szCs w:val="16"/>
                <w:b w:val="1"/>
                <w:bCs w:val="1"/>
                <w:color w:val="071D49"/>
              </w:rPr>
              <w:t>SUPERMAJORITY VOTING</w:t>
            </w:r>
          </w:p>
        </w:tc>
        <w:tc>
          <w:tcPr>
            <w:tcW w:w="18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48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22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40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40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gridSpan w:val="26"/>
          </w:tcPr>
          <w:p>
            <w:pPr>
              <w:spacing w:after="0"/>
              <w:rPr>
                <w:sz w:val="20"/>
                <w:szCs w:val="20"/>
                <w:color w:val="auto"/>
              </w:rPr>
            </w:pPr>
            <w:r>
              <w:rPr>
                <w:rFonts w:ascii="Arial" w:cs="Arial" w:eastAsia="Arial" w:hAnsi="Arial"/>
                <w:sz w:val="16"/>
                <w:szCs w:val="16"/>
                <w:b w:val="1"/>
                <w:bCs w:val="1"/>
                <w:color w:val="071D49"/>
              </w:rPr>
              <w:t>STOCKHOLDER PROPOSAL</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71D49"/>
              </w:rPr>
              <w:t>76</w:t>
            </w: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48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22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40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40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00" w:type="dxa"/>
            <w:vAlign w:val="bottom"/>
          </w:tcPr>
          <w:p>
            <w:pPr>
              <w:spacing w:after="0"/>
              <w:rPr>
                <w:sz w:val="11"/>
                <w:szCs w:val="11"/>
                <w:color w:val="auto"/>
              </w:rPr>
            </w:pPr>
          </w:p>
        </w:tc>
        <w:tc>
          <w:tcPr>
            <w:tcW w:w="3600" w:type="dxa"/>
            <w:vAlign w:val="bottom"/>
            <w:gridSpan w:val="25"/>
          </w:tcPr>
          <w:p>
            <w:pPr>
              <w:spacing w:after="0" w:line="137" w:lineRule="exact"/>
              <w:rPr>
                <w:sz w:val="20"/>
                <w:szCs w:val="20"/>
                <w:color w:val="auto"/>
              </w:rPr>
            </w:pPr>
            <w:r>
              <w:rPr>
                <w:rFonts w:ascii="Arial" w:cs="Arial" w:eastAsia="Arial" w:hAnsi="Arial"/>
                <w:sz w:val="15"/>
                <w:szCs w:val="15"/>
                <w:color w:val="0000EE"/>
              </w:rPr>
              <w:t>Stockholder Proposal on Independent Board</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040" w:type="dxa"/>
            <w:vAlign w:val="bottom"/>
            <w:tcBorders>
              <w:top w:val="single" w:sz="8" w:color="0000EE"/>
            </w:tcBorders>
            <w:gridSpan w:val="22"/>
          </w:tcPr>
          <w:p>
            <w:pPr>
              <w:spacing w:after="0" w:line="165" w:lineRule="exact"/>
              <w:rPr>
                <w:sz w:val="20"/>
                <w:szCs w:val="20"/>
                <w:color w:val="auto"/>
              </w:rPr>
            </w:pPr>
            <w:r>
              <w:rPr>
                <w:rFonts w:ascii="Arial" w:cs="Arial" w:eastAsia="Arial" w:hAnsi="Arial"/>
                <w:sz w:val="16"/>
                <w:szCs w:val="16"/>
                <w:color w:val="0000EE"/>
              </w:rPr>
              <w:t>Chair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00" w:type="dxa"/>
            <w:vAlign w:val="bottom"/>
            <w:gridSpan w:val="26"/>
          </w:tcPr>
          <w:p>
            <w:pPr>
              <w:spacing w:after="0"/>
              <w:rPr>
                <w:sz w:val="20"/>
                <w:szCs w:val="20"/>
                <w:color w:val="auto"/>
              </w:rPr>
            </w:pPr>
            <w:r>
              <w:rPr>
                <w:rFonts w:ascii="Arial" w:cs="Arial" w:eastAsia="Arial" w:hAnsi="Arial"/>
                <w:sz w:val="16"/>
                <w:szCs w:val="16"/>
                <w:b w:val="1"/>
                <w:bCs w:val="1"/>
                <w:color w:val="071D49"/>
              </w:rPr>
              <w:t>ADDITIONAL INFORMATION</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71D49"/>
              </w:rPr>
              <w:t>79</w:t>
            </w: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48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22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40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40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gridSpan w:val="26"/>
          </w:tcPr>
          <w:p>
            <w:pPr>
              <w:spacing w:after="0"/>
              <w:rPr>
                <w:sz w:val="20"/>
                <w:szCs w:val="20"/>
                <w:color w:val="auto"/>
              </w:rPr>
            </w:pPr>
            <w:r>
              <w:rPr>
                <w:rFonts w:ascii="Arial" w:cs="Arial" w:eastAsia="Arial" w:hAnsi="Arial"/>
                <w:sz w:val="16"/>
                <w:szCs w:val="16"/>
                <w:b w:val="1"/>
                <w:bCs w:val="1"/>
                <w:color w:val="071D49"/>
              </w:rPr>
              <w:t>INFORMATION ABOUT THE ANNUAL MEETING</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71D49"/>
              </w:rPr>
              <w:t>83</w:t>
            </w: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48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22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400" w:type="dxa"/>
            <w:vAlign w:val="bottom"/>
            <w:tcBorders>
              <w:top w:val="single" w:sz="8" w:color="071D49"/>
              <w:bottom w:val="single" w:sz="8" w:color="071D49"/>
            </w:tcBorders>
          </w:tcPr>
          <w:p>
            <w:pPr>
              <w:spacing w:after="0" w:line="20" w:lineRule="exact"/>
              <w:rPr>
                <w:sz w:val="1"/>
                <w:szCs w:val="1"/>
                <w:color w:val="auto"/>
              </w:rPr>
            </w:pPr>
          </w:p>
        </w:tc>
        <w:tc>
          <w:tcPr>
            <w:tcW w:w="16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160" w:type="dxa"/>
            <w:vAlign w:val="bottom"/>
            <w:tcBorders>
              <w:top w:val="single" w:sz="8" w:color="071D49"/>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40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00" w:type="dxa"/>
            <w:vAlign w:val="bottom"/>
          </w:tcPr>
          <w:p>
            <w:pPr>
              <w:spacing w:after="0"/>
              <w:rPr>
                <w:sz w:val="11"/>
                <w:szCs w:val="11"/>
                <w:color w:val="auto"/>
              </w:rPr>
            </w:pPr>
          </w:p>
        </w:tc>
        <w:tc>
          <w:tcPr>
            <w:tcW w:w="1060" w:type="dxa"/>
            <w:vAlign w:val="bottom"/>
            <w:tcBorders>
              <w:bottom w:val="single" w:sz="8" w:color="0000EE"/>
            </w:tcBorders>
            <w:gridSpan w:val="4"/>
          </w:tcPr>
          <w:p>
            <w:pPr>
              <w:spacing w:after="0" w:line="137" w:lineRule="exact"/>
              <w:rPr>
                <w:sz w:val="20"/>
                <w:szCs w:val="20"/>
                <w:color w:val="auto"/>
              </w:rPr>
            </w:pPr>
            <w:r>
              <w:rPr>
                <w:rFonts w:ascii="Arial" w:cs="Arial" w:eastAsia="Arial" w:hAnsi="Arial"/>
                <w:sz w:val="15"/>
                <w:szCs w:val="15"/>
                <w:color w:val="0000EE"/>
              </w:rPr>
              <w:t>Who Can Vote</w:t>
            </w:r>
          </w:p>
        </w:tc>
        <w:tc>
          <w:tcPr>
            <w:tcW w:w="2540" w:type="dxa"/>
            <w:vAlign w:val="bottom"/>
            <w:gridSpan w:val="21"/>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3600" w:type="dxa"/>
            <w:vAlign w:val="bottom"/>
            <w:gridSpan w:val="25"/>
          </w:tcPr>
          <w:p>
            <w:pPr>
              <w:spacing w:after="0" w:line="165" w:lineRule="exact"/>
              <w:rPr>
                <w:sz w:val="20"/>
                <w:szCs w:val="20"/>
                <w:color w:val="auto"/>
              </w:rPr>
            </w:pPr>
            <w:r>
              <w:rPr>
                <w:rFonts w:ascii="Arial" w:cs="Arial" w:eastAsia="Arial" w:hAnsi="Arial"/>
                <w:sz w:val="16"/>
                <w:szCs w:val="16"/>
                <w:color w:val="0000EE"/>
              </w:rPr>
              <w:t>Notice and Access</w:t>
            </w:r>
          </w:p>
        </w:tc>
        <w:tc>
          <w:tcPr>
            <w:tcW w:w="400" w:type="dxa"/>
            <w:vAlign w:val="bottom"/>
          </w:tcPr>
          <w:p>
            <w:pPr>
              <w:jc w:val="right"/>
              <w:spacing w:after="0" w:line="165"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140" w:type="dxa"/>
            <w:vAlign w:val="bottom"/>
            <w:tcBorders>
              <w:top w:val="single" w:sz="8" w:color="0000EE"/>
              <w:bottom w:val="single" w:sz="8" w:color="0000EE"/>
            </w:tcBorders>
            <w:gridSpan w:val="5"/>
          </w:tcPr>
          <w:p>
            <w:pPr>
              <w:spacing w:after="0" w:line="165" w:lineRule="exact"/>
              <w:rPr>
                <w:sz w:val="20"/>
                <w:szCs w:val="20"/>
                <w:color w:val="auto"/>
              </w:rPr>
            </w:pPr>
            <w:r>
              <w:rPr>
                <w:rFonts w:ascii="Arial" w:cs="Arial" w:eastAsia="Arial" w:hAnsi="Arial"/>
                <w:sz w:val="16"/>
                <w:szCs w:val="16"/>
                <w:color w:val="0000EE"/>
                <w:w w:val="99"/>
              </w:rPr>
              <w:t>Voting by Proxy</w:t>
            </w:r>
          </w:p>
        </w:tc>
        <w:tc>
          <w:tcPr>
            <w:tcW w:w="220" w:type="dxa"/>
            <w:vAlign w:val="bottom"/>
            <w:tcBorders>
              <w:top w:val="single" w:sz="8" w:color="0000EE"/>
            </w:tcBorders>
            <w:gridSpan w:val="2"/>
          </w:tcPr>
          <w:p>
            <w:pPr>
              <w:spacing w:after="0"/>
              <w:rPr>
                <w:sz w:val="14"/>
                <w:szCs w:val="14"/>
                <w:color w:val="auto"/>
              </w:rPr>
            </w:pPr>
          </w:p>
        </w:tc>
        <w:tc>
          <w:tcPr>
            <w:tcW w:w="160" w:type="dxa"/>
            <w:vAlign w:val="bottom"/>
            <w:gridSpan w:val="3"/>
          </w:tcPr>
          <w:p>
            <w:pPr>
              <w:spacing w:after="0"/>
              <w:rPr>
                <w:sz w:val="14"/>
                <w:szCs w:val="14"/>
                <w:color w:val="auto"/>
              </w:rPr>
            </w:pPr>
          </w:p>
        </w:tc>
        <w:tc>
          <w:tcPr>
            <w:tcW w:w="280" w:type="dxa"/>
            <w:vAlign w:val="bottom"/>
            <w:gridSpan w:val="3"/>
          </w:tcPr>
          <w:p>
            <w:pPr>
              <w:spacing w:after="0"/>
              <w:rPr>
                <w:sz w:val="14"/>
                <w:szCs w:val="14"/>
                <w:color w:val="auto"/>
              </w:rPr>
            </w:pPr>
          </w:p>
        </w:tc>
        <w:tc>
          <w:tcPr>
            <w:tcW w:w="3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8"/>
          </w:tcPr>
          <w:p>
            <w:pPr>
              <w:spacing w:after="0"/>
              <w:rPr>
                <w:sz w:val="14"/>
                <w:szCs w:val="14"/>
                <w:color w:val="auto"/>
              </w:rPr>
            </w:pPr>
          </w:p>
        </w:tc>
        <w:tc>
          <w:tcPr>
            <w:tcW w:w="400" w:type="dxa"/>
            <w:vAlign w:val="bottom"/>
          </w:tcPr>
          <w:p>
            <w:pPr>
              <w:jc w:val="right"/>
              <w:spacing w:after="0" w:line="165"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280" w:type="dxa"/>
            <w:vAlign w:val="bottom"/>
            <w:tcBorders>
              <w:bottom w:val="single" w:sz="8" w:color="0000EE"/>
            </w:tcBorders>
            <w:gridSpan w:val="6"/>
          </w:tcPr>
          <w:p>
            <w:pPr>
              <w:spacing w:after="0" w:line="165" w:lineRule="exact"/>
              <w:rPr>
                <w:sz w:val="20"/>
                <w:szCs w:val="20"/>
                <w:color w:val="auto"/>
              </w:rPr>
            </w:pPr>
            <w:r>
              <w:rPr>
                <w:rFonts w:ascii="Arial" w:cs="Arial" w:eastAsia="Arial" w:hAnsi="Arial"/>
                <w:sz w:val="16"/>
                <w:szCs w:val="16"/>
                <w:color w:val="0000EE"/>
              </w:rPr>
              <w:t>Revoking a Proxy</w:t>
            </w:r>
          </w:p>
        </w:tc>
        <w:tc>
          <w:tcPr>
            <w:tcW w:w="2320" w:type="dxa"/>
            <w:vAlign w:val="bottom"/>
            <w:gridSpan w:val="19"/>
          </w:tcPr>
          <w:p>
            <w:pPr>
              <w:spacing w:after="0"/>
              <w:rPr>
                <w:sz w:val="14"/>
                <w:szCs w:val="14"/>
                <w:color w:val="auto"/>
              </w:rPr>
            </w:pPr>
          </w:p>
        </w:tc>
        <w:tc>
          <w:tcPr>
            <w:tcW w:w="400" w:type="dxa"/>
            <w:vAlign w:val="bottom"/>
          </w:tcPr>
          <w:p>
            <w:pPr>
              <w:jc w:val="right"/>
              <w:spacing w:after="0" w:line="165"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3600" w:type="dxa"/>
            <w:vAlign w:val="bottom"/>
            <w:gridSpan w:val="25"/>
          </w:tcPr>
          <w:p>
            <w:pPr>
              <w:spacing w:after="0" w:line="165" w:lineRule="exact"/>
              <w:rPr>
                <w:sz w:val="20"/>
                <w:szCs w:val="20"/>
                <w:color w:val="auto"/>
              </w:rPr>
            </w:pPr>
            <w:r>
              <w:rPr>
                <w:rFonts w:ascii="Arial" w:cs="Arial" w:eastAsia="Arial" w:hAnsi="Arial"/>
                <w:sz w:val="16"/>
                <w:szCs w:val="16"/>
                <w:color w:val="0000EE"/>
              </w:rPr>
              <w:t>Discretionary Voting Authority</w:t>
            </w:r>
          </w:p>
        </w:tc>
        <w:tc>
          <w:tcPr>
            <w:tcW w:w="400" w:type="dxa"/>
            <w:vAlign w:val="bottom"/>
          </w:tcPr>
          <w:p>
            <w:pPr>
              <w:jc w:val="right"/>
              <w:spacing w:after="0" w:line="165"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2160" w:type="dxa"/>
            <w:vAlign w:val="bottom"/>
            <w:tcBorders>
              <w:top w:val="single" w:sz="8" w:color="0000EE"/>
            </w:tcBorders>
            <w:gridSpan w:val="17"/>
          </w:tcPr>
          <w:p>
            <w:pPr>
              <w:spacing w:after="0" w:line="165" w:lineRule="exact"/>
              <w:rPr>
                <w:sz w:val="20"/>
                <w:szCs w:val="20"/>
                <w:color w:val="auto"/>
              </w:rPr>
            </w:pPr>
            <w:r>
              <w:rPr>
                <w:rFonts w:ascii="Arial" w:cs="Arial" w:eastAsia="Arial" w:hAnsi="Arial"/>
                <w:sz w:val="16"/>
                <w:szCs w:val="16"/>
                <w:color w:val="0000EE"/>
              </w:rPr>
              <w:t>Quorum</w:t>
            </w:r>
          </w:p>
        </w:tc>
        <w:tc>
          <w:tcPr>
            <w:tcW w:w="1440" w:type="dxa"/>
            <w:vAlign w:val="bottom"/>
            <w:gridSpan w:val="8"/>
          </w:tcPr>
          <w:p>
            <w:pPr>
              <w:spacing w:after="0"/>
              <w:rPr>
                <w:sz w:val="14"/>
                <w:szCs w:val="14"/>
                <w:color w:val="auto"/>
              </w:rPr>
            </w:pPr>
          </w:p>
        </w:tc>
        <w:tc>
          <w:tcPr>
            <w:tcW w:w="400" w:type="dxa"/>
            <w:vAlign w:val="bottom"/>
          </w:tcPr>
          <w:p>
            <w:pPr>
              <w:jc w:val="right"/>
              <w:spacing w:after="0" w:line="165"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580" w:type="dxa"/>
            <w:vAlign w:val="bottom"/>
            <w:tcBorders>
              <w:top w:val="single" w:sz="8" w:color="0000EE"/>
            </w:tcBorders>
            <w:gridSpan w:val="3"/>
          </w:tcPr>
          <w:p>
            <w:pPr>
              <w:spacing w:after="0" w:line="165" w:lineRule="exact"/>
              <w:rPr>
                <w:sz w:val="20"/>
                <w:szCs w:val="20"/>
                <w:color w:val="auto"/>
              </w:rPr>
            </w:pPr>
            <w:r>
              <w:rPr>
                <w:rFonts w:ascii="Arial" w:cs="Arial" w:eastAsia="Arial" w:hAnsi="Arial"/>
                <w:sz w:val="16"/>
                <w:szCs w:val="16"/>
                <w:color w:val="0000EE"/>
              </w:rPr>
              <w:t>Votes</w:t>
            </w:r>
          </w:p>
        </w:tc>
        <w:tc>
          <w:tcPr>
            <w:tcW w:w="3020" w:type="dxa"/>
            <w:vAlign w:val="bottom"/>
            <w:gridSpan w:val="22"/>
          </w:tcPr>
          <w:p>
            <w:pPr>
              <w:spacing w:after="0" w:line="165" w:lineRule="exact"/>
              <w:rPr>
                <w:sz w:val="20"/>
                <w:szCs w:val="20"/>
                <w:color w:val="auto"/>
              </w:rPr>
            </w:pPr>
            <w:r>
              <w:rPr>
                <w:rFonts w:ascii="Arial" w:cs="Arial" w:eastAsia="Arial" w:hAnsi="Arial"/>
                <w:sz w:val="16"/>
                <w:szCs w:val="16"/>
                <w:color w:val="0000EE"/>
              </w:rPr>
              <w:t>Required for Each Item</w:t>
            </w:r>
          </w:p>
        </w:tc>
        <w:tc>
          <w:tcPr>
            <w:tcW w:w="400" w:type="dxa"/>
            <w:vAlign w:val="bottom"/>
          </w:tcPr>
          <w:p>
            <w:pPr>
              <w:jc w:val="right"/>
              <w:spacing w:after="0" w:line="165"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2140" w:type="dxa"/>
            <w:vAlign w:val="bottom"/>
            <w:tcBorders>
              <w:top w:val="single" w:sz="8" w:color="0000EE"/>
            </w:tcBorders>
            <w:gridSpan w:val="16"/>
          </w:tcPr>
          <w:p>
            <w:pPr>
              <w:spacing w:after="0" w:line="165" w:lineRule="exact"/>
              <w:rPr>
                <w:sz w:val="20"/>
                <w:szCs w:val="20"/>
                <w:color w:val="auto"/>
              </w:rPr>
            </w:pPr>
            <w:r>
              <w:rPr>
                <w:rFonts w:ascii="Arial" w:cs="Arial" w:eastAsia="Arial" w:hAnsi="Arial"/>
                <w:sz w:val="16"/>
                <w:szCs w:val="16"/>
                <w:color w:val="0000EE"/>
              </w:rPr>
              <w:t>Inspectors of Election</w:t>
            </w:r>
          </w:p>
        </w:tc>
        <w:tc>
          <w:tcPr>
            <w:tcW w:w="1460" w:type="dxa"/>
            <w:vAlign w:val="bottom"/>
            <w:gridSpan w:val="9"/>
          </w:tcPr>
          <w:p>
            <w:pPr>
              <w:spacing w:after="0"/>
              <w:rPr>
                <w:sz w:val="14"/>
                <w:szCs w:val="14"/>
                <w:color w:val="auto"/>
              </w:rPr>
            </w:pPr>
          </w:p>
        </w:tc>
        <w:tc>
          <w:tcPr>
            <w:tcW w:w="400" w:type="dxa"/>
            <w:vAlign w:val="bottom"/>
          </w:tcPr>
          <w:p>
            <w:pPr>
              <w:jc w:val="right"/>
              <w:spacing w:after="0" w:line="165"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520" w:type="dxa"/>
            <w:vAlign w:val="bottom"/>
            <w:gridSpan w:val="10"/>
            <w:shd w:val="clear" w:color="auto" w:fill="0000EE"/>
          </w:tcPr>
          <w:p>
            <w:pPr>
              <w:spacing w:after="0" w:line="20" w:lineRule="exact"/>
              <w:rPr>
                <w:sz w:val="1"/>
                <w:szCs w:val="1"/>
                <w:color w:val="auto"/>
              </w:rPr>
            </w:pPr>
          </w:p>
        </w:tc>
        <w:tc>
          <w:tcPr>
            <w:tcW w:w="280" w:type="dxa"/>
            <w:vAlign w:val="bottom"/>
            <w:tcBorders>
              <w:left w:val="single" w:sz="8" w:color="0000EE"/>
            </w:tcBorders>
            <w:gridSpan w:val="3"/>
          </w:tcPr>
          <w:p>
            <w:pPr>
              <w:spacing w:after="0" w:line="20" w:lineRule="exact"/>
              <w:rPr>
                <w:sz w:val="1"/>
                <w:szCs w:val="1"/>
                <w:color w:val="auto"/>
              </w:rPr>
            </w:pPr>
          </w:p>
        </w:tc>
        <w:tc>
          <w:tcPr>
            <w:tcW w:w="1800" w:type="dxa"/>
            <w:vAlign w:val="bottom"/>
            <w:gridSpan w:val="12"/>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line="20" w:lineRule="exact"/>
              <w:rPr>
                <w:sz w:val="1"/>
                <w:szCs w:val="1"/>
                <w:color w:val="auto"/>
              </w:rPr>
            </w:pPr>
          </w:p>
        </w:tc>
      </w:tr>
      <w:tr>
        <w:trPr>
          <w:trHeight w:val="165"/>
        </w:trPr>
        <w:tc>
          <w:tcPr>
            <w:tcW w:w="300" w:type="dxa"/>
            <w:vAlign w:val="bottom"/>
          </w:tcPr>
          <w:p>
            <w:pPr>
              <w:spacing w:after="0"/>
              <w:rPr>
                <w:sz w:val="14"/>
                <w:szCs w:val="14"/>
                <w:color w:val="auto"/>
              </w:rPr>
            </w:pPr>
          </w:p>
        </w:tc>
        <w:tc>
          <w:tcPr>
            <w:tcW w:w="3600" w:type="dxa"/>
            <w:vAlign w:val="bottom"/>
            <w:gridSpan w:val="25"/>
          </w:tcPr>
          <w:p>
            <w:pPr>
              <w:spacing w:after="0" w:line="165" w:lineRule="exact"/>
              <w:rPr>
                <w:sz w:val="20"/>
                <w:szCs w:val="20"/>
                <w:color w:val="auto"/>
              </w:rPr>
            </w:pPr>
            <w:r>
              <w:rPr>
                <w:rFonts w:ascii="Arial" w:cs="Arial" w:eastAsia="Arial" w:hAnsi="Arial"/>
                <w:sz w:val="16"/>
                <w:szCs w:val="16"/>
                <w:color w:val="0000EE"/>
              </w:rPr>
              <w:t>Cost of Soliciting Proxies</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800" w:type="dxa"/>
            <w:vAlign w:val="bottom"/>
            <w:tcBorders>
              <w:top w:val="single" w:sz="8" w:color="0000EE"/>
            </w:tcBorders>
            <w:gridSpan w:val="13"/>
          </w:tcPr>
          <w:p>
            <w:pPr>
              <w:spacing w:after="0" w:line="165" w:lineRule="exact"/>
              <w:rPr>
                <w:sz w:val="20"/>
                <w:szCs w:val="20"/>
                <w:color w:val="auto"/>
              </w:rPr>
            </w:pPr>
            <w:r>
              <w:rPr>
                <w:rFonts w:ascii="Arial" w:cs="Arial" w:eastAsia="Arial" w:hAnsi="Arial"/>
                <w:sz w:val="16"/>
                <w:szCs w:val="16"/>
                <w:color w:val="0000EE"/>
              </w:rPr>
              <w:t>AbbVie Savings Plan</w:t>
            </w:r>
          </w:p>
        </w:tc>
        <w:tc>
          <w:tcPr>
            <w:tcW w:w="1800" w:type="dxa"/>
            <w:vAlign w:val="bottom"/>
            <w:gridSpan w:val="12"/>
          </w:tcPr>
          <w:p>
            <w:pPr>
              <w:spacing w:after="0"/>
              <w:rPr>
                <w:sz w:val="14"/>
                <w:szCs w:val="14"/>
                <w:color w:val="auto"/>
              </w:rPr>
            </w:pPr>
          </w:p>
        </w:tc>
        <w:tc>
          <w:tcPr>
            <w:tcW w:w="400" w:type="dxa"/>
            <w:vAlign w:val="bottom"/>
          </w:tcPr>
          <w:p>
            <w:pPr>
              <w:jc w:val="right"/>
              <w:spacing w:after="0" w:line="165"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4300" w:space="660"/>
            <w:col w:w="4300"/>
          </w:cols>
          <w:pgMar w:left="1320" w:top="480" w:right="13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color w:val="071D49"/>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587819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30"/>
          <w:szCs w:val="30"/>
          <w:color w:val="auto"/>
        </w:rPr>
        <w:t>About the Meeting</w:t>
      </w:r>
    </w:p>
    <w:p>
      <w:pPr>
        <w:sectPr>
          <w:pgSz w:w="11900" w:h="16838" w:orient="portrait"/>
          <w:cols w:equalWidth="0" w:num="1">
            <w:col w:w="9260"/>
          </w:cols>
          <w:pgMar w:left="1320" w:top="480" w:right="1319" w:bottom="1440" w:gutter="0" w:footer="0" w:header="0"/>
        </w:sectPr>
      </w:pPr>
    </w:p>
    <w:p>
      <w:pPr>
        <w:spacing w:after="0" w:line="192"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This proxy statement and the accompanying proxy are being made available to stockholders on or about March 23, 2026. The accompanying proxy is solicited on behalf of the Board of Directors for use at the Annual Meeting of Stockholders. This summary highlights selected information in the proxy statement. Please review the entire proxy statement and the AbbVie 2025 Annual Report before voting. The voting items expected to be proposed at the meeting are listed below along with the Board’s voting recommendations.</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tabs>
          <w:tab w:leader="none" w:pos="780" w:val="left"/>
        </w:tabs>
        <w:rPr>
          <w:sz w:val="20"/>
          <w:szCs w:val="20"/>
          <w:color w:val="auto"/>
        </w:rPr>
      </w:pP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b w:val="1"/>
          <w:bCs w:val="1"/>
          <w:color w:val="auto"/>
        </w:rPr>
        <w:t>2026 Annual Meeting of Stockholders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-289560</wp:posOffset>
            </wp:positionV>
            <wp:extent cx="3329940" cy="1024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9940" cy="1024255"/>
                    </a:xfrm>
                    <a:prstGeom prst="rect">
                      <a:avLst/>
                    </a:prstGeom>
                    <a:noFill/>
                  </pic:spPr>
                </pic:pic>
              </a:graphicData>
            </a:graphic>
          </wp:anchor>
        </w:drawing>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 xml:space="preserve">Date and Time: </w:t>
      </w:r>
      <w:r>
        <w:rPr>
          <w:rFonts w:ascii="Arial" w:cs="Arial" w:eastAsia="Arial" w:hAnsi="Arial"/>
          <w:sz w:val="15"/>
          <w:szCs w:val="15"/>
          <w:color w:val="auto"/>
        </w:rPr>
        <w:t>Friday, May 8, 2026 at 9:00 a.m. CT</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 xml:space="preserve">Place: </w:t>
      </w:r>
      <w:r>
        <w:rPr>
          <w:rFonts w:ascii="Arial" w:cs="Arial" w:eastAsia="Arial" w:hAnsi="Arial"/>
          <w:sz w:val="15"/>
          <w:szCs w:val="15"/>
          <w:color w:val="auto"/>
        </w:rPr>
        <w:t>Via live webcast online at</w:t>
      </w:r>
    </w:p>
    <w:p>
      <w:pPr>
        <w:spacing w:after="0" w:line="14" w:lineRule="exact"/>
        <w:rPr>
          <w:sz w:val="20"/>
          <w:szCs w:val="20"/>
          <w:color w:val="auto"/>
        </w:rPr>
      </w:pPr>
    </w:p>
    <w:p>
      <w:pPr>
        <w:ind w:left="180" w:right="2040"/>
        <w:spacing w:after="0" w:line="406" w:lineRule="auto"/>
        <w:rPr>
          <w:sz w:val="20"/>
          <w:szCs w:val="20"/>
          <w:color w:val="auto"/>
        </w:rPr>
      </w:pPr>
      <w:r>
        <w:rPr>
          <w:rFonts w:ascii="Arial" w:cs="Arial" w:eastAsia="Arial" w:hAnsi="Arial"/>
          <w:sz w:val="14"/>
          <w:szCs w:val="14"/>
          <w:color w:val="auto"/>
        </w:rPr>
        <w:t xml:space="preserve">www.virtualshareholdermeeting.com/ABBV2026 </w:t>
      </w:r>
      <w:r>
        <w:rPr>
          <w:rFonts w:ascii="Arial" w:cs="Arial" w:eastAsia="Arial" w:hAnsi="Arial"/>
          <w:sz w:val="14"/>
          <w:szCs w:val="14"/>
          <w:b w:val="1"/>
          <w:bCs w:val="1"/>
          <w:color w:val="auto"/>
        </w:rPr>
        <w:t xml:space="preserve">Record Date: </w:t>
      </w:r>
      <w:r>
        <w:rPr>
          <w:rFonts w:ascii="Arial" w:cs="Arial" w:eastAsia="Arial" w:hAnsi="Arial"/>
          <w:sz w:val="14"/>
          <w:szCs w:val="14"/>
          <w:color w:val="auto"/>
        </w:rPr>
        <w:t>March 9, 2026</w:t>
      </w:r>
    </w:p>
    <w:p>
      <w:pPr>
        <w:spacing w:after="0" w:line="559" w:lineRule="exact"/>
        <w:rPr>
          <w:sz w:val="20"/>
          <w:szCs w:val="20"/>
          <w:color w:val="auto"/>
        </w:rPr>
      </w:pPr>
    </w:p>
    <w:p>
      <w:pPr>
        <w:sectPr>
          <w:pgSz w:w="11900" w:h="16838" w:orient="portrait"/>
          <w:cols w:equalWidth="0" w:num="2">
            <w:col w:w="3820" w:space="80"/>
            <w:col w:w="5360"/>
          </w:cols>
          <w:pgMar w:left="1320" w:top="480" w:right="1319" w:bottom="144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3240" w:type="dxa"/>
            <w:vAlign w:val="bottom"/>
            <w:tcBorders>
              <w:bottom w:val="single" w:sz="8" w:color="071D49"/>
            </w:tcBorders>
            <w:gridSpan w:val="2"/>
          </w:tcPr>
          <w:p>
            <w:pPr>
              <w:spacing w:after="0"/>
              <w:rPr>
                <w:sz w:val="20"/>
                <w:szCs w:val="20"/>
                <w:color w:val="auto"/>
              </w:rPr>
            </w:pPr>
            <w:r>
              <w:rPr>
                <w:rFonts w:ascii="Arial" w:cs="Arial" w:eastAsia="Arial" w:hAnsi="Arial"/>
                <w:sz w:val="18"/>
                <w:szCs w:val="18"/>
                <w:b w:val="1"/>
                <w:bCs w:val="1"/>
                <w:color w:val="071D49"/>
              </w:rPr>
              <w:t>Proposal 1: Election of Directors</w:t>
            </w:r>
          </w:p>
        </w:tc>
        <w:tc>
          <w:tcPr>
            <w:tcW w:w="1980" w:type="dxa"/>
            <w:vAlign w:val="bottom"/>
            <w:tcBorders>
              <w:bottom w:val="single" w:sz="8" w:color="071D49"/>
            </w:tcBorders>
          </w:tcPr>
          <w:p>
            <w:pPr>
              <w:spacing w:after="0"/>
              <w:rPr>
                <w:sz w:val="20"/>
                <w:szCs w:val="20"/>
                <w:color w:val="auto"/>
              </w:rPr>
            </w:pPr>
          </w:p>
        </w:tc>
        <w:tc>
          <w:tcPr>
            <w:tcW w:w="2220" w:type="dxa"/>
            <w:vAlign w:val="bottom"/>
            <w:tcBorders>
              <w:bottom w:val="single" w:sz="8" w:color="071D49"/>
            </w:tcBorders>
          </w:tcPr>
          <w:p>
            <w:pPr>
              <w:spacing w:after="0"/>
              <w:rPr>
                <w:sz w:val="20"/>
                <w:szCs w:val="20"/>
                <w:color w:val="auto"/>
              </w:rPr>
            </w:pPr>
          </w:p>
        </w:tc>
        <w:tc>
          <w:tcPr>
            <w:tcW w:w="300" w:type="dxa"/>
            <w:vAlign w:val="bottom"/>
          </w:tcPr>
          <w:p>
            <w:pPr>
              <w:ind w:left="120"/>
              <w:spacing w:after="0"/>
              <w:rPr>
                <w:sz w:val="20"/>
                <w:szCs w:val="20"/>
                <w:color w:val="auto"/>
              </w:rPr>
            </w:pPr>
            <w:r>
              <w:rPr>
                <w:rFonts w:ascii="Arial" w:cs="Arial" w:eastAsia="Arial" w:hAnsi="Arial"/>
                <w:sz w:val="20"/>
                <w:szCs w:val="20"/>
                <w:b w:val="1"/>
                <w:bCs w:val="1"/>
                <w:color w:val="071D49"/>
              </w:rPr>
              <w:t>​</w:t>
            </w:r>
          </w:p>
        </w:tc>
        <w:tc>
          <w:tcPr>
            <w:tcW w:w="1260" w:type="dxa"/>
            <w:vAlign w:val="bottom"/>
          </w:tcPr>
          <w:p>
            <w:pPr>
              <w:jc w:val="center"/>
              <w:ind w:left="27"/>
              <w:spacing w:after="0"/>
              <w:rPr>
                <w:sz w:val="20"/>
                <w:szCs w:val="20"/>
                <w:color w:val="auto"/>
              </w:rPr>
            </w:pPr>
            <w:r>
              <w:rPr>
                <w:rFonts w:ascii="Arial" w:cs="Arial" w:eastAsia="Arial" w:hAnsi="Arial"/>
                <w:sz w:val="20"/>
                <w:szCs w:val="20"/>
                <w:b w:val="1"/>
                <w:bCs w:val="1"/>
                <w:color w:val="071D49"/>
                <w:w w:val="99"/>
              </w:rPr>
              <w:t>FOR</w:t>
            </w:r>
          </w:p>
        </w:tc>
        <w:tc>
          <w:tcPr>
            <w:tcW w:w="0" w:type="dxa"/>
            <w:vAlign w:val="bottom"/>
          </w:tcPr>
          <w:p>
            <w:pPr>
              <w:spacing w:after="0"/>
              <w:rPr>
                <w:sz w:val="1"/>
                <w:szCs w:val="1"/>
                <w:color w:val="auto"/>
              </w:rPr>
            </w:pPr>
          </w:p>
        </w:tc>
      </w:tr>
      <w:tr>
        <w:trPr>
          <w:trHeight w:val="245"/>
        </w:trPr>
        <w:tc>
          <w:tcPr>
            <w:tcW w:w="1520" w:type="dxa"/>
            <w:vAlign w:val="bottom"/>
          </w:tcPr>
          <w:p>
            <w:pPr>
              <w:ind w:left="120"/>
              <w:spacing w:after="0"/>
              <w:rPr>
                <w:sz w:val="20"/>
                <w:szCs w:val="20"/>
                <w:color w:val="auto"/>
              </w:rPr>
            </w:pPr>
            <w:r>
              <w:rPr>
                <w:rFonts w:ascii="Arial" w:cs="Arial" w:eastAsia="Arial" w:hAnsi="Arial"/>
                <w:sz w:val="15"/>
                <w:szCs w:val="15"/>
                <w:color w:val="071D49"/>
              </w:rPr>
              <w:t>Jennifer L. Davis</w:t>
            </w:r>
          </w:p>
        </w:tc>
        <w:tc>
          <w:tcPr>
            <w:tcW w:w="1720" w:type="dxa"/>
            <w:vAlign w:val="bottom"/>
          </w:tcPr>
          <w:p>
            <w:pPr>
              <w:ind w:left="300"/>
              <w:spacing w:after="0"/>
              <w:rPr>
                <w:sz w:val="20"/>
                <w:szCs w:val="20"/>
                <w:color w:val="auto"/>
              </w:rPr>
            </w:pPr>
            <w:r>
              <w:rPr>
                <w:rFonts w:ascii="Arial" w:cs="Arial" w:eastAsia="Arial" w:hAnsi="Arial"/>
                <w:sz w:val="15"/>
                <w:szCs w:val="15"/>
                <w:color w:val="071D49"/>
              </w:rPr>
              <w:t>Melody B. Meyer</w:t>
            </w:r>
          </w:p>
        </w:tc>
        <w:tc>
          <w:tcPr>
            <w:tcW w:w="1980" w:type="dxa"/>
            <w:vAlign w:val="bottom"/>
          </w:tcPr>
          <w:p>
            <w:pPr>
              <w:ind w:left="300"/>
              <w:spacing w:after="0"/>
              <w:rPr>
                <w:sz w:val="20"/>
                <w:szCs w:val="20"/>
                <w:color w:val="auto"/>
              </w:rPr>
            </w:pPr>
            <w:r>
              <w:rPr>
                <w:rFonts w:ascii="Arial" w:cs="Arial" w:eastAsia="Arial" w:hAnsi="Arial"/>
                <w:sz w:val="15"/>
                <w:szCs w:val="15"/>
                <w:color w:val="071D49"/>
              </w:rPr>
              <w:t>Robert A. Michael</w:t>
            </w:r>
          </w:p>
        </w:tc>
        <w:tc>
          <w:tcPr>
            <w:tcW w:w="2220" w:type="dxa"/>
            <w:vAlign w:val="bottom"/>
          </w:tcPr>
          <w:p>
            <w:pPr>
              <w:ind w:left="140"/>
              <w:spacing w:after="0"/>
              <w:rPr>
                <w:sz w:val="20"/>
                <w:szCs w:val="20"/>
                <w:color w:val="auto"/>
              </w:rPr>
            </w:pPr>
            <w:r>
              <w:rPr>
                <w:rFonts w:ascii="Arial" w:cs="Arial" w:eastAsia="Arial" w:hAnsi="Arial"/>
                <w:sz w:val="15"/>
                <w:szCs w:val="15"/>
                <w:color w:val="071D49"/>
              </w:rPr>
              <w:t>Frederick H. Waddell</w:t>
            </w:r>
          </w:p>
        </w:tc>
        <w:tc>
          <w:tcPr>
            <w:tcW w:w="300" w:type="dxa"/>
            <w:vAlign w:val="bottom"/>
          </w:tcPr>
          <w:p>
            <w:pPr>
              <w:spacing w:after="0"/>
              <w:rPr>
                <w:sz w:val="21"/>
                <w:szCs w:val="21"/>
                <w:color w:val="auto"/>
              </w:rPr>
            </w:pPr>
          </w:p>
        </w:tc>
        <w:tc>
          <w:tcPr>
            <w:tcW w:w="1260" w:type="dxa"/>
            <w:vAlign w:val="bottom"/>
          </w:tcPr>
          <w:p>
            <w:pPr>
              <w:jc w:val="center"/>
              <w:ind w:left="27"/>
              <w:spacing w:after="0"/>
              <w:rPr>
                <w:sz w:val="20"/>
                <w:szCs w:val="20"/>
                <w:color w:val="auto"/>
              </w:rPr>
            </w:pPr>
            <w:r>
              <w:rPr>
                <w:rFonts w:ascii="Arial" w:cs="Arial" w:eastAsia="Arial" w:hAnsi="Arial"/>
                <w:sz w:val="16"/>
                <w:szCs w:val="16"/>
                <w:b w:val="1"/>
                <w:bCs w:val="1"/>
                <w:color w:val="071D49"/>
              </w:rPr>
              <w:t>Each Nominee</w:t>
            </w:r>
          </w:p>
        </w:tc>
        <w:tc>
          <w:tcPr>
            <w:tcW w:w="0" w:type="dxa"/>
            <w:vAlign w:val="bottom"/>
          </w:tcPr>
          <w:p>
            <w:pPr>
              <w:spacing w:after="0"/>
              <w:rPr>
                <w:sz w:val="1"/>
                <w:szCs w:val="1"/>
                <w:color w:val="auto"/>
              </w:rPr>
            </w:pPr>
          </w:p>
        </w:tc>
      </w:tr>
      <w:tr>
        <w:trPr>
          <w:trHeight w:val="194"/>
        </w:trPr>
        <w:tc>
          <w:tcPr>
            <w:tcW w:w="7440" w:type="dxa"/>
            <w:vAlign w:val="bottom"/>
            <w:gridSpan w:val="4"/>
          </w:tcPr>
          <w:p>
            <w:pPr>
              <w:ind w:left="140"/>
              <w:spacing w:after="0"/>
              <w:rPr>
                <w:sz w:val="20"/>
                <w:szCs w:val="20"/>
                <w:color w:val="auto"/>
              </w:rPr>
            </w:pPr>
            <w:r>
              <w:rPr>
                <w:rFonts w:ascii="Arial" w:cs="Arial" w:eastAsia="Arial" w:hAnsi="Arial"/>
                <w:sz w:val="16"/>
                <w:szCs w:val="16"/>
                <w:i w:val="1"/>
                <w:iCs w:val="1"/>
                <w:color w:val="auto"/>
              </w:rPr>
              <w:t>Each of the nominees has the skills and experience necessary to fulfill their oversight role with</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40" w:type="dxa"/>
            <w:vAlign w:val="bottom"/>
            <w:gridSpan w:val="4"/>
          </w:tcPr>
          <w:p>
            <w:pPr>
              <w:ind w:left="140"/>
              <w:spacing w:after="0"/>
              <w:rPr>
                <w:sz w:val="20"/>
                <w:szCs w:val="20"/>
                <w:color w:val="auto"/>
              </w:rPr>
            </w:pPr>
            <w:r>
              <w:rPr>
                <w:rFonts w:ascii="Arial" w:cs="Arial" w:eastAsia="Arial" w:hAnsi="Arial"/>
                <w:sz w:val="16"/>
                <w:szCs w:val="16"/>
                <w:i w:val="1"/>
                <w:iCs w:val="1"/>
                <w:color w:val="auto"/>
              </w:rPr>
              <w:t xml:space="preserve">respect to AbbVie’s business and culture. See the </w:t>
            </w:r>
            <w:r>
              <w:rPr>
                <w:rFonts w:ascii="Arial" w:cs="Arial" w:eastAsia="Arial" w:hAnsi="Arial"/>
                <w:sz w:val="16"/>
                <w:szCs w:val="16"/>
                <w:color w:val="auto"/>
              </w:rPr>
              <w:t>Information Concerning Director Nominees</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20" w:type="dxa"/>
            <w:vAlign w:val="bottom"/>
            <w:gridSpan w:val="3"/>
          </w:tcPr>
          <w:p>
            <w:pPr>
              <w:ind w:left="140"/>
              <w:spacing w:after="0"/>
              <w:rPr>
                <w:sz w:val="20"/>
                <w:szCs w:val="20"/>
                <w:color w:val="auto"/>
              </w:rPr>
            </w:pPr>
            <w:r>
              <w:rPr>
                <w:rFonts w:ascii="Arial" w:cs="Arial" w:eastAsia="Arial" w:hAnsi="Arial"/>
                <w:sz w:val="16"/>
                <w:szCs w:val="16"/>
                <w:i w:val="1"/>
                <w:iCs w:val="1"/>
                <w:color w:val="auto"/>
              </w:rPr>
              <w:t>section for more information about the qualifications of our directors.</w:t>
            </w: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220" w:type="dxa"/>
            <w:vAlign w:val="bottom"/>
            <w:tcBorders>
              <w:bottom w:val="single" w:sz="8" w:color="071D49"/>
            </w:tcBorders>
            <w:gridSpan w:val="3"/>
          </w:tcPr>
          <w:p>
            <w:pPr>
              <w:spacing w:after="0"/>
              <w:rPr>
                <w:sz w:val="20"/>
                <w:szCs w:val="20"/>
                <w:color w:val="auto"/>
              </w:rPr>
            </w:pPr>
            <w:r>
              <w:rPr>
                <w:rFonts w:ascii="Arial" w:cs="Arial" w:eastAsia="Arial" w:hAnsi="Arial"/>
                <w:sz w:val="18"/>
                <w:szCs w:val="18"/>
                <w:b w:val="1"/>
                <w:bCs w:val="1"/>
                <w:color w:val="071D49"/>
              </w:rPr>
              <w:t>Proposal 2: Ratification of Independent Auditor</w:t>
            </w:r>
          </w:p>
        </w:tc>
        <w:tc>
          <w:tcPr>
            <w:tcW w:w="2220" w:type="dxa"/>
            <w:vAlign w:val="bottom"/>
            <w:tcBorders>
              <w:bottom w:val="single" w:sz="8" w:color="071D49"/>
            </w:tcBorders>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vMerge w:val="restart"/>
          </w:tcPr>
          <w:p>
            <w:pPr>
              <w:jc w:val="center"/>
              <w:ind w:left="27"/>
              <w:spacing w:after="0"/>
              <w:rPr>
                <w:sz w:val="20"/>
                <w:szCs w:val="20"/>
                <w:color w:val="auto"/>
              </w:rPr>
            </w:pPr>
            <w:r>
              <w:rPr>
                <w:rFonts w:ascii="Arial" w:cs="Arial" w:eastAsia="Arial" w:hAnsi="Arial"/>
                <w:sz w:val="20"/>
                <w:szCs w:val="20"/>
                <w:b w:val="1"/>
                <w:bCs w:val="1"/>
                <w:color w:val="071D49"/>
                <w:w w:val="99"/>
              </w:rPr>
              <w:t>FOR</w:t>
            </w:r>
          </w:p>
        </w:tc>
        <w:tc>
          <w:tcPr>
            <w:tcW w:w="0" w:type="dxa"/>
            <w:vAlign w:val="bottom"/>
          </w:tcPr>
          <w:p>
            <w:pPr>
              <w:spacing w:after="0"/>
              <w:rPr>
                <w:sz w:val="1"/>
                <w:szCs w:val="1"/>
                <w:color w:val="auto"/>
              </w:rPr>
            </w:pPr>
          </w:p>
        </w:tc>
      </w:tr>
      <w:tr>
        <w:trPr>
          <w:trHeight w:val="184"/>
        </w:trPr>
        <w:tc>
          <w:tcPr>
            <w:tcW w:w="7440" w:type="dxa"/>
            <w:vAlign w:val="bottom"/>
            <w:gridSpan w:val="4"/>
          </w:tcPr>
          <w:p>
            <w:pPr>
              <w:ind w:left="120"/>
              <w:spacing w:after="0"/>
              <w:rPr>
                <w:sz w:val="20"/>
                <w:szCs w:val="20"/>
                <w:color w:val="auto"/>
              </w:rPr>
            </w:pPr>
            <w:r>
              <w:rPr>
                <w:rFonts w:ascii="Arial" w:cs="Arial" w:eastAsia="Arial" w:hAnsi="Arial"/>
                <w:sz w:val="16"/>
                <w:szCs w:val="16"/>
                <w:i w:val="1"/>
                <w:iCs w:val="1"/>
                <w:color w:val="auto"/>
              </w:rPr>
              <w:t>Ernst &amp; Young LLP has served as our independent auditor since 2013. The Board and the audit</w:t>
            </w:r>
          </w:p>
        </w:tc>
        <w:tc>
          <w:tcPr>
            <w:tcW w:w="3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-686435</wp:posOffset>
            </wp:positionV>
            <wp:extent cx="288925" cy="234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8925" cy="234315"/>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-14605</wp:posOffset>
            </wp:positionV>
            <wp:extent cx="304800" cy="257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4800" cy="257810"/>
                    </a:xfrm>
                    <a:prstGeom prst="rect">
                      <a:avLst/>
                    </a:prstGeom>
                    <a:noFill/>
                  </pic:spPr>
                </pic:pic>
              </a:graphicData>
            </a:graphic>
          </wp:anchor>
        </w:drawing>
      </w:r>
    </w:p>
    <w:p>
      <w:pPr>
        <w:jc w:val="both"/>
        <w:ind w:left="120" w:right="2180"/>
        <w:spacing w:after="0" w:line="251" w:lineRule="auto"/>
        <w:rPr>
          <w:sz w:val="20"/>
          <w:szCs w:val="20"/>
          <w:color w:val="auto"/>
        </w:rPr>
      </w:pPr>
      <w:r>
        <w:rPr>
          <w:rFonts w:ascii="Arial" w:cs="Arial" w:eastAsia="Arial" w:hAnsi="Arial"/>
          <w:sz w:val="16"/>
          <w:szCs w:val="16"/>
          <w:i w:val="1"/>
          <w:iCs w:val="1"/>
          <w:color w:val="auto"/>
        </w:rPr>
        <w:t xml:space="preserve">committee believe it is in the best interests of the company and its stockholders to retain Ernst &amp; Young LLP as the company’s independent auditor. See the </w:t>
      </w:r>
      <w:r>
        <w:rPr>
          <w:rFonts w:ascii="Arial" w:cs="Arial" w:eastAsia="Arial" w:hAnsi="Arial"/>
          <w:sz w:val="16"/>
          <w:szCs w:val="16"/>
          <w:color w:val="auto"/>
        </w:rPr>
        <w:t>Ratification of Ernst &amp; Young LLP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AbbVie’s Independent Registered Public Accounting Firm </w:t>
      </w:r>
      <w:r>
        <w:rPr>
          <w:rFonts w:ascii="Arial" w:cs="Arial" w:eastAsia="Arial" w:hAnsi="Arial"/>
          <w:sz w:val="16"/>
          <w:szCs w:val="16"/>
          <w:i w:val="1"/>
          <w:iCs w:val="1"/>
          <w:color w:val="auto"/>
        </w:rPr>
        <w:t>section for more information.</w:t>
      </w:r>
    </w:p>
    <w:p>
      <w:pPr>
        <w:sectPr>
          <w:pgSz w:w="11900" w:h="16838" w:orient="portrait"/>
          <w:cols w:equalWidth="0" w:num="1">
            <w:col w:w="9260"/>
          </w:cols>
          <w:pgMar w:left="1320" w:top="480" w:right="131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071D49"/>
        </w:rPr>
        <w:t>Proposal 3: Say on Pay –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472884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28845" cy="15875"/>
                    </a:xfrm>
                    <a:prstGeom prst="rect">
                      <a:avLst/>
                    </a:prstGeom>
                    <a:noFill/>
                  </pic:spPr>
                </pic:pic>
              </a:graphicData>
            </a:graphic>
          </wp:anchor>
        </w:drawing>
      </w:r>
    </w:p>
    <w:p>
      <w:pPr>
        <w:spacing w:after="0" w:line="15" w:lineRule="exact"/>
        <w:rPr>
          <w:sz w:val="20"/>
          <w:szCs w:val="20"/>
          <w:color w:val="auto"/>
        </w:rPr>
      </w:pPr>
    </w:p>
    <w:p>
      <w:pPr>
        <w:ind w:left="120" w:right="160"/>
        <w:spacing w:after="0" w:line="248" w:lineRule="auto"/>
        <w:rPr>
          <w:sz w:val="20"/>
          <w:szCs w:val="20"/>
          <w:color w:val="auto"/>
        </w:rPr>
      </w:pPr>
      <w:r>
        <w:rPr>
          <w:rFonts w:ascii="Arial" w:cs="Arial" w:eastAsia="Arial" w:hAnsi="Arial"/>
          <w:sz w:val="16"/>
          <w:szCs w:val="16"/>
          <w:i w:val="1"/>
          <w:iCs w:val="1"/>
          <w:color w:val="auto"/>
        </w:rPr>
        <w:t xml:space="preserve">AbbVie’s compensation program aligns executive interests with the drivers of long-term, sustainable growth. Our program balances short- and long-term strategic objectives and directly links compensation to stockholder value. See the </w:t>
      </w:r>
      <w:r>
        <w:rPr>
          <w:rFonts w:ascii="Arial" w:cs="Arial" w:eastAsia="Arial" w:hAnsi="Arial"/>
          <w:sz w:val="16"/>
          <w:szCs w:val="16"/>
          <w:color w:val="auto"/>
        </w:rPr>
        <w:t>Say on Pay – Advisory Vote on the Approval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Executive Compensation </w:t>
      </w:r>
      <w:r>
        <w:rPr>
          <w:rFonts w:ascii="Arial" w:cs="Arial" w:eastAsia="Arial" w:hAnsi="Arial"/>
          <w:sz w:val="16"/>
          <w:szCs w:val="16"/>
          <w:i w:val="1"/>
          <w:iCs w:val="1"/>
          <w:color w:val="auto"/>
        </w:rPr>
        <w:t>section for more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071D49"/>
        </w:rPr>
        <w:t>Proposal 4: Management Proposal to Eliminate Supermajority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472884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28845" cy="15875"/>
                    </a:xfrm>
                    <a:prstGeom prst="rect">
                      <a:avLst/>
                    </a:prstGeom>
                    <a:noFill/>
                  </pic:spPr>
                </pic:pic>
              </a:graphicData>
            </a:graphic>
          </wp:anchor>
        </w:drawing>
      </w:r>
    </w:p>
    <w:p>
      <w:pPr>
        <w:spacing w:after="0" w:line="20" w:lineRule="exact"/>
        <w:rPr>
          <w:sz w:val="20"/>
          <w:szCs w:val="20"/>
          <w:color w:val="auto"/>
        </w:rPr>
      </w:pPr>
    </w:p>
    <w:p>
      <w:pPr>
        <w:jc w:val="both"/>
        <w:ind w:left="120" w:right="340"/>
        <w:spacing w:after="0" w:line="256" w:lineRule="auto"/>
        <w:rPr>
          <w:sz w:val="20"/>
          <w:szCs w:val="20"/>
          <w:color w:val="auto"/>
        </w:rPr>
      </w:pPr>
      <w:r>
        <w:rPr>
          <w:rFonts w:ascii="Arial" w:cs="Arial" w:eastAsia="Arial" w:hAnsi="Arial"/>
          <w:sz w:val="16"/>
          <w:szCs w:val="16"/>
          <w:i w:val="1"/>
          <w:iCs w:val="1"/>
          <w:color w:val="auto"/>
        </w:rPr>
        <w:t xml:space="preserve">AbbVie is again seeking stockholder approval to eliminate supermajority voting thresholds in our charter and by-laws. See the </w:t>
      </w:r>
      <w:r>
        <w:rPr>
          <w:rFonts w:ascii="Arial" w:cs="Arial" w:eastAsia="Arial" w:hAnsi="Arial"/>
          <w:sz w:val="16"/>
          <w:szCs w:val="16"/>
          <w:color w:val="auto"/>
        </w:rPr>
        <w:t>Management Proposal to Eliminate Supermajority Voting</w:t>
      </w:r>
      <w:r>
        <w:rPr>
          <w:rFonts w:ascii="Arial" w:cs="Arial" w:eastAsia="Arial" w:hAnsi="Arial"/>
          <w:sz w:val="16"/>
          <w:szCs w:val="16"/>
          <w:i w:val="1"/>
          <w:iCs w:val="1"/>
          <w:color w:val="auto"/>
        </w:rPr>
        <w:t xml:space="preserve"> section for more information.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071D49"/>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18415</wp:posOffset>
            </wp:positionV>
            <wp:extent cx="304800" cy="257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4800" cy="25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071D49"/>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18415</wp:posOffset>
            </wp:positionV>
            <wp:extent cx="304800" cy="257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4800" cy="257810"/>
                    </a:xfrm>
                    <a:prstGeom prst="rect">
                      <a:avLst/>
                    </a:prstGeom>
                    <a:noFill/>
                  </pic:spPr>
                </pic:pic>
              </a:graphicData>
            </a:graphic>
          </wp:anchor>
        </w:drawing>
      </w:r>
    </w:p>
    <w:p>
      <w:pPr>
        <w:spacing w:after="0" w:line="649" w:lineRule="exact"/>
        <w:rPr>
          <w:sz w:val="20"/>
          <w:szCs w:val="20"/>
          <w:color w:val="auto"/>
        </w:rPr>
      </w:pPr>
    </w:p>
    <w:p>
      <w:pPr>
        <w:sectPr>
          <w:pgSz w:w="11900" w:h="16838" w:orient="portrait"/>
          <w:cols w:equalWidth="0" w:num="2">
            <w:col w:w="7500" w:space="720"/>
            <w:col w:w="1040"/>
          </w:cols>
          <w:pgMar w:left="1320" w:top="480" w:right="131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Stockholder Proposal</w:t>
      </w:r>
    </w:p>
    <w:p>
      <w:pPr>
        <w:spacing w:after="0" w:line="27" w:lineRule="exact"/>
        <w:rPr>
          <w:sz w:val="20"/>
          <w:szCs w:val="20"/>
          <w:color w:val="auto"/>
        </w:rPr>
      </w:pPr>
    </w:p>
    <w:p>
      <w:pPr>
        <w:spacing w:after="0"/>
        <w:tabs>
          <w:tab w:leader="none" w:pos="8000" w:val="left"/>
        </w:tabs>
        <w:rPr>
          <w:sz w:val="20"/>
          <w:szCs w:val="20"/>
          <w:color w:val="auto"/>
        </w:rPr>
      </w:pPr>
      <w:r>
        <w:rPr>
          <w:rFonts w:ascii="Arial" w:cs="Arial" w:eastAsia="Arial" w:hAnsi="Arial"/>
          <w:sz w:val="16"/>
          <w:szCs w:val="16"/>
          <w:b w:val="1"/>
          <w:bCs w:val="1"/>
          <w:color w:val="808080"/>
        </w:rPr>
        <w:t>Proposal 5: Stockholder Proposal on Independent Board Chair</w:t>
      </w:r>
      <w:r>
        <w:rPr>
          <w:sz w:val="20"/>
          <w:szCs w:val="20"/>
          <w:color w:val="auto"/>
        </w:rPr>
        <w:tab/>
      </w:r>
      <w:r>
        <w:rPr>
          <w:rFonts w:ascii="Arial" w:cs="Arial" w:eastAsia="Arial" w:hAnsi="Arial"/>
          <w:sz w:val="18"/>
          <w:szCs w:val="18"/>
          <w:b w:val="1"/>
          <w:bCs w:val="1"/>
          <w:color w:val="808080"/>
        </w:rPr>
        <w:t>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472884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2884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320" w:type="dxa"/>
            <w:vAlign w:val="bottom"/>
          </w:tcPr>
          <w:p>
            <w:pPr>
              <w:ind w:left="55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071D4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481"/>
        </w:trPr>
        <w:tc>
          <w:tcPr>
            <w:tcW w:w="8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4898390</wp:posOffset>
            </wp:positionH>
            <wp:positionV relativeFrom="paragraph">
              <wp:posOffset>-499745</wp:posOffset>
            </wp:positionV>
            <wp:extent cx="797560" cy="148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PROXY SUMMARY</w:t>
      </w:r>
    </w:p>
    <w:p>
      <w:pPr>
        <w:spacing w:after="0" w:line="178" w:lineRule="exact"/>
        <w:rPr>
          <w:sz w:val="20"/>
          <w:szCs w:val="20"/>
          <w:color w:val="auto"/>
        </w:rPr>
      </w:pPr>
    </w:p>
    <w:p>
      <w:pPr>
        <w:spacing w:after="0"/>
        <w:rPr>
          <w:sz w:val="20"/>
          <w:szCs w:val="20"/>
          <w:color w:val="auto"/>
        </w:rPr>
      </w:pPr>
      <w:r>
        <w:rPr>
          <w:rFonts w:ascii="Arial" w:cs="Arial" w:eastAsia="Arial" w:hAnsi="Arial"/>
          <w:sz w:val="28"/>
          <w:szCs w:val="28"/>
          <w:color w:val="auto"/>
        </w:rPr>
        <w:t>Who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62230" cy="3204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230" cy="320484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131445</wp:posOffset>
            </wp:positionV>
            <wp:extent cx="492760" cy="492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2760" cy="492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0"/>
        <w:spacing w:after="0"/>
        <w:rPr>
          <w:sz w:val="20"/>
          <w:szCs w:val="20"/>
          <w:color w:val="auto"/>
        </w:rPr>
      </w:pPr>
      <w:r>
        <w:rPr>
          <w:rFonts w:ascii="Arial" w:cs="Arial" w:eastAsia="Arial" w:hAnsi="Arial"/>
          <w:sz w:val="23"/>
          <w:szCs w:val="23"/>
          <w:b w:val="1"/>
          <w:bCs w:val="1"/>
          <w:color w:val="auto"/>
        </w:rPr>
        <w:t>~ 57,000</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employees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118110</wp:posOffset>
            </wp:positionV>
            <wp:extent cx="100076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0760" cy="1587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250825</wp:posOffset>
            </wp:positionV>
            <wp:extent cx="601980" cy="609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1980" cy="60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Launched in</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23"/>
          <w:szCs w:val="23"/>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104775</wp:posOffset>
            </wp:positionV>
            <wp:extent cx="100076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00760" cy="1587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222250</wp:posOffset>
            </wp:positionV>
            <wp:extent cx="718820" cy="531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8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420"/>
        <w:spacing w:after="0"/>
        <w:rPr>
          <w:sz w:val="20"/>
          <w:szCs w:val="20"/>
          <w:color w:val="auto"/>
        </w:rPr>
      </w:pPr>
      <w:r>
        <w:rPr>
          <w:rFonts w:ascii="Arial" w:cs="Arial" w:eastAsia="Arial" w:hAnsi="Arial"/>
          <w:sz w:val="23"/>
          <w:szCs w:val="23"/>
          <w:b w:val="1"/>
          <w:bCs w:val="1"/>
          <w:color w:val="auto"/>
        </w:rPr>
        <w:t>Millions</w:t>
      </w:r>
    </w:p>
    <w:p>
      <w:pPr>
        <w:spacing w:after="0" w:line="28"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of patient lives</w:t>
      </w:r>
    </w:p>
    <w:p>
      <w:pPr>
        <w:spacing w:after="0" w:line="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touched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40"/>
        <w:spacing w:after="0" w:line="269" w:lineRule="auto"/>
        <w:rPr>
          <w:sz w:val="20"/>
          <w:szCs w:val="20"/>
          <w:color w:val="auto"/>
        </w:rPr>
      </w:pPr>
      <w:r>
        <w:rPr>
          <w:rFonts w:ascii="Arial" w:cs="Arial" w:eastAsia="Arial" w:hAnsi="Arial"/>
          <w:sz w:val="23"/>
          <w:szCs w:val="23"/>
          <w:b w:val="1"/>
          <w:bCs w:val="1"/>
          <w:color w:val="071D49"/>
        </w:rPr>
        <w:t>In more than 70 countries, AbbVie employees are working every day to advance health solutions for people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-744855</wp:posOffset>
            </wp:positionV>
            <wp:extent cx="15875" cy="3204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875" cy="3204845"/>
                    </a:xfrm>
                    <a:prstGeom prst="rect">
                      <a:avLst/>
                    </a:prstGeom>
                    <a:noFill/>
                  </pic:spPr>
                </pic:pic>
              </a:graphicData>
            </a:graphic>
          </wp:anchor>
        </w:drawing>
      </w:r>
    </w:p>
    <w:p>
      <w:pPr>
        <w:spacing w:after="0" w:line="340"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AbbVie is a global, diversified research-based biopharmaceutical company with a mission to discover and deliver innovative medicines and solutions that solve serious health issues today and address the medical challenges of tomorrow.</w:t>
      </w:r>
    </w:p>
    <w:p>
      <w:pPr>
        <w:spacing w:after="0" w:line="13"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AbbVie is positioned for success with a comprehensive product portfolio that has leadership positions across immunology, neuroscience, oncology, and aesthetics. Our products help patients and customers in more than 180 countries and territories around the world. Since our inception, we’ve invested over $85 billion to research, develop, and discover new medicines and solutions.</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approximately 57,000 employees are driven by our compassion for people, commitment to innovation and inclusion, service to the community and uncompromising integrity. We constantly strive to do the right thing, pursuing the highest standards in quality, compliance, safety, and performance.</w:t>
      </w:r>
    </w:p>
    <w:p>
      <w:pPr>
        <w:spacing w:after="0" w:line="34"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AbbVie employees are united in the same mission — to make a remarkable impact for our patients, communities, and people. We are committed to making a real difference in people’s lives and creating a positive impact on the world for generations to come.</w:t>
      </w:r>
    </w:p>
    <w:p>
      <w:pPr>
        <w:spacing w:after="0" w:line="677" w:lineRule="exact"/>
        <w:rPr>
          <w:sz w:val="20"/>
          <w:szCs w:val="20"/>
          <w:color w:val="auto"/>
        </w:rPr>
      </w:pPr>
    </w:p>
    <w:p>
      <w:pPr>
        <w:sectPr>
          <w:pgSz w:w="11900" w:h="16838" w:orient="portrait"/>
          <w:cols w:equalWidth="0" w:num="2">
            <w:col w:w="1660" w:space="660"/>
            <w:col w:w="6920"/>
          </w:cols>
          <w:pgMar w:left="1320" w:top="480" w:right="1339" w:bottom="1440" w:gutter="0" w:footer="0" w:header="0"/>
        </w:sectPr>
      </w:pPr>
    </w:p>
    <w:p>
      <w:pPr>
        <w:spacing w:after="0"/>
        <w:rPr>
          <w:sz w:val="20"/>
          <w:szCs w:val="20"/>
          <w:color w:val="auto"/>
        </w:rPr>
      </w:pPr>
      <w:r>
        <w:rPr>
          <w:rFonts w:ascii="Arial" w:cs="Arial" w:eastAsia="Arial" w:hAnsi="Arial"/>
          <w:sz w:val="26"/>
          <w:szCs w:val="26"/>
          <w:color w:val="FFFFFF"/>
        </w:rPr>
        <w:t>AbbVie’s Principles are foundational: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-170180</wp:posOffset>
            </wp:positionV>
            <wp:extent cx="5878195" cy="195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8195" cy="195580"/>
                    </a:xfrm>
                    <a:prstGeom prst="rect">
                      <a:avLst/>
                    </a:prstGeom>
                    <a:noFill/>
                  </pic:spPr>
                </pic:pic>
              </a:graphicData>
            </a:graphic>
          </wp:anchor>
        </w:drawing>
      </w:r>
    </w:p>
    <w:p>
      <w:pPr>
        <w:sectPr>
          <w:pgSz w:w="11900" w:h="16838" w:orient="portrait"/>
          <w:cols w:equalWidth="0" w:num="1">
            <w:col w:w="9240"/>
          </w:cols>
          <w:pgMar w:left="1320" w:top="480" w:right="1339" w:bottom="1440" w:gutter="0" w:footer="0" w:header="0"/>
          <w:type w:val="continuous"/>
        </w:sectPr>
      </w:pP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34"/>
        </w:trPr>
        <w:tc>
          <w:tcPr>
            <w:tcW w:w="1720" w:type="dxa"/>
            <w:vAlign w:val="bottom"/>
            <w:vMerge w:val="restart"/>
          </w:tcPr>
          <w:p>
            <w:pPr>
              <w:spacing w:after="0"/>
              <w:rPr>
                <w:sz w:val="20"/>
                <w:szCs w:val="20"/>
                <w:color w:val="auto"/>
              </w:rPr>
            </w:pPr>
            <w:r>
              <w:rPr>
                <w:rFonts w:ascii="Arial" w:cs="Arial" w:eastAsia="Arial" w:hAnsi="Arial"/>
                <w:sz w:val="20"/>
                <w:szCs w:val="20"/>
                <w:b w:val="1"/>
                <w:bCs w:val="1"/>
                <w:color w:val="auto"/>
              </w:rPr>
              <w:t>Transforming</w:t>
            </w:r>
          </w:p>
        </w:tc>
        <w:tc>
          <w:tcPr>
            <w:tcW w:w="20" w:type="dxa"/>
            <w:vAlign w:val="bottom"/>
          </w:tcPr>
          <w:p>
            <w:pPr>
              <w:spacing w:after="0"/>
              <w:rPr>
                <w:sz w:val="2"/>
                <w:szCs w:val="2"/>
                <w:color w:val="auto"/>
              </w:rPr>
            </w:pPr>
          </w:p>
        </w:tc>
        <w:tc>
          <w:tcPr>
            <w:tcW w:w="184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Acting with</w:t>
            </w:r>
          </w:p>
        </w:tc>
        <w:tc>
          <w:tcPr>
            <w:tcW w:w="20" w:type="dxa"/>
            <w:vAlign w:val="bottom"/>
          </w:tcPr>
          <w:p>
            <w:pPr>
              <w:spacing w:after="0"/>
              <w:rPr>
                <w:sz w:val="2"/>
                <w:szCs w:val="2"/>
                <w:color w:val="auto"/>
              </w:rPr>
            </w:pPr>
          </w:p>
        </w:tc>
        <w:tc>
          <w:tcPr>
            <w:tcW w:w="186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Driving</w:t>
            </w:r>
          </w:p>
        </w:tc>
        <w:tc>
          <w:tcPr>
            <w:tcW w:w="20" w:type="dxa"/>
            <w:vAlign w:val="bottom"/>
          </w:tcPr>
          <w:p>
            <w:pPr>
              <w:spacing w:after="0"/>
              <w:rPr>
                <w:sz w:val="2"/>
                <w:szCs w:val="2"/>
                <w:color w:val="auto"/>
              </w:rPr>
            </w:pPr>
          </w:p>
        </w:tc>
        <w:tc>
          <w:tcPr>
            <w:tcW w:w="164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Embracing</w:t>
            </w:r>
          </w:p>
        </w:tc>
        <w:tc>
          <w:tcPr>
            <w:tcW w:w="0" w:type="dxa"/>
            <w:vAlign w:val="bottom"/>
          </w:tcPr>
          <w:p>
            <w:pPr>
              <w:spacing w:after="0" w:line="20" w:lineRule="exact"/>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840" w:type="dxa"/>
            <w:vAlign w:val="bottom"/>
            <w:vMerge w:val="continue"/>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860" w:type="dxa"/>
            <w:vAlign w:val="bottom"/>
            <w:vMerge w:val="continue"/>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line="222" w:lineRule="exact"/>
              <w:rPr>
                <w:sz w:val="20"/>
                <w:szCs w:val="20"/>
                <w:color w:val="auto"/>
              </w:rPr>
            </w:pPr>
            <w:r>
              <w:rPr>
                <w:rFonts w:ascii="Arial" w:cs="Arial" w:eastAsia="Arial" w:hAnsi="Arial"/>
                <w:sz w:val="20"/>
                <w:szCs w:val="20"/>
                <w:b w:val="1"/>
                <w:bCs w:val="1"/>
                <w:color w:val="auto"/>
              </w:rPr>
              <w:t>Lives</w:t>
            </w:r>
          </w:p>
        </w:tc>
        <w:tc>
          <w:tcPr>
            <w:tcW w:w="20" w:type="dxa"/>
            <w:vAlign w:val="bottom"/>
            <w:shd w:val="clear" w:color="auto" w:fill="071D49"/>
          </w:tcPr>
          <w:p>
            <w:pPr>
              <w:spacing w:after="0"/>
              <w:rPr>
                <w:sz w:val="19"/>
                <w:szCs w:val="19"/>
                <w:color w:val="auto"/>
              </w:rPr>
            </w:pPr>
          </w:p>
        </w:tc>
        <w:tc>
          <w:tcPr>
            <w:tcW w:w="1840" w:type="dxa"/>
            <w:vAlign w:val="bottom"/>
          </w:tcPr>
          <w:p>
            <w:pPr>
              <w:ind w:left="120"/>
              <w:spacing w:after="0" w:line="222" w:lineRule="exact"/>
              <w:rPr>
                <w:sz w:val="20"/>
                <w:szCs w:val="20"/>
                <w:color w:val="auto"/>
              </w:rPr>
            </w:pPr>
            <w:r>
              <w:rPr>
                <w:rFonts w:ascii="Arial" w:cs="Arial" w:eastAsia="Arial" w:hAnsi="Arial"/>
                <w:sz w:val="20"/>
                <w:szCs w:val="20"/>
                <w:b w:val="1"/>
                <w:bCs w:val="1"/>
                <w:color w:val="auto"/>
              </w:rPr>
              <w:t>Integrity</w:t>
            </w:r>
          </w:p>
        </w:tc>
        <w:tc>
          <w:tcPr>
            <w:tcW w:w="20" w:type="dxa"/>
            <w:vAlign w:val="bottom"/>
            <w:shd w:val="clear" w:color="auto" w:fill="071D49"/>
          </w:tcPr>
          <w:p>
            <w:pPr>
              <w:spacing w:after="0"/>
              <w:rPr>
                <w:sz w:val="19"/>
                <w:szCs w:val="19"/>
                <w:color w:val="auto"/>
              </w:rPr>
            </w:pPr>
          </w:p>
        </w:tc>
        <w:tc>
          <w:tcPr>
            <w:tcW w:w="1860" w:type="dxa"/>
            <w:vAlign w:val="bottom"/>
          </w:tcPr>
          <w:p>
            <w:pPr>
              <w:ind w:left="120"/>
              <w:spacing w:after="0" w:line="222" w:lineRule="exact"/>
              <w:rPr>
                <w:sz w:val="20"/>
                <w:szCs w:val="20"/>
                <w:color w:val="auto"/>
              </w:rPr>
            </w:pPr>
            <w:r>
              <w:rPr>
                <w:rFonts w:ascii="Arial" w:cs="Arial" w:eastAsia="Arial" w:hAnsi="Arial"/>
                <w:sz w:val="20"/>
                <w:szCs w:val="20"/>
                <w:b w:val="1"/>
                <w:bCs w:val="1"/>
                <w:color w:val="auto"/>
              </w:rPr>
              <w:t>Innovation</w:t>
            </w:r>
          </w:p>
        </w:tc>
        <w:tc>
          <w:tcPr>
            <w:tcW w:w="20" w:type="dxa"/>
            <w:vAlign w:val="bottom"/>
            <w:shd w:val="clear" w:color="auto" w:fill="071D49"/>
          </w:tcPr>
          <w:p>
            <w:pPr>
              <w:spacing w:after="0"/>
              <w:rPr>
                <w:sz w:val="19"/>
                <w:szCs w:val="19"/>
                <w:color w:val="auto"/>
              </w:rPr>
            </w:pPr>
          </w:p>
        </w:tc>
        <w:tc>
          <w:tcPr>
            <w:tcW w:w="1640" w:type="dxa"/>
            <w:vAlign w:val="bottom"/>
          </w:tcPr>
          <w:p>
            <w:pPr>
              <w:ind w:left="120"/>
              <w:spacing w:after="0" w:line="222" w:lineRule="exact"/>
              <w:rPr>
                <w:sz w:val="20"/>
                <w:szCs w:val="20"/>
                <w:color w:val="auto"/>
              </w:rPr>
            </w:pPr>
            <w:r>
              <w:rPr>
                <w:rFonts w:ascii="Arial" w:cs="Arial" w:eastAsia="Arial" w:hAnsi="Arial"/>
                <w:sz w:val="20"/>
                <w:szCs w:val="20"/>
                <w:b w:val="1"/>
                <w:bCs w:val="1"/>
                <w:color w:val="auto"/>
              </w:rPr>
              <w:t>Diversity &amp;</w:t>
            </w:r>
          </w:p>
        </w:tc>
        <w:tc>
          <w:tcPr>
            <w:tcW w:w="0" w:type="dxa"/>
            <w:vAlign w:val="bottom"/>
          </w:tcPr>
          <w:p>
            <w:pPr>
              <w:spacing w:after="0"/>
              <w:rPr>
                <w:sz w:val="1"/>
                <w:szCs w:val="1"/>
                <w:color w:val="auto"/>
              </w:rPr>
            </w:pPr>
          </w:p>
        </w:tc>
      </w:tr>
      <w:tr>
        <w:trPr>
          <w:trHeight w:val="198"/>
        </w:trPr>
        <w:tc>
          <w:tcPr>
            <w:tcW w:w="1720" w:type="dxa"/>
            <w:vAlign w:val="bottom"/>
          </w:tcPr>
          <w:p>
            <w:pPr>
              <w:spacing w:after="0"/>
              <w:rPr>
                <w:sz w:val="20"/>
                <w:szCs w:val="20"/>
                <w:color w:val="auto"/>
              </w:rPr>
            </w:pPr>
            <w:r>
              <w:rPr>
                <w:rFonts w:ascii="Arial" w:cs="Arial" w:eastAsia="Arial" w:hAnsi="Arial"/>
                <w:sz w:val="16"/>
                <w:szCs w:val="16"/>
                <w:color w:val="auto"/>
              </w:rPr>
              <w:t>We inspire hope and</w:t>
            </w:r>
          </w:p>
        </w:tc>
        <w:tc>
          <w:tcPr>
            <w:tcW w:w="20" w:type="dxa"/>
            <w:vAlign w:val="bottom"/>
            <w:shd w:val="clear" w:color="auto" w:fill="071D49"/>
          </w:tcPr>
          <w:p>
            <w:pPr>
              <w:spacing w:after="0"/>
              <w:rPr>
                <w:sz w:val="17"/>
                <w:szCs w:val="17"/>
                <w:color w:val="auto"/>
              </w:rPr>
            </w:pPr>
          </w:p>
        </w:tc>
        <w:tc>
          <w:tcPr>
            <w:tcW w:w="1840" w:type="dxa"/>
            <w:vAlign w:val="bottom"/>
          </w:tcPr>
          <w:p>
            <w:pPr>
              <w:ind w:left="120"/>
              <w:spacing w:after="0"/>
              <w:rPr>
                <w:sz w:val="20"/>
                <w:szCs w:val="20"/>
                <w:color w:val="auto"/>
              </w:rPr>
            </w:pPr>
            <w:r>
              <w:rPr>
                <w:rFonts w:ascii="Arial" w:cs="Arial" w:eastAsia="Arial" w:hAnsi="Arial"/>
                <w:sz w:val="16"/>
                <w:szCs w:val="16"/>
                <w:color w:val="auto"/>
              </w:rPr>
              <w:t>We strive to always</w:t>
            </w:r>
          </w:p>
        </w:tc>
        <w:tc>
          <w:tcPr>
            <w:tcW w:w="20" w:type="dxa"/>
            <w:vAlign w:val="bottom"/>
            <w:shd w:val="clear" w:color="auto" w:fill="071D49"/>
          </w:tcPr>
          <w:p>
            <w:pPr>
              <w:spacing w:after="0"/>
              <w:rPr>
                <w:sz w:val="17"/>
                <w:szCs w:val="17"/>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auto"/>
              </w:rPr>
              <w:t>We innovate</w:t>
            </w:r>
          </w:p>
        </w:tc>
        <w:tc>
          <w:tcPr>
            <w:tcW w:w="20" w:type="dxa"/>
            <w:vAlign w:val="bottom"/>
            <w:shd w:val="clear" w:color="auto" w:fill="071D49"/>
          </w:tcPr>
          <w:p>
            <w:pPr>
              <w:spacing w:after="0"/>
              <w:rPr>
                <w:sz w:val="17"/>
                <w:szCs w:val="17"/>
                <w:color w:val="auto"/>
              </w:rPr>
            </w:pPr>
          </w:p>
        </w:tc>
        <w:tc>
          <w:tcPr>
            <w:tcW w:w="1640" w:type="dxa"/>
            <w:vAlign w:val="bottom"/>
          </w:tcPr>
          <w:p>
            <w:pPr>
              <w:ind w:left="120"/>
              <w:spacing w:after="0" w:line="198" w:lineRule="exact"/>
              <w:rPr>
                <w:sz w:val="20"/>
                <w:szCs w:val="20"/>
                <w:color w:val="auto"/>
              </w:rPr>
            </w:pPr>
            <w:r>
              <w:rPr>
                <w:rFonts w:ascii="Arial" w:cs="Arial" w:eastAsia="Arial" w:hAnsi="Arial"/>
                <w:sz w:val="20"/>
                <w:szCs w:val="20"/>
                <w:b w:val="1"/>
                <w:bCs w:val="1"/>
                <w:color w:val="auto"/>
              </w:rPr>
              <w:t>Inclusion</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20"/>
                <w:szCs w:val="20"/>
                <w:color w:val="auto"/>
              </w:rPr>
            </w:pPr>
            <w:r>
              <w:rPr>
                <w:rFonts w:ascii="Arial" w:cs="Arial" w:eastAsia="Arial" w:hAnsi="Arial"/>
                <w:sz w:val="16"/>
                <w:szCs w:val="16"/>
                <w:color w:val="auto"/>
              </w:rPr>
              <w:t>transform lives every</w:t>
            </w:r>
          </w:p>
        </w:tc>
        <w:tc>
          <w:tcPr>
            <w:tcW w:w="20" w:type="dxa"/>
            <w:vAlign w:val="bottom"/>
            <w:shd w:val="clear" w:color="auto" w:fill="071D49"/>
          </w:tcPr>
          <w:p>
            <w:pPr>
              <w:spacing w:after="0"/>
              <w:rPr>
                <w:sz w:val="17"/>
                <w:szCs w:val="17"/>
                <w:color w:val="auto"/>
              </w:rPr>
            </w:pPr>
          </w:p>
        </w:tc>
        <w:tc>
          <w:tcPr>
            <w:tcW w:w="1840" w:type="dxa"/>
            <w:vAlign w:val="bottom"/>
          </w:tcPr>
          <w:p>
            <w:pPr>
              <w:ind w:left="120"/>
              <w:spacing w:after="0"/>
              <w:rPr>
                <w:sz w:val="20"/>
                <w:szCs w:val="20"/>
                <w:color w:val="auto"/>
              </w:rPr>
            </w:pPr>
            <w:r>
              <w:rPr>
                <w:rFonts w:ascii="Arial" w:cs="Arial" w:eastAsia="Arial" w:hAnsi="Arial"/>
                <w:sz w:val="16"/>
                <w:szCs w:val="16"/>
                <w:color w:val="auto"/>
              </w:rPr>
              <w:t>do the right thing.</w:t>
            </w:r>
          </w:p>
        </w:tc>
        <w:tc>
          <w:tcPr>
            <w:tcW w:w="20" w:type="dxa"/>
            <w:vAlign w:val="bottom"/>
            <w:shd w:val="clear" w:color="auto" w:fill="071D49"/>
          </w:tcPr>
          <w:p>
            <w:pPr>
              <w:spacing w:after="0"/>
              <w:rPr>
                <w:sz w:val="17"/>
                <w:szCs w:val="17"/>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auto"/>
              </w:rPr>
              <w:t>relentlessly in</w:t>
            </w:r>
          </w:p>
        </w:tc>
        <w:tc>
          <w:tcPr>
            <w:tcW w:w="20" w:type="dxa"/>
            <w:vAlign w:val="bottom"/>
            <w:shd w:val="clear" w:color="auto" w:fill="071D49"/>
          </w:tcPr>
          <w:p>
            <w:pPr>
              <w:spacing w:after="0"/>
              <w:rPr>
                <w:sz w:val="17"/>
                <w:szCs w:val="17"/>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We treat everyone</w:t>
            </w:r>
          </w:p>
        </w:tc>
        <w:tc>
          <w:tcPr>
            <w:tcW w:w="0" w:type="dxa"/>
            <w:vAlign w:val="bottom"/>
          </w:tcPr>
          <w:p>
            <w:pPr>
              <w:spacing w:after="0"/>
              <w:rPr>
                <w:sz w:val="1"/>
                <w:szCs w:val="1"/>
                <w:color w:val="auto"/>
              </w:rPr>
            </w:pPr>
          </w:p>
        </w:tc>
      </w:tr>
      <w:tr>
        <w:trPr>
          <w:trHeight w:val="185"/>
        </w:trPr>
        <w:tc>
          <w:tcPr>
            <w:tcW w:w="1720" w:type="dxa"/>
            <w:vAlign w:val="bottom"/>
          </w:tcPr>
          <w:p>
            <w:pPr>
              <w:spacing w:after="0"/>
              <w:rPr>
                <w:sz w:val="20"/>
                <w:szCs w:val="20"/>
                <w:color w:val="auto"/>
              </w:rPr>
            </w:pPr>
            <w:r>
              <w:rPr>
                <w:rFonts w:ascii="Arial" w:cs="Arial" w:eastAsia="Arial" w:hAnsi="Arial"/>
                <w:sz w:val="16"/>
                <w:szCs w:val="16"/>
                <w:color w:val="auto"/>
              </w:rPr>
              <w:t>day. We make</w:t>
            </w:r>
          </w:p>
        </w:tc>
        <w:tc>
          <w:tcPr>
            <w:tcW w:w="20" w:type="dxa"/>
            <w:vAlign w:val="bottom"/>
            <w:shd w:val="clear" w:color="auto" w:fill="071D49"/>
          </w:tcPr>
          <w:p>
            <w:pPr>
              <w:spacing w:after="0"/>
              <w:rPr>
                <w:sz w:val="16"/>
                <w:szCs w:val="16"/>
                <w:color w:val="auto"/>
              </w:rPr>
            </w:pPr>
          </w:p>
        </w:tc>
        <w:tc>
          <w:tcPr>
            <w:tcW w:w="1840" w:type="dxa"/>
            <w:vAlign w:val="bottom"/>
          </w:tcPr>
          <w:p>
            <w:pPr>
              <w:ind w:left="120"/>
              <w:spacing w:after="0"/>
              <w:rPr>
                <w:sz w:val="20"/>
                <w:szCs w:val="20"/>
                <w:color w:val="auto"/>
              </w:rPr>
            </w:pPr>
            <w:r>
              <w:rPr>
                <w:rFonts w:ascii="Arial" w:cs="Arial" w:eastAsia="Arial" w:hAnsi="Arial"/>
                <w:sz w:val="16"/>
                <w:szCs w:val="16"/>
                <w:color w:val="auto"/>
              </w:rPr>
              <w:t>With uncompromising</w:t>
            </w:r>
          </w:p>
        </w:tc>
        <w:tc>
          <w:tcPr>
            <w:tcW w:w="20" w:type="dxa"/>
            <w:vAlign w:val="bottom"/>
            <w:shd w:val="clear" w:color="auto" w:fill="071D49"/>
          </w:tcPr>
          <w:p>
            <w:pPr>
              <w:spacing w:after="0"/>
              <w:rPr>
                <w:sz w:val="16"/>
                <w:szCs w:val="16"/>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auto"/>
              </w:rPr>
              <w:t>everything we do to</w:t>
            </w:r>
          </w:p>
        </w:tc>
        <w:tc>
          <w:tcPr>
            <w:tcW w:w="20" w:type="dxa"/>
            <w:vAlign w:val="bottom"/>
            <w:shd w:val="clear" w:color="auto" w:fill="071D49"/>
          </w:tcPr>
          <w:p>
            <w:pPr>
              <w:spacing w:after="0"/>
              <w:rPr>
                <w:sz w:val="16"/>
                <w:szCs w:val="16"/>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equally, with dignity</w:t>
            </w:r>
          </w:p>
        </w:tc>
        <w:tc>
          <w:tcPr>
            <w:tcW w:w="0" w:type="dxa"/>
            <w:vAlign w:val="bottom"/>
          </w:tcPr>
          <w:p>
            <w:pPr>
              <w:spacing w:after="0"/>
              <w:rPr>
                <w:sz w:val="1"/>
                <w:szCs w:val="1"/>
                <w:color w:val="auto"/>
              </w:rPr>
            </w:pPr>
          </w:p>
        </w:tc>
      </w:tr>
      <w:tr>
        <w:trPr>
          <w:trHeight w:val="185"/>
        </w:trPr>
        <w:tc>
          <w:tcPr>
            <w:tcW w:w="1720" w:type="dxa"/>
            <w:vAlign w:val="bottom"/>
          </w:tcPr>
          <w:p>
            <w:pPr>
              <w:spacing w:after="0"/>
              <w:rPr>
                <w:sz w:val="20"/>
                <w:szCs w:val="20"/>
                <w:color w:val="auto"/>
              </w:rPr>
            </w:pPr>
            <w:r>
              <w:rPr>
                <w:rFonts w:ascii="Arial" w:cs="Arial" w:eastAsia="Arial" w:hAnsi="Arial"/>
                <w:sz w:val="16"/>
                <w:szCs w:val="16"/>
                <w:color w:val="auto"/>
              </w:rPr>
              <w:t>decisions based on</w:t>
            </w:r>
          </w:p>
        </w:tc>
        <w:tc>
          <w:tcPr>
            <w:tcW w:w="20" w:type="dxa"/>
            <w:vAlign w:val="bottom"/>
            <w:shd w:val="clear" w:color="auto" w:fill="071D49"/>
          </w:tcPr>
          <w:p>
            <w:pPr>
              <w:spacing w:after="0"/>
              <w:rPr>
                <w:sz w:val="16"/>
                <w:szCs w:val="16"/>
                <w:color w:val="auto"/>
              </w:rPr>
            </w:pPr>
          </w:p>
        </w:tc>
        <w:tc>
          <w:tcPr>
            <w:tcW w:w="1840" w:type="dxa"/>
            <w:vAlign w:val="bottom"/>
          </w:tcPr>
          <w:p>
            <w:pPr>
              <w:ind w:left="120"/>
              <w:spacing w:after="0"/>
              <w:rPr>
                <w:sz w:val="20"/>
                <w:szCs w:val="20"/>
                <w:color w:val="auto"/>
              </w:rPr>
            </w:pPr>
            <w:r>
              <w:rPr>
                <w:rFonts w:ascii="Arial" w:cs="Arial" w:eastAsia="Arial" w:hAnsi="Arial"/>
                <w:sz w:val="16"/>
                <w:szCs w:val="16"/>
                <w:color w:val="auto"/>
              </w:rPr>
              <w:t>integrity at the heart</w:t>
            </w:r>
          </w:p>
        </w:tc>
        <w:tc>
          <w:tcPr>
            <w:tcW w:w="20" w:type="dxa"/>
            <w:vAlign w:val="bottom"/>
            <w:shd w:val="clear" w:color="auto" w:fill="071D49"/>
          </w:tcPr>
          <w:p>
            <w:pPr>
              <w:spacing w:after="0"/>
              <w:rPr>
                <w:sz w:val="16"/>
                <w:szCs w:val="16"/>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auto"/>
              </w:rPr>
              <w:t>tackle unmet needs.</w:t>
            </w:r>
          </w:p>
        </w:tc>
        <w:tc>
          <w:tcPr>
            <w:tcW w:w="20" w:type="dxa"/>
            <w:vAlign w:val="bottom"/>
            <w:shd w:val="clear" w:color="auto" w:fill="071D49"/>
          </w:tcPr>
          <w:p>
            <w:pPr>
              <w:spacing w:after="0"/>
              <w:rPr>
                <w:sz w:val="16"/>
                <w:szCs w:val="16"/>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and respect. Around</w:t>
            </w:r>
          </w:p>
        </w:tc>
        <w:tc>
          <w:tcPr>
            <w:tcW w:w="0" w:type="dxa"/>
            <w:vAlign w:val="bottom"/>
          </w:tcPr>
          <w:p>
            <w:pPr>
              <w:spacing w:after="0"/>
              <w:rPr>
                <w:sz w:val="1"/>
                <w:szCs w:val="1"/>
                <w:color w:val="auto"/>
              </w:rPr>
            </w:pPr>
          </w:p>
        </w:tc>
      </w:tr>
      <w:tr>
        <w:trPr>
          <w:trHeight w:val="185"/>
        </w:trPr>
        <w:tc>
          <w:tcPr>
            <w:tcW w:w="1720" w:type="dxa"/>
            <w:vAlign w:val="bottom"/>
          </w:tcPr>
          <w:p>
            <w:pPr>
              <w:spacing w:after="0"/>
              <w:rPr>
                <w:sz w:val="20"/>
                <w:szCs w:val="20"/>
                <w:color w:val="auto"/>
              </w:rPr>
            </w:pPr>
            <w:r>
              <w:rPr>
                <w:rFonts w:ascii="Arial" w:cs="Arial" w:eastAsia="Arial" w:hAnsi="Arial"/>
                <w:sz w:val="16"/>
                <w:szCs w:val="16"/>
                <w:color w:val="auto"/>
              </w:rPr>
              <w:t>our deep caring and</w:t>
            </w:r>
          </w:p>
        </w:tc>
        <w:tc>
          <w:tcPr>
            <w:tcW w:w="20" w:type="dxa"/>
            <w:vAlign w:val="bottom"/>
            <w:shd w:val="clear" w:color="auto" w:fill="071D49"/>
          </w:tcPr>
          <w:p>
            <w:pPr>
              <w:spacing w:after="0"/>
              <w:rPr>
                <w:sz w:val="16"/>
                <w:szCs w:val="16"/>
                <w:color w:val="auto"/>
              </w:rPr>
            </w:pPr>
          </w:p>
        </w:tc>
        <w:tc>
          <w:tcPr>
            <w:tcW w:w="1840" w:type="dxa"/>
            <w:vAlign w:val="bottom"/>
          </w:tcPr>
          <w:p>
            <w:pPr>
              <w:ind w:left="120"/>
              <w:spacing w:after="0"/>
              <w:rPr>
                <w:sz w:val="20"/>
                <w:szCs w:val="20"/>
                <w:color w:val="auto"/>
              </w:rPr>
            </w:pPr>
            <w:r>
              <w:rPr>
                <w:rFonts w:ascii="Arial" w:cs="Arial" w:eastAsia="Arial" w:hAnsi="Arial"/>
                <w:sz w:val="16"/>
                <w:szCs w:val="16"/>
                <w:color w:val="auto"/>
              </w:rPr>
              <w:t>of everything we do,</w:t>
            </w:r>
          </w:p>
        </w:tc>
        <w:tc>
          <w:tcPr>
            <w:tcW w:w="20" w:type="dxa"/>
            <w:vAlign w:val="bottom"/>
            <w:shd w:val="clear" w:color="auto" w:fill="071D49"/>
          </w:tcPr>
          <w:p>
            <w:pPr>
              <w:spacing w:after="0"/>
              <w:rPr>
                <w:sz w:val="16"/>
                <w:szCs w:val="16"/>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auto"/>
              </w:rPr>
              <w:t>We invest in the</w:t>
            </w:r>
          </w:p>
        </w:tc>
        <w:tc>
          <w:tcPr>
            <w:tcW w:w="20" w:type="dxa"/>
            <w:vAlign w:val="bottom"/>
            <w:shd w:val="clear" w:color="auto" w:fill="071D49"/>
          </w:tcPr>
          <w:p>
            <w:pPr>
              <w:spacing w:after="0"/>
              <w:rPr>
                <w:sz w:val="16"/>
                <w:szCs w:val="16"/>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the world, our</w:t>
            </w:r>
          </w:p>
        </w:tc>
        <w:tc>
          <w:tcPr>
            <w:tcW w:w="0" w:type="dxa"/>
            <w:vAlign w:val="bottom"/>
          </w:tcPr>
          <w:p>
            <w:pPr>
              <w:spacing w:after="0"/>
              <w:rPr>
                <w:sz w:val="1"/>
                <w:szCs w:val="1"/>
                <w:color w:val="auto"/>
              </w:rPr>
            </w:pPr>
          </w:p>
        </w:tc>
      </w:tr>
      <w:tr>
        <w:trPr>
          <w:trHeight w:val="185"/>
        </w:trPr>
        <w:tc>
          <w:tcPr>
            <w:tcW w:w="1720" w:type="dxa"/>
            <w:vAlign w:val="bottom"/>
          </w:tcPr>
          <w:p>
            <w:pPr>
              <w:spacing w:after="0"/>
              <w:rPr>
                <w:sz w:val="20"/>
                <w:szCs w:val="20"/>
                <w:color w:val="auto"/>
              </w:rPr>
            </w:pPr>
            <w:r>
              <w:rPr>
                <w:rFonts w:ascii="Arial" w:cs="Arial" w:eastAsia="Arial" w:hAnsi="Arial"/>
                <w:sz w:val="16"/>
                <w:szCs w:val="16"/>
                <w:color w:val="auto"/>
              </w:rPr>
              <w:t>compassion for</w:t>
            </w:r>
          </w:p>
        </w:tc>
        <w:tc>
          <w:tcPr>
            <w:tcW w:w="20" w:type="dxa"/>
            <w:vAlign w:val="bottom"/>
            <w:shd w:val="clear" w:color="auto" w:fill="071D49"/>
          </w:tcPr>
          <w:p>
            <w:pPr>
              <w:spacing w:after="0"/>
              <w:rPr>
                <w:sz w:val="16"/>
                <w:szCs w:val="16"/>
                <w:color w:val="auto"/>
              </w:rPr>
            </w:pPr>
          </w:p>
        </w:tc>
        <w:tc>
          <w:tcPr>
            <w:tcW w:w="1840" w:type="dxa"/>
            <w:vAlign w:val="bottom"/>
          </w:tcPr>
          <w:p>
            <w:pPr>
              <w:ind w:left="120"/>
              <w:spacing w:after="0"/>
              <w:rPr>
                <w:sz w:val="20"/>
                <w:szCs w:val="20"/>
                <w:color w:val="auto"/>
              </w:rPr>
            </w:pPr>
            <w:r>
              <w:rPr>
                <w:rFonts w:ascii="Arial" w:cs="Arial" w:eastAsia="Arial" w:hAnsi="Arial"/>
                <w:sz w:val="16"/>
                <w:szCs w:val="16"/>
                <w:color w:val="auto"/>
              </w:rPr>
              <w:t>we pursue the highest</w:t>
            </w:r>
          </w:p>
        </w:tc>
        <w:tc>
          <w:tcPr>
            <w:tcW w:w="20" w:type="dxa"/>
            <w:vAlign w:val="bottom"/>
            <w:shd w:val="clear" w:color="auto" w:fill="071D49"/>
          </w:tcPr>
          <w:p>
            <w:pPr>
              <w:spacing w:after="0"/>
              <w:rPr>
                <w:sz w:val="16"/>
                <w:szCs w:val="16"/>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auto"/>
              </w:rPr>
              <w:t>discovery and</w:t>
            </w:r>
          </w:p>
        </w:tc>
        <w:tc>
          <w:tcPr>
            <w:tcW w:w="20" w:type="dxa"/>
            <w:vAlign w:val="bottom"/>
            <w:shd w:val="clear" w:color="auto" w:fill="071D49"/>
          </w:tcPr>
          <w:p>
            <w:pPr>
              <w:spacing w:after="0"/>
              <w:rPr>
                <w:sz w:val="16"/>
                <w:szCs w:val="16"/>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employees embrace</w:t>
            </w:r>
          </w:p>
        </w:tc>
        <w:tc>
          <w:tcPr>
            <w:tcW w:w="0" w:type="dxa"/>
            <w:vAlign w:val="bottom"/>
          </w:tcPr>
          <w:p>
            <w:pPr>
              <w:spacing w:after="0"/>
              <w:rPr>
                <w:sz w:val="1"/>
                <w:szCs w:val="1"/>
                <w:color w:val="auto"/>
              </w:rPr>
            </w:pPr>
          </w:p>
        </w:tc>
      </w:tr>
      <w:tr>
        <w:trPr>
          <w:trHeight w:val="185"/>
        </w:trPr>
        <w:tc>
          <w:tcPr>
            <w:tcW w:w="1720" w:type="dxa"/>
            <w:vAlign w:val="bottom"/>
          </w:tcPr>
          <w:p>
            <w:pPr>
              <w:spacing w:after="0"/>
              <w:rPr>
                <w:sz w:val="20"/>
                <w:szCs w:val="20"/>
                <w:color w:val="auto"/>
              </w:rPr>
            </w:pPr>
            <w:r>
              <w:rPr>
                <w:rFonts w:ascii="Arial" w:cs="Arial" w:eastAsia="Arial" w:hAnsi="Arial"/>
                <w:sz w:val="16"/>
                <w:szCs w:val="16"/>
                <w:color w:val="auto"/>
              </w:rPr>
              <w:t>people, delivering a</w:t>
            </w:r>
          </w:p>
        </w:tc>
        <w:tc>
          <w:tcPr>
            <w:tcW w:w="20" w:type="dxa"/>
            <w:vAlign w:val="bottom"/>
            <w:shd w:val="clear" w:color="auto" w:fill="071D49"/>
          </w:tcPr>
          <w:p>
            <w:pPr>
              <w:spacing w:after="0"/>
              <w:rPr>
                <w:sz w:val="16"/>
                <w:szCs w:val="16"/>
                <w:color w:val="auto"/>
              </w:rPr>
            </w:pPr>
          </w:p>
        </w:tc>
        <w:tc>
          <w:tcPr>
            <w:tcW w:w="1840" w:type="dxa"/>
            <w:vAlign w:val="bottom"/>
          </w:tcPr>
          <w:p>
            <w:pPr>
              <w:ind w:left="120"/>
              <w:spacing w:after="0"/>
              <w:rPr>
                <w:sz w:val="20"/>
                <w:szCs w:val="20"/>
                <w:color w:val="auto"/>
              </w:rPr>
            </w:pPr>
            <w:r>
              <w:rPr>
                <w:rFonts w:ascii="Arial" w:cs="Arial" w:eastAsia="Arial" w:hAnsi="Arial"/>
                <w:sz w:val="16"/>
                <w:szCs w:val="16"/>
                <w:color w:val="auto"/>
              </w:rPr>
              <w:t>standards in quality,</w:t>
            </w:r>
          </w:p>
        </w:tc>
        <w:tc>
          <w:tcPr>
            <w:tcW w:w="20" w:type="dxa"/>
            <w:vAlign w:val="bottom"/>
            <w:shd w:val="clear" w:color="auto" w:fill="071D49"/>
          </w:tcPr>
          <w:p>
            <w:pPr>
              <w:spacing w:after="0"/>
              <w:rPr>
                <w:sz w:val="16"/>
                <w:szCs w:val="16"/>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auto"/>
              </w:rPr>
              <w:t>development of new</w:t>
            </w:r>
          </w:p>
        </w:tc>
        <w:tc>
          <w:tcPr>
            <w:tcW w:w="20" w:type="dxa"/>
            <w:vAlign w:val="bottom"/>
            <w:shd w:val="clear" w:color="auto" w:fill="071D49"/>
          </w:tcPr>
          <w:p>
            <w:pPr>
              <w:spacing w:after="0"/>
              <w:rPr>
                <w:sz w:val="16"/>
                <w:szCs w:val="16"/>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diverse backgrounds</w:t>
            </w:r>
          </w:p>
        </w:tc>
        <w:tc>
          <w:tcPr>
            <w:tcW w:w="0" w:type="dxa"/>
            <w:vAlign w:val="bottom"/>
          </w:tcPr>
          <w:p>
            <w:pPr>
              <w:spacing w:after="0"/>
              <w:rPr>
                <w:sz w:val="1"/>
                <w:szCs w:val="1"/>
                <w:color w:val="auto"/>
              </w:rPr>
            </w:pPr>
          </w:p>
        </w:tc>
      </w:tr>
      <w:tr>
        <w:trPr>
          <w:trHeight w:val="185"/>
        </w:trPr>
        <w:tc>
          <w:tcPr>
            <w:tcW w:w="1720" w:type="dxa"/>
            <w:vAlign w:val="bottom"/>
          </w:tcPr>
          <w:p>
            <w:pPr>
              <w:spacing w:after="0"/>
              <w:rPr>
                <w:sz w:val="20"/>
                <w:szCs w:val="20"/>
                <w:color w:val="auto"/>
              </w:rPr>
            </w:pPr>
            <w:r>
              <w:rPr>
                <w:rFonts w:ascii="Arial" w:cs="Arial" w:eastAsia="Arial" w:hAnsi="Arial"/>
                <w:sz w:val="16"/>
                <w:szCs w:val="16"/>
                <w:color w:val="auto"/>
              </w:rPr>
              <w:t>lasting impact to our</w:t>
            </w:r>
          </w:p>
        </w:tc>
        <w:tc>
          <w:tcPr>
            <w:tcW w:w="20" w:type="dxa"/>
            <w:vAlign w:val="bottom"/>
            <w:shd w:val="clear" w:color="auto" w:fill="071D49"/>
          </w:tcPr>
          <w:p>
            <w:pPr>
              <w:spacing w:after="0"/>
              <w:rPr>
                <w:sz w:val="16"/>
                <w:szCs w:val="16"/>
                <w:color w:val="auto"/>
              </w:rPr>
            </w:pPr>
          </w:p>
        </w:tc>
        <w:tc>
          <w:tcPr>
            <w:tcW w:w="1840" w:type="dxa"/>
            <w:vAlign w:val="bottom"/>
          </w:tcPr>
          <w:p>
            <w:pPr>
              <w:ind w:left="120"/>
              <w:spacing w:after="0"/>
              <w:rPr>
                <w:sz w:val="20"/>
                <w:szCs w:val="20"/>
                <w:color w:val="auto"/>
              </w:rPr>
            </w:pPr>
            <w:r>
              <w:rPr>
                <w:rFonts w:ascii="Arial" w:cs="Arial" w:eastAsia="Arial" w:hAnsi="Arial"/>
                <w:sz w:val="16"/>
                <w:szCs w:val="16"/>
                <w:color w:val="auto"/>
              </w:rPr>
              <w:t>compliance, safety</w:t>
            </w:r>
          </w:p>
        </w:tc>
        <w:tc>
          <w:tcPr>
            <w:tcW w:w="20" w:type="dxa"/>
            <w:vAlign w:val="bottom"/>
            <w:shd w:val="clear" w:color="auto" w:fill="071D49"/>
          </w:tcPr>
          <w:p>
            <w:pPr>
              <w:spacing w:after="0"/>
              <w:rPr>
                <w:sz w:val="16"/>
                <w:szCs w:val="16"/>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auto"/>
              </w:rPr>
              <w:t>medicines and</w:t>
            </w:r>
          </w:p>
        </w:tc>
        <w:tc>
          <w:tcPr>
            <w:tcW w:w="20" w:type="dxa"/>
            <w:vAlign w:val="bottom"/>
            <w:shd w:val="clear" w:color="auto" w:fill="071D49"/>
          </w:tcPr>
          <w:p>
            <w:pPr>
              <w:spacing w:after="0"/>
              <w:rPr>
                <w:sz w:val="16"/>
                <w:szCs w:val="16"/>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and perspectives,</w:t>
            </w:r>
          </w:p>
        </w:tc>
        <w:tc>
          <w:tcPr>
            <w:tcW w:w="0" w:type="dxa"/>
            <w:vAlign w:val="bottom"/>
          </w:tcPr>
          <w:p>
            <w:pPr>
              <w:spacing w:after="0"/>
              <w:rPr>
                <w:sz w:val="1"/>
                <w:szCs w:val="1"/>
                <w:color w:val="auto"/>
              </w:rPr>
            </w:pPr>
          </w:p>
        </w:tc>
      </w:tr>
      <w:tr>
        <w:trPr>
          <w:trHeight w:val="185"/>
        </w:trPr>
        <w:tc>
          <w:tcPr>
            <w:tcW w:w="1720" w:type="dxa"/>
            <w:vAlign w:val="bottom"/>
          </w:tcPr>
          <w:p>
            <w:pPr>
              <w:spacing w:after="0"/>
              <w:rPr>
                <w:sz w:val="20"/>
                <w:szCs w:val="20"/>
                <w:color w:val="auto"/>
              </w:rPr>
            </w:pPr>
            <w:r>
              <w:rPr>
                <w:rFonts w:ascii="Arial" w:cs="Arial" w:eastAsia="Arial" w:hAnsi="Arial"/>
                <w:sz w:val="16"/>
                <w:szCs w:val="16"/>
                <w:color w:val="auto"/>
              </w:rPr>
              <w:t>patients, their</w:t>
            </w:r>
          </w:p>
        </w:tc>
        <w:tc>
          <w:tcPr>
            <w:tcW w:w="20" w:type="dxa"/>
            <w:vAlign w:val="bottom"/>
            <w:shd w:val="clear" w:color="auto" w:fill="071D49"/>
          </w:tcPr>
          <w:p>
            <w:pPr>
              <w:spacing w:after="0"/>
              <w:rPr>
                <w:sz w:val="16"/>
                <w:szCs w:val="16"/>
                <w:color w:val="auto"/>
              </w:rPr>
            </w:pPr>
          </w:p>
        </w:tc>
        <w:tc>
          <w:tcPr>
            <w:tcW w:w="1840" w:type="dxa"/>
            <w:vAlign w:val="bottom"/>
          </w:tcPr>
          <w:p>
            <w:pPr>
              <w:ind w:left="120"/>
              <w:spacing w:after="0"/>
              <w:rPr>
                <w:sz w:val="20"/>
                <w:szCs w:val="20"/>
                <w:color w:val="auto"/>
              </w:rPr>
            </w:pPr>
            <w:r>
              <w:rPr>
                <w:rFonts w:ascii="Arial" w:cs="Arial" w:eastAsia="Arial" w:hAnsi="Arial"/>
                <w:sz w:val="16"/>
                <w:szCs w:val="16"/>
                <w:color w:val="auto"/>
              </w:rPr>
              <w:t>and performance.</w:t>
            </w:r>
          </w:p>
        </w:tc>
        <w:tc>
          <w:tcPr>
            <w:tcW w:w="20" w:type="dxa"/>
            <w:vAlign w:val="bottom"/>
            <w:shd w:val="clear" w:color="auto" w:fill="071D49"/>
          </w:tcPr>
          <w:p>
            <w:pPr>
              <w:spacing w:after="0"/>
              <w:rPr>
                <w:sz w:val="16"/>
                <w:szCs w:val="16"/>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auto"/>
              </w:rPr>
              <w:t>healthcare</w:t>
            </w:r>
          </w:p>
        </w:tc>
        <w:tc>
          <w:tcPr>
            <w:tcW w:w="20" w:type="dxa"/>
            <w:vAlign w:val="bottom"/>
            <w:shd w:val="clear" w:color="auto" w:fill="071D49"/>
          </w:tcPr>
          <w:p>
            <w:pPr>
              <w:spacing w:after="0"/>
              <w:rPr>
                <w:sz w:val="16"/>
                <w:szCs w:val="16"/>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which allows us all to</w:t>
            </w:r>
          </w:p>
        </w:tc>
        <w:tc>
          <w:tcPr>
            <w:tcW w:w="0" w:type="dxa"/>
            <w:vAlign w:val="bottom"/>
          </w:tcPr>
          <w:p>
            <w:pPr>
              <w:spacing w:after="0"/>
              <w:rPr>
                <w:sz w:val="1"/>
                <w:szCs w:val="1"/>
                <w:color w:val="auto"/>
              </w:rPr>
            </w:pPr>
          </w:p>
        </w:tc>
      </w:tr>
      <w:tr>
        <w:trPr>
          <w:trHeight w:val="185"/>
        </w:trPr>
        <w:tc>
          <w:tcPr>
            <w:tcW w:w="1720" w:type="dxa"/>
            <w:vAlign w:val="bottom"/>
          </w:tcPr>
          <w:p>
            <w:pPr>
              <w:spacing w:after="0"/>
              <w:rPr>
                <w:sz w:val="20"/>
                <w:szCs w:val="20"/>
                <w:color w:val="auto"/>
              </w:rPr>
            </w:pPr>
            <w:r>
              <w:rPr>
                <w:rFonts w:ascii="Arial" w:cs="Arial" w:eastAsia="Arial" w:hAnsi="Arial"/>
                <w:sz w:val="16"/>
                <w:szCs w:val="16"/>
                <w:color w:val="auto"/>
              </w:rPr>
              <w:t>families, our</w:t>
            </w:r>
          </w:p>
        </w:tc>
        <w:tc>
          <w:tcPr>
            <w:tcW w:w="20" w:type="dxa"/>
            <w:vAlign w:val="bottom"/>
            <w:shd w:val="clear" w:color="auto" w:fill="071D49"/>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shd w:val="clear" w:color="auto" w:fill="071D49"/>
          </w:tcPr>
          <w:p>
            <w:pPr>
              <w:spacing w:after="0"/>
              <w:rPr>
                <w:sz w:val="16"/>
                <w:szCs w:val="16"/>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auto"/>
              </w:rPr>
              <w:t>approaches for a</w:t>
            </w:r>
          </w:p>
        </w:tc>
        <w:tc>
          <w:tcPr>
            <w:tcW w:w="20" w:type="dxa"/>
            <w:vAlign w:val="bottom"/>
            <w:shd w:val="clear" w:color="auto" w:fill="071D49"/>
          </w:tcPr>
          <w:p>
            <w:pPr>
              <w:spacing w:after="0"/>
              <w:rPr>
                <w:sz w:val="16"/>
                <w:szCs w:val="16"/>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achieve our best.</w:t>
            </w:r>
          </w:p>
        </w:tc>
        <w:tc>
          <w:tcPr>
            <w:tcW w:w="0" w:type="dxa"/>
            <w:vAlign w:val="bottom"/>
          </w:tcPr>
          <w:p>
            <w:pPr>
              <w:spacing w:after="0"/>
              <w:rPr>
                <w:sz w:val="1"/>
                <w:szCs w:val="1"/>
                <w:color w:val="auto"/>
              </w:rPr>
            </w:pPr>
          </w:p>
        </w:tc>
      </w:tr>
      <w:tr>
        <w:trPr>
          <w:trHeight w:val="168"/>
        </w:trPr>
        <w:tc>
          <w:tcPr>
            <w:tcW w:w="1720" w:type="dxa"/>
            <w:vAlign w:val="bottom"/>
          </w:tcPr>
          <w:p>
            <w:pPr>
              <w:spacing w:after="0" w:line="168" w:lineRule="exact"/>
              <w:rPr>
                <w:sz w:val="20"/>
                <w:szCs w:val="20"/>
                <w:color w:val="auto"/>
              </w:rPr>
            </w:pPr>
            <w:r>
              <w:rPr>
                <w:rFonts w:ascii="Arial" w:cs="Arial" w:eastAsia="Arial" w:hAnsi="Arial"/>
                <w:sz w:val="16"/>
                <w:szCs w:val="16"/>
                <w:color w:val="auto"/>
              </w:rPr>
              <w:t>employees and the</w:t>
            </w:r>
          </w:p>
        </w:tc>
        <w:tc>
          <w:tcPr>
            <w:tcW w:w="20" w:type="dxa"/>
            <w:vAlign w:val="bottom"/>
            <w:shd w:val="clear" w:color="auto" w:fill="071D49"/>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shd w:val="clear" w:color="auto" w:fill="071D49"/>
          </w:tcPr>
          <w:p>
            <w:pPr>
              <w:spacing w:after="0"/>
              <w:rPr>
                <w:sz w:val="14"/>
                <w:szCs w:val="14"/>
                <w:color w:val="auto"/>
              </w:rPr>
            </w:pPr>
          </w:p>
        </w:tc>
        <w:tc>
          <w:tcPr>
            <w:tcW w:w="1860" w:type="dxa"/>
            <w:vAlign w:val="bottom"/>
          </w:tcPr>
          <w:p>
            <w:pPr>
              <w:ind w:left="120"/>
              <w:spacing w:after="0" w:line="168" w:lineRule="exact"/>
              <w:rPr>
                <w:sz w:val="20"/>
                <w:szCs w:val="20"/>
                <w:color w:val="auto"/>
              </w:rPr>
            </w:pPr>
            <w:r>
              <w:rPr>
                <w:rFonts w:ascii="Arial" w:cs="Arial" w:eastAsia="Arial" w:hAnsi="Arial"/>
                <w:sz w:val="16"/>
                <w:szCs w:val="16"/>
                <w:color w:val="auto"/>
              </w:rPr>
              <w:t>healthier world.</w:t>
            </w:r>
          </w:p>
        </w:tc>
        <w:tc>
          <w:tcPr>
            <w:tcW w:w="20" w:type="dxa"/>
            <w:vAlign w:val="bottom"/>
            <w:shd w:val="clear" w:color="auto" w:fill="071D49"/>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20"/>
                <w:szCs w:val="20"/>
                <w:color w:val="auto"/>
              </w:rPr>
            </w:pPr>
            <w:r>
              <w:rPr>
                <w:rFonts w:ascii="Arial" w:cs="Arial" w:eastAsia="Arial" w:hAnsi="Arial"/>
                <w:sz w:val="16"/>
                <w:szCs w:val="16"/>
                <w:color w:val="auto"/>
              </w:rPr>
              <w:t>community.</w:t>
            </w:r>
          </w:p>
        </w:tc>
        <w:tc>
          <w:tcPr>
            <w:tcW w:w="20" w:type="dxa"/>
            <w:vAlign w:val="bottom"/>
            <w:shd w:val="clear" w:color="auto" w:fill="071D49"/>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-1687830</wp:posOffset>
            </wp:positionV>
            <wp:extent cx="15875" cy="1688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875" cy="1688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Serving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-128905</wp:posOffset>
            </wp:positionV>
            <wp:extent cx="15875" cy="1688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875" cy="16884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Community</w:t>
      </w:r>
    </w:p>
    <w:p>
      <w:pPr>
        <w:spacing w:after="0" w:line="243" w:lineRule="auto"/>
        <w:rPr>
          <w:sz w:val="20"/>
          <w:szCs w:val="20"/>
          <w:color w:val="auto"/>
        </w:rPr>
      </w:pPr>
      <w:r>
        <w:rPr>
          <w:rFonts w:ascii="Arial" w:cs="Arial" w:eastAsia="Arial" w:hAnsi="Arial"/>
          <w:sz w:val="16"/>
          <w:szCs w:val="16"/>
          <w:color w:val="auto"/>
        </w:rPr>
        <w:t>We are proud to serve and support the community and do our part to protect the environment. We make a remarkable impact that's felt within healthcare and beyond.</w:t>
      </w:r>
    </w:p>
    <w:p>
      <w:pPr>
        <w:spacing w:after="0" w:line="739" w:lineRule="exact"/>
        <w:rPr>
          <w:sz w:val="20"/>
          <w:szCs w:val="20"/>
          <w:color w:val="auto"/>
        </w:rPr>
      </w:pPr>
    </w:p>
    <w:p>
      <w:pPr>
        <w:sectPr>
          <w:pgSz w:w="11900" w:h="16838" w:orient="portrait"/>
          <w:cols w:equalWidth="0" w:num="2">
            <w:col w:w="7240" w:space="340"/>
            <w:col w:w="1660"/>
          </w:cols>
          <w:pgMar w:left="1320" w:top="480" w:right="1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spacing w:after="0"/>
        <w:tabs>
          <w:tab w:leader="none" w:pos="246" w:val="left"/>
          <w:tab w:leader="none" w:pos="2020" w:val="left"/>
        </w:tabs>
        <w:rPr>
          <w:sz w:val="20"/>
          <w:szCs w:val="20"/>
          <w:color w:val="auto"/>
        </w:rPr>
      </w:pPr>
      <w:r>
        <w:rPr>
          <w:rFonts w:ascii="Arial" w:cs="Arial" w:eastAsia="Arial" w:hAnsi="Arial"/>
          <w:sz w:val="16"/>
          <w:szCs w:val="16"/>
          <w:color w:val="auto"/>
        </w:rPr>
        <w:t>2</w:t>
      </w:r>
      <w:r>
        <w:rPr>
          <w:sz w:val="20"/>
          <w:szCs w:val="20"/>
          <w:color w:val="auto"/>
        </w:rPr>
        <w:tab/>
      </w:r>
      <w:r>
        <w:rPr>
          <w:sz w:val="1"/>
          <w:szCs w:val="1"/>
          <w:color w:val="auto"/>
        </w:rPr>
        <w:drawing>
          <wp:inline distT="0" distB="0" distL="0" distR="0">
            <wp:extent cx="797560" cy="14859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40"/>
          </w:cols>
          <w:pgMar w:left="1320" w:top="480" w:right="1339" w:bottom="1440" w:gutter="0" w:footer="0" w:header="0"/>
          <w:type w:val="continuous"/>
        </w:sectPr>
      </w:pPr>
    </w:p>
    <w:bookmarkStart w:id="5" w:name="page6"/>
    <w:bookmarkEnd w:id="5"/>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PROXY SUMMARY</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30"/>
          <w:szCs w:val="30"/>
          <w:color w:val="auto"/>
        </w:rPr>
        <w:t>Our Business Performance</w:t>
      </w:r>
    </w:p>
    <w:p>
      <w:pPr>
        <w:spacing w:after="0" w:line="121" w:lineRule="exact"/>
        <w:rPr>
          <w:sz w:val="20"/>
          <w:szCs w:val="20"/>
          <w:color w:val="auto"/>
        </w:rPr>
      </w:pPr>
    </w:p>
    <w:p>
      <w:pPr>
        <w:ind w:left="9" w:right="180"/>
        <w:spacing w:after="0" w:line="273" w:lineRule="auto"/>
        <w:rPr>
          <w:sz w:val="20"/>
          <w:szCs w:val="20"/>
          <w:color w:val="auto"/>
        </w:rPr>
      </w:pPr>
      <w:r>
        <w:rPr>
          <w:rFonts w:ascii="Arial" w:cs="Arial" w:eastAsia="Arial" w:hAnsi="Arial"/>
          <w:sz w:val="20"/>
          <w:szCs w:val="20"/>
          <w:b w:val="1"/>
          <w:bCs w:val="1"/>
          <w:color w:val="071D49"/>
        </w:rPr>
        <w:t>Advanced our strategy through outstanding operational execution and investments in innovation during 2025</w:t>
      </w:r>
    </w:p>
    <w:p>
      <w:pPr>
        <w:spacing w:after="0" w:line="40"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2960" w:type="dxa"/>
            <w:vAlign w:val="bottom"/>
          </w:tcPr>
          <w:p>
            <w:pPr>
              <w:jc w:val="center"/>
              <w:spacing w:after="0"/>
              <w:rPr>
                <w:sz w:val="20"/>
                <w:szCs w:val="20"/>
                <w:color w:val="auto"/>
              </w:rPr>
            </w:pPr>
            <w:r>
              <w:rPr>
                <w:rFonts w:ascii="Arial" w:cs="Arial" w:eastAsia="Arial" w:hAnsi="Arial"/>
                <w:sz w:val="16"/>
                <w:szCs w:val="16"/>
                <w:b w:val="1"/>
                <w:bCs w:val="1"/>
                <w:color w:val="auto"/>
              </w:rPr>
              <w:t>Total Net Revenues</w:t>
            </w:r>
          </w:p>
        </w:tc>
        <w:tc>
          <w:tcPr>
            <w:tcW w:w="3580" w:type="dxa"/>
            <w:vAlign w:val="bottom"/>
            <w:gridSpan w:val="7"/>
          </w:tcPr>
          <w:p>
            <w:pPr>
              <w:jc w:val="center"/>
              <w:ind w:right="4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Growth Platform Net Revenues</w:t>
            </w:r>
            <w:r>
              <w:rPr>
                <w:rFonts w:ascii="Arial" w:cs="Arial" w:eastAsia="Arial" w:hAnsi="Arial"/>
                <w:sz w:val="16"/>
                <w:szCs w:val="16"/>
                <w:color w:val="auto"/>
              </w:rPr>
              <w:t>​ ​</w:t>
            </w:r>
          </w:p>
        </w:tc>
        <w:tc>
          <w:tcPr>
            <w:tcW w:w="2720" w:type="dxa"/>
            <w:vAlign w:val="bottom"/>
          </w:tcPr>
          <w:p>
            <w:pPr>
              <w:jc w:val="center"/>
              <w:ind w:right="12"/>
              <w:spacing w:after="0"/>
              <w:rPr>
                <w:sz w:val="20"/>
                <w:szCs w:val="20"/>
                <w:color w:val="auto"/>
              </w:rPr>
            </w:pPr>
            <w:r>
              <w:rPr>
                <w:rFonts w:ascii="Arial" w:cs="Arial" w:eastAsia="Arial" w:hAnsi="Arial"/>
                <w:sz w:val="16"/>
                <w:szCs w:val="16"/>
                <w:b w:val="1"/>
                <w:bCs w:val="1"/>
                <w:color w:val="auto"/>
              </w:rPr>
              <w:t>Operating Cash Flow</w:t>
            </w:r>
          </w:p>
        </w:tc>
        <w:tc>
          <w:tcPr>
            <w:tcW w:w="0" w:type="dxa"/>
            <w:vAlign w:val="bottom"/>
          </w:tcPr>
          <w:p>
            <w:pPr>
              <w:spacing w:after="0"/>
              <w:rPr>
                <w:sz w:val="1"/>
                <w:szCs w:val="1"/>
                <w:color w:val="auto"/>
              </w:rPr>
            </w:pPr>
          </w:p>
        </w:tc>
      </w:tr>
      <w:tr>
        <w:trPr>
          <w:trHeight w:val="669"/>
        </w:trPr>
        <w:tc>
          <w:tcPr>
            <w:tcW w:w="2960" w:type="dxa"/>
            <w:vAlign w:val="bottom"/>
          </w:tcPr>
          <w:p>
            <w:pPr>
              <w:jc w:val="center"/>
              <w:spacing w:after="0" w:line="668" w:lineRule="exact"/>
              <w:rPr>
                <w:sz w:val="20"/>
                <w:szCs w:val="20"/>
                <w:color w:val="auto"/>
              </w:rPr>
            </w:pPr>
            <w:r>
              <w:rPr>
                <w:rFonts w:ascii="Arial" w:cs="Arial" w:eastAsia="Arial" w:hAnsi="Arial"/>
                <w:sz w:val="59"/>
                <w:szCs w:val="59"/>
                <w:color w:val="071D49"/>
              </w:rPr>
              <w:t>$61.2BN</w:t>
            </w:r>
          </w:p>
        </w:tc>
        <w:tc>
          <w:tcPr>
            <w:tcW w:w="120" w:type="dxa"/>
            <w:vAlign w:val="bottom"/>
            <w:tcBorders>
              <w:right w:val="single" w:sz="8" w:color="071D49"/>
            </w:tcBorders>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2"/>
          </w:tcPr>
          <w:p>
            <w:pPr>
              <w:jc w:val="center"/>
              <w:ind w:right="80"/>
              <w:spacing w:after="0" w:line="668" w:lineRule="exact"/>
              <w:rPr>
                <w:sz w:val="20"/>
                <w:szCs w:val="20"/>
                <w:color w:val="auto"/>
              </w:rPr>
            </w:pPr>
            <w:r>
              <w:rPr>
                <w:rFonts w:ascii="Arial" w:cs="Arial" w:eastAsia="Arial" w:hAnsi="Arial"/>
                <w:sz w:val="59"/>
                <w:szCs w:val="59"/>
                <w:color w:val="071D49"/>
              </w:rPr>
              <w:t>$56.6BN</w:t>
            </w:r>
          </w:p>
        </w:tc>
        <w:tc>
          <w:tcPr>
            <w:tcW w:w="40" w:type="dxa"/>
            <w:vAlign w:val="bottom"/>
            <w:shd w:val="clear" w:color="auto" w:fill="071D49"/>
          </w:tcPr>
          <w:p>
            <w:pPr>
              <w:spacing w:after="0"/>
              <w:rPr>
                <w:sz w:val="24"/>
                <w:szCs w:val="24"/>
                <w:color w:val="auto"/>
              </w:rPr>
            </w:pPr>
          </w:p>
        </w:tc>
        <w:tc>
          <w:tcPr>
            <w:tcW w:w="260" w:type="dxa"/>
            <w:vAlign w:val="bottom"/>
            <w:gridSpan w:val="2"/>
          </w:tcPr>
          <w:p>
            <w:pPr>
              <w:spacing w:after="0"/>
              <w:rPr>
                <w:sz w:val="24"/>
                <w:szCs w:val="24"/>
                <w:color w:val="auto"/>
              </w:rPr>
            </w:pPr>
          </w:p>
        </w:tc>
        <w:tc>
          <w:tcPr>
            <w:tcW w:w="2720" w:type="dxa"/>
            <w:vAlign w:val="bottom"/>
          </w:tcPr>
          <w:p>
            <w:pPr>
              <w:jc w:val="center"/>
              <w:ind w:right="32"/>
              <w:spacing w:after="0" w:line="668" w:lineRule="exact"/>
              <w:rPr>
                <w:sz w:val="20"/>
                <w:szCs w:val="20"/>
                <w:color w:val="auto"/>
              </w:rPr>
            </w:pPr>
            <w:r>
              <w:rPr>
                <w:rFonts w:ascii="Arial" w:cs="Arial" w:eastAsia="Arial" w:hAnsi="Arial"/>
                <w:sz w:val="59"/>
                <w:szCs w:val="59"/>
                <w:color w:val="071D49"/>
              </w:rPr>
              <w:t>$19.0BN</w:t>
            </w:r>
          </w:p>
        </w:tc>
        <w:tc>
          <w:tcPr>
            <w:tcW w:w="0" w:type="dxa"/>
            <w:vAlign w:val="bottom"/>
          </w:tcPr>
          <w:p>
            <w:pPr>
              <w:spacing w:after="0"/>
              <w:rPr>
                <w:sz w:val="1"/>
                <w:szCs w:val="1"/>
                <w:color w:val="auto"/>
              </w:rPr>
            </w:pPr>
          </w:p>
        </w:tc>
      </w:tr>
      <w:tr>
        <w:trPr>
          <w:trHeight w:val="155"/>
        </w:trPr>
        <w:tc>
          <w:tcPr>
            <w:tcW w:w="2960" w:type="dxa"/>
            <w:vAlign w:val="bottom"/>
          </w:tcPr>
          <w:p>
            <w:pPr>
              <w:jc w:val="center"/>
              <w:spacing w:after="0"/>
              <w:rPr>
                <w:sz w:val="20"/>
                <w:szCs w:val="20"/>
                <w:color w:val="auto"/>
              </w:rPr>
            </w:pPr>
            <w:r>
              <w:rPr>
                <w:rFonts w:ascii="Arial" w:cs="Arial" w:eastAsia="Arial" w:hAnsi="Arial"/>
                <w:sz w:val="13"/>
                <w:szCs w:val="13"/>
                <w:color w:val="auto"/>
              </w:rPr>
              <w:t>+8.5% operational growth compared to 2024*</w:t>
            </w:r>
          </w:p>
        </w:tc>
        <w:tc>
          <w:tcPr>
            <w:tcW w:w="120" w:type="dxa"/>
            <w:vAlign w:val="bottom"/>
            <w:tcBorders>
              <w:right w:val="single" w:sz="8" w:color="071D49"/>
            </w:tcBorders>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13"/>
                <w:szCs w:val="13"/>
                <w:color w:val="auto"/>
              </w:rPr>
              <w:t>+19.6% compared to 2024**</w:t>
            </w:r>
          </w:p>
        </w:tc>
        <w:tc>
          <w:tcPr>
            <w:tcW w:w="40" w:type="dxa"/>
            <w:vAlign w:val="bottom"/>
            <w:shd w:val="clear" w:color="auto" w:fill="071D49"/>
          </w:tcPr>
          <w:p>
            <w:pPr>
              <w:spacing w:after="0"/>
              <w:rPr>
                <w:sz w:val="13"/>
                <w:szCs w:val="13"/>
                <w:color w:val="auto"/>
              </w:rPr>
            </w:pPr>
          </w:p>
        </w:tc>
        <w:tc>
          <w:tcPr>
            <w:tcW w:w="260" w:type="dxa"/>
            <w:vAlign w:val="bottom"/>
            <w:gridSpan w:val="2"/>
          </w:tcPr>
          <w:p>
            <w:pPr>
              <w:spacing w:after="0"/>
              <w:rPr>
                <w:sz w:val="13"/>
                <w:szCs w:val="13"/>
                <w:color w:val="auto"/>
              </w:rPr>
            </w:pPr>
          </w:p>
        </w:tc>
        <w:tc>
          <w:tcPr>
            <w:tcW w:w="2720" w:type="dxa"/>
            <w:vAlign w:val="bottom"/>
          </w:tcPr>
          <w:p>
            <w:pPr>
              <w:jc w:val="center"/>
              <w:ind w:right="32"/>
              <w:spacing w:after="0"/>
              <w:rPr>
                <w:sz w:val="20"/>
                <w:szCs w:val="20"/>
                <w:color w:val="auto"/>
              </w:rPr>
            </w:pPr>
            <w:r>
              <w:rPr>
                <w:rFonts w:ascii="Arial" w:cs="Arial" w:eastAsia="Arial" w:hAnsi="Arial"/>
                <w:sz w:val="13"/>
                <w:szCs w:val="13"/>
                <w:color w:val="auto"/>
                <w:w w:val="98"/>
              </w:rPr>
              <w:t>in 2025</w:t>
            </w:r>
          </w:p>
        </w:tc>
        <w:tc>
          <w:tcPr>
            <w:tcW w:w="0" w:type="dxa"/>
            <w:vAlign w:val="bottom"/>
          </w:tcPr>
          <w:p>
            <w:pPr>
              <w:spacing w:after="0"/>
              <w:rPr>
                <w:sz w:val="1"/>
                <w:szCs w:val="1"/>
                <w:color w:val="auto"/>
              </w:rPr>
            </w:pPr>
          </w:p>
        </w:tc>
      </w:tr>
      <w:tr>
        <w:trPr>
          <w:trHeight w:val="177"/>
        </w:trPr>
        <w:tc>
          <w:tcPr>
            <w:tcW w:w="2960" w:type="dxa"/>
            <w:vAlign w:val="bottom"/>
            <w:tcBorders>
              <w:bottom w:val="single" w:sz="8" w:color="071D49"/>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tcBorders>
              <w:bottom w:val="single" w:sz="8" w:color="071D49"/>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071D49"/>
            </w:tcBorders>
          </w:tcPr>
          <w:p>
            <w:pPr>
              <w:spacing w:after="0"/>
              <w:rPr>
                <w:sz w:val="15"/>
                <w:szCs w:val="15"/>
                <w:color w:val="auto"/>
              </w:rPr>
            </w:pPr>
          </w:p>
        </w:tc>
        <w:tc>
          <w:tcPr>
            <w:tcW w:w="2720" w:type="dxa"/>
            <w:vAlign w:val="bottom"/>
            <w:tcBorders>
              <w:bottom w:val="single" w:sz="8" w:color="071D49"/>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Blockbuster Products</w:t>
            </w:r>
          </w:p>
        </w:tc>
        <w:tc>
          <w:tcPr>
            <w:tcW w:w="12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30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Adjusted R&amp;D Investment</w:t>
            </w:r>
          </w:p>
        </w:tc>
        <w:tc>
          <w:tcPr>
            <w:tcW w:w="4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720" w:type="dxa"/>
            <w:vAlign w:val="bottom"/>
            <w:vMerge w:val="restart"/>
          </w:tcPr>
          <w:p>
            <w:pPr>
              <w:jc w:val="center"/>
              <w:ind w:right="32"/>
              <w:spacing w:after="0"/>
              <w:rPr>
                <w:sz w:val="20"/>
                <w:szCs w:val="20"/>
                <w:color w:val="auto"/>
              </w:rPr>
            </w:pPr>
            <w:r>
              <w:rPr>
                <w:rFonts w:ascii="Arial" w:cs="Arial" w:eastAsia="Arial" w:hAnsi="Arial"/>
                <w:sz w:val="16"/>
                <w:szCs w:val="16"/>
                <w:b w:val="1"/>
                <w:bCs w:val="1"/>
                <w:color w:val="auto"/>
              </w:rPr>
              <w:t>Development Pipeline</w:t>
            </w:r>
          </w:p>
        </w:tc>
        <w:tc>
          <w:tcPr>
            <w:tcW w:w="0" w:type="dxa"/>
            <w:vAlign w:val="bottom"/>
          </w:tcPr>
          <w:p>
            <w:pPr>
              <w:spacing w:after="0"/>
              <w:rPr>
                <w:sz w:val="1"/>
                <w:szCs w:val="1"/>
                <w:color w:val="auto"/>
              </w:rPr>
            </w:pPr>
          </w:p>
        </w:tc>
      </w:tr>
      <w:tr>
        <w:trPr>
          <w:trHeight w:val="185"/>
        </w:trPr>
        <w:tc>
          <w:tcPr>
            <w:tcW w:w="29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vMerge w:val="continue"/>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77"/>
        </w:trPr>
        <w:tc>
          <w:tcPr>
            <w:tcW w:w="2960" w:type="dxa"/>
            <w:vAlign w:val="bottom"/>
          </w:tcPr>
          <w:p>
            <w:pPr>
              <w:jc w:val="right"/>
              <w:ind w:right="1012"/>
              <w:spacing w:after="0" w:line="676" w:lineRule="exact"/>
              <w:rPr>
                <w:sz w:val="20"/>
                <w:szCs w:val="20"/>
                <w:color w:val="auto"/>
              </w:rPr>
            </w:pPr>
            <w:r>
              <w:rPr>
                <w:rFonts w:ascii="Arial" w:cs="Arial" w:eastAsia="Arial" w:hAnsi="Arial"/>
                <w:sz w:val="59"/>
                <w:szCs w:val="59"/>
                <w:color w:val="071D49"/>
              </w:rPr>
              <w:t>12</w:t>
            </w:r>
          </w:p>
        </w:tc>
        <w:tc>
          <w:tcPr>
            <w:tcW w:w="120" w:type="dxa"/>
            <w:vAlign w:val="bottom"/>
            <w:tcBorders>
              <w:right w:val="single" w:sz="8" w:color="071D49"/>
            </w:tcBorders>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2"/>
          </w:tcPr>
          <w:p>
            <w:pPr>
              <w:jc w:val="center"/>
              <w:ind w:right="80"/>
              <w:spacing w:after="0" w:line="676" w:lineRule="exact"/>
              <w:rPr>
                <w:sz w:val="20"/>
                <w:szCs w:val="20"/>
                <w:color w:val="auto"/>
              </w:rPr>
            </w:pPr>
            <w:r>
              <w:rPr>
                <w:rFonts w:ascii="Arial" w:cs="Arial" w:eastAsia="Arial" w:hAnsi="Arial"/>
                <w:sz w:val="59"/>
                <w:szCs w:val="59"/>
                <w:color w:val="071D49"/>
              </w:rPr>
              <w:t>$13.8BN</w:t>
            </w:r>
          </w:p>
        </w:tc>
        <w:tc>
          <w:tcPr>
            <w:tcW w:w="40" w:type="dxa"/>
            <w:vAlign w:val="bottom"/>
            <w:shd w:val="clear" w:color="auto" w:fill="071D49"/>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Pr>
          <w:p>
            <w:pPr>
              <w:jc w:val="right"/>
              <w:ind w:right="792"/>
              <w:spacing w:after="0" w:line="676" w:lineRule="exact"/>
              <w:rPr>
                <w:sz w:val="20"/>
                <w:szCs w:val="20"/>
                <w:color w:val="auto"/>
              </w:rPr>
            </w:pPr>
            <w:r>
              <w:rPr>
                <w:rFonts w:ascii="Arial" w:cs="Arial" w:eastAsia="Arial" w:hAnsi="Arial"/>
                <w:sz w:val="59"/>
                <w:szCs w:val="59"/>
                <w:color w:val="071D49"/>
              </w:rPr>
              <w:t>~90</w:t>
            </w:r>
          </w:p>
        </w:tc>
        <w:tc>
          <w:tcPr>
            <w:tcW w:w="0" w:type="dxa"/>
            <w:vAlign w:val="bottom"/>
          </w:tcPr>
          <w:p>
            <w:pPr>
              <w:spacing w:after="0"/>
              <w:rPr>
                <w:sz w:val="1"/>
                <w:szCs w:val="1"/>
                <w:color w:val="auto"/>
              </w:rPr>
            </w:pPr>
          </w:p>
        </w:tc>
      </w:tr>
      <w:tr>
        <w:trPr>
          <w:trHeight w:val="173"/>
        </w:trPr>
        <w:tc>
          <w:tcPr>
            <w:tcW w:w="2960" w:type="dxa"/>
            <w:vAlign w:val="bottom"/>
          </w:tcPr>
          <w:p>
            <w:pPr>
              <w:jc w:val="center"/>
              <w:spacing w:after="0"/>
              <w:rPr>
                <w:sz w:val="20"/>
                <w:szCs w:val="20"/>
                <w:color w:val="auto"/>
              </w:rPr>
            </w:pPr>
            <w:r>
              <w:rPr>
                <w:rFonts w:ascii="Arial" w:cs="Arial" w:eastAsia="Arial" w:hAnsi="Arial"/>
                <w:sz w:val="13"/>
                <w:szCs w:val="13"/>
                <w:color w:val="auto"/>
              </w:rPr>
              <w:t>assets with 2025 net revenues &gt; $1.0BN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2"/>
          </w:tcPr>
          <w:p>
            <w:pPr>
              <w:jc w:val="center"/>
              <w:ind w:right="80"/>
              <w:spacing w:after="0"/>
              <w:rPr>
                <w:sz w:val="20"/>
                <w:szCs w:val="20"/>
                <w:color w:val="auto"/>
              </w:rPr>
            </w:pPr>
            <w:r>
              <w:rPr>
                <w:rFonts w:ascii="Arial" w:cs="Arial" w:eastAsia="Arial" w:hAnsi="Arial"/>
                <w:sz w:val="13"/>
                <w:szCs w:val="13"/>
                <w:color w:val="auto"/>
              </w:rPr>
              <w:t>a substantial increase compared to 2024*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auto"/>
              </w:rPr>
              <w:t>active clinical and device programs***</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The measures set forth in this table were calculated as of 12/31/2025.</w:t>
      </w:r>
    </w:p>
    <w:p>
      <w:pPr>
        <w:spacing w:after="0" w:line="76" w:lineRule="exact"/>
        <w:rPr>
          <w:sz w:val="20"/>
          <w:szCs w:val="20"/>
          <w:color w:val="auto"/>
        </w:rPr>
      </w:pPr>
    </w:p>
    <w:p>
      <w:pPr>
        <w:ind w:left="209" w:hanging="209"/>
        <w:spacing w:after="0"/>
        <w:tabs>
          <w:tab w:leader="none" w:pos="209" w:val="left"/>
        </w:tabs>
        <w:numPr>
          <w:ilvl w:val="0"/>
          <w:numId w:val="5"/>
        </w:numPr>
        <w:rPr>
          <w:rFonts w:ascii="Arial" w:cs="Arial" w:eastAsia="Arial" w:hAnsi="Arial"/>
          <w:sz w:val="20"/>
          <w:szCs w:val="20"/>
          <w:color w:val="auto"/>
          <w:vertAlign w:val="superscript"/>
        </w:rPr>
      </w:pPr>
      <w:r>
        <w:rPr>
          <w:rFonts w:ascii="Arial" w:cs="Arial" w:eastAsia="Arial" w:hAnsi="Arial"/>
          <w:sz w:val="13"/>
          <w:szCs w:val="13"/>
          <w:color w:val="auto"/>
        </w:rPr>
        <w:t>Reflects a non-GAAP measure and is adjusted for certain items, which are reconciled in Appendix B. Operational growth is presented at constant currency</w:t>
      </w:r>
    </w:p>
    <w:p>
      <w:pPr>
        <w:ind w:left="209"/>
        <w:spacing w:after="0" w:line="205" w:lineRule="auto"/>
        <w:rPr>
          <w:sz w:val="20"/>
          <w:szCs w:val="20"/>
          <w:color w:val="auto"/>
        </w:rPr>
      </w:pPr>
      <w:r>
        <w:rPr>
          <w:rFonts w:ascii="Arial" w:cs="Arial" w:eastAsia="Arial" w:hAnsi="Arial"/>
          <w:sz w:val="13"/>
          <w:szCs w:val="13"/>
          <w:color w:val="auto"/>
        </w:rPr>
        <w:t>rates that reflect comparative local currency net revenues at the prior year’s foreign exchange rates.</w:t>
      </w:r>
    </w:p>
    <w:p>
      <w:pPr>
        <w:ind w:left="209" w:hanging="209"/>
        <w:spacing w:after="0" w:line="184" w:lineRule="auto"/>
        <w:tabs>
          <w:tab w:leader="none" w:pos="209" w:val="left"/>
        </w:tabs>
        <w:numPr>
          <w:ilvl w:val="0"/>
          <w:numId w:val="6"/>
        </w:numPr>
        <w:rPr>
          <w:rFonts w:ascii="Arial" w:cs="Arial" w:eastAsia="Arial" w:hAnsi="Arial"/>
          <w:sz w:val="19"/>
          <w:szCs w:val="19"/>
          <w:color w:val="auto"/>
          <w:vertAlign w:val="superscript"/>
        </w:rPr>
      </w:pPr>
      <w:r>
        <w:rPr>
          <w:rFonts w:ascii="Arial" w:cs="Arial" w:eastAsia="Arial" w:hAnsi="Arial"/>
          <w:sz w:val="12"/>
          <w:szCs w:val="12"/>
          <w:color w:val="auto"/>
        </w:rPr>
        <w:t>Growth Platform reflects total net revenues less Humira net revenues.</w:t>
      </w:r>
    </w:p>
    <w:p>
      <w:pPr>
        <w:ind w:left="209" w:hanging="209"/>
        <w:spacing w:after="0" w:line="197" w:lineRule="auto"/>
        <w:tabs>
          <w:tab w:leader="none" w:pos="209" w:val="left"/>
        </w:tabs>
        <w:numPr>
          <w:ilvl w:val="0"/>
          <w:numId w:val="7"/>
        </w:numPr>
        <w:rPr>
          <w:rFonts w:ascii="Arial" w:cs="Arial" w:eastAsia="Arial" w:hAnsi="Arial"/>
          <w:sz w:val="17"/>
          <w:szCs w:val="17"/>
          <w:color w:val="auto"/>
          <w:vertAlign w:val="superscript"/>
        </w:rPr>
      </w:pPr>
      <w:r>
        <w:rPr>
          <w:rFonts w:ascii="Arial" w:cs="Arial" w:eastAsia="Arial" w:hAnsi="Arial"/>
          <w:sz w:val="12"/>
          <w:szCs w:val="12"/>
          <w:color w:val="auto"/>
        </w:rPr>
        <w:t>Compounds, devices or indications in development individually or under collaboration or license agreements.</w:t>
      </w:r>
    </w:p>
    <w:p>
      <w:pPr>
        <w:spacing w:after="0" w:line="14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071D49"/>
        </w:rPr>
        <w:t>Strong operational execution</w:t>
      </w:r>
    </w:p>
    <w:p>
      <w:pPr>
        <w:spacing w:after="0" w:line="29" w:lineRule="exact"/>
        <w:rPr>
          <w:sz w:val="20"/>
          <w:szCs w:val="20"/>
          <w:color w:val="auto"/>
        </w:rPr>
      </w:pPr>
    </w:p>
    <w:p>
      <w:pPr>
        <w:ind w:left="549" w:right="340" w:hanging="303"/>
        <w:spacing w:after="0" w:line="248" w:lineRule="auto"/>
        <w:tabs>
          <w:tab w:leader="none" w:pos="549"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Total net revenues of $61.2 billion, driven by strong performance from our Growth Platform, exceeded their previous peak in just the second full year following the U.S. Humira loss of exclusivity (LOE).</w:t>
      </w:r>
    </w:p>
    <w:p>
      <w:pPr>
        <w:ind w:left="909" w:right="300" w:hanging="295"/>
        <w:spacing w:after="0" w:line="233" w:lineRule="auto"/>
        <w:rPr>
          <w:rFonts w:ascii="Times New Roman" w:cs="Times New Roman" w:eastAsia="Times New Roman" w:hAnsi="Times New Roman"/>
          <w:sz w:val="16"/>
          <w:szCs w:val="16"/>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Key asset performance drove Growth Platform net revenues of $56.6 billion, an increase of 19.6% compared to</w:t>
      </w:r>
      <w:r>
        <w:rPr>
          <w:rFonts w:ascii="Courier New" w:cs="Courier New" w:eastAsia="Courier New" w:hAnsi="Courier New"/>
          <w:sz w:val="16"/>
          <w:szCs w:val="16"/>
          <w:color w:val="auto"/>
        </w:rPr>
        <w:t xml:space="preserve"> </w:t>
      </w:r>
      <w:r>
        <w:rPr>
          <w:rFonts w:ascii="Arial" w:cs="Arial" w:eastAsia="Arial" w:hAnsi="Arial"/>
          <w:sz w:val="16"/>
          <w:szCs w:val="16"/>
          <w:color w:val="auto"/>
        </w:rPr>
        <w:t>2024.</w:t>
      </w:r>
    </w:p>
    <w:p>
      <w:pPr>
        <w:ind w:left="909" w:right="140" w:hanging="295"/>
        <w:spacing w:after="0" w:line="236" w:lineRule="auto"/>
        <w:rPr>
          <w:rFonts w:ascii="Times New Roman" w:cs="Times New Roman" w:eastAsia="Times New Roman" w:hAnsi="Times New Roman"/>
          <w:sz w:val="16"/>
          <w:szCs w:val="16"/>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AbbVie’s Growth Platform comprised 93% of total net revenues in 2025, with at least double-digit sales growth for</w:t>
      </w:r>
      <w:r>
        <w:rPr>
          <w:rFonts w:ascii="Courier New" w:cs="Courier New" w:eastAsia="Courier New" w:hAnsi="Courier New"/>
          <w:sz w:val="16"/>
          <w:szCs w:val="16"/>
          <w:color w:val="auto"/>
        </w:rPr>
        <w:t xml:space="preserve"> </w:t>
      </w:r>
      <w:r>
        <w:rPr>
          <w:rFonts w:ascii="Arial" w:cs="Arial" w:eastAsia="Arial" w:hAnsi="Arial"/>
          <w:sz w:val="16"/>
          <w:szCs w:val="16"/>
          <w:color w:val="auto"/>
        </w:rPr>
        <w:t>nine key assets, including growth of nearly 50% for Skyrizi and 40% for Rinvoq.</w:t>
      </w:r>
    </w:p>
    <w:p>
      <w:pPr>
        <w:ind w:left="549" w:right="800" w:hanging="291"/>
        <w:spacing w:after="0" w:line="248" w:lineRule="auto"/>
        <w:tabs>
          <w:tab w:leader="none" w:pos="549" w:val="left"/>
        </w:tabs>
        <w:numPr>
          <w:ilvl w:val="1"/>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Reported diluted EPS of $2.36 on a GAAP basis and adjusted diluted EPS of $10.00. See Appendix B for the reconciliation.</w:t>
      </w:r>
    </w:p>
    <w:p>
      <w:pPr>
        <w:ind w:left="549" w:hanging="291"/>
        <w:spacing w:after="0"/>
        <w:tabs>
          <w:tab w:leader="none" w:pos="549" w:val="left"/>
        </w:tabs>
        <w:numPr>
          <w:ilvl w:val="1"/>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Generated operating cash flow of $19.0 billion.</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071D49"/>
        </w:rPr>
        <w:t>Advancing new medicines and strengthening our innovative R&amp;D pipeline</w:t>
      </w:r>
    </w:p>
    <w:p>
      <w:pPr>
        <w:spacing w:after="0" w:line="40" w:lineRule="exact"/>
        <w:rPr>
          <w:sz w:val="20"/>
          <w:szCs w:val="20"/>
          <w:color w:val="auto"/>
        </w:rPr>
      </w:pPr>
    </w:p>
    <w:p>
      <w:pPr>
        <w:ind w:left="549" w:right="340" w:hanging="291"/>
        <w:spacing w:after="0" w:line="246" w:lineRule="auto"/>
        <w:tabs>
          <w:tab w:leader="none" w:pos="549"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Achieved several significant regulatory approvals, including Rinvoq for the treatment of adults with giant cell arteritis (GCA); Epkinly in combination with rituximab and lenalidomide for the second line treatment of adults with follicular lymphoma (FL); and Emrelis for adults with previously treated advanced non-small cell lung cancer (NSCLC).</w:t>
      </w:r>
    </w:p>
    <w:p>
      <w:pPr>
        <w:ind w:left="549" w:right="220" w:hanging="291"/>
        <w:spacing w:after="0" w:line="244" w:lineRule="auto"/>
        <w:tabs>
          <w:tab w:leader="none" w:pos="549"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Submitted regulatory applications in key development programs, including tavapadon for the treatment of Parkinson’s disease (PD); trenibotulinumtoxinE for the treatment of moderate to severe glabellar lines; pivekimab sunirine for the treatment of blastic plasmacytoid dendritic cell neoplasm (BPDCN); and Aquipta for the acute treatment of adults with migraine across Europe.</w:t>
      </w:r>
    </w:p>
    <w:p>
      <w:pPr>
        <w:spacing w:after="0" w:line="1" w:lineRule="exact"/>
        <w:rPr>
          <w:rFonts w:ascii="Times New Roman" w:cs="Times New Roman" w:eastAsia="Times New Roman" w:hAnsi="Times New Roman"/>
          <w:sz w:val="16"/>
          <w:szCs w:val="16"/>
          <w:color w:val="auto"/>
        </w:rPr>
      </w:pPr>
    </w:p>
    <w:p>
      <w:pPr>
        <w:ind w:left="549" w:right="100" w:hanging="291"/>
        <w:spacing w:after="0" w:line="247" w:lineRule="auto"/>
        <w:tabs>
          <w:tab w:leader="none" w:pos="549"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Generated positive late-stage data across key assets, including Rinvoq in adult and adolescent patients with severe alopecia areata (AA); Rinvoq in adult and adolescent patients with non-segmental vitiligo (NSV); and Qulipta compared to topiramate for the preventive treatment of migraine in adult patients.</w:t>
      </w:r>
    </w:p>
    <w:p>
      <w:pPr>
        <w:spacing w:after="0" w:line="1" w:lineRule="exact"/>
        <w:rPr>
          <w:rFonts w:ascii="Times New Roman" w:cs="Times New Roman" w:eastAsia="Times New Roman" w:hAnsi="Times New Roman"/>
          <w:sz w:val="16"/>
          <w:szCs w:val="16"/>
          <w:color w:val="auto"/>
        </w:rPr>
      </w:pPr>
    </w:p>
    <w:p>
      <w:pPr>
        <w:ind w:left="549" w:right="320" w:hanging="291"/>
        <w:spacing w:after="0" w:line="256" w:lineRule="auto"/>
        <w:tabs>
          <w:tab w:leader="none" w:pos="549"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Strengthened our pipeline with business development, including execution of approximately fifteen collaborations, licensing agreements, or other asset acquisitions. These transactions, combined with the company’s commitment to invest in research and development, position AbbVie for continued long-term success.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320" w:type="dxa"/>
            <w:vAlign w:val="bottom"/>
          </w:tcPr>
          <w:p>
            <w:pPr>
              <w:ind w:left="55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81"/>
        </w:trPr>
        <w:tc>
          <w:tcPr>
            <w:tcW w:w="8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4904105</wp:posOffset>
            </wp:positionH>
            <wp:positionV relativeFrom="paragraph">
              <wp:posOffset>-499745</wp:posOffset>
            </wp:positionV>
            <wp:extent cx="797560" cy="148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PROXY SUMMARY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Significant long-term value creation</w:t>
      </w:r>
    </w:p>
    <w:p>
      <w:pPr>
        <w:spacing w:after="0" w:line="185" w:lineRule="exact"/>
        <w:rPr>
          <w:sz w:val="20"/>
          <w:szCs w:val="20"/>
          <w:color w:val="auto"/>
        </w:rPr>
      </w:pPr>
    </w:p>
    <w:p>
      <w:pPr>
        <w:ind w:left="660"/>
        <w:spacing w:after="0"/>
        <w:tabs>
          <w:tab w:leader="none" w:pos="3920" w:val="left"/>
          <w:tab w:leader="none" w:pos="6820" w:val="left"/>
        </w:tabs>
        <w:rPr>
          <w:sz w:val="20"/>
          <w:szCs w:val="20"/>
          <w:color w:val="auto"/>
        </w:rPr>
      </w:pPr>
      <w:r>
        <w:rPr>
          <w:rFonts w:ascii="Arial" w:cs="Arial" w:eastAsia="Arial" w:hAnsi="Arial"/>
          <w:sz w:val="16"/>
          <w:szCs w:val="16"/>
          <w:b w:val="1"/>
          <w:bCs w:val="1"/>
          <w:color w:val="auto"/>
        </w:rPr>
        <w:t>Market Capitalization</w:t>
      </w:r>
      <w:r>
        <w:rPr>
          <w:sz w:val="20"/>
          <w:szCs w:val="20"/>
          <w:color w:val="auto"/>
        </w:rPr>
        <w:tab/>
      </w:r>
      <w:r>
        <w:rPr>
          <w:rFonts w:ascii="Arial" w:cs="Arial" w:eastAsia="Arial" w:hAnsi="Arial"/>
          <w:sz w:val="16"/>
          <w:szCs w:val="16"/>
          <w:b w:val="1"/>
          <w:bCs w:val="1"/>
          <w:color w:val="auto"/>
        </w:rPr>
        <w:t>Quarterly Dividend</w:t>
      </w:r>
      <w:r>
        <w:rPr>
          <w:sz w:val="20"/>
          <w:szCs w:val="20"/>
          <w:color w:val="auto"/>
        </w:rPr>
        <w:tab/>
      </w:r>
      <w:r>
        <w:rPr>
          <w:rFonts w:ascii="Arial" w:cs="Arial" w:eastAsia="Arial" w:hAnsi="Arial"/>
          <w:sz w:val="16"/>
          <w:szCs w:val="16"/>
          <w:b w:val="1"/>
          <w:bCs w:val="1"/>
          <w:color w:val="auto"/>
        </w:rPr>
        <w:t>Total Stockholder Return</w:t>
      </w:r>
    </w:p>
    <w:p>
      <w:pPr>
        <w:spacing w:after="0" w:line="115" w:lineRule="exact"/>
        <w:rPr>
          <w:sz w:val="20"/>
          <w:szCs w:val="20"/>
          <w:color w:val="auto"/>
        </w:rPr>
      </w:pPr>
    </w:p>
    <w:tbl>
      <w:tblPr>
        <w:tblLayout w:type="fixed"/>
        <w:tblInd w:w="240" w:type="dxa"/>
        <w:tblCellMar>
          <w:top w:w="0" w:type="dxa"/>
          <w:left w:w="0" w:type="dxa"/>
          <w:bottom w:w="0" w:type="dxa"/>
          <w:right w:w="0" w:type="dxa"/>
        </w:tblCellMar>
      </w:tblPr>
      <w:tr>
        <w:trPr>
          <w:trHeight w:val="678"/>
        </w:trPr>
        <w:tc>
          <w:tcPr>
            <w:tcW w:w="2840" w:type="dxa"/>
            <w:vAlign w:val="bottom"/>
            <w:tcBorders>
              <w:right w:val="single" w:sz="8" w:color="071D49"/>
            </w:tcBorders>
          </w:tcPr>
          <w:p>
            <w:pPr>
              <w:jc w:val="center"/>
              <w:ind w:right="212"/>
              <w:spacing w:after="0"/>
              <w:rPr>
                <w:sz w:val="20"/>
                <w:szCs w:val="20"/>
                <w:color w:val="auto"/>
              </w:rPr>
            </w:pPr>
            <w:r>
              <w:rPr>
                <w:rFonts w:ascii="Arial" w:cs="Arial" w:eastAsia="Arial" w:hAnsi="Arial"/>
                <w:sz w:val="59"/>
                <w:szCs w:val="59"/>
                <w:color w:val="071D49"/>
              </w:rPr>
              <w:t>+$309BN</w:t>
            </w:r>
          </w:p>
        </w:tc>
        <w:tc>
          <w:tcPr>
            <w:tcW w:w="3200" w:type="dxa"/>
            <w:vAlign w:val="bottom"/>
            <w:tcBorders>
              <w:right w:val="single" w:sz="8" w:color="071D49"/>
            </w:tcBorders>
          </w:tcPr>
          <w:p>
            <w:pPr>
              <w:jc w:val="center"/>
              <w:spacing w:after="0"/>
              <w:rPr>
                <w:sz w:val="20"/>
                <w:szCs w:val="20"/>
                <w:color w:val="auto"/>
              </w:rPr>
            </w:pPr>
            <w:r>
              <w:rPr>
                <w:rFonts w:ascii="Arial" w:cs="Arial" w:eastAsia="Arial" w:hAnsi="Arial"/>
                <w:sz w:val="59"/>
                <w:szCs w:val="59"/>
                <w:color w:val="071D49"/>
              </w:rPr>
              <w:t>+204%</w:t>
            </w:r>
          </w:p>
        </w:tc>
        <w:tc>
          <w:tcPr>
            <w:tcW w:w="2460" w:type="dxa"/>
            <w:vAlign w:val="bottom"/>
          </w:tcPr>
          <w:p>
            <w:pPr>
              <w:jc w:val="right"/>
              <w:spacing w:after="0"/>
              <w:rPr>
                <w:sz w:val="20"/>
                <w:szCs w:val="20"/>
                <w:color w:val="auto"/>
              </w:rPr>
            </w:pPr>
            <w:r>
              <w:rPr>
                <w:rFonts w:ascii="Arial" w:cs="Arial" w:eastAsia="Arial" w:hAnsi="Arial"/>
                <w:sz w:val="59"/>
                <w:szCs w:val="59"/>
                <w:color w:val="071D49"/>
              </w:rPr>
              <w:t>+485%</w:t>
            </w:r>
          </w:p>
        </w:tc>
      </w:tr>
      <w:tr>
        <w:trPr>
          <w:trHeight w:val="160"/>
        </w:trPr>
        <w:tc>
          <w:tcPr>
            <w:tcW w:w="2840" w:type="dxa"/>
            <w:vAlign w:val="bottom"/>
            <w:tcBorders>
              <w:right w:val="single" w:sz="8" w:color="auto"/>
            </w:tcBorders>
          </w:tcPr>
          <w:p>
            <w:pPr>
              <w:jc w:val="center"/>
              <w:ind w:right="212"/>
              <w:spacing w:after="0" w:line="160" w:lineRule="exact"/>
              <w:rPr>
                <w:sz w:val="20"/>
                <w:szCs w:val="20"/>
                <w:color w:val="auto"/>
              </w:rPr>
            </w:pPr>
            <w:r>
              <w:rPr>
                <w:rFonts w:ascii="Arial" w:cs="Arial" w:eastAsia="Arial" w:hAnsi="Arial"/>
                <w:sz w:val="15"/>
                <w:szCs w:val="15"/>
                <w:color w:val="auto"/>
                <w:w w:val="98"/>
              </w:rPr>
              <w:t>10-year increase, adding significant</w:t>
            </w:r>
          </w:p>
        </w:tc>
        <w:tc>
          <w:tcPr>
            <w:tcW w:w="3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5"/>
                <w:szCs w:val="15"/>
                <w:color w:val="auto"/>
                <w:w w:val="98"/>
              </w:rPr>
              <w:t>raised to $1.73 per share from $0.57 per</w:t>
            </w:r>
          </w:p>
        </w:tc>
        <w:tc>
          <w:tcPr>
            <w:tcW w:w="2460" w:type="dxa"/>
            <w:vAlign w:val="bottom"/>
          </w:tcPr>
          <w:p>
            <w:pPr>
              <w:jc w:val="center"/>
              <w:ind w:left="415"/>
              <w:spacing w:after="0" w:line="160" w:lineRule="exact"/>
              <w:rPr>
                <w:sz w:val="20"/>
                <w:szCs w:val="20"/>
                <w:color w:val="auto"/>
              </w:rPr>
            </w:pPr>
            <w:r>
              <w:rPr>
                <w:rFonts w:ascii="Arial" w:cs="Arial" w:eastAsia="Arial" w:hAnsi="Arial"/>
                <w:sz w:val="15"/>
                <w:szCs w:val="15"/>
                <w:color w:val="auto"/>
                <w:w w:val="99"/>
              </w:rPr>
              <w:t>over the last decade</w:t>
            </w:r>
          </w:p>
        </w:tc>
      </w:tr>
      <w:tr>
        <w:trPr>
          <w:trHeight w:val="185"/>
        </w:trPr>
        <w:tc>
          <w:tcPr>
            <w:tcW w:w="2840" w:type="dxa"/>
            <w:vAlign w:val="bottom"/>
            <w:tcBorders>
              <w:right w:val="single" w:sz="8" w:color="auto"/>
            </w:tcBorders>
          </w:tcPr>
          <w:p>
            <w:pPr>
              <w:jc w:val="center"/>
              <w:ind w:right="212"/>
              <w:spacing w:after="0"/>
              <w:rPr>
                <w:sz w:val="20"/>
                <w:szCs w:val="20"/>
                <w:color w:val="auto"/>
              </w:rPr>
            </w:pPr>
            <w:r>
              <w:rPr>
                <w:rFonts w:ascii="Arial" w:cs="Arial" w:eastAsia="Arial" w:hAnsi="Arial"/>
                <w:sz w:val="15"/>
                <w:szCs w:val="15"/>
                <w:color w:val="auto"/>
                <w:w w:val="99"/>
              </w:rPr>
              <w:t>stockholder value</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share over the last decade</w:t>
            </w:r>
          </w:p>
        </w:tc>
        <w:tc>
          <w:tcPr>
            <w:tcW w:w="24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587819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pacing w:after="0" w:line="182" w:lineRule="exact"/>
        <w:rPr>
          <w:sz w:val="20"/>
          <w:szCs w:val="20"/>
          <w:color w:val="auto"/>
        </w:rPr>
      </w:pPr>
    </w:p>
    <w:p>
      <w:pPr>
        <w:ind w:right="100"/>
        <w:spacing w:after="0" w:line="284" w:lineRule="auto"/>
        <w:rPr>
          <w:sz w:val="20"/>
          <w:szCs w:val="20"/>
          <w:color w:val="auto"/>
        </w:rPr>
      </w:pPr>
      <w:r>
        <w:rPr>
          <w:rFonts w:ascii="Arial" w:cs="Arial" w:eastAsia="Arial" w:hAnsi="Arial"/>
          <w:sz w:val="13"/>
          <w:szCs w:val="13"/>
          <w:b w:val="1"/>
          <w:bCs w:val="1"/>
          <w:color w:val="auto"/>
        </w:rPr>
        <w:t>The measures set forth in this table were calculated as of 12/31/2025 versus 12/31/2015. The quarterly dividend increase is calculated on a declared basis.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stockholder return (TSR)</w:t>
      </w:r>
    </w:p>
    <w:p>
      <w:pPr>
        <w:spacing w:after="0" w:line="29" w:lineRule="exact"/>
        <w:rPr>
          <w:sz w:val="20"/>
          <w:szCs w:val="20"/>
          <w:color w:val="auto"/>
        </w:rPr>
      </w:pPr>
    </w:p>
    <w:p>
      <w:pPr>
        <w:jc w:val="both"/>
        <w:ind w:right="180"/>
        <w:spacing w:after="0" w:line="251" w:lineRule="auto"/>
        <w:rPr>
          <w:sz w:val="20"/>
          <w:szCs w:val="20"/>
          <w:color w:val="auto"/>
        </w:rPr>
      </w:pPr>
      <w:r>
        <w:rPr>
          <w:rFonts w:ascii="Arial" w:cs="Arial" w:eastAsia="Arial" w:hAnsi="Arial"/>
          <w:sz w:val="16"/>
          <w:szCs w:val="16"/>
          <w:color w:val="auto"/>
        </w:rPr>
        <w:t>AbbVie has a track record of robust total stockholder returns, with strong performance relative to peers. Over the last decade, AbbVie’s TSR surpasses the cumulative total returns of the Standard &amp; Poor’s 500 Index and the NYSE Arca Pharmaceutical Index, as shown in the chart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Borders>
              <w:right w:val="single" w:sz="8" w:color="071D49"/>
            </w:tcBorders>
            <w:gridSpan w:val="2"/>
          </w:tcPr>
          <w:p>
            <w:pPr>
              <w:ind w:left="880"/>
              <w:spacing w:after="0"/>
              <w:rPr>
                <w:sz w:val="20"/>
                <w:szCs w:val="20"/>
                <w:color w:val="auto"/>
              </w:rPr>
            </w:pPr>
            <w:r>
              <w:rPr>
                <w:rFonts w:ascii="Arial" w:cs="Arial" w:eastAsia="Arial" w:hAnsi="Arial"/>
                <w:sz w:val="16"/>
                <w:szCs w:val="16"/>
                <w:b w:val="1"/>
                <w:bCs w:val="1"/>
                <w:color w:val="auto"/>
              </w:rPr>
              <w:t>1-Year</w:t>
            </w:r>
          </w:p>
        </w:tc>
        <w:tc>
          <w:tcPr>
            <w:tcW w:w="660" w:type="dxa"/>
            <w:vAlign w:val="bottom"/>
          </w:tcPr>
          <w:p>
            <w:pPr>
              <w:spacing w:after="0"/>
              <w:rPr>
                <w:sz w:val="16"/>
                <w:szCs w:val="16"/>
                <w:color w:val="auto"/>
              </w:rPr>
            </w:pPr>
          </w:p>
        </w:tc>
        <w:tc>
          <w:tcPr>
            <w:tcW w:w="1660" w:type="dxa"/>
            <w:vAlign w:val="bottom"/>
            <w:tcBorders>
              <w:right w:val="single" w:sz="8" w:color="071D49"/>
            </w:tcBorders>
            <w:gridSpan w:val="4"/>
          </w:tcPr>
          <w:p>
            <w:pPr>
              <w:jc w:val="center"/>
              <w:ind w:right="680"/>
              <w:spacing w:after="0"/>
              <w:rPr>
                <w:sz w:val="20"/>
                <w:szCs w:val="20"/>
                <w:color w:val="auto"/>
              </w:rPr>
            </w:pPr>
            <w:r>
              <w:rPr>
                <w:rFonts w:ascii="Arial" w:cs="Arial" w:eastAsia="Arial" w:hAnsi="Arial"/>
                <w:sz w:val="16"/>
                <w:szCs w:val="16"/>
                <w:b w:val="1"/>
                <w:bCs w:val="1"/>
                <w:color w:val="auto"/>
              </w:rPr>
              <w:t>3-Year</w:t>
            </w:r>
          </w:p>
        </w:tc>
        <w:tc>
          <w:tcPr>
            <w:tcW w:w="2320" w:type="dxa"/>
            <w:vAlign w:val="bottom"/>
            <w:tcBorders>
              <w:right w:val="single" w:sz="8" w:color="071D49"/>
            </w:tcBorders>
          </w:tcPr>
          <w:p>
            <w:pPr>
              <w:jc w:val="center"/>
              <w:spacing w:after="0"/>
              <w:rPr>
                <w:sz w:val="20"/>
                <w:szCs w:val="20"/>
                <w:color w:val="auto"/>
              </w:rPr>
            </w:pPr>
            <w:r>
              <w:rPr>
                <w:rFonts w:ascii="Arial" w:cs="Arial" w:eastAsia="Arial" w:hAnsi="Arial"/>
                <w:sz w:val="16"/>
                <w:szCs w:val="16"/>
                <w:b w:val="1"/>
                <w:bCs w:val="1"/>
                <w:color w:val="auto"/>
              </w:rPr>
              <w:t>5-Year</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rPr>
              <w:t>10-Year</w:t>
            </w:r>
          </w:p>
        </w:tc>
        <w:tc>
          <w:tcPr>
            <w:tcW w:w="0" w:type="dxa"/>
            <w:vAlign w:val="bottom"/>
          </w:tcPr>
          <w:p>
            <w:pPr>
              <w:spacing w:after="0"/>
              <w:rPr>
                <w:sz w:val="1"/>
                <w:szCs w:val="1"/>
                <w:color w:val="auto"/>
              </w:rPr>
            </w:pPr>
          </w:p>
        </w:tc>
      </w:tr>
      <w:tr>
        <w:trPr>
          <w:trHeight w:val="566"/>
        </w:trPr>
        <w:tc>
          <w:tcPr>
            <w:tcW w:w="2120" w:type="dxa"/>
            <w:vAlign w:val="bottom"/>
          </w:tcPr>
          <w:p>
            <w:pPr>
              <w:ind w:left="580"/>
              <w:spacing w:after="0"/>
              <w:rPr>
                <w:sz w:val="20"/>
                <w:szCs w:val="20"/>
                <w:color w:val="auto"/>
              </w:rPr>
            </w:pPr>
            <w:r>
              <w:rPr>
                <w:rFonts w:ascii="Arial" w:cs="Arial" w:eastAsia="Arial" w:hAnsi="Arial"/>
                <w:sz w:val="43"/>
                <w:szCs w:val="43"/>
                <w:color w:val="071D49"/>
              </w:rPr>
              <w:t>+33%</w:t>
            </w:r>
          </w:p>
        </w:tc>
        <w:tc>
          <w:tcPr>
            <w:tcW w:w="180" w:type="dxa"/>
            <w:vAlign w:val="bottom"/>
            <w:tcBorders>
              <w:right w:val="single" w:sz="8" w:color="071D49"/>
            </w:tcBorders>
          </w:tcPr>
          <w:p>
            <w:pPr>
              <w:spacing w:after="0"/>
              <w:rPr>
                <w:sz w:val="24"/>
                <w:szCs w:val="24"/>
                <w:color w:val="auto"/>
              </w:rPr>
            </w:pPr>
          </w:p>
        </w:tc>
        <w:tc>
          <w:tcPr>
            <w:tcW w:w="1940" w:type="dxa"/>
            <w:vAlign w:val="bottom"/>
            <w:gridSpan w:val="4"/>
          </w:tcPr>
          <w:p>
            <w:pPr>
              <w:jc w:val="right"/>
              <w:ind w:right="240"/>
              <w:spacing w:after="0"/>
              <w:rPr>
                <w:sz w:val="20"/>
                <w:szCs w:val="20"/>
                <w:color w:val="auto"/>
              </w:rPr>
            </w:pPr>
            <w:r>
              <w:rPr>
                <w:rFonts w:ascii="Arial" w:cs="Arial" w:eastAsia="Arial" w:hAnsi="Arial"/>
                <w:sz w:val="43"/>
                <w:szCs w:val="43"/>
                <w:color w:val="071D49"/>
              </w:rPr>
              <w:t>+58%</w:t>
            </w:r>
          </w:p>
        </w:tc>
        <w:tc>
          <w:tcPr>
            <w:tcW w:w="380" w:type="dxa"/>
            <w:vAlign w:val="bottom"/>
            <w:tcBorders>
              <w:right w:val="single" w:sz="8" w:color="071D49"/>
            </w:tcBorders>
          </w:tcPr>
          <w:p>
            <w:pPr>
              <w:spacing w:after="0"/>
              <w:rPr>
                <w:sz w:val="24"/>
                <w:szCs w:val="24"/>
                <w:color w:val="auto"/>
              </w:rPr>
            </w:pPr>
          </w:p>
        </w:tc>
        <w:tc>
          <w:tcPr>
            <w:tcW w:w="2320" w:type="dxa"/>
            <w:vAlign w:val="bottom"/>
            <w:tcBorders>
              <w:right w:val="single" w:sz="8" w:color="071D49"/>
            </w:tcBorders>
          </w:tcPr>
          <w:p>
            <w:pPr>
              <w:jc w:val="right"/>
              <w:ind w:right="374"/>
              <w:spacing w:after="0"/>
              <w:rPr>
                <w:sz w:val="20"/>
                <w:szCs w:val="20"/>
                <w:color w:val="auto"/>
              </w:rPr>
            </w:pPr>
            <w:r>
              <w:rPr>
                <w:rFonts w:ascii="Arial" w:cs="Arial" w:eastAsia="Arial" w:hAnsi="Arial"/>
                <w:sz w:val="43"/>
                <w:szCs w:val="43"/>
                <w:color w:val="071D49"/>
              </w:rPr>
              <w:t>+159%</w:t>
            </w:r>
          </w:p>
        </w:tc>
        <w:tc>
          <w:tcPr>
            <w:tcW w:w="2320" w:type="dxa"/>
            <w:vAlign w:val="bottom"/>
          </w:tcPr>
          <w:p>
            <w:pPr>
              <w:jc w:val="right"/>
              <w:ind w:right="352"/>
              <w:spacing w:after="0"/>
              <w:rPr>
                <w:sz w:val="20"/>
                <w:szCs w:val="20"/>
                <w:color w:val="auto"/>
              </w:rPr>
            </w:pPr>
            <w:r>
              <w:rPr>
                <w:rFonts w:ascii="Arial" w:cs="Arial" w:eastAsia="Arial" w:hAnsi="Arial"/>
                <w:sz w:val="43"/>
                <w:szCs w:val="43"/>
                <w:color w:val="071D49"/>
              </w:rPr>
              <w:t>+485%</w:t>
            </w:r>
          </w:p>
        </w:tc>
        <w:tc>
          <w:tcPr>
            <w:tcW w:w="0" w:type="dxa"/>
            <w:vAlign w:val="bottom"/>
          </w:tcPr>
          <w:p>
            <w:pPr>
              <w:spacing w:after="0"/>
              <w:rPr>
                <w:sz w:val="1"/>
                <w:szCs w:val="1"/>
                <w:color w:val="auto"/>
              </w:rPr>
            </w:pPr>
          </w:p>
        </w:tc>
      </w:tr>
      <w:tr>
        <w:trPr>
          <w:trHeight w:val="259"/>
        </w:trPr>
        <w:tc>
          <w:tcPr>
            <w:tcW w:w="2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120" w:type="dxa"/>
            <w:vAlign w:val="bottom"/>
            <w:shd w:val="clear" w:color="auto" w:fill="071D49"/>
          </w:tcPr>
          <w:p>
            <w:pPr>
              <w:spacing w:after="0"/>
              <w:rPr>
                <w:sz w:val="23"/>
                <w:szCs w:val="23"/>
                <w:color w:val="auto"/>
              </w:rPr>
            </w:pPr>
          </w:p>
        </w:tc>
        <w:tc>
          <w:tcPr>
            <w:tcW w:w="180" w:type="dxa"/>
            <w:vAlign w:val="bottom"/>
            <w:tcBorders>
              <w:right w:val="single" w:sz="8" w:color="071D49"/>
            </w:tcBorders>
            <w:shd w:val="clear" w:color="auto" w:fill="071D49"/>
          </w:tcPr>
          <w:p>
            <w:pPr>
              <w:spacing w:after="0"/>
              <w:rPr>
                <w:sz w:val="23"/>
                <w:szCs w:val="23"/>
                <w:color w:val="auto"/>
              </w:rPr>
            </w:pPr>
          </w:p>
        </w:tc>
        <w:tc>
          <w:tcPr>
            <w:tcW w:w="4640" w:type="dxa"/>
            <w:vAlign w:val="bottom"/>
            <w:tcBorders>
              <w:right w:val="single" w:sz="8" w:color="071D49"/>
            </w:tcBorders>
            <w:gridSpan w:val="6"/>
            <w:shd w:val="clear" w:color="auto" w:fill="071D49"/>
          </w:tcPr>
          <w:p>
            <w:pPr>
              <w:ind w:left="380"/>
              <w:spacing w:after="0"/>
              <w:rPr>
                <w:sz w:val="20"/>
                <w:szCs w:val="20"/>
                <w:color w:val="auto"/>
              </w:rPr>
            </w:pPr>
            <w:r>
              <w:rPr>
                <w:rFonts w:ascii="Arial" w:cs="Arial" w:eastAsia="Arial" w:hAnsi="Arial"/>
                <w:sz w:val="23"/>
                <w:szCs w:val="23"/>
                <w:b w:val="1"/>
                <w:bCs w:val="1"/>
                <w:color w:val="FFFFFF"/>
              </w:rPr>
              <w:t>AbbVie’s Relative TSR Performance</w:t>
            </w:r>
          </w:p>
        </w:tc>
        <w:tc>
          <w:tcPr>
            <w:tcW w:w="2320" w:type="dxa"/>
            <w:vAlign w:val="bottom"/>
            <w:shd w:val="clear" w:color="auto" w:fill="071D49"/>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620" w:type="dxa"/>
            <w:vAlign w:val="bottom"/>
            <w:gridSpan w:val="7"/>
          </w:tcPr>
          <w:p>
            <w:pPr>
              <w:ind w:left="920"/>
              <w:spacing w:after="0"/>
              <w:rPr>
                <w:sz w:val="20"/>
                <w:szCs w:val="20"/>
                <w:color w:val="auto"/>
              </w:rPr>
            </w:pPr>
            <w:r>
              <w:rPr>
                <w:rFonts w:ascii="Arial" w:cs="Arial" w:eastAsia="Arial" w:hAnsi="Arial"/>
                <w:sz w:val="16"/>
                <w:szCs w:val="16"/>
                <w:b w:val="1"/>
                <w:bCs w:val="1"/>
                <w:color w:val="auto"/>
              </w:rPr>
              <w:t>Versus Peer Group (Multi-Year)</w:t>
            </w:r>
          </w:p>
        </w:tc>
        <w:tc>
          <w:tcPr>
            <w:tcW w:w="4640" w:type="dxa"/>
            <w:vAlign w:val="bottom"/>
            <w:gridSpan w:val="2"/>
          </w:tcPr>
          <w:p>
            <w:pPr>
              <w:ind w:left="1260"/>
              <w:spacing w:after="0"/>
              <w:rPr>
                <w:sz w:val="20"/>
                <w:szCs w:val="20"/>
                <w:color w:val="auto"/>
              </w:rPr>
            </w:pPr>
            <w:r>
              <w:rPr>
                <w:rFonts w:ascii="Arial" w:cs="Arial" w:eastAsia="Arial" w:hAnsi="Arial"/>
                <w:sz w:val="16"/>
                <w:szCs w:val="16"/>
                <w:b w:val="1"/>
                <w:bCs w:val="1"/>
                <w:color w:val="auto"/>
              </w:rPr>
              <w:t>Versus Select Indices (10-Year)</w:t>
            </w:r>
          </w:p>
        </w:tc>
        <w:tc>
          <w:tcPr>
            <w:tcW w:w="0" w:type="dxa"/>
            <w:vAlign w:val="bottom"/>
          </w:tcPr>
          <w:p>
            <w:pPr>
              <w:spacing w:after="0"/>
              <w:rPr>
                <w:sz w:val="1"/>
                <w:szCs w:val="1"/>
                <w:color w:val="auto"/>
              </w:rPr>
            </w:pPr>
          </w:p>
        </w:tc>
      </w:tr>
      <w:tr>
        <w:trPr>
          <w:trHeight w:val="75"/>
        </w:trPr>
        <w:tc>
          <w:tcPr>
            <w:tcW w:w="2120" w:type="dxa"/>
            <w:vAlign w:val="bottom"/>
            <w:vMerge w:val="restart"/>
          </w:tcPr>
          <w:p>
            <w:pPr>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21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Borders>
              <w:right w:val="single" w:sz="8" w:color="071D49"/>
            </w:tcBorders>
          </w:tcPr>
          <w:p>
            <w:pPr>
              <w:spacing w:after="0"/>
              <w:rPr>
                <w:sz w:val="21"/>
                <w:szCs w:val="21"/>
                <w:color w:val="auto"/>
              </w:rPr>
            </w:pPr>
          </w:p>
        </w:tc>
        <w:tc>
          <w:tcPr>
            <w:tcW w:w="2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071D49"/>
          </w:tcPr>
          <w:p>
            <w:pPr>
              <w:spacing w:after="0"/>
              <w:rPr>
                <w:sz w:val="16"/>
                <w:szCs w:val="16"/>
                <w:color w:val="auto"/>
              </w:rPr>
            </w:pPr>
          </w:p>
        </w:tc>
        <w:tc>
          <w:tcPr>
            <w:tcW w:w="180" w:type="dxa"/>
            <w:vAlign w:val="bottom"/>
            <w:tcBorders>
              <w:right w:val="single" w:sz="8" w:color="BFBFBF"/>
            </w:tcBorders>
            <w:shd w:val="clear" w:color="auto" w:fill="BFBFBF"/>
          </w:tcPr>
          <w:p>
            <w:pPr>
              <w:spacing w:after="0"/>
              <w:rPr>
                <w:sz w:val="16"/>
                <w:szCs w:val="16"/>
                <w:color w:val="auto"/>
              </w:rPr>
            </w:pPr>
          </w:p>
        </w:tc>
        <w:tc>
          <w:tcPr>
            <w:tcW w:w="660" w:type="dxa"/>
            <w:vAlign w:val="bottom"/>
            <w:shd w:val="clear" w:color="auto" w:fill="BFBFBF"/>
          </w:tcPr>
          <w:p>
            <w:pPr>
              <w:spacing w:after="0"/>
              <w:rPr>
                <w:sz w:val="16"/>
                <w:szCs w:val="16"/>
                <w:color w:val="auto"/>
              </w:rPr>
            </w:pPr>
          </w:p>
        </w:tc>
        <w:tc>
          <w:tcPr>
            <w:tcW w:w="440" w:type="dxa"/>
            <w:vAlign w:val="bottom"/>
            <w:shd w:val="clear" w:color="auto" w:fill="BFBFBF"/>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80" w:type="dxa"/>
            <w:vAlign w:val="bottom"/>
            <w:tcBorders>
              <w:right w:val="single" w:sz="8" w:color="071D49"/>
            </w:tcBorders>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2120" w:type="dxa"/>
            <w:vAlign w:val="bottom"/>
          </w:tcPr>
          <w:p>
            <w:pPr>
              <w:spacing w:after="0"/>
              <w:rPr>
                <w:sz w:val="20"/>
                <w:szCs w:val="20"/>
                <w:color w:val="auto"/>
              </w:rPr>
            </w:pPr>
            <w:r>
              <w:rPr>
                <w:rFonts w:ascii="Arial" w:cs="Arial" w:eastAsia="Arial" w:hAnsi="Arial"/>
                <w:sz w:val="26"/>
                <w:szCs w:val="26"/>
                <w:b w:val="1"/>
                <w:bCs w:val="1"/>
                <w:color w:val="071D49"/>
              </w:rPr>
              <w:t>6</w:t>
            </w:r>
            <w:r>
              <w:rPr>
                <w:rFonts w:ascii="Arial" w:cs="Arial" w:eastAsia="Arial" w:hAnsi="Arial"/>
                <w:sz w:val="39"/>
                <w:szCs w:val="39"/>
                <w:b w:val="1"/>
                <w:bCs w:val="1"/>
                <w:color w:val="071D49"/>
                <w:vertAlign w:val="superscript"/>
              </w:rPr>
              <w:t>th</w:t>
            </w:r>
            <w:r>
              <w:rPr>
                <w:rFonts w:ascii="Arial" w:cs="Arial" w:eastAsia="Arial" w:hAnsi="Arial"/>
                <w:sz w:val="26"/>
                <w:szCs w:val="26"/>
                <w:b w:val="1"/>
                <w:bCs w:val="1"/>
                <w:color w:val="071D49"/>
              </w:rPr>
              <w:t xml:space="preserve"> </w:t>
            </w:r>
            <w:r>
              <w:rPr>
                <w:rFonts w:ascii="Arial" w:cs="Arial" w:eastAsia="Arial" w:hAnsi="Arial"/>
                <w:sz w:val="16"/>
                <w:szCs w:val="16"/>
                <w:color w:val="000000"/>
              </w:rPr>
              <w:t>place out of 10</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Borders>
              <w:right w:val="single" w:sz="8" w:color="071D49"/>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3 Years</w:t>
            </w: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right w:val="single" w:sz="8" w:color="071D49"/>
            </w:tcBorders>
          </w:tcPr>
          <w:p>
            <w:pPr>
              <w:spacing w:after="0"/>
              <w:rPr>
                <w:sz w:val="19"/>
                <w:szCs w:val="19"/>
                <w:color w:val="auto"/>
              </w:rPr>
            </w:pPr>
          </w:p>
        </w:tc>
        <w:tc>
          <w:tcPr>
            <w:tcW w:w="23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300" w:type="dxa"/>
            <w:vAlign w:val="bottom"/>
            <w:tcBorders>
              <w:right w:val="single" w:sz="8" w:color="071D49"/>
            </w:tcBorders>
            <w:gridSpan w:val="2"/>
            <w:shd w:val="clear" w:color="auto" w:fill="071D49"/>
          </w:tcPr>
          <w:p>
            <w:pPr>
              <w:spacing w:after="0"/>
              <w:rPr>
                <w:sz w:val="16"/>
                <w:szCs w:val="16"/>
                <w:color w:val="auto"/>
              </w:rPr>
            </w:pPr>
          </w:p>
        </w:tc>
        <w:tc>
          <w:tcPr>
            <w:tcW w:w="660" w:type="dxa"/>
            <w:vAlign w:val="bottom"/>
            <w:shd w:val="clear" w:color="auto" w:fill="071D49"/>
          </w:tcPr>
          <w:p>
            <w:pPr>
              <w:spacing w:after="0"/>
              <w:rPr>
                <w:sz w:val="16"/>
                <w:szCs w:val="16"/>
                <w:color w:val="auto"/>
              </w:rPr>
            </w:pPr>
          </w:p>
        </w:tc>
        <w:tc>
          <w:tcPr>
            <w:tcW w:w="440" w:type="dxa"/>
            <w:vAlign w:val="bottom"/>
            <w:shd w:val="clear" w:color="auto" w:fill="BFBFBF"/>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80" w:type="dxa"/>
            <w:vAlign w:val="bottom"/>
            <w:tcBorders>
              <w:right w:val="single" w:sz="8" w:color="071D49"/>
            </w:tcBorders>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2300" w:type="dxa"/>
            <w:vAlign w:val="bottom"/>
            <w:gridSpan w:val="2"/>
          </w:tcPr>
          <w:p>
            <w:pPr>
              <w:spacing w:after="0"/>
              <w:rPr>
                <w:sz w:val="20"/>
                <w:szCs w:val="20"/>
                <w:color w:val="auto"/>
              </w:rPr>
            </w:pPr>
            <w:r>
              <w:rPr>
                <w:rFonts w:ascii="Arial" w:cs="Arial" w:eastAsia="Arial" w:hAnsi="Arial"/>
                <w:sz w:val="26"/>
                <w:szCs w:val="26"/>
                <w:b w:val="1"/>
                <w:bCs w:val="1"/>
                <w:color w:val="071D49"/>
              </w:rPr>
              <w:t>4</w:t>
            </w:r>
            <w:r>
              <w:rPr>
                <w:rFonts w:ascii="Arial" w:cs="Arial" w:eastAsia="Arial" w:hAnsi="Arial"/>
                <w:sz w:val="39"/>
                <w:szCs w:val="39"/>
                <w:b w:val="1"/>
                <w:bCs w:val="1"/>
                <w:color w:val="071D49"/>
                <w:vertAlign w:val="superscript"/>
              </w:rPr>
              <w:t>th</w:t>
            </w:r>
            <w:r>
              <w:rPr>
                <w:rFonts w:ascii="Arial" w:cs="Arial" w:eastAsia="Arial" w:hAnsi="Arial"/>
                <w:sz w:val="26"/>
                <w:szCs w:val="26"/>
                <w:b w:val="1"/>
                <w:bCs w:val="1"/>
                <w:color w:val="071D49"/>
              </w:rPr>
              <w:t xml:space="preserve"> </w:t>
            </w:r>
            <w:r>
              <w:rPr>
                <w:rFonts w:ascii="Arial" w:cs="Arial" w:eastAsia="Arial" w:hAnsi="Arial"/>
                <w:sz w:val="16"/>
                <w:szCs w:val="16"/>
                <w:color w:val="000000"/>
              </w:rPr>
              <w:t>place out of 10</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Borders>
              <w:right w:val="single" w:sz="8" w:color="071D49"/>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5 Years</w:t>
            </w: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right w:val="single" w:sz="8" w:color="071D49"/>
            </w:tcBorders>
          </w:tcPr>
          <w:p>
            <w:pPr>
              <w:spacing w:after="0"/>
              <w:rPr>
                <w:sz w:val="19"/>
                <w:szCs w:val="19"/>
                <w:color w:val="auto"/>
              </w:rPr>
            </w:pPr>
          </w:p>
        </w:tc>
        <w:tc>
          <w:tcPr>
            <w:tcW w:w="23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300" w:type="dxa"/>
            <w:vAlign w:val="bottom"/>
            <w:tcBorders>
              <w:right w:val="single" w:sz="8" w:color="071D49"/>
            </w:tcBorders>
            <w:gridSpan w:val="2"/>
            <w:shd w:val="clear" w:color="auto" w:fill="071D49"/>
          </w:tcPr>
          <w:p>
            <w:pPr>
              <w:spacing w:after="0"/>
              <w:rPr>
                <w:sz w:val="16"/>
                <w:szCs w:val="16"/>
                <w:color w:val="auto"/>
              </w:rPr>
            </w:pPr>
          </w:p>
        </w:tc>
        <w:tc>
          <w:tcPr>
            <w:tcW w:w="660" w:type="dxa"/>
            <w:vAlign w:val="bottom"/>
            <w:shd w:val="clear" w:color="auto" w:fill="071D49"/>
          </w:tcPr>
          <w:p>
            <w:pPr>
              <w:spacing w:after="0"/>
              <w:rPr>
                <w:sz w:val="16"/>
                <w:szCs w:val="16"/>
                <w:color w:val="auto"/>
              </w:rPr>
            </w:pPr>
          </w:p>
        </w:tc>
        <w:tc>
          <w:tcPr>
            <w:tcW w:w="440" w:type="dxa"/>
            <w:vAlign w:val="bottom"/>
            <w:shd w:val="clear" w:color="auto" w:fill="071D49"/>
          </w:tcPr>
          <w:p>
            <w:pPr>
              <w:spacing w:after="0"/>
              <w:rPr>
                <w:sz w:val="16"/>
                <w:szCs w:val="16"/>
                <w:color w:val="auto"/>
              </w:rPr>
            </w:pPr>
          </w:p>
        </w:tc>
        <w:tc>
          <w:tcPr>
            <w:tcW w:w="420" w:type="dxa"/>
            <w:vAlign w:val="bottom"/>
            <w:shd w:val="clear" w:color="auto" w:fill="002060"/>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80" w:type="dxa"/>
            <w:vAlign w:val="bottom"/>
            <w:tcBorders>
              <w:right w:val="single" w:sz="8" w:color="071D49"/>
            </w:tcBorders>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9"/>
        </w:trPr>
        <w:tc>
          <w:tcPr>
            <w:tcW w:w="2300" w:type="dxa"/>
            <w:vAlign w:val="bottom"/>
            <w:gridSpan w:val="2"/>
          </w:tcPr>
          <w:p>
            <w:pPr>
              <w:spacing w:after="0" w:line="369" w:lineRule="exact"/>
              <w:rPr>
                <w:sz w:val="20"/>
                <w:szCs w:val="20"/>
                <w:color w:val="auto"/>
              </w:rPr>
            </w:pPr>
            <w:r>
              <w:rPr>
                <w:rFonts w:ascii="Arial" w:cs="Arial" w:eastAsia="Arial" w:hAnsi="Arial"/>
                <w:sz w:val="26"/>
                <w:szCs w:val="26"/>
                <w:b w:val="1"/>
                <w:bCs w:val="1"/>
                <w:color w:val="071D49"/>
              </w:rPr>
              <w:t>2</w:t>
            </w:r>
            <w:r>
              <w:rPr>
                <w:rFonts w:ascii="Arial" w:cs="Arial" w:eastAsia="Arial" w:hAnsi="Arial"/>
                <w:sz w:val="39"/>
                <w:szCs w:val="39"/>
                <w:b w:val="1"/>
                <w:bCs w:val="1"/>
                <w:color w:val="071D49"/>
                <w:vertAlign w:val="superscript"/>
              </w:rPr>
              <w:t>nd</w:t>
            </w:r>
            <w:r>
              <w:rPr>
                <w:rFonts w:ascii="Arial" w:cs="Arial" w:eastAsia="Arial" w:hAnsi="Arial"/>
                <w:sz w:val="26"/>
                <w:szCs w:val="26"/>
                <w:b w:val="1"/>
                <w:bCs w:val="1"/>
                <w:color w:val="071D49"/>
              </w:rPr>
              <w:t xml:space="preserve"> </w:t>
            </w:r>
            <w:r>
              <w:rPr>
                <w:rFonts w:ascii="Arial" w:cs="Arial" w:eastAsia="Arial" w:hAnsi="Arial"/>
                <w:sz w:val="16"/>
                <w:szCs w:val="16"/>
                <w:color w:val="000000"/>
              </w:rPr>
              <w:t>place out of 10</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Borders>
              <w:right w:val="single" w:sz="8" w:color="071D49"/>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10 Years</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071D49"/>
          </w:tcPr>
          <w:p>
            <w:pPr>
              <w:spacing w:after="0"/>
              <w:rPr>
                <w:sz w:val="16"/>
                <w:szCs w:val="16"/>
                <w:color w:val="auto"/>
              </w:rPr>
            </w:pPr>
          </w:p>
        </w:tc>
        <w:tc>
          <w:tcPr>
            <w:tcW w:w="180" w:type="dxa"/>
            <w:vAlign w:val="bottom"/>
            <w:tcBorders>
              <w:right w:val="single" w:sz="8" w:color="071D49"/>
            </w:tcBorders>
            <w:shd w:val="clear" w:color="auto" w:fill="071D49"/>
          </w:tcPr>
          <w:p>
            <w:pPr>
              <w:spacing w:after="0"/>
              <w:rPr>
                <w:sz w:val="16"/>
                <w:szCs w:val="16"/>
                <w:color w:val="auto"/>
              </w:rPr>
            </w:pPr>
          </w:p>
        </w:tc>
        <w:tc>
          <w:tcPr>
            <w:tcW w:w="660" w:type="dxa"/>
            <w:vAlign w:val="bottom"/>
            <w:shd w:val="clear" w:color="auto" w:fill="071D49"/>
          </w:tcPr>
          <w:p>
            <w:pPr>
              <w:spacing w:after="0"/>
              <w:rPr>
                <w:sz w:val="16"/>
                <w:szCs w:val="16"/>
                <w:color w:val="auto"/>
              </w:rPr>
            </w:pPr>
          </w:p>
        </w:tc>
        <w:tc>
          <w:tcPr>
            <w:tcW w:w="440" w:type="dxa"/>
            <w:vAlign w:val="bottom"/>
            <w:shd w:val="clear" w:color="auto" w:fill="071D49"/>
          </w:tcPr>
          <w:p>
            <w:pPr>
              <w:spacing w:after="0"/>
              <w:rPr>
                <w:sz w:val="16"/>
                <w:szCs w:val="16"/>
                <w:color w:val="auto"/>
              </w:rPr>
            </w:pPr>
          </w:p>
        </w:tc>
        <w:tc>
          <w:tcPr>
            <w:tcW w:w="420" w:type="dxa"/>
            <w:vAlign w:val="bottom"/>
            <w:shd w:val="clear" w:color="auto" w:fill="071D49"/>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-1891030</wp:posOffset>
            </wp:positionV>
            <wp:extent cx="5643880" cy="2125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3880" cy="2125980"/>
                    </a:xfrm>
                    <a:prstGeom prst="rect">
                      <a:avLst/>
                    </a:prstGeom>
                    <a:noFill/>
                  </pic:spPr>
                </pic:pic>
              </a:graphicData>
            </a:graphic>
          </wp:anchor>
        </w:drawing>
      </w:r>
    </w:p>
    <w:p>
      <w:pPr>
        <w:spacing w:after="0"/>
        <w:rPr>
          <w:sz w:val="20"/>
          <w:szCs w:val="20"/>
          <w:color w:val="auto"/>
        </w:rPr>
      </w:pPr>
      <w:r>
        <w:rPr>
          <w:rFonts w:ascii="Arial" w:cs="Arial" w:eastAsia="Arial" w:hAnsi="Arial"/>
          <w:sz w:val="26"/>
          <w:szCs w:val="26"/>
          <w:b w:val="1"/>
          <w:bCs w:val="1"/>
          <w:color w:val="071D49"/>
        </w:rPr>
        <w:t>2</w:t>
      </w:r>
      <w:r>
        <w:rPr>
          <w:rFonts w:ascii="Arial" w:cs="Arial" w:eastAsia="Arial" w:hAnsi="Arial"/>
          <w:sz w:val="39"/>
          <w:szCs w:val="39"/>
          <w:b w:val="1"/>
          <w:bCs w:val="1"/>
          <w:color w:val="071D49"/>
          <w:vertAlign w:val="superscript"/>
        </w:rPr>
        <w:t>nd</w:t>
      </w:r>
      <w:r>
        <w:rPr>
          <w:rFonts w:ascii="Arial" w:cs="Arial" w:eastAsia="Arial" w:hAnsi="Arial"/>
          <w:sz w:val="26"/>
          <w:szCs w:val="26"/>
          <w:b w:val="1"/>
          <w:bCs w:val="1"/>
          <w:color w:val="071D49"/>
        </w:rPr>
        <w:t xml:space="preserve"> </w:t>
      </w:r>
      <w:r>
        <w:rPr>
          <w:rFonts w:ascii="Arial" w:cs="Arial" w:eastAsia="Arial" w:hAnsi="Arial"/>
          <w:sz w:val="16"/>
          <w:szCs w:val="16"/>
          <w:color w:val="000000"/>
        </w:rPr>
        <w:t>place out of 10</w:t>
      </w:r>
    </w:p>
    <w:p>
      <w:pPr>
        <w:spacing w:after="0" w:line="36" w:lineRule="exact"/>
        <w:rPr>
          <w:sz w:val="20"/>
          <w:szCs w:val="20"/>
          <w:color w:val="auto"/>
        </w:rPr>
      </w:pPr>
    </w:p>
    <w:p>
      <w:pPr>
        <w:ind w:right="460"/>
        <w:spacing w:after="0" w:line="255" w:lineRule="auto"/>
        <w:rPr>
          <w:sz w:val="20"/>
          <w:szCs w:val="20"/>
          <w:color w:val="auto"/>
        </w:rPr>
      </w:pPr>
      <w:r>
        <w:rPr>
          <w:rFonts w:ascii="Arial" w:cs="Arial" w:eastAsia="Arial" w:hAnsi="Arial"/>
          <w:sz w:val="13"/>
          <w:szCs w:val="13"/>
          <w:b w:val="1"/>
          <w:bCs w:val="1"/>
          <w:color w:val="auto"/>
        </w:rPr>
        <w:t xml:space="preserve">AbbVie’s peer group above includes: </w:t>
      </w:r>
      <w:r>
        <w:rPr>
          <w:rFonts w:ascii="Arial" w:cs="Arial" w:eastAsia="Arial" w:hAnsi="Arial"/>
          <w:sz w:val="13"/>
          <w:szCs w:val="13"/>
          <w:color w:val="auto"/>
        </w:rPr>
        <w:t>Amgen, Inc; Bristol-Myers Squibb Company; Eli Lilly and Company; Gilead Sciences, Inc.; GlaxoSmithKline plc;</w:t>
      </w:r>
      <w:r>
        <w:rPr>
          <w:rFonts w:ascii="Arial" w:cs="Arial" w:eastAsia="Arial" w:hAnsi="Arial"/>
          <w:sz w:val="13"/>
          <w:szCs w:val="13"/>
          <w:b w:val="1"/>
          <w:bCs w:val="1"/>
          <w:color w:val="auto"/>
        </w:rPr>
        <w:t xml:space="preserve"> </w:t>
      </w:r>
      <w:r>
        <w:rPr>
          <w:rFonts w:ascii="Arial" w:cs="Arial" w:eastAsia="Arial" w:hAnsi="Arial"/>
          <w:sz w:val="13"/>
          <w:szCs w:val="13"/>
          <w:color w:val="auto"/>
        </w:rPr>
        <w:t>Johnson &amp; Johnson; Merck &amp; Company, Inc; Novartis AG; and Pfizer Inc. TSR measured as of 12/31/25.</w:t>
      </w:r>
    </w:p>
    <w:p>
      <w:pPr>
        <w:spacing w:after="0" w:line="200" w:lineRule="exact"/>
        <w:rPr>
          <w:sz w:val="20"/>
          <w:szCs w:val="20"/>
          <w:color w:val="auto"/>
        </w:rPr>
      </w:pPr>
    </w:p>
    <w:p>
      <w:pPr>
        <w:spacing w:after="0" w:line="316" w:lineRule="exact"/>
        <w:rPr>
          <w:sz w:val="20"/>
          <w:szCs w:val="20"/>
          <w:color w:val="auto"/>
        </w:rPr>
      </w:pPr>
    </w:p>
    <w:p>
      <w:pPr>
        <w:spacing w:after="0"/>
        <w:tabs>
          <w:tab w:leader="none" w:pos="246" w:val="left"/>
          <w:tab w:leader="none" w:pos="2020" w:val="left"/>
        </w:tabs>
        <w:rPr>
          <w:sz w:val="20"/>
          <w:szCs w:val="20"/>
          <w:color w:val="auto"/>
        </w:rPr>
      </w:pPr>
      <w:r>
        <w:rPr>
          <w:rFonts w:ascii="Arial" w:cs="Arial" w:eastAsia="Arial" w:hAnsi="Arial"/>
          <w:sz w:val="16"/>
          <w:szCs w:val="16"/>
          <w:color w:val="auto"/>
        </w:rPr>
        <w:t>4</w:t>
      </w:r>
      <w:r>
        <w:rPr>
          <w:sz w:val="20"/>
          <w:szCs w:val="20"/>
          <w:color w:val="auto"/>
        </w:rPr>
        <w:tab/>
      </w:r>
      <w:r>
        <w:rPr>
          <w:sz w:val="1"/>
          <w:szCs w:val="1"/>
          <w:color w:val="auto"/>
        </w:rPr>
        <w:drawing>
          <wp:inline distT="0" distB="0" distL="0" distR="0">
            <wp:extent cx="797560" cy="14859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PROXY SUMMARY</w:t>
      </w:r>
    </w:p>
    <w:p>
      <w:pPr>
        <w:spacing w:after="0" w:line="178" w:lineRule="exact"/>
        <w:rPr>
          <w:sz w:val="20"/>
          <w:szCs w:val="20"/>
          <w:color w:val="auto"/>
        </w:rPr>
      </w:pPr>
    </w:p>
    <w:p>
      <w:pPr>
        <w:spacing w:after="0"/>
        <w:rPr>
          <w:sz w:val="20"/>
          <w:szCs w:val="20"/>
          <w:color w:val="auto"/>
        </w:rPr>
      </w:pPr>
      <w:r>
        <w:rPr>
          <w:rFonts w:ascii="Arial" w:cs="Arial" w:eastAsia="Arial" w:hAnsi="Arial"/>
          <w:sz w:val="30"/>
          <w:szCs w:val="30"/>
          <w:color w:val="auto"/>
        </w:rPr>
        <w:t>Our Governance Highlights</w:t>
      </w:r>
    </w:p>
    <w:p>
      <w:pPr>
        <w:spacing w:after="0" w:line="167"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Our Board of Directors is committed to strong corporate governance tailored to meet the needs of AbbVie and its stockholders to enhance long-term stockholder value. Each year, AbbVie completes a robust investor engagement program with governance investment teams. Our engagements in 2025 included discussions on (1) the Board’s composition, including recent refreshment and balance of tenure and skills on the Board, (2) AbbVie’s CEO and Chairman transition, (3) the Board’s leadership structure, including a robust lead independent director role with expansive responsibilities, (4) AbbVie’s executive compensation programs, and (5) AbbVie’s environmental, social, and governance (ESG) strategy and initiatives. AbbVie also engages each year with each of its stockholders who submit proposals for the annual meeting.</w:t>
      </w:r>
    </w:p>
    <w:p>
      <w:pPr>
        <w:spacing w:after="0" w:line="127"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Each year, the Board reviews feedback from our investor engagements and discusses opportunities to improve AbbVie’s governance practices. The following chart summarizes some of the governance practices that the Board has adopted over the past several years as a result of dialogue with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97155</wp:posOffset>
            </wp:positionV>
            <wp:extent cx="5909310" cy="395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09310" cy="3955415"/>
                    </a:xfrm>
                    <a:prstGeom prst="rect">
                      <a:avLst/>
                    </a:prstGeom>
                    <a:noFill/>
                  </pic:spPr>
                </pic:pic>
              </a:graphicData>
            </a:graphic>
          </wp:anchor>
        </w:drawing>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270"/>
        </w:trPr>
        <w:tc>
          <w:tcPr>
            <w:tcW w:w="1480" w:type="dxa"/>
            <w:vAlign w:val="bottom"/>
          </w:tcPr>
          <w:p>
            <w:pPr>
              <w:ind w:left="120"/>
              <w:spacing w:after="0"/>
              <w:rPr>
                <w:sz w:val="20"/>
                <w:szCs w:val="20"/>
                <w:color w:val="auto"/>
              </w:rPr>
            </w:pPr>
            <w:r>
              <w:rPr>
                <w:rFonts w:ascii="Arial" w:cs="Arial" w:eastAsia="Arial" w:hAnsi="Arial"/>
                <w:sz w:val="20"/>
                <w:szCs w:val="20"/>
                <w:b w:val="1"/>
                <w:bCs w:val="1"/>
                <w:color w:val="auto"/>
              </w:rPr>
              <w:t>Topic:</w:t>
            </w:r>
          </w:p>
        </w:tc>
        <w:tc>
          <w:tcPr>
            <w:tcW w:w="7580" w:type="dxa"/>
            <w:vAlign w:val="bottom"/>
          </w:tcPr>
          <w:p>
            <w:pPr>
              <w:ind w:left="160"/>
              <w:spacing w:after="0"/>
              <w:rPr>
                <w:sz w:val="20"/>
                <w:szCs w:val="20"/>
                <w:color w:val="auto"/>
              </w:rPr>
            </w:pPr>
            <w:r>
              <w:rPr>
                <w:rFonts w:ascii="Arial" w:cs="Arial" w:eastAsia="Arial" w:hAnsi="Arial"/>
                <w:sz w:val="20"/>
                <w:szCs w:val="20"/>
                <w:b w:val="1"/>
                <w:bCs w:val="1"/>
                <w:color w:val="auto"/>
              </w:rPr>
              <w:t>Actions taken by our Board:</w:t>
            </w:r>
          </w:p>
        </w:tc>
        <w:tc>
          <w:tcPr>
            <w:tcW w:w="0" w:type="dxa"/>
            <w:vAlign w:val="bottom"/>
          </w:tcPr>
          <w:p>
            <w:pPr>
              <w:spacing w:after="0"/>
              <w:rPr>
                <w:sz w:val="1"/>
                <w:szCs w:val="1"/>
                <w:color w:val="auto"/>
              </w:rPr>
            </w:pPr>
          </w:p>
        </w:tc>
      </w:tr>
      <w:tr>
        <w:trPr>
          <w:trHeight w:val="56"/>
        </w:trPr>
        <w:tc>
          <w:tcPr>
            <w:tcW w:w="1480" w:type="dxa"/>
            <w:vAlign w:val="bottom"/>
            <w:tcBorders>
              <w:bottom w:val="single" w:sz="8" w:color="071D49"/>
            </w:tcBorders>
          </w:tcPr>
          <w:p>
            <w:pPr>
              <w:spacing w:after="0"/>
              <w:rPr>
                <w:sz w:val="4"/>
                <w:szCs w:val="4"/>
                <w:color w:val="auto"/>
              </w:rPr>
            </w:pPr>
          </w:p>
        </w:tc>
        <w:tc>
          <w:tcPr>
            <w:tcW w:w="7580" w:type="dxa"/>
            <w:vAlign w:val="bottom"/>
            <w:tcBorders>
              <w:bottom w:val="single" w:sz="8" w:color="071D49"/>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1480" w:type="dxa"/>
            <w:vAlign w:val="bottom"/>
          </w:tcPr>
          <w:p>
            <w:pPr>
              <w:spacing w:after="0"/>
              <w:rPr>
                <w:sz w:val="21"/>
                <w:szCs w:val="21"/>
                <w:color w:val="auto"/>
              </w:rPr>
            </w:pPr>
          </w:p>
        </w:tc>
        <w:tc>
          <w:tcPr>
            <w:tcW w:w="7580" w:type="dxa"/>
            <w:vAlign w:val="bottom"/>
          </w:tcPr>
          <w:p>
            <w:pPr>
              <w:ind w:left="160"/>
              <w:spacing w:after="0"/>
              <w:rPr>
                <w:sz w:val="20"/>
                <w:szCs w:val="20"/>
                <w:color w:val="auto"/>
              </w:rPr>
            </w:pPr>
            <w:r>
              <w:rPr>
                <w:rFonts w:ascii="Arial" w:cs="Arial" w:eastAsia="Arial" w:hAnsi="Arial"/>
                <w:sz w:val="16"/>
                <w:szCs w:val="16"/>
                <w:b w:val="1"/>
                <w:bCs w:val="1"/>
                <w:color w:val="auto"/>
              </w:rPr>
              <w:t xml:space="preserve">approved a management proposal to eliminate supermajority voting </w:t>
            </w:r>
            <w:r>
              <w:rPr>
                <w:rFonts w:ascii="Arial" w:cs="Arial" w:eastAsia="Arial" w:hAnsi="Arial"/>
                <w:sz w:val="16"/>
                <w:szCs w:val="16"/>
                <w:color w:val="auto"/>
              </w:rPr>
              <w:t>(Item 4) to seek stockholder</w:t>
            </w:r>
          </w:p>
        </w:tc>
        <w:tc>
          <w:tcPr>
            <w:tcW w:w="0" w:type="dxa"/>
            <w:vAlign w:val="bottom"/>
          </w:tcPr>
          <w:p>
            <w:pPr>
              <w:spacing w:after="0"/>
              <w:rPr>
                <w:sz w:val="1"/>
                <w:szCs w:val="1"/>
                <w:color w:val="auto"/>
              </w:rPr>
            </w:pPr>
          </w:p>
        </w:tc>
      </w:tr>
      <w:tr>
        <w:trPr>
          <w:trHeight w:val="229"/>
        </w:trPr>
        <w:tc>
          <w:tcPr>
            <w:tcW w:w="1480" w:type="dxa"/>
            <w:vAlign w:val="bottom"/>
          </w:tcPr>
          <w:p>
            <w:pPr>
              <w:jc w:val="center"/>
              <w:spacing w:after="0" w:line="229" w:lineRule="exact"/>
              <w:rPr>
                <w:sz w:val="20"/>
                <w:szCs w:val="20"/>
                <w:color w:val="auto"/>
              </w:rPr>
            </w:pPr>
            <w:r>
              <w:rPr>
                <w:rFonts w:ascii="Arial" w:cs="Arial" w:eastAsia="Arial" w:hAnsi="Arial"/>
                <w:sz w:val="20"/>
                <w:szCs w:val="20"/>
                <w:color w:val="auto"/>
                <w:w w:val="98"/>
              </w:rPr>
              <w:t>Stockholder</w:t>
            </w:r>
          </w:p>
        </w:tc>
        <w:tc>
          <w:tcPr>
            <w:tcW w:w="7580" w:type="dxa"/>
            <w:vAlign w:val="bottom"/>
          </w:tcPr>
          <w:p>
            <w:pPr>
              <w:ind w:left="160"/>
              <w:spacing w:after="0"/>
              <w:rPr>
                <w:sz w:val="20"/>
                <w:szCs w:val="20"/>
                <w:color w:val="auto"/>
              </w:rPr>
            </w:pPr>
            <w:r>
              <w:rPr>
                <w:rFonts w:ascii="Arial" w:cs="Arial" w:eastAsia="Arial" w:hAnsi="Arial"/>
                <w:sz w:val="16"/>
                <w:szCs w:val="16"/>
                <w:color w:val="auto"/>
              </w:rPr>
              <w:t>approval to amend the company’s Amended and Restated Certificate of Incorporation to provide for a</w:t>
            </w:r>
          </w:p>
        </w:tc>
        <w:tc>
          <w:tcPr>
            <w:tcW w:w="0" w:type="dxa"/>
            <w:vAlign w:val="bottom"/>
          </w:tcPr>
          <w:p>
            <w:pPr>
              <w:spacing w:after="0"/>
              <w:rPr>
                <w:sz w:val="1"/>
                <w:szCs w:val="1"/>
                <w:color w:val="auto"/>
              </w:rPr>
            </w:pPr>
          </w:p>
        </w:tc>
      </w:tr>
      <w:tr>
        <w:trPr>
          <w:trHeight w:val="116"/>
        </w:trPr>
        <w:tc>
          <w:tcPr>
            <w:tcW w:w="1480" w:type="dxa"/>
            <w:vAlign w:val="bottom"/>
            <w:vMerge w:val="restart"/>
          </w:tcPr>
          <w:p>
            <w:pPr>
              <w:jc w:val="center"/>
              <w:spacing w:after="0"/>
              <w:rPr>
                <w:sz w:val="20"/>
                <w:szCs w:val="20"/>
                <w:color w:val="auto"/>
              </w:rPr>
            </w:pPr>
            <w:r>
              <w:rPr>
                <w:rFonts w:ascii="Arial" w:cs="Arial" w:eastAsia="Arial" w:hAnsi="Arial"/>
                <w:sz w:val="20"/>
                <w:szCs w:val="20"/>
                <w:color w:val="auto"/>
                <w:w w:val="97"/>
              </w:rPr>
              <w:t>Voting Rights</w:t>
            </w:r>
          </w:p>
        </w:tc>
        <w:tc>
          <w:tcPr>
            <w:tcW w:w="7580" w:type="dxa"/>
            <w:vAlign w:val="bottom"/>
          </w:tcPr>
          <w:p>
            <w:pPr>
              <w:ind w:left="160"/>
              <w:spacing w:after="0" w:line="116" w:lineRule="exact"/>
              <w:rPr>
                <w:sz w:val="20"/>
                <w:szCs w:val="20"/>
                <w:color w:val="auto"/>
              </w:rPr>
            </w:pPr>
            <w:r>
              <w:rPr>
                <w:rFonts w:ascii="Arial" w:cs="Arial" w:eastAsia="Arial" w:hAnsi="Arial"/>
                <w:sz w:val="13"/>
                <w:szCs w:val="13"/>
                <w:color w:val="auto"/>
              </w:rPr>
              <w:t>simple majority of shares outstanding for all provisions previously subject to a supermajority provision and</w:t>
            </w:r>
          </w:p>
        </w:tc>
        <w:tc>
          <w:tcPr>
            <w:tcW w:w="0" w:type="dxa"/>
            <w:vAlign w:val="bottom"/>
          </w:tcPr>
          <w:p>
            <w:pPr>
              <w:spacing w:after="0"/>
              <w:rPr>
                <w:sz w:val="1"/>
                <w:szCs w:val="1"/>
                <w:color w:val="auto"/>
              </w:rPr>
            </w:pPr>
          </w:p>
        </w:tc>
      </w:tr>
      <w:tr>
        <w:trPr>
          <w:trHeight w:val="172"/>
        </w:trPr>
        <w:tc>
          <w:tcPr>
            <w:tcW w:w="1480" w:type="dxa"/>
            <w:vAlign w:val="bottom"/>
            <w:vMerge w:val="continue"/>
          </w:tcPr>
          <w:p>
            <w:pPr>
              <w:spacing w:after="0"/>
              <w:rPr>
                <w:sz w:val="14"/>
                <w:szCs w:val="14"/>
                <w:color w:val="auto"/>
              </w:rPr>
            </w:pPr>
          </w:p>
        </w:tc>
        <w:tc>
          <w:tcPr>
            <w:tcW w:w="7580" w:type="dxa"/>
            <w:vAlign w:val="bottom"/>
          </w:tcPr>
          <w:p>
            <w:pPr>
              <w:ind w:left="160"/>
              <w:spacing w:after="0" w:line="172" w:lineRule="exact"/>
              <w:rPr>
                <w:sz w:val="20"/>
                <w:szCs w:val="20"/>
                <w:color w:val="auto"/>
              </w:rPr>
            </w:pPr>
            <w:r>
              <w:rPr>
                <w:rFonts w:ascii="Arial" w:cs="Arial" w:eastAsia="Arial" w:hAnsi="Arial"/>
                <w:sz w:val="16"/>
                <w:szCs w:val="16"/>
                <w:color w:val="auto"/>
              </w:rPr>
              <w:t>previously submitted the same proposal from 2018 to 2025 as well as a declassification management</w:t>
            </w:r>
          </w:p>
        </w:tc>
        <w:tc>
          <w:tcPr>
            <w:tcW w:w="0" w:type="dxa"/>
            <w:vAlign w:val="bottom"/>
          </w:tcPr>
          <w:p>
            <w:pPr>
              <w:spacing w:after="0"/>
              <w:rPr>
                <w:sz w:val="1"/>
                <w:szCs w:val="1"/>
                <w:color w:val="auto"/>
              </w:rPr>
            </w:pPr>
          </w:p>
        </w:tc>
      </w:tr>
      <w:tr>
        <w:trPr>
          <w:trHeight w:val="205"/>
        </w:trPr>
        <w:tc>
          <w:tcPr>
            <w:tcW w:w="1480" w:type="dxa"/>
            <w:vAlign w:val="bottom"/>
          </w:tcPr>
          <w:p>
            <w:pPr>
              <w:spacing w:after="0"/>
              <w:rPr>
                <w:sz w:val="17"/>
                <w:szCs w:val="17"/>
                <w:color w:val="auto"/>
              </w:rPr>
            </w:pPr>
          </w:p>
        </w:tc>
        <w:tc>
          <w:tcPr>
            <w:tcW w:w="7580" w:type="dxa"/>
            <w:vAlign w:val="bottom"/>
          </w:tcPr>
          <w:p>
            <w:pPr>
              <w:ind w:left="160"/>
              <w:spacing w:after="0"/>
              <w:rPr>
                <w:sz w:val="20"/>
                <w:szCs w:val="20"/>
                <w:color w:val="auto"/>
              </w:rPr>
            </w:pPr>
            <w:r>
              <w:rPr>
                <w:rFonts w:ascii="Arial" w:cs="Arial" w:eastAsia="Arial" w:hAnsi="Arial"/>
                <w:sz w:val="16"/>
                <w:szCs w:val="16"/>
                <w:color w:val="auto"/>
              </w:rPr>
              <w:t>proposal from 2016 to 2018</w:t>
            </w:r>
          </w:p>
        </w:tc>
        <w:tc>
          <w:tcPr>
            <w:tcW w:w="0" w:type="dxa"/>
            <w:vAlign w:val="bottom"/>
          </w:tcPr>
          <w:p>
            <w:pPr>
              <w:spacing w:after="0"/>
              <w:rPr>
                <w:sz w:val="1"/>
                <w:szCs w:val="1"/>
                <w:color w:val="auto"/>
              </w:rPr>
            </w:pPr>
          </w:p>
        </w:tc>
      </w:tr>
      <w:tr>
        <w:trPr>
          <w:trHeight w:val="90"/>
        </w:trPr>
        <w:tc>
          <w:tcPr>
            <w:tcW w:w="1480" w:type="dxa"/>
            <w:vAlign w:val="bottom"/>
            <w:tcBorders>
              <w:bottom w:val="single" w:sz="8" w:color="071D49"/>
            </w:tcBorders>
          </w:tcPr>
          <w:p>
            <w:pPr>
              <w:spacing w:after="0"/>
              <w:rPr>
                <w:sz w:val="7"/>
                <w:szCs w:val="7"/>
                <w:color w:val="auto"/>
              </w:rPr>
            </w:pPr>
          </w:p>
        </w:tc>
        <w:tc>
          <w:tcPr>
            <w:tcW w:w="758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480" w:type="dxa"/>
            <w:vAlign w:val="bottom"/>
            <w:vMerge w:val="restart"/>
          </w:tcPr>
          <w:p>
            <w:pPr>
              <w:jc w:val="center"/>
              <w:spacing w:after="0"/>
              <w:rPr>
                <w:sz w:val="20"/>
                <w:szCs w:val="20"/>
                <w:color w:val="auto"/>
              </w:rPr>
            </w:pPr>
            <w:r>
              <w:rPr>
                <w:rFonts w:ascii="Arial" w:cs="Arial" w:eastAsia="Arial" w:hAnsi="Arial"/>
                <w:sz w:val="20"/>
                <w:szCs w:val="20"/>
                <w:color w:val="auto"/>
                <w:w w:val="99"/>
              </w:rPr>
              <w:t>CEO and</w:t>
            </w:r>
          </w:p>
        </w:tc>
        <w:tc>
          <w:tcPr>
            <w:tcW w:w="7580" w:type="dxa"/>
            <w:vAlign w:val="bottom"/>
          </w:tcPr>
          <w:p>
            <w:pPr>
              <w:ind w:left="160"/>
              <w:spacing w:after="0"/>
              <w:rPr>
                <w:sz w:val="20"/>
                <w:szCs w:val="20"/>
                <w:color w:val="auto"/>
              </w:rPr>
            </w:pPr>
            <w:r>
              <w:rPr>
                <w:rFonts w:ascii="Arial" w:cs="Arial" w:eastAsia="Arial" w:hAnsi="Arial"/>
                <w:sz w:val="16"/>
                <w:szCs w:val="16"/>
                <w:b w:val="1"/>
                <w:bCs w:val="1"/>
                <w:color w:val="auto"/>
                <w:w w:val="98"/>
              </w:rPr>
              <w:t>appointed Robert Michael as AbbVie’s CEO in July 2024 and as the Board’s Chairman in July 2025,</w:t>
            </w:r>
          </w:p>
        </w:tc>
        <w:tc>
          <w:tcPr>
            <w:tcW w:w="0" w:type="dxa"/>
            <w:vAlign w:val="bottom"/>
          </w:tcPr>
          <w:p>
            <w:pPr>
              <w:spacing w:after="0"/>
              <w:rPr>
                <w:sz w:val="1"/>
                <w:szCs w:val="1"/>
                <w:color w:val="auto"/>
              </w:rPr>
            </w:pPr>
          </w:p>
        </w:tc>
      </w:tr>
      <w:tr>
        <w:trPr>
          <w:trHeight w:val="107"/>
        </w:trPr>
        <w:tc>
          <w:tcPr>
            <w:tcW w:w="1480" w:type="dxa"/>
            <w:vAlign w:val="bottom"/>
            <w:vMerge w:val="continue"/>
          </w:tcPr>
          <w:p>
            <w:pPr>
              <w:spacing w:after="0"/>
              <w:rPr>
                <w:sz w:val="9"/>
                <w:szCs w:val="9"/>
                <w:color w:val="auto"/>
              </w:rPr>
            </w:pPr>
          </w:p>
        </w:tc>
        <w:tc>
          <w:tcPr>
            <w:tcW w:w="7580" w:type="dxa"/>
            <w:vAlign w:val="bottom"/>
            <w:vMerge w:val="restart"/>
          </w:tcPr>
          <w:p>
            <w:pPr>
              <w:ind w:left="160"/>
              <w:spacing w:after="0"/>
              <w:rPr>
                <w:sz w:val="20"/>
                <w:szCs w:val="20"/>
                <w:color w:val="auto"/>
              </w:rPr>
            </w:pPr>
            <w:r>
              <w:rPr>
                <w:rFonts w:ascii="Arial" w:cs="Arial" w:eastAsia="Arial" w:hAnsi="Arial"/>
                <w:sz w:val="16"/>
                <w:szCs w:val="16"/>
                <w:color w:val="auto"/>
              </w:rPr>
              <w:t>succeeding Richard Gonzalez</w:t>
            </w:r>
          </w:p>
        </w:tc>
        <w:tc>
          <w:tcPr>
            <w:tcW w:w="0" w:type="dxa"/>
            <w:vAlign w:val="bottom"/>
          </w:tcPr>
          <w:p>
            <w:pPr>
              <w:spacing w:after="0"/>
              <w:rPr>
                <w:sz w:val="1"/>
                <w:szCs w:val="1"/>
                <w:color w:val="auto"/>
              </w:rPr>
            </w:pPr>
          </w:p>
        </w:tc>
      </w:tr>
      <w:tr>
        <w:trPr>
          <w:trHeight w:val="99"/>
        </w:trPr>
        <w:tc>
          <w:tcPr>
            <w:tcW w:w="1480" w:type="dxa"/>
            <w:vAlign w:val="bottom"/>
            <w:vMerge w:val="restart"/>
          </w:tcPr>
          <w:p>
            <w:pPr>
              <w:jc w:val="center"/>
              <w:spacing w:after="0" w:line="222" w:lineRule="exact"/>
              <w:rPr>
                <w:sz w:val="20"/>
                <w:szCs w:val="20"/>
                <w:color w:val="auto"/>
              </w:rPr>
            </w:pPr>
            <w:r>
              <w:rPr>
                <w:rFonts w:ascii="Arial" w:cs="Arial" w:eastAsia="Arial" w:hAnsi="Arial"/>
                <w:sz w:val="20"/>
                <w:szCs w:val="20"/>
                <w:color w:val="auto"/>
                <w:w w:val="99"/>
              </w:rPr>
              <w:t>Chairman</w:t>
            </w:r>
          </w:p>
        </w:tc>
        <w:tc>
          <w:tcPr>
            <w:tcW w:w="7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480" w:type="dxa"/>
            <w:vAlign w:val="bottom"/>
            <w:vMerge w:val="continue"/>
          </w:tcPr>
          <w:p>
            <w:pPr>
              <w:spacing w:after="0"/>
              <w:rPr>
                <w:sz w:val="10"/>
                <w:szCs w:val="10"/>
                <w:color w:val="auto"/>
              </w:rPr>
            </w:pPr>
          </w:p>
        </w:tc>
        <w:tc>
          <w:tcPr>
            <w:tcW w:w="7580" w:type="dxa"/>
            <w:vAlign w:val="bottom"/>
            <w:vMerge w:val="restart"/>
          </w:tcPr>
          <w:p>
            <w:pPr>
              <w:ind w:left="160"/>
              <w:spacing w:after="0"/>
              <w:rPr>
                <w:sz w:val="20"/>
                <w:szCs w:val="20"/>
                <w:color w:val="auto"/>
              </w:rPr>
            </w:pPr>
            <w:r>
              <w:rPr>
                <w:rFonts w:ascii="Arial" w:cs="Arial" w:eastAsia="Arial" w:hAnsi="Arial"/>
                <w:sz w:val="16"/>
                <w:szCs w:val="16"/>
                <w:color w:val="auto"/>
                <w:w w:val="98"/>
              </w:rPr>
              <w:t xml:space="preserve">provided disclosure on the </w:t>
            </w:r>
            <w:r>
              <w:rPr>
                <w:rFonts w:ascii="Arial" w:cs="Arial" w:eastAsia="Arial" w:hAnsi="Arial"/>
                <w:sz w:val="16"/>
                <w:szCs w:val="16"/>
                <w:b w:val="1"/>
                <w:bCs w:val="1"/>
                <w:color w:val="auto"/>
                <w:w w:val="98"/>
              </w:rPr>
              <w:t>CEO and Board succession planning processes</w:t>
            </w:r>
            <w:r>
              <w:rPr>
                <w:rFonts w:ascii="Arial" w:cs="Arial" w:eastAsia="Arial" w:hAnsi="Arial"/>
                <w:sz w:val="16"/>
                <w:szCs w:val="16"/>
                <w:color w:val="auto"/>
                <w:w w:val="98"/>
              </w:rPr>
              <w:t xml:space="preserve"> in the 2024 and 2025 proxy</w:t>
            </w:r>
          </w:p>
        </w:tc>
        <w:tc>
          <w:tcPr>
            <w:tcW w:w="0" w:type="dxa"/>
            <w:vAlign w:val="bottom"/>
          </w:tcPr>
          <w:p>
            <w:pPr>
              <w:spacing w:after="0"/>
              <w:rPr>
                <w:sz w:val="1"/>
                <w:szCs w:val="1"/>
                <w:color w:val="auto"/>
              </w:rPr>
            </w:pPr>
          </w:p>
        </w:tc>
      </w:tr>
      <w:tr>
        <w:trPr>
          <w:trHeight w:val="115"/>
        </w:trPr>
        <w:tc>
          <w:tcPr>
            <w:tcW w:w="1480" w:type="dxa"/>
            <w:vAlign w:val="bottom"/>
            <w:vMerge w:val="restart"/>
          </w:tcPr>
          <w:p>
            <w:pPr>
              <w:jc w:val="center"/>
              <w:spacing w:after="0"/>
              <w:rPr>
                <w:sz w:val="20"/>
                <w:szCs w:val="20"/>
                <w:color w:val="auto"/>
              </w:rPr>
            </w:pPr>
            <w:r>
              <w:rPr>
                <w:rFonts w:ascii="Arial" w:cs="Arial" w:eastAsia="Arial" w:hAnsi="Arial"/>
                <w:sz w:val="20"/>
                <w:szCs w:val="20"/>
                <w:color w:val="auto"/>
                <w:w w:val="97"/>
              </w:rPr>
              <w:t>Transition</w:t>
            </w:r>
          </w:p>
        </w:tc>
        <w:tc>
          <w:tcPr>
            <w:tcW w:w="7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480" w:type="dxa"/>
            <w:vAlign w:val="bottom"/>
            <w:vMerge w:val="continue"/>
          </w:tcPr>
          <w:p>
            <w:pPr>
              <w:spacing w:after="0"/>
              <w:rPr>
                <w:sz w:val="12"/>
                <w:szCs w:val="12"/>
                <w:color w:val="auto"/>
              </w:rPr>
            </w:pPr>
          </w:p>
        </w:tc>
        <w:tc>
          <w:tcPr>
            <w:tcW w:w="7580" w:type="dxa"/>
            <w:vAlign w:val="bottom"/>
            <w:vMerge w:val="restart"/>
          </w:tcPr>
          <w:p>
            <w:pPr>
              <w:ind w:left="160"/>
              <w:spacing w:after="0"/>
              <w:rPr>
                <w:sz w:val="20"/>
                <w:szCs w:val="20"/>
                <w:color w:val="auto"/>
              </w:rPr>
            </w:pPr>
            <w:r>
              <w:rPr>
                <w:rFonts w:ascii="Arial" w:cs="Arial" w:eastAsia="Arial" w:hAnsi="Arial"/>
                <w:sz w:val="16"/>
                <w:szCs w:val="16"/>
                <w:color w:val="auto"/>
              </w:rPr>
              <w:t>statements and this proxy statement</w:t>
            </w:r>
          </w:p>
        </w:tc>
        <w:tc>
          <w:tcPr>
            <w:tcW w:w="0" w:type="dxa"/>
            <w:vAlign w:val="bottom"/>
          </w:tcPr>
          <w:p>
            <w:pPr>
              <w:spacing w:after="0"/>
              <w:rPr>
                <w:sz w:val="1"/>
                <w:szCs w:val="1"/>
                <w:color w:val="auto"/>
              </w:rPr>
            </w:pPr>
          </w:p>
        </w:tc>
      </w:tr>
      <w:tr>
        <w:trPr>
          <w:trHeight w:val="62"/>
        </w:trPr>
        <w:tc>
          <w:tcPr>
            <w:tcW w:w="1480" w:type="dxa"/>
            <w:vAlign w:val="bottom"/>
          </w:tcPr>
          <w:p>
            <w:pPr>
              <w:spacing w:after="0"/>
              <w:rPr>
                <w:sz w:val="5"/>
                <w:szCs w:val="5"/>
                <w:color w:val="auto"/>
              </w:rPr>
            </w:pPr>
          </w:p>
        </w:tc>
        <w:tc>
          <w:tcPr>
            <w:tcW w:w="7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480" w:type="dxa"/>
            <w:vAlign w:val="bottom"/>
            <w:tcBorders>
              <w:bottom w:val="single" w:sz="8" w:color="071D49"/>
            </w:tcBorders>
          </w:tcPr>
          <w:p>
            <w:pPr>
              <w:spacing w:after="0"/>
              <w:rPr>
                <w:sz w:val="7"/>
                <w:szCs w:val="7"/>
                <w:color w:val="auto"/>
              </w:rPr>
            </w:pPr>
          </w:p>
        </w:tc>
        <w:tc>
          <w:tcPr>
            <w:tcW w:w="758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480" w:type="dxa"/>
            <w:vAlign w:val="bottom"/>
          </w:tcPr>
          <w:p>
            <w:pPr>
              <w:spacing w:after="0"/>
              <w:rPr>
                <w:sz w:val="21"/>
                <w:szCs w:val="21"/>
                <w:color w:val="auto"/>
              </w:rPr>
            </w:pPr>
          </w:p>
        </w:tc>
        <w:tc>
          <w:tcPr>
            <w:tcW w:w="7580" w:type="dxa"/>
            <w:vAlign w:val="bottom"/>
          </w:tcPr>
          <w:p>
            <w:pPr>
              <w:ind w:left="160"/>
              <w:spacing w:after="0"/>
              <w:rPr>
                <w:sz w:val="20"/>
                <w:szCs w:val="20"/>
                <w:color w:val="auto"/>
              </w:rPr>
            </w:pPr>
            <w:r>
              <w:rPr>
                <w:rFonts w:ascii="Arial" w:cs="Arial" w:eastAsia="Arial" w:hAnsi="Arial"/>
                <w:sz w:val="16"/>
                <w:szCs w:val="16"/>
                <w:color w:val="auto"/>
              </w:rPr>
              <w:t xml:space="preserve">appointed </w:t>
            </w:r>
            <w:r>
              <w:rPr>
                <w:rFonts w:ascii="Arial" w:cs="Arial" w:eastAsia="Arial" w:hAnsi="Arial"/>
                <w:sz w:val="16"/>
                <w:szCs w:val="16"/>
                <w:b w:val="1"/>
                <w:bCs w:val="1"/>
                <w:color w:val="auto"/>
              </w:rPr>
              <w:t>Roxanne Austin as the new Lead Independent Director in 2024,</w:t>
            </w:r>
            <w:r>
              <w:rPr>
                <w:rFonts w:ascii="Arial" w:cs="Arial" w:eastAsia="Arial" w:hAnsi="Arial"/>
                <w:sz w:val="16"/>
                <w:szCs w:val="16"/>
                <w:color w:val="auto"/>
              </w:rPr>
              <w:t xml:space="preserve"> AbbVie’s first new Lead</w:t>
            </w:r>
          </w:p>
        </w:tc>
        <w:tc>
          <w:tcPr>
            <w:tcW w:w="0" w:type="dxa"/>
            <w:vAlign w:val="bottom"/>
          </w:tcPr>
          <w:p>
            <w:pPr>
              <w:spacing w:after="0"/>
              <w:rPr>
                <w:sz w:val="1"/>
                <w:szCs w:val="1"/>
                <w:color w:val="auto"/>
              </w:rPr>
            </w:pPr>
          </w:p>
        </w:tc>
      </w:tr>
      <w:tr>
        <w:trPr>
          <w:trHeight w:val="205"/>
        </w:trPr>
        <w:tc>
          <w:tcPr>
            <w:tcW w:w="1480" w:type="dxa"/>
            <w:vAlign w:val="bottom"/>
          </w:tcPr>
          <w:p>
            <w:pPr>
              <w:spacing w:after="0"/>
              <w:rPr>
                <w:sz w:val="17"/>
                <w:szCs w:val="17"/>
                <w:color w:val="auto"/>
              </w:rPr>
            </w:pPr>
          </w:p>
        </w:tc>
        <w:tc>
          <w:tcPr>
            <w:tcW w:w="7580" w:type="dxa"/>
            <w:vAlign w:val="bottom"/>
          </w:tcPr>
          <w:p>
            <w:pPr>
              <w:ind w:left="160"/>
              <w:spacing w:after="0"/>
              <w:rPr>
                <w:sz w:val="20"/>
                <w:szCs w:val="20"/>
                <w:color w:val="auto"/>
              </w:rPr>
            </w:pPr>
            <w:r>
              <w:rPr>
                <w:rFonts w:ascii="Arial" w:cs="Arial" w:eastAsia="Arial" w:hAnsi="Arial"/>
                <w:sz w:val="16"/>
                <w:szCs w:val="16"/>
                <w:color w:val="auto"/>
              </w:rPr>
              <w:t>Independent Director since its inception in 2013</w:t>
            </w:r>
          </w:p>
        </w:tc>
        <w:tc>
          <w:tcPr>
            <w:tcW w:w="0" w:type="dxa"/>
            <w:vAlign w:val="bottom"/>
          </w:tcPr>
          <w:p>
            <w:pPr>
              <w:spacing w:after="0"/>
              <w:rPr>
                <w:sz w:val="1"/>
                <w:szCs w:val="1"/>
                <w:color w:val="auto"/>
              </w:rPr>
            </w:pPr>
          </w:p>
        </w:tc>
      </w:tr>
      <w:tr>
        <w:trPr>
          <w:trHeight w:val="283"/>
        </w:trPr>
        <w:tc>
          <w:tcPr>
            <w:tcW w:w="1480" w:type="dxa"/>
            <w:vAlign w:val="bottom"/>
          </w:tcPr>
          <w:p>
            <w:pPr>
              <w:jc w:val="center"/>
              <w:spacing w:after="0"/>
              <w:rPr>
                <w:sz w:val="20"/>
                <w:szCs w:val="20"/>
                <w:color w:val="auto"/>
              </w:rPr>
            </w:pPr>
            <w:r>
              <w:rPr>
                <w:rFonts w:ascii="Arial" w:cs="Arial" w:eastAsia="Arial" w:hAnsi="Arial"/>
                <w:sz w:val="20"/>
                <w:szCs w:val="20"/>
                <w:color w:val="auto"/>
                <w:w w:val="97"/>
              </w:rPr>
              <w:t>Board</w:t>
            </w:r>
          </w:p>
        </w:tc>
        <w:tc>
          <w:tcPr>
            <w:tcW w:w="7580" w:type="dxa"/>
            <w:vAlign w:val="bottom"/>
          </w:tcPr>
          <w:p>
            <w:pPr>
              <w:ind w:left="160"/>
              <w:spacing w:after="0"/>
              <w:rPr>
                <w:sz w:val="20"/>
                <w:szCs w:val="20"/>
                <w:color w:val="auto"/>
              </w:rPr>
            </w:pPr>
            <w:r>
              <w:rPr>
                <w:rFonts w:ascii="Arial" w:cs="Arial" w:eastAsia="Arial" w:hAnsi="Arial"/>
                <w:sz w:val="16"/>
                <w:szCs w:val="16"/>
                <w:color w:val="auto"/>
              </w:rPr>
              <w:t xml:space="preserve">added </w:t>
            </w:r>
            <w:r>
              <w:rPr>
                <w:rFonts w:ascii="Arial" w:cs="Arial" w:eastAsia="Arial" w:hAnsi="Arial"/>
                <w:sz w:val="16"/>
                <w:szCs w:val="16"/>
                <w:b w:val="1"/>
                <w:bCs w:val="1"/>
                <w:color w:val="auto"/>
              </w:rPr>
              <w:t>four new directors</w:t>
            </w:r>
            <w:r>
              <w:rPr>
                <w:rFonts w:ascii="Arial" w:cs="Arial" w:eastAsia="Arial" w:hAnsi="Arial"/>
                <w:sz w:val="16"/>
                <w:szCs w:val="16"/>
                <w:color w:val="auto"/>
              </w:rPr>
              <w:t xml:space="preserve"> between 2023 and 2025, including three independent directors</w:t>
            </w:r>
          </w:p>
        </w:tc>
        <w:tc>
          <w:tcPr>
            <w:tcW w:w="0" w:type="dxa"/>
            <w:vAlign w:val="bottom"/>
          </w:tcPr>
          <w:p>
            <w:pPr>
              <w:spacing w:after="0"/>
              <w:rPr>
                <w:sz w:val="1"/>
                <w:szCs w:val="1"/>
                <w:color w:val="auto"/>
              </w:rPr>
            </w:pPr>
          </w:p>
        </w:tc>
      </w:tr>
      <w:tr>
        <w:trPr>
          <w:trHeight w:val="267"/>
        </w:trPr>
        <w:tc>
          <w:tcPr>
            <w:tcW w:w="1480" w:type="dxa"/>
            <w:vAlign w:val="bottom"/>
          </w:tcPr>
          <w:p>
            <w:pPr>
              <w:jc w:val="center"/>
              <w:spacing w:after="0"/>
              <w:rPr>
                <w:sz w:val="20"/>
                <w:szCs w:val="20"/>
                <w:color w:val="auto"/>
              </w:rPr>
            </w:pPr>
            <w:r>
              <w:rPr>
                <w:rFonts w:ascii="Arial" w:cs="Arial" w:eastAsia="Arial" w:hAnsi="Arial"/>
                <w:sz w:val="20"/>
                <w:szCs w:val="20"/>
                <w:color w:val="auto"/>
                <w:w w:val="97"/>
              </w:rPr>
              <w:t>Refreshment</w:t>
            </w:r>
          </w:p>
        </w:tc>
        <w:tc>
          <w:tcPr>
            <w:tcW w:w="7580" w:type="dxa"/>
            <w:vAlign w:val="bottom"/>
          </w:tcPr>
          <w:p>
            <w:pPr>
              <w:ind w:left="160"/>
              <w:spacing w:after="0"/>
              <w:rPr>
                <w:sz w:val="20"/>
                <w:szCs w:val="20"/>
                <w:color w:val="auto"/>
              </w:rPr>
            </w:pPr>
            <w:r>
              <w:rPr>
                <w:rFonts w:ascii="Arial" w:cs="Arial" w:eastAsia="Arial" w:hAnsi="Arial"/>
                <w:sz w:val="16"/>
                <w:szCs w:val="16"/>
                <w:color w:val="auto"/>
              </w:rPr>
              <w:t xml:space="preserve">appointed </w:t>
            </w:r>
            <w:r>
              <w:rPr>
                <w:rFonts w:ascii="Arial" w:cs="Arial" w:eastAsia="Arial" w:hAnsi="Arial"/>
                <w:sz w:val="16"/>
                <w:szCs w:val="16"/>
                <w:b w:val="1"/>
                <w:bCs w:val="1"/>
                <w:color w:val="auto"/>
              </w:rPr>
              <w:t>all new committee chairs</w:t>
            </w:r>
            <w:r>
              <w:rPr>
                <w:rFonts w:ascii="Arial" w:cs="Arial" w:eastAsia="Arial" w:hAnsi="Arial"/>
                <w:sz w:val="16"/>
                <w:szCs w:val="16"/>
                <w:color w:val="auto"/>
              </w:rPr>
              <w:t xml:space="preserve"> in 2024</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Arial" w:cs="Arial" w:eastAsia="Arial" w:hAnsi="Arial"/>
                <w:sz w:val="16"/>
                <w:szCs w:val="16"/>
                <w:b w:val="1"/>
                <w:bCs w:val="1"/>
                <w:color w:val="auto"/>
                <w:w w:val="97"/>
              </w:rPr>
              <w:t xml:space="preserve">amended our governance guidelines in 2023 </w:t>
            </w:r>
            <w:r>
              <w:rPr>
                <w:rFonts w:ascii="Arial" w:cs="Arial" w:eastAsia="Arial" w:hAnsi="Arial"/>
                <w:sz w:val="16"/>
                <w:szCs w:val="16"/>
                <w:color w:val="auto"/>
                <w:w w:val="97"/>
              </w:rPr>
              <w:t>to add specific limits on the number of other directorships a</w:t>
            </w:r>
          </w:p>
        </w:tc>
        <w:tc>
          <w:tcPr>
            <w:tcW w:w="0" w:type="dxa"/>
            <w:vAlign w:val="bottom"/>
          </w:tcPr>
          <w:p>
            <w:pPr>
              <w:spacing w:after="0"/>
              <w:rPr>
                <w:sz w:val="1"/>
                <w:szCs w:val="1"/>
                <w:color w:val="auto"/>
              </w:rPr>
            </w:pPr>
          </w:p>
        </w:tc>
      </w:tr>
      <w:tr>
        <w:trPr>
          <w:trHeight w:val="205"/>
        </w:trPr>
        <w:tc>
          <w:tcPr>
            <w:tcW w:w="1480" w:type="dxa"/>
            <w:vAlign w:val="bottom"/>
          </w:tcPr>
          <w:p>
            <w:pPr>
              <w:spacing w:after="0"/>
              <w:rPr>
                <w:sz w:val="17"/>
                <w:szCs w:val="17"/>
                <w:color w:val="auto"/>
              </w:rPr>
            </w:pPr>
          </w:p>
        </w:tc>
        <w:tc>
          <w:tcPr>
            <w:tcW w:w="7580" w:type="dxa"/>
            <w:vAlign w:val="bottom"/>
          </w:tcPr>
          <w:p>
            <w:pPr>
              <w:ind w:left="160"/>
              <w:spacing w:after="0"/>
              <w:rPr>
                <w:sz w:val="20"/>
                <w:szCs w:val="20"/>
                <w:color w:val="auto"/>
              </w:rPr>
            </w:pPr>
            <w:r>
              <w:rPr>
                <w:rFonts w:ascii="Arial" w:cs="Arial" w:eastAsia="Arial" w:hAnsi="Arial"/>
                <w:sz w:val="16"/>
                <w:szCs w:val="16"/>
                <w:color w:val="auto"/>
              </w:rPr>
              <w:t>director may hold</w:t>
            </w:r>
          </w:p>
        </w:tc>
        <w:tc>
          <w:tcPr>
            <w:tcW w:w="0" w:type="dxa"/>
            <w:vAlign w:val="bottom"/>
          </w:tcPr>
          <w:p>
            <w:pPr>
              <w:spacing w:after="0"/>
              <w:rPr>
                <w:sz w:val="1"/>
                <w:szCs w:val="1"/>
                <w:color w:val="auto"/>
              </w:rPr>
            </w:pPr>
          </w:p>
        </w:tc>
      </w:tr>
      <w:tr>
        <w:trPr>
          <w:trHeight w:val="90"/>
        </w:trPr>
        <w:tc>
          <w:tcPr>
            <w:tcW w:w="1480" w:type="dxa"/>
            <w:vAlign w:val="bottom"/>
            <w:tcBorders>
              <w:bottom w:val="single" w:sz="8" w:color="071D49"/>
            </w:tcBorders>
          </w:tcPr>
          <w:p>
            <w:pPr>
              <w:spacing w:after="0"/>
              <w:rPr>
                <w:sz w:val="7"/>
                <w:szCs w:val="7"/>
                <w:color w:val="auto"/>
              </w:rPr>
            </w:pPr>
          </w:p>
        </w:tc>
        <w:tc>
          <w:tcPr>
            <w:tcW w:w="758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480" w:type="dxa"/>
            <w:vAlign w:val="bottom"/>
            <w:vMerge w:val="restart"/>
          </w:tcPr>
          <w:p>
            <w:pPr>
              <w:jc w:val="center"/>
              <w:spacing w:after="0"/>
              <w:rPr>
                <w:sz w:val="20"/>
                <w:szCs w:val="20"/>
                <w:color w:val="auto"/>
              </w:rPr>
            </w:pPr>
            <w:r>
              <w:rPr>
                <w:rFonts w:ascii="Arial" w:cs="Arial" w:eastAsia="Arial" w:hAnsi="Arial"/>
                <w:sz w:val="20"/>
                <w:szCs w:val="20"/>
                <w:color w:val="auto"/>
                <w:w w:val="98"/>
              </w:rPr>
              <w:t>Board Skills</w:t>
            </w:r>
          </w:p>
        </w:tc>
        <w:tc>
          <w:tcPr>
            <w:tcW w:w="7580" w:type="dxa"/>
            <w:vAlign w:val="bottom"/>
          </w:tcPr>
          <w:p>
            <w:pPr>
              <w:ind w:left="160"/>
              <w:spacing w:after="0"/>
              <w:rPr>
                <w:sz w:val="20"/>
                <w:szCs w:val="20"/>
                <w:color w:val="auto"/>
              </w:rPr>
            </w:pPr>
            <w:r>
              <w:rPr>
                <w:rFonts w:ascii="Arial" w:cs="Arial" w:eastAsia="Arial" w:hAnsi="Arial"/>
                <w:sz w:val="16"/>
                <w:szCs w:val="16"/>
                <w:b w:val="1"/>
                <w:bCs w:val="1"/>
                <w:color w:val="auto"/>
                <w:w w:val="98"/>
              </w:rPr>
              <w:t xml:space="preserve">updated our director biographies </w:t>
            </w:r>
            <w:r>
              <w:rPr>
                <w:rFonts w:ascii="Arial" w:cs="Arial" w:eastAsia="Arial" w:hAnsi="Arial"/>
                <w:sz w:val="16"/>
                <w:szCs w:val="16"/>
                <w:color w:val="auto"/>
                <w:w w:val="98"/>
              </w:rPr>
              <w:t>in 2023 to include additional skills of interest to our stockholders, such</w:t>
            </w:r>
          </w:p>
        </w:tc>
        <w:tc>
          <w:tcPr>
            <w:tcW w:w="0" w:type="dxa"/>
            <w:vAlign w:val="bottom"/>
          </w:tcPr>
          <w:p>
            <w:pPr>
              <w:spacing w:after="0"/>
              <w:rPr>
                <w:sz w:val="1"/>
                <w:szCs w:val="1"/>
                <w:color w:val="auto"/>
              </w:rPr>
            </w:pPr>
          </w:p>
        </w:tc>
      </w:tr>
      <w:tr>
        <w:trPr>
          <w:trHeight w:val="155"/>
        </w:trPr>
        <w:tc>
          <w:tcPr>
            <w:tcW w:w="1480" w:type="dxa"/>
            <w:vAlign w:val="bottom"/>
            <w:vMerge w:val="continue"/>
          </w:tcPr>
          <w:p>
            <w:pPr>
              <w:spacing w:after="0"/>
              <w:rPr>
                <w:sz w:val="13"/>
                <w:szCs w:val="13"/>
                <w:color w:val="auto"/>
              </w:rPr>
            </w:pPr>
          </w:p>
        </w:tc>
        <w:tc>
          <w:tcPr>
            <w:tcW w:w="7580" w:type="dxa"/>
            <w:vAlign w:val="bottom"/>
          </w:tcPr>
          <w:p>
            <w:pPr>
              <w:ind w:left="160"/>
              <w:spacing w:after="0" w:line="155" w:lineRule="exact"/>
              <w:rPr>
                <w:sz w:val="20"/>
                <w:szCs w:val="20"/>
                <w:color w:val="auto"/>
              </w:rPr>
            </w:pPr>
            <w:r>
              <w:rPr>
                <w:rFonts w:ascii="Arial" w:cs="Arial" w:eastAsia="Arial" w:hAnsi="Arial"/>
                <w:sz w:val="16"/>
                <w:szCs w:val="16"/>
                <w:color w:val="auto"/>
              </w:rPr>
              <w:t>as cybersecurity experience</w:t>
            </w:r>
          </w:p>
        </w:tc>
        <w:tc>
          <w:tcPr>
            <w:tcW w:w="0" w:type="dxa"/>
            <w:vAlign w:val="bottom"/>
          </w:tcPr>
          <w:p>
            <w:pPr>
              <w:spacing w:after="0"/>
              <w:rPr>
                <w:sz w:val="1"/>
                <w:szCs w:val="1"/>
                <w:color w:val="auto"/>
              </w:rPr>
            </w:pPr>
          </w:p>
        </w:tc>
      </w:tr>
      <w:tr>
        <w:trPr>
          <w:trHeight w:val="258"/>
        </w:trPr>
        <w:tc>
          <w:tcPr>
            <w:tcW w:w="1480" w:type="dxa"/>
            <w:vAlign w:val="bottom"/>
          </w:tcPr>
          <w:p>
            <w:pPr>
              <w:jc w:val="center"/>
              <w:spacing w:after="0"/>
              <w:rPr>
                <w:sz w:val="20"/>
                <w:szCs w:val="20"/>
                <w:color w:val="auto"/>
              </w:rPr>
            </w:pPr>
            <w:r>
              <w:rPr>
                <w:rFonts w:ascii="Arial" w:cs="Arial" w:eastAsia="Arial" w:hAnsi="Arial"/>
                <w:sz w:val="20"/>
                <w:szCs w:val="20"/>
                <w:color w:val="auto"/>
                <w:w w:val="98"/>
              </w:rPr>
              <w:t>Disclosures</w:t>
            </w:r>
          </w:p>
        </w:tc>
        <w:tc>
          <w:tcPr>
            <w:tcW w:w="75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 xml:space="preserve">shared our Board skills matrix </w:t>
            </w:r>
            <w:r>
              <w:rPr>
                <w:rFonts w:ascii="Arial" w:cs="Arial" w:eastAsia="Arial" w:hAnsi="Arial"/>
                <w:sz w:val="16"/>
                <w:szCs w:val="16"/>
                <w:color w:val="auto"/>
              </w:rPr>
              <w:t>beginning in 2016 and updated the matrix with additional skills in 2024</w:t>
            </w:r>
          </w:p>
        </w:tc>
        <w:tc>
          <w:tcPr>
            <w:tcW w:w="0" w:type="dxa"/>
            <w:vAlign w:val="bottom"/>
          </w:tcPr>
          <w:p>
            <w:pPr>
              <w:spacing w:after="0"/>
              <w:rPr>
                <w:sz w:val="1"/>
                <w:szCs w:val="1"/>
                <w:color w:val="auto"/>
              </w:rPr>
            </w:pPr>
          </w:p>
        </w:tc>
      </w:tr>
      <w:tr>
        <w:trPr>
          <w:trHeight w:val="71"/>
        </w:trPr>
        <w:tc>
          <w:tcPr>
            <w:tcW w:w="1480" w:type="dxa"/>
            <w:vAlign w:val="bottom"/>
          </w:tcPr>
          <w:p>
            <w:pPr>
              <w:spacing w:after="0"/>
              <w:rPr>
                <w:sz w:val="6"/>
                <w:szCs w:val="6"/>
                <w:color w:val="auto"/>
              </w:rPr>
            </w:pPr>
          </w:p>
        </w:tc>
        <w:tc>
          <w:tcPr>
            <w:tcW w:w="7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 xml:space="preserve">became a participating member in the </w:t>
      </w:r>
      <w:r>
        <w:rPr>
          <w:rFonts w:ascii="Arial" w:cs="Arial" w:eastAsia="Arial" w:hAnsi="Arial"/>
          <w:sz w:val="16"/>
          <w:szCs w:val="16"/>
          <w:b w:val="1"/>
          <w:bCs w:val="1"/>
          <w:color w:val="auto"/>
        </w:rPr>
        <w:t>UN Global Compact</w:t>
      </w:r>
      <w:r>
        <w:rPr>
          <w:rFonts w:ascii="Arial" w:cs="Arial" w:eastAsia="Arial" w:hAnsi="Arial"/>
          <w:sz w:val="16"/>
          <w:szCs w:val="16"/>
          <w:color w:val="auto"/>
        </w:rPr>
        <w:t xml:space="preserve"> in 2024</w:t>
      </w:r>
    </w:p>
    <w:p>
      <w:pPr>
        <w:spacing w:after="0" w:line="87"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 xml:space="preserve">increased our disclosures on Board risk oversight </w:t>
      </w:r>
      <w:r>
        <w:rPr>
          <w:rFonts w:ascii="Arial" w:cs="Arial" w:eastAsia="Arial" w:hAnsi="Arial"/>
          <w:sz w:val="16"/>
          <w:szCs w:val="16"/>
          <w:color w:val="auto"/>
        </w:rPr>
        <w:t>in 2023</w:t>
      </w:r>
    </w:p>
    <w:p>
      <w:pPr>
        <w:ind w:left="220"/>
        <w:spacing w:after="0"/>
        <w:tabs>
          <w:tab w:leader="none" w:pos="1820" w:val="left"/>
        </w:tabs>
        <w:rPr>
          <w:sz w:val="20"/>
          <w:szCs w:val="20"/>
          <w:color w:val="auto"/>
        </w:rPr>
      </w:pPr>
      <w:r>
        <w:rPr>
          <w:rFonts w:ascii="Arial" w:cs="Arial" w:eastAsia="Arial" w:hAnsi="Arial"/>
          <w:sz w:val="39"/>
          <w:szCs w:val="39"/>
          <w:color w:val="auto"/>
          <w:vertAlign w:val="superscript"/>
        </w:rPr>
        <w:t>ESG Disclosures</w:t>
      </w:r>
      <w:r>
        <w:rPr>
          <w:sz w:val="20"/>
          <w:szCs w:val="20"/>
          <w:color w:val="auto"/>
        </w:rPr>
        <w:tab/>
      </w:r>
      <w:r>
        <w:rPr>
          <w:rFonts w:ascii="Arial" w:cs="Arial" w:eastAsia="Arial" w:hAnsi="Arial"/>
          <w:sz w:val="14"/>
          <w:szCs w:val="14"/>
          <w:b w:val="1"/>
          <w:bCs w:val="1"/>
          <w:color w:val="auto"/>
        </w:rPr>
        <w:t xml:space="preserve">enhanced our website disclosures on political contributions and lobbying </w:t>
      </w:r>
      <w:r>
        <w:rPr>
          <w:rFonts w:ascii="Arial" w:cs="Arial" w:eastAsia="Arial" w:hAnsi="Arial"/>
          <w:sz w:val="14"/>
          <w:szCs w:val="14"/>
          <w:color w:val="auto"/>
        </w:rPr>
        <w:t>in 2022-2024</w:t>
      </w:r>
    </w:p>
    <w:p>
      <w:pPr>
        <w:spacing w:after="0" w:line="2" w:lineRule="exact"/>
        <w:rPr>
          <w:sz w:val="20"/>
          <w:szCs w:val="20"/>
          <w:color w:val="auto"/>
        </w:rPr>
      </w:pPr>
    </w:p>
    <w:p>
      <w:pPr>
        <w:ind w:left="1840" w:right="160"/>
        <w:spacing w:after="0" w:line="237" w:lineRule="auto"/>
        <w:rPr>
          <w:sz w:val="20"/>
          <w:szCs w:val="20"/>
          <w:color w:val="auto"/>
        </w:rPr>
      </w:pPr>
      <w:r>
        <w:rPr>
          <w:rFonts w:ascii="Arial" w:cs="Arial" w:eastAsia="Arial" w:hAnsi="Arial"/>
          <w:sz w:val="16"/>
          <w:szCs w:val="16"/>
          <w:b w:val="1"/>
          <w:bCs w:val="1"/>
          <w:color w:val="auto"/>
        </w:rPr>
        <w:t>issued a TCFD aligned report</w:t>
      </w:r>
      <w:r>
        <w:rPr>
          <w:rFonts w:ascii="Arial" w:cs="Arial" w:eastAsia="Arial" w:hAnsi="Arial"/>
          <w:sz w:val="16"/>
          <w:szCs w:val="16"/>
          <w:color w:val="auto"/>
        </w:rPr>
        <w:t>, starting in 2022</w:t>
      </w:r>
      <w:r>
        <w:rPr>
          <w:rFonts w:ascii="Arial" w:cs="Arial" w:eastAsia="Arial" w:hAnsi="Arial"/>
          <w:sz w:val="16"/>
          <w:szCs w:val="16"/>
          <w:b w:val="1"/>
          <w:bCs w:val="1"/>
          <w:color w:val="auto"/>
        </w:rPr>
        <w:t xml:space="preserve"> and SASB aligned reporting </w:t>
      </w:r>
      <w:r>
        <w:rPr>
          <w:rFonts w:ascii="Arial" w:cs="Arial" w:eastAsia="Arial" w:hAnsi="Arial"/>
          <w:sz w:val="16"/>
          <w:szCs w:val="16"/>
          <w:color w:val="auto"/>
        </w:rPr>
        <w:t>in our ESG Action Report,</w:t>
      </w:r>
      <w:r>
        <w:rPr>
          <w:rFonts w:ascii="Arial" w:cs="Arial" w:eastAsia="Arial" w:hAnsi="Arial"/>
          <w:sz w:val="16"/>
          <w:szCs w:val="16"/>
          <w:b w:val="1"/>
          <w:bCs w:val="1"/>
          <w:color w:val="auto"/>
        </w:rPr>
        <w:t xml:space="preserve"> </w:t>
      </w:r>
      <w:r>
        <w:rPr>
          <w:rFonts w:ascii="Arial" w:cs="Arial" w:eastAsia="Arial" w:hAnsi="Arial"/>
          <w:sz w:val="16"/>
          <w:szCs w:val="16"/>
          <w:color w:val="auto"/>
        </w:rPr>
        <w:t>starting in 2021</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320" w:type="dxa"/>
            <w:vAlign w:val="bottom"/>
          </w:tcPr>
          <w:p>
            <w:pPr>
              <w:ind w:left="55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481"/>
        </w:trPr>
        <w:tc>
          <w:tcPr>
            <w:tcW w:w="8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4898390</wp:posOffset>
            </wp:positionH>
            <wp:positionV relativeFrom="paragraph">
              <wp:posOffset>-499745</wp:posOffset>
            </wp:positionV>
            <wp:extent cx="797560" cy="148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PROXY SUMMARY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Additional highlights of our governance practices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587819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160"/>
          </w:cols>
          <w:pgMar w:left="1320" w:top="480" w:right="1419" w:bottom="1440" w:gutter="0" w:footer="0" w:header="0"/>
        </w:sectPr>
      </w:pPr>
    </w:p>
    <w:p>
      <w:pPr>
        <w:spacing w:after="0" w:line="14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71D49"/>
        </w:rPr>
        <w:t>Director independence</w:t>
      </w:r>
    </w:p>
    <w:p>
      <w:pPr>
        <w:spacing w:after="0" w:line="99" w:lineRule="exact"/>
        <w:rPr>
          <w:sz w:val="20"/>
          <w:szCs w:val="20"/>
          <w:color w:val="auto"/>
        </w:rPr>
      </w:pPr>
    </w:p>
    <w:p>
      <w:pPr>
        <w:ind w:left="260" w:right="300" w:hanging="176"/>
        <w:spacing w:after="0" w:line="250" w:lineRule="auto"/>
        <w:tabs>
          <w:tab w:leader="none" w:pos="261" w:val="left"/>
        </w:tabs>
        <w:numPr>
          <w:ilvl w:val="0"/>
          <w:numId w:val="10"/>
        </w:numPr>
        <w:rPr>
          <w:rFonts w:ascii="MS PGothic" w:cs="MS PGothic" w:eastAsia="MS PGothic" w:hAnsi="MS PGothic"/>
          <w:sz w:val="16"/>
          <w:szCs w:val="16"/>
          <w:color w:val="071D49"/>
        </w:rPr>
      </w:pPr>
      <w:r>
        <w:rPr>
          <w:rFonts w:ascii="Arial" w:cs="Arial" w:eastAsia="Arial" w:hAnsi="Arial"/>
          <w:sz w:val="16"/>
          <w:szCs w:val="16"/>
          <w:color w:val="auto"/>
        </w:rPr>
        <w:t>Twelve of AbbVie’s thirteen directors are independent and regularly meet in executive session</w:t>
      </w:r>
    </w:p>
    <w:p>
      <w:pPr>
        <w:jc w:val="both"/>
        <w:ind w:left="260" w:right="60" w:hanging="176"/>
        <w:spacing w:after="0" w:line="246" w:lineRule="auto"/>
        <w:tabs>
          <w:tab w:leader="none" w:pos="264" w:val="left"/>
        </w:tabs>
        <w:numPr>
          <w:ilvl w:val="0"/>
          <w:numId w:val="10"/>
        </w:numPr>
        <w:rPr>
          <w:rFonts w:ascii="MS PGothic" w:cs="MS PGothic" w:eastAsia="MS PGothic" w:hAnsi="MS PGothic"/>
          <w:sz w:val="16"/>
          <w:szCs w:val="16"/>
          <w:color w:val="071D49"/>
        </w:rPr>
      </w:pPr>
      <w:r>
        <w:rPr>
          <w:rFonts w:ascii="Arial" w:cs="Arial" w:eastAsia="Arial" w:hAnsi="Arial"/>
          <w:sz w:val="16"/>
          <w:szCs w:val="16"/>
          <w:color w:val="auto"/>
        </w:rPr>
        <w:t>Since our inception, we have had a Lead Independent Director with robust responsibilities</w:t>
      </w:r>
    </w:p>
    <w:p>
      <w:pPr>
        <w:ind w:left="260" w:hanging="176"/>
        <w:spacing w:after="0" w:line="250" w:lineRule="auto"/>
        <w:tabs>
          <w:tab w:leader="none" w:pos="255" w:val="left"/>
        </w:tabs>
        <w:numPr>
          <w:ilvl w:val="0"/>
          <w:numId w:val="10"/>
        </w:numPr>
        <w:rPr>
          <w:rFonts w:ascii="MS PGothic" w:cs="MS PGothic" w:eastAsia="MS PGothic" w:hAnsi="MS PGothic"/>
          <w:sz w:val="16"/>
          <w:szCs w:val="16"/>
          <w:color w:val="071D49"/>
        </w:rPr>
      </w:pPr>
      <w:r>
        <w:rPr>
          <w:rFonts w:ascii="Arial" w:cs="Arial" w:eastAsia="Arial" w:hAnsi="Arial"/>
          <w:sz w:val="16"/>
          <w:szCs w:val="16"/>
          <w:color w:val="auto"/>
        </w:rPr>
        <w:t>All members of our audit, compensation, nominations and governance, and public policy and sustainability committees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183705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3705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071D49"/>
        </w:rPr>
        <w:t>Stockholder rights</w:t>
      </w:r>
    </w:p>
    <w:p>
      <w:pPr>
        <w:spacing w:after="0" w:line="99" w:lineRule="exact"/>
        <w:rPr>
          <w:sz w:val="20"/>
          <w:szCs w:val="20"/>
          <w:color w:val="auto"/>
        </w:rPr>
      </w:pPr>
    </w:p>
    <w:p>
      <w:pPr>
        <w:ind w:left="180" w:right="100" w:hanging="177"/>
        <w:spacing w:after="0" w:line="259" w:lineRule="auto"/>
        <w:tabs>
          <w:tab w:leader="none" w:pos="175" w:val="left"/>
        </w:tabs>
        <w:numPr>
          <w:ilvl w:val="0"/>
          <w:numId w:val="11"/>
        </w:numPr>
        <w:rPr>
          <w:rFonts w:ascii="MS PGothic" w:cs="MS PGothic" w:eastAsia="MS PGothic" w:hAnsi="MS PGothic"/>
          <w:sz w:val="16"/>
          <w:szCs w:val="16"/>
          <w:color w:val="071D49"/>
        </w:rPr>
      </w:pPr>
      <w:r>
        <w:rPr>
          <w:rFonts w:ascii="Arial" w:cs="Arial" w:eastAsia="Arial" w:hAnsi="Arial"/>
          <w:sz w:val="16"/>
          <w:szCs w:val="16"/>
          <w:color w:val="auto"/>
        </w:rPr>
        <w:t>Adopted a proxy access By-Law provision for 3%/3 years</w:t>
      </w:r>
    </w:p>
    <w:p>
      <w:pPr>
        <w:ind w:left="180" w:right="260" w:hanging="177"/>
        <w:spacing w:after="0" w:line="248" w:lineRule="auto"/>
        <w:tabs>
          <w:tab w:leader="none" w:pos="184" w:val="left"/>
        </w:tabs>
        <w:numPr>
          <w:ilvl w:val="0"/>
          <w:numId w:val="11"/>
        </w:numPr>
        <w:rPr>
          <w:rFonts w:ascii="MS PGothic" w:cs="MS PGothic" w:eastAsia="MS PGothic" w:hAnsi="MS PGothic"/>
          <w:sz w:val="16"/>
          <w:szCs w:val="16"/>
          <w:color w:val="071D49"/>
        </w:rPr>
      </w:pPr>
      <w:r>
        <w:rPr>
          <w:rFonts w:ascii="Arial" w:cs="Arial" w:eastAsia="Arial" w:hAnsi="Arial"/>
          <w:sz w:val="16"/>
          <w:szCs w:val="16"/>
          <w:color w:val="auto"/>
        </w:rPr>
        <w:t>We do not have a stockholder rights plan or “poison pill”</w:t>
      </w:r>
    </w:p>
    <w:p>
      <w:pPr>
        <w:spacing w:after="0" w:line="1" w:lineRule="exact"/>
        <w:rPr>
          <w:rFonts w:ascii="MS PGothic" w:cs="MS PGothic" w:eastAsia="MS PGothic" w:hAnsi="MS PGothic"/>
          <w:sz w:val="16"/>
          <w:szCs w:val="16"/>
          <w:color w:val="071D49"/>
        </w:rPr>
      </w:pPr>
    </w:p>
    <w:p>
      <w:pPr>
        <w:ind w:left="180" w:hanging="177"/>
        <w:spacing w:after="0" w:line="248" w:lineRule="auto"/>
        <w:tabs>
          <w:tab w:leader="none" w:pos="184" w:val="left"/>
        </w:tabs>
        <w:numPr>
          <w:ilvl w:val="0"/>
          <w:numId w:val="11"/>
        </w:numPr>
        <w:rPr>
          <w:rFonts w:ascii="MS PGothic" w:cs="MS PGothic" w:eastAsia="MS PGothic" w:hAnsi="MS PGothic"/>
          <w:sz w:val="16"/>
          <w:szCs w:val="16"/>
          <w:color w:val="071D49"/>
        </w:rPr>
      </w:pPr>
      <w:r>
        <w:rPr>
          <w:rFonts w:ascii="Arial" w:cs="Arial" w:eastAsia="Arial" w:hAnsi="Arial"/>
          <w:sz w:val="16"/>
          <w:szCs w:val="16"/>
          <w:color w:val="auto"/>
        </w:rPr>
        <w:t>Our directors are elected by a majority vote of our stockholders for uncontested elections, and we have a resignation policy if the director fails to receive a majority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292100</wp:posOffset>
            </wp:positionV>
            <wp:extent cx="183705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3705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071D49"/>
        </w:rPr>
        <w:t>Board and executive accountability</w:t>
      </w:r>
    </w:p>
    <w:p>
      <w:pPr>
        <w:spacing w:after="0" w:line="99" w:lineRule="exact"/>
        <w:rPr>
          <w:sz w:val="20"/>
          <w:szCs w:val="20"/>
          <w:color w:val="auto"/>
        </w:rPr>
      </w:pPr>
    </w:p>
    <w:p>
      <w:pPr>
        <w:ind w:left="180" w:right="520" w:hanging="178"/>
        <w:spacing w:after="0" w:line="259" w:lineRule="auto"/>
        <w:tabs>
          <w:tab w:leader="none" w:pos="175" w:val="left"/>
        </w:tabs>
        <w:numPr>
          <w:ilvl w:val="0"/>
          <w:numId w:val="12"/>
        </w:numPr>
        <w:rPr>
          <w:rFonts w:ascii="MS PGothic" w:cs="MS PGothic" w:eastAsia="MS PGothic" w:hAnsi="MS PGothic"/>
          <w:sz w:val="16"/>
          <w:szCs w:val="16"/>
          <w:color w:val="071D49"/>
        </w:rPr>
      </w:pPr>
      <w:r>
        <w:rPr>
          <w:rFonts w:ascii="Arial" w:cs="Arial" w:eastAsia="Arial" w:hAnsi="Arial"/>
          <w:sz w:val="16"/>
          <w:szCs w:val="16"/>
          <w:color w:val="auto"/>
        </w:rPr>
        <w:t>Annual executive succession planning</w:t>
      </w:r>
    </w:p>
    <w:p>
      <w:pPr>
        <w:ind w:left="180" w:right="80" w:hanging="178"/>
        <w:spacing w:after="0" w:line="246" w:lineRule="auto"/>
        <w:tabs>
          <w:tab w:leader="none" w:pos="184" w:val="left"/>
        </w:tabs>
        <w:numPr>
          <w:ilvl w:val="0"/>
          <w:numId w:val="12"/>
        </w:numPr>
        <w:rPr>
          <w:rFonts w:ascii="MS PGothic" w:cs="MS PGothic" w:eastAsia="MS PGothic" w:hAnsi="MS PGothic"/>
          <w:sz w:val="16"/>
          <w:szCs w:val="16"/>
          <w:color w:val="071D49"/>
        </w:rPr>
      </w:pPr>
      <w:r>
        <w:rPr>
          <w:rFonts w:ascii="Arial" w:cs="Arial" w:eastAsia="Arial" w:hAnsi="Arial"/>
          <w:sz w:val="16"/>
          <w:szCs w:val="16"/>
          <w:color w:val="auto"/>
        </w:rPr>
        <w:t>Minimum stock ownership guidelines are in place for the CEO and other NEOs</w:t>
      </w:r>
    </w:p>
    <w:p>
      <w:pPr>
        <w:ind w:left="180" w:right="620" w:hanging="178"/>
        <w:spacing w:after="0" w:line="246" w:lineRule="auto"/>
        <w:tabs>
          <w:tab w:leader="none" w:pos="184" w:val="left"/>
        </w:tabs>
        <w:numPr>
          <w:ilvl w:val="0"/>
          <w:numId w:val="12"/>
        </w:numPr>
        <w:rPr>
          <w:rFonts w:ascii="MS PGothic" w:cs="MS PGothic" w:eastAsia="MS PGothic" w:hAnsi="MS PGothic"/>
          <w:sz w:val="16"/>
          <w:szCs w:val="16"/>
          <w:color w:val="071D49"/>
        </w:rPr>
      </w:pPr>
      <w:r>
        <w:rPr>
          <w:rFonts w:ascii="Arial" w:cs="Arial" w:eastAsia="Arial" w:hAnsi="Arial"/>
          <w:sz w:val="16"/>
          <w:szCs w:val="16"/>
          <w:color w:val="auto"/>
        </w:rPr>
        <w:t>We have a related person transaction policy to ensure appropriate oversight</w:t>
      </w:r>
    </w:p>
    <w:p>
      <w:pPr>
        <w:ind w:left="180" w:right="400" w:hanging="178"/>
        <w:spacing w:after="0" w:line="259" w:lineRule="auto"/>
        <w:tabs>
          <w:tab w:leader="none" w:pos="184" w:val="left"/>
        </w:tabs>
        <w:numPr>
          <w:ilvl w:val="0"/>
          <w:numId w:val="12"/>
        </w:numPr>
        <w:rPr>
          <w:rFonts w:ascii="MS PGothic" w:cs="MS PGothic" w:eastAsia="MS PGothic" w:hAnsi="MS PGothic"/>
          <w:sz w:val="16"/>
          <w:szCs w:val="16"/>
          <w:color w:val="071D49"/>
        </w:rPr>
      </w:pPr>
      <w:r>
        <w:rPr>
          <w:rFonts w:ascii="Arial" w:cs="Arial" w:eastAsia="Arial" w:hAnsi="Arial"/>
          <w:sz w:val="16"/>
          <w:szCs w:val="16"/>
          <w:color w:val="auto"/>
        </w:rPr>
        <w:t>We hold an annual say-on-pay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161290</wp:posOffset>
            </wp:positionV>
            <wp:extent cx="189166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91665" cy="15875"/>
                    </a:xfrm>
                    <a:prstGeom prst="rect">
                      <a:avLst/>
                    </a:prstGeom>
                    <a:noFill/>
                  </pic:spPr>
                </pic:pic>
              </a:graphicData>
            </a:graphic>
          </wp:anchor>
        </w:drawing>
      </w:r>
    </w:p>
    <w:p>
      <w:pPr>
        <w:spacing w:after="0" w:line="365" w:lineRule="exact"/>
        <w:rPr>
          <w:sz w:val="20"/>
          <w:szCs w:val="20"/>
          <w:color w:val="auto"/>
        </w:rPr>
      </w:pPr>
    </w:p>
    <w:p>
      <w:pPr>
        <w:sectPr>
          <w:pgSz w:w="11900" w:h="16838" w:orient="portrait"/>
          <w:cols w:equalWidth="0" w:num="3">
            <w:col w:w="2740" w:space="480"/>
            <w:col w:w="2620" w:space="520"/>
            <w:col w:w="2800"/>
          </w:cols>
          <w:pgMar w:left="1320" w:top="480" w:right="1419" w:bottom="1440" w:gutter="0" w:footer="0" w:header="0"/>
          <w:type w:val="continuous"/>
        </w:sectPr>
      </w:pPr>
    </w:p>
    <w:p>
      <w:pPr>
        <w:spacing w:after="0" w:line="20" w:lineRule="exact"/>
        <w:rPr>
          <w:sz w:val="20"/>
          <w:szCs w:val="20"/>
          <w:color w:val="auto"/>
        </w:rPr>
      </w:pPr>
    </w:p>
    <w:p>
      <w:pPr>
        <w:ind w:left="80" w:right="860"/>
        <w:spacing w:after="0" w:line="281" w:lineRule="auto"/>
        <w:rPr>
          <w:sz w:val="20"/>
          <w:szCs w:val="20"/>
          <w:color w:val="auto"/>
        </w:rPr>
      </w:pPr>
      <w:r>
        <w:rPr>
          <w:rFonts w:ascii="Arial" w:cs="Arial" w:eastAsia="Arial" w:hAnsi="Arial"/>
          <w:sz w:val="16"/>
          <w:szCs w:val="16"/>
          <w:b w:val="1"/>
          <w:bCs w:val="1"/>
          <w:color w:val="071D49"/>
        </w:rPr>
        <w:t>Board composition and effectiveness</w:t>
      </w:r>
    </w:p>
    <w:p>
      <w:pPr>
        <w:spacing w:after="0" w:line="37" w:lineRule="exact"/>
        <w:rPr>
          <w:sz w:val="20"/>
          <w:szCs w:val="20"/>
          <w:color w:val="auto"/>
        </w:rPr>
      </w:pPr>
    </w:p>
    <w:p>
      <w:pPr>
        <w:ind w:left="260" w:hanging="176"/>
        <w:spacing w:after="0" w:line="250" w:lineRule="auto"/>
        <w:tabs>
          <w:tab w:leader="none" w:pos="264" w:val="left"/>
        </w:tabs>
        <w:numPr>
          <w:ilvl w:val="0"/>
          <w:numId w:val="13"/>
        </w:numPr>
        <w:rPr>
          <w:rFonts w:ascii="MS PGothic" w:cs="MS PGothic" w:eastAsia="MS PGothic" w:hAnsi="MS PGothic"/>
          <w:sz w:val="16"/>
          <w:szCs w:val="16"/>
          <w:color w:val="071D49"/>
        </w:rPr>
      </w:pPr>
      <w:r>
        <w:rPr>
          <w:rFonts w:ascii="Arial" w:cs="Arial" w:eastAsia="Arial" w:hAnsi="Arial"/>
          <w:sz w:val="16"/>
          <w:szCs w:val="16"/>
          <w:color w:val="auto"/>
        </w:rPr>
        <w:t>Our governance guidelines restrict the number of boards our directors may serve on to prevent overboarding</w:t>
      </w:r>
    </w:p>
    <w:p>
      <w:pPr>
        <w:ind w:left="260" w:right="80" w:hanging="176"/>
        <w:spacing w:after="0" w:line="243" w:lineRule="auto"/>
        <w:tabs>
          <w:tab w:leader="none" w:pos="255" w:val="left"/>
        </w:tabs>
        <w:numPr>
          <w:ilvl w:val="0"/>
          <w:numId w:val="13"/>
        </w:numPr>
        <w:rPr>
          <w:rFonts w:ascii="MS PGothic" w:cs="MS PGothic" w:eastAsia="MS PGothic" w:hAnsi="MS PGothic"/>
          <w:sz w:val="16"/>
          <w:szCs w:val="16"/>
          <w:color w:val="071D49"/>
        </w:rPr>
      </w:pPr>
      <w:r>
        <w:rPr>
          <w:rFonts w:ascii="Arial" w:cs="Arial" w:eastAsia="Arial" w:hAnsi="Arial"/>
          <w:sz w:val="16"/>
          <w:szCs w:val="16"/>
          <w:color w:val="auto"/>
        </w:rPr>
        <w:t>Annual board and committee self-assessments and regular board succession planning, including an assessment of current director skillset, upcoming potential retirements, and optimal board size</w:t>
      </w:r>
    </w:p>
    <w:p>
      <w:pPr>
        <w:ind w:left="260" w:right="200" w:hanging="176"/>
        <w:spacing w:after="0" w:line="248" w:lineRule="auto"/>
        <w:tabs>
          <w:tab w:leader="none" w:pos="255" w:val="left"/>
        </w:tabs>
        <w:numPr>
          <w:ilvl w:val="0"/>
          <w:numId w:val="13"/>
        </w:numPr>
        <w:rPr>
          <w:rFonts w:ascii="MS PGothic" w:cs="MS PGothic" w:eastAsia="MS PGothic" w:hAnsi="MS PGothic"/>
          <w:sz w:val="16"/>
          <w:szCs w:val="16"/>
          <w:color w:val="071D49"/>
        </w:rPr>
      </w:pPr>
      <w:r>
        <w:rPr>
          <w:rFonts w:ascii="Arial" w:cs="Arial" w:eastAsia="Arial" w:hAnsi="Arial"/>
          <w:sz w:val="16"/>
          <w:szCs w:val="16"/>
          <w:color w:val="auto"/>
        </w:rPr>
        <w:t>As part of its comprehensive assessment of potential director nominees, the board considers how a specific nominee would contribute to the board’s overall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183705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3705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81" w:lineRule="auto"/>
        <w:rPr>
          <w:sz w:val="20"/>
          <w:szCs w:val="20"/>
          <w:color w:val="auto"/>
        </w:rPr>
      </w:pPr>
      <w:r>
        <w:rPr>
          <w:rFonts w:ascii="Arial" w:cs="Arial" w:eastAsia="Arial" w:hAnsi="Arial"/>
          <w:sz w:val="16"/>
          <w:szCs w:val="16"/>
          <w:b w:val="1"/>
          <w:bCs w:val="1"/>
          <w:color w:val="071D49"/>
        </w:rPr>
        <w:t>Clawback and anti-hedging and anti-pledging policies</w:t>
      </w:r>
    </w:p>
    <w:p>
      <w:pPr>
        <w:spacing w:after="0" w:line="37" w:lineRule="exact"/>
        <w:rPr>
          <w:sz w:val="20"/>
          <w:szCs w:val="20"/>
          <w:color w:val="auto"/>
        </w:rPr>
      </w:pPr>
    </w:p>
    <w:p>
      <w:pPr>
        <w:ind w:left="180" w:hanging="177"/>
        <w:spacing w:after="0" w:line="247" w:lineRule="auto"/>
        <w:tabs>
          <w:tab w:leader="none" w:pos="184" w:val="left"/>
        </w:tabs>
        <w:numPr>
          <w:ilvl w:val="0"/>
          <w:numId w:val="14"/>
        </w:numPr>
        <w:rPr>
          <w:rFonts w:ascii="MS PGothic" w:cs="MS PGothic" w:eastAsia="MS PGothic" w:hAnsi="MS PGothic"/>
          <w:sz w:val="16"/>
          <w:szCs w:val="16"/>
          <w:color w:val="071D49"/>
        </w:rPr>
      </w:pPr>
      <w:r>
        <w:rPr>
          <w:rFonts w:ascii="Arial" w:cs="Arial" w:eastAsia="Arial" w:hAnsi="Arial"/>
          <w:sz w:val="16"/>
          <w:szCs w:val="16"/>
          <w:color w:val="auto"/>
        </w:rPr>
        <w:t>Mandatory clawback of excess compensation in the event of a restatement, plus broad discretion to clawback compensation in the event of a material breach of the AbbVie Code of Business Conduct</w:t>
      </w:r>
    </w:p>
    <w:p>
      <w:pPr>
        <w:ind w:left="180" w:right="60" w:hanging="177"/>
        <w:spacing w:after="0" w:line="243" w:lineRule="auto"/>
        <w:tabs>
          <w:tab w:leader="none" w:pos="184" w:val="left"/>
        </w:tabs>
        <w:numPr>
          <w:ilvl w:val="0"/>
          <w:numId w:val="14"/>
        </w:numPr>
        <w:rPr>
          <w:rFonts w:ascii="MS PGothic" w:cs="MS PGothic" w:eastAsia="MS PGothic" w:hAnsi="MS PGothic"/>
          <w:sz w:val="16"/>
          <w:szCs w:val="16"/>
          <w:color w:val="071D49"/>
        </w:rPr>
      </w:pPr>
      <w:r>
        <w:rPr>
          <w:rFonts w:ascii="Arial" w:cs="Arial" w:eastAsia="Arial" w:hAnsi="Arial"/>
          <w:sz w:val="16"/>
          <w:szCs w:val="16"/>
          <w:color w:val="auto"/>
        </w:rPr>
        <w:t>Directors and executive officers are prohibited from buying or selling any financial instruments designed to hedge or offset any decrease in the market value of AbbVie equity securities they hold</w:t>
      </w:r>
    </w:p>
    <w:p>
      <w:pPr>
        <w:spacing w:after="0" w:line="2" w:lineRule="exact"/>
        <w:rPr>
          <w:rFonts w:ascii="MS PGothic" w:cs="MS PGothic" w:eastAsia="MS PGothic" w:hAnsi="MS PGothic"/>
          <w:sz w:val="16"/>
          <w:szCs w:val="16"/>
          <w:color w:val="071D49"/>
        </w:rPr>
      </w:pPr>
    </w:p>
    <w:p>
      <w:pPr>
        <w:ind w:left="180" w:right="240" w:hanging="177"/>
        <w:spacing w:after="0" w:line="253" w:lineRule="auto"/>
        <w:tabs>
          <w:tab w:leader="none" w:pos="184" w:val="left"/>
        </w:tabs>
        <w:numPr>
          <w:ilvl w:val="0"/>
          <w:numId w:val="14"/>
        </w:numPr>
        <w:rPr>
          <w:rFonts w:ascii="MS PGothic" w:cs="MS PGothic" w:eastAsia="MS PGothic" w:hAnsi="MS PGothic"/>
          <w:sz w:val="16"/>
          <w:szCs w:val="16"/>
          <w:color w:val="071D49"/>
        </w:rPr>
      </w:pPr>
      <w:r>
        <w:rPr>
          <w:rFonts w:ascii="Arial" w:cs="Arial" w:eastAsia="Arial" w:hAnsi="Arial"/>
          <w:sz w:val="16"/>
          <w:szCs w:val="16"/>
          <w:color w:val="auto"/>
        </w:rPr>
        <w:t>Directors and executive officers are prohibited from pledging AbbVie stock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109855</wp:posOffset>
            </wp:positionV>
            <wp:extent cx="183705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3705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71D49"/>
        </w:rPr>
        <w:t>Other ESG practices</w:t>
      </w:r>
    </w:p>
    <w:p>
      <w:pPr>
        <w:spacing w:after="0" w:line="99" w:lineRule="exact"/>
        <w:rPr>
          <w:sz w:val="20"/>
          <w:szCs w:val="20"/>
          <w:color w:val="auto"/>
        </w:rPr>
      </w:pPr>
    </w:p>
    <w:p>
      <w:pPr>
        <w:ind w:left="180" w:hanging="178"/>
        <w:spacing w:after="0" w:line="253" w:lineRule="auto"/>
        <w:tabs>
          <w:tab w:leader="none" w:pos="184" w:val="left"/>
        </w:tabs>
        <w:numPr>
          <w:ilvl w:val="0"/>
          <w:numId w:val="15"/>
        </w:numPr>
        <w:rPr>
          <w:rFonts w:ascii="MS PGothic" w:cs="MS PGothic" w:eastAsia="MS PGothic" w:hAnsi="MS PGothic"/>
          <w:sz w:val="16"/>
          <w:szCs w:val="16"/>
          <w:color w:val="071D49"/>
        </w:rPr>
      </w:pPr>
      <w:r>
        <w:rPr>
          <w:rFonts w:ascii="Arial" w:cs="Arial" w:eastAsia="Arial" w:hAnsi="Arial"/>
          <w:sz w:val="16"/>
          <w:szCs w:val="16"/>
          <w:color w:val="auto"/>
        </w:rPr>
        <w:t>ESG goals are incorporated into our executive compensation programs for all executives</w:t>
      </w:r>
    </w:p>
    <w:p>
      <w:pPr>
        <w:ind w:left="180" w:right="200" w:hanging="178"/>
        <w:spacing w:after="0" w:line="248" w:lineRule="auto"/>
        <w:tabs>
          <w:tab w:leader="none" w:pos="184" w:val="left"/>
        </w:tabs>
        <w:numPr>
          <w:ilvl w:val="0"/>
          <w:numId w:val="15"/>
        </w:numPr>
        <w:rPr>
          <w:rFonts w:ascii="MS PGothic" w:cs="MS PGothic" w:eastAsia="MS PGothic" w:hAnsi="MS PGothic"/>
          <w:sz w:val="16"/>
          <w:szCs w:val="16"/>
          <w:color w:val="071D49"/>
        </w:rPr>
      </w:pPr>
      <w:r>
        <w:rPr>
          <w:rFonts w:ascii="Arial" w:cs="Arial" w:eastAsia="Arial" w:hAnsi="Arial"/>
          <w:sz w:val="16"/>
          <w:szCs w:val="16"/>
          <w:color w:val="auto"/>
        </w:rPr>
        <w:t>We are guided by strong ethics programs and supplier guidelines</w:t>
      </w:r>
    </w:p>
    <w:p>
      <w:pPr>
        <w:spacing w:after="0" w:line="1" w:lineRule="exact"/>
        <w:rPr>
          <w:rFonts w:ascii="MS PGothic" w:cs="MS PGothic" w:eastAsia="MS PGothic" w:hAnsi="MS PGothic"/>
          <w:sz w:val="16"/>
          <w:szCs w:val="16"/>
          <w:color w:val="071D49"/>
        </w:rPr>
      </w:pPr>
    </w:p>
    <w:p>
      <w:pPr>
        <w:ind w:left="180" w:right="80" w:hanging="178"/>
        <w:spacing w:after="0" w:line="248" w:lineRule="auto"/>
        <w:tabs>
          <w:tab w:leader="none" w:pos="184" w:val="left"/>
        </w:tabs>
        <w:numPr>
          <w:ilvl w:val="0"/>
          <w:numId w:val="15"/>
        </w:numPr>
        <w:rPr>
          <w:rFonts w:ascii="MS PGothic" w:cs="MS PGothic" w:eastAsia="MS PGothic" w:hAnsi="MS PGothic"/>
          <w:sz w:val="16"/>
          <w:szCs w:val="16"/>
          <w:color w:val="071D49"/>
        </w:rPr>
      </w:pPr>
      <w:r>
        <w:rPr>
          <w:rFonts w:ascii="Arial" w:cs="Arial" w:eastAsia="Arial" w:hAnsi="Arial"/>
          <w:sz w:val="16"/>
          <w:szCs w:val="16"/>
          <w:color w:val="auto"/>
        </w:rPr>
        <w:t>We disclose our corporate political contributions, our trade association memberships, and oversight process on our website and expanded these disclosures in 2022,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815975</wp:posOffset>
            </wp:positionV>
            <wp:extent cx="189166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91665" cy="15875"/>
                    </a:xfrm>
                    <a:prstGeom prst="rect">
                      <a:avLst/>
                    </a:prstGeom>
                    <a:noFill/>
                  </pic:spPr>
                </pic:pic>
              </a:graphicData>
            </a:graphic>
          </wp:anchor>
        </w:drawing>
      </w:r>
    </w:p>
    <w:p>
      <w:pPr>
        <w:spacing w:after="0" w:line="1492" w:lineRule="exact"/>
        <w:rPr>
          <w:sz w:val="20"/>
          <w:szCs w:val="20"/>
          <w:color w:val="auto"/>
        </w:rPr>
      </w:pPr>
    </w:p>
    <w:p>
      <w:pPr>
        <w:sectPr>
          <w:pgSz w:w="11900" w:h="16838" w:orient="portrait"/>
          <w:cols w:equalWidth="0" w:num="3">
            <w:col w:w="2780" w:space="440"/>
            <w:col w:w="2700" w:space="440"/>
            <w:col w:w="2800"/>
          </w:cols>
          <w:pgMar w:left="1320" w:top="480" w:right="1419"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spacing w:after="0"/>
        <w:tabs>
          <w:tab w:leader="none" w:pos="246" w:val="left"/>
          <w:tab w:leader="none" w:pos="2020" w:val="left"/>
        </w:tabs>
        <w:rPr>
          <w:sz w:val="20"/>
          <w:szCs w:val="20"/>
          <w:color w:val="auto"/>
        </w:rPr>
      </w:pPr>
      <w:r>
        <w:rPr>
          <w:rFonts w:ascii="Arial" w:cs="Arial" w:eastAsia="Arial" w:hAnsi="Arial"/>
          <w:sz w:val="16"/>
          <w:szCs w:val="16"/>
          <w:color w:val="auto"/>
        </w:rPr>
        <w:t>6</w:t>
      </w:r>
      <w:r>
        <w:rPr>
          <w:sz w:val="20"/>
          <w:szCs w:val="20"/>
          <w:color w:val="auto"/>
        </w:rPr>
        <w:tab/>
      </w:r>
      <w:r>
        <w:rPr>
          <w:sz w:val="1"/>
          <w:szCs w:val="1"/>
          <w:color w:val="auto"/>
        </w:rPr>
        <w:drawing>
          <wp:inline distT="0" distB="0" distL="0" distR="0">
            <wp:extent cx="797560" cy="14859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160"/>
          </w:cols>
          <w:pgMar w:left="1320" w:top="480" w:right="14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7800"/>
        <w:spacing w:after="0"/>
        <w:rPr>
          <w:sz w:val="20"/>
          <w:szCs w:val="20"/>
          <w:color w:val="auto"/>
        </w:rPr>
      </w:pPr>
      <w:r>
        <w:rPr>
          <w:rFonts w:ascii="Arial" w:cs="Arial" w:eastAsia="Arial" w:hAnsi="Arial"/>
          <w:sz w:val="16"/>
          <w:szCs w:val="16"/>
          <w:color w:val="808080"/>
        </w:rPr>
        <w:t>PROXY SUMMARY</w:t>
      </w:r>
    </w:p>
    <w:p>
      <w:pPr>
        <w:spacing w:after="0" w:line="178" w:lineRule="exact"/>
        <w:rPr>
          <w:sz w:val="20"/>
          <w:szCs w:val="20"/>
          <w:color w:val="auto"/>
        </w:rPr>
      </w:pPr>
    </w:p>
    <w:p>
      <w:pPr>
        <w:spacing w:after="0"/>
        <w:rPr>
          <w:sz w:val="20"/>
          <w:szCs w:val="20"/>
          <w:color w:val="auto"/>
        </w:rPr>
      </w:pPr>
      <w:r>
        <w:rPr>
          <w:rFonts w:ascii="Arial" w:cs="Arial" w:eastAsia="Arial" w:hAnsi="Arial"/>
          <w:sz w:val="30"/>
          <w:szCs w:val="30"/>
          <w:color w:val="auto"/>
        </w:rPr>
        <w:t>Our Approach to ESG</w:t>
      </w:r>
    </w:p>
    <w:p>
      <w:pPr>
        <w:spacing w:after="0" w:line="167"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As a research-driven global biopharmaceutical company, we apply the same high standards and rigor to the medicines and solutions we pursue, to how we operate our business. We recognize that our company and our industry have a unique opportunity to make a real difference in people’s lives—not just the breakthroughs we deliver, but also the responsible paths we take to achieve them. We advance environmental, social, and governance (ESG) initiatives that contribute to the sustainable growth of our company so that we can create positive impact for generations to come. Our approach to ESG is focused on elevating and transforming standards of care to make a remarkable impact in patients’ lives, developing our people to continually enhance our strong culture and taking steps to sustain AbbVie’s long-term growth, including managing our environmental impact.</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Our ESG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587819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pacing w:after="0" w:line="19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AbbVie’s Board of Directors, Board committees and executive leadership team review and advise on ESG topics to advance AbbVie’s business sustainability and impact on society. To further the strategic and enterprise-aligned delivery of AbbVie’s ESG strategy, we maintain an ESG Council, chaired by our Senior Vice President, Corporate Affairs, and composed of senior-level leaders from across the company. The ESG Council’s purpose is to champion business sustainability and mitigate business risks by monitoring, reviewing and recommending actions to the ESG Council Chair, members of the executive leadership team, and AbbVie’s Chairman of the Board and Chief Executive Officer. The ESG Council Chair may also present certain recommendations of the ESG Council from time to time to the Board as appropriate.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Our Priority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587819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pacing w:after="0" w:line="190"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Our priority ESG topics have been determined by a Double Materiality Assessment, evaluating both the financial impact of sustainability issues on our company and our impact on society and the environment. AbbVie’s Double Materiality Assessment was completed in 2024 and identified seven ESG topics:</w:t>
      </w:r>
    </w:p>
    <w:p>
      <w:pPr>
        <w:spacing w:after="0" w:line="2" w:lineRule="exact"/>
        <w:rPr>
          <w:sz w:val="20"/>
          <w:szCs w:val="20"/>
          <w:color w:val="auto"/>
        </w:rPr>
      </w:pPr>
    </w:p>
    <w:p>
      <w:pPr>
        <w:ind w:left="600" w:hanging="289"/>
        <w:spacing w:after="0"/>
        <w:tabs>
          <w:tab w:leader="none" w:pos="6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Product Innovation</w:t>
      </w:r>
    </w:p>
    <w:p>
      <w:pPr>
        <w:spacing w:after="0" w:line="15" w:lineRule="exact"/>
        <w:rPr>
          <w:rFonts w:ascii="Times New Roman" w:cs="Times New Roman" w:eastAsia="Times New Roman" w:hAnsi="Times New Roman"/>
          <w:sz w:val="16"/>
          <w:szCs w:val="16"/>
          <w:color w:val="auto"/>
        </w:rPr>
      </w:pPr>
    </w:p>
    <w:p>
      <w:pPr>
        <w:ind w:left="600" w:hanging="289"/>
        <w:spacing w:after="0"/>
        <w:tabs>
          <w:tab w:leader="none" w:pos="6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Patient Access and Affordability</w:t>
      </w:r>
    </w:p>
    <w:p>
      <w:pPr>
        <w:spacing w:after="0" w:line="24" w:lineRule="exact"/>
        <w:rPr>
          <w:rFonts w:ascii="Times New Roman" w:cs="Times New Roman" w:eastAsia="Times New Roman" w:hAnsi="Times New Roman"/>
          <w:sz w:val="16"/>
          <w:szCs w:val="16"/>
          <w:color w:val="auto"/>
        </w:rPr>
      </w:pPr>
    </w:p>
    <w:p>
      <w:pPr>
        <w:ind w:left="600" w:hanging="289"/>
        <w:spacing w:after="0"/>
        <w:tabs>
          <w:tab w:leader="none" w:pos="6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Product Quality &amp; Safety</w:t>
      </w:r>
    </w:p>
    <w:p>
      <w:pPr>
        <w:spacing w:after="0" w:line="24" w:lineRule="exact"/>
        <w:rPr>
          <w:rFonts w:ascii="Times New Roman" w:cs="Times New Roman" w:eastAsia="Times New Roman" w:hAnsi="Times New Roman"/>
          <w:sz w:val="16"/>
          <w:szCs w:val="16"/>
          <w:color w:val="auto"/>
        </w:rPr>
      </w:pPr>
    </w:p>
    <w:p>
      <w:pPr>
        <w:ind w:left="600" w:hanging="289"/>
        <w:spacing w:after="0"/>
        <w:tabs>
          <w:tab w:leader="none" w:pos="6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Privacy and Cybersecurity</w:t>
      </w:r>
    </w:p>
    <w:p>
      <w:pPr>
        <w:spacing w:after="0" w:line="24" w:lineRule="exact"/>
        <w:rPr>
          <w:rFonts w:ascii="Times New Roman" w:cs="Times New Roman" w:eastAsia="Times New Roman" w:hAnsi="Times New Roman"/>
          <w:sz w:val="16"/>
          <w:szCs w:val="16"/>
          <w:color w:val="auto"/>
        </w:rPr>
      </w:pPr>
    </w:p>
    <w:p>
      <w:pPr>
        <w:ind w:left="600" w:hanging="289"/>
        <w:spacing w:after="0"/>
        <w:tabs>
          <w:tab w:leader="none" w:pos="6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Business Conduct</w:t>
      </w:r>
    </w:p>
    <w:p>
      <w:pPr>
        <w:spacing w:after="0" w:line="24" w:lineRule="exact"/>
        <w:rPr>
          <w:rFonts w:ascii="Times New Roman" w:cs="Times New Roman" w:eastAsia="Times New Roman" w:hAnsi="Times New Roman"/>
          <w:sz w:val="16"/>
          <w:szCs w:val="16"/>
          <w:color w:val="auto"/>
        </w:rPr>
      </w:pPr>
    </w:p>
    <w:p>
      <w:pPr>
        <w:ind w:left="600" w:hanging="289"/>
        <w:spacing w:after="0"/>
        <w:tabs>
          <w:tab w:leader="none" w:pos="6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Our People and Culture</w:t>
      </w:r>
    </w:p>
    <w:p>
      <w:pPr>
        <w:spacing w:after="0" w:line="24" w:lineRule="exact"/>
        <w:rPr>
          <w:rFonts w:ascii="Times New Roman" w:cs="Times New Roman" w:eastAsia="Times New Roman" w:hAnsi="Times New Roman"/>
          <w:sz w:val="16"/>
          <w:szCs w:val="16"/>
          <w:color w:val="auto"/>
        </w:rPr>
      </w:pPr>
    </w:p>
    <w:p>
      <w:pPr>
        <w:ind w:left="600" w:hanging="289"/>
        <w:spacing w:after="0"/>
        <w:tabs>
          <w:tab w:leader="none" w:pos="6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Climate Change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2025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587819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pacing w:after="0" w:line="215" w:lineRule="exact"/>
        <w:rPr>
          <w:sz w:val="20"/>
          <w:szCs w:val="20"/>
          <w:color w:val="auto"/>
        </w:rPr>
      </w:pPr>
    </w:p>
    <w:p>
      <w:pPr>
        <w:ind w:left="600" w:right="120" w:hanging="289"/>
        <w:spacing w:after="0" w:line="277" w:lineRule="auto"/>
        <w:tabs>
          <w:tab w:leader="none" w:pos="6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Of the 91% of employees who responded to our 2025 AbbVie Employee Engagement Survey, 84% indicated they feel engaged in their work at AbbVie.</w:t>
      </w:r>
    </w:p>
    <w:p>
      <w:pPr>
        <w:ind w:left="600" w:right="40" w:hanging="289"/>
        <w:spacing w:after="0" w:line="272" w:lineRule="auto"/>
        <w:tabs>
          <w:tab w:leader="none" w:pos="6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In support of AbbVie's global target to reduce absolute scope 1 and 2 (market-based) GHG emissions by 42.0% by 2030, we have achieved a 32.4% reduction as of 2024. 2025 results for the target will be shared in the upcoming 2025 ESG Action Report.</w:t>
      </w:r>
    </w:p>
    <w:p>
      <w:pPr>
        <w:spacing w:after="0" w:line="1" w:lineRule="exact"/>
        <w:rPr>
          <w:rFonts w:ascii="Times New Roman" w:cs="Times New Roman" w:eastAsia="Times New Roman" w:hAnsi="Times New Roman"/>
          <w:sz w:val="16"/>
          <w:szCs w:val="16"/>
          <w:color w:val="auto"/>
        </w:rPr>
      </w:pPr>
    </w:p>
    <w:p>
      <w:pPr>
        <w:ind w:left="600" w:hanging="289"/>
        <w:spacing w:after="0"/>
        <w:tabs>
          <w:tab w:leader="none" w:pos="6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Over 210,000 U.S. patients were provided medicine at no cost through our patient assistance program in 2025.</w:t>
      </w:r>
    </w:p>
    <w:p>
      <w:pPr>
        <w:spacing w:after="0" w:line="24" w:lineRule="exact"/>
        <w:rPr>
          <w:rFonts w:ascii="Times New Roman" w:cs="Times New Roman" w:eastAsia="Times New Roman" w:hAnsi="Times New Roman"/>
          <w:sz w:val="16"/>
          <w:szCs w:val="16"/>
          <w:color w:val="auto"/>
        </w:rPr>
      </w:pPr>
    </w:p>
    <w:p>
      <w:pPr>
        <w:ind w:left="600" w:right="340" w:hanging="289"/>
        <w:spacing w:after="0" w:line="305" w:lineRule="auto"/>
        <w:tabs>
          <w:tab w:leader="none" w:pos="6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Nearly 14,000 AbbVie employees across 58 countries and territories contributed more than 44,000 volunteer hours during AbbVie Foundation’s annual Week of Possibilities program.</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ESG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587819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pacing w:after="0" w:line="190"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AbbVie primarily discloses information related to its ESG efforts and strategies in its annual ESG Action Report. Published in May 2025, the 2024 ESG Action Report includes detailed commentary about our approach, actions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320" w:type="dxa"/>
            <w:vAlign w:val="bottom"/>
          </w:tcPr>
          <w:p>
            <w:pPr>
              <w:ind w:left="55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493"/>
        </w:trPr>
        <w:tc>
          <w:tcPr>
            <w:tcW w:w="8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4898390</wp:posOffset>
            </wp:positionH>
            <wp:positionV relativeFrom="paragraph">
              <wp:posOffset>-507365</wp:posOffset>
            </wp:positionV>
            <wp:extent cx="797560" cy="148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PROXY SUMMARY</w:t>
      </w:r>
    </w:p>
    <w:p>
      <w:pPr>
        <w:spacing w:after="0" w:line="185" w:lineRule="exact"/>
        <w:rPr>
          <w:sz w:val="20"/>
          <w:szCs w:val="20"/>
          <w:color w:val="auto"/>
        </w:rPr>
      </w:pPr>
    </w:p>
    <w:p>
      <w:pPr>
        <w:ind w:right="79"/>
        <w:spacing w:after="0" w:line="249" w:lineRule="auto"/>
        <w:rPr>
          <w:sz w:val="20"/>
          <w:szCs w:val="20"/>
          <w:color w:val="auto"/>
        </w:rPr>
      </w:pPr>
      <w:r>
        <w:rPr>
          <w:rFonts w:ascii="Arial" w:cs="Arial" w:eastAsia="Arial" w:hAnsi="Arial"/>
          <w:sz w:val="16"/>
          <w:szCs w:val="16"/>
          <w:color w:val="auto"/>
        </w:rPr>
        <w:t>and commitments across key areas of our business; a Disclosure Supplement document containing AbbVie’s Sustainability Accounting Standards Board (SASB), Task Force on Climate-related Financial Disclosures (TCFD) and United Nations Sustainable Development Goals (SDGs) indices, our key performance indicator (KPI) data and our assurance statement; and ESG-related recognitions of our efforts. The full 2024 ESG Action Report can be found at https://www.abbvie.com/content/dam/abbvie-com2/pdfs/abbvie-esg-action-report.pdf. The 2025 ESG Action Report will be published on www.AbbVie.com no later than mid-year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246" w:val="left"/>
          <w:tab w:leader="none" w:pos="2020" w:val="left"/>
        </w:tabs>
        <w:rPr>
          <w:sz w:val="20"/>
          <w:szCs w:val="20"/>
          <w:color w:val="auto"/>
        </w:rPr>
      </w:pPr>
      <w:r>
        <w:rPr>
          <w:rFonts w:ascii="Arial" w:cs="Arial" w:eastAsia="Arial" w:hAnsi="Arial"/>
          <w:sz w:val="16"/>
          <w:szCs w:val="16"/>
          <w:color w:val="auto"/>
        </w:rPr>
        <w:t>8</w:t>
      </w:r>
      <w:r>
        <w:rPr>
          <w:sz w:val="20"/>
          <w:szCs w:val="20"/>
          <w:color w:val="auto"/>
        </w:rPr>
        <w:tab/>
      </w:r>
      <w:r>
        <w:rPr>
          <w:sz w:val="1"/>
          <w:szCs w:val="1"/>
          <w:color w:val="auto"/>
        </w:rPr>
        <w:drawing>
          <wp:inline distT="0" distB="0" distL="0" distR="0">
            <wp:extent cx="797560" cy="14859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139"/>
          </w:cols>
          <w:pgMar w:left="1320" w:top="480" w:right="1440"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PROXY SUMMARY</w:t>
      </w:r>
    </w:p>
    <w:p>
      <w:pPr>
        <w:spacing w:after="0" w:line="178" w:lineRule="exact"/>
        <w:rPr>
          <w:sz w:val="20"/>
          <w:szCs w:val="20"/>
          <w:color w:val="auto"/>
        </w:rPr>
      </w:pPr>
    </w:p>
    <w:p>
      <w:pPr>
        <w:spacing w:after="0"/>
        <w:rPr>
          <w:sz w:val="20"/>
          <w:szCs w:val="20"/>
          <w:color w:val="auto"/>
        </w:rPr>
      </w:pPr>
      <w:r>
        <w:rPr>
          <w:rFonts w:ascii="Arial" w:cs="Arial" w:eastAsia="Arial" w:hAnsi="Arial"/>
          <w:sz w:val="30"/>
          <w:szCs w:val="30"/>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5878195" cy="297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78195" cy="297180"/>
                    </a:xfrm>
                    <a:prstGeom prst="rect">
                      <a:avLst/>
                    </a:prstGeom>
                    <a:noFill/>
                  </pic:spPr>
                </pic:pic>
              </a:graphicData>
            </a:graphic>
          </wp:anchor>
        </w:drawing>
      </w:r>
    </w:p>
    <w:p>
      <w:pPr>
        <w:spacing w:after="0" w:line="209" w:lineRule="exact"/>
        <w:rPr>
          <w:sz w:val="20"/>
          <w:szCs w:val="20"/>
          <w:color w:val="auto"/>
        </w:rPr>
      </w:pPr>
    </w:p>
    <w:p>
      <w:pPr>
        <w:ind w:left="60" w:right="420"/>
        <w:spacing w:after="0" w:line="283" w:lineRule="auto"/>
        <w:rPr>
          <w:sz w:val="20"/>
          <w:szCs w:val="20"/>
          <w:color w:val="auto"/>
        </w:rPr>
      </w:pPr>
      <w:r>
        <w:rPr>
          <w:rFonts w:ascii="Arial" w:cs="Arial" w:eastAsia="Arial" w:hAnsi="Arial"/>
          <w:sz w:val="16"/>
          <w:szCs w:val="16"/>
          <w:color w:val="auto"/>
        </w:rPr>
        <w:t>The compensation committee has designed and implemented an executive compensation program in which a substantial majority of named executive officer (NEO) compensation at AbbVie is performance-based.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71D49"/>
        </w:rPr>
        <w:t>The goals of our compensation program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120650</wp:posOffset>
            </wp:positionV>
            <wp:extent cx="5901690" cy="7740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01690" cy="774065"/>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620" w:right="265" w:hanging="560"/>
        <w:spacing w:after="0" w:line="239" w:lineRule="auto"/>
        <w:tabs>
          <w:tab w:leader="none" w:pos="620" w:val="left"/>
        </w:tabs>
        <w:numPr>
          <w:ilvl w:val="0"/>
          <w:numId w:val="18"/>
        </w:numPr>
        <w:rPr>
          <w:rFonts w:ascii="Arial" w:cs="Arial" w:eastAsia="Arial" w:hAnsi="Arial"/>
          <w:sz w:val="21"/>
          <w:szCs w:val="21"/>
          <w:b w:val="1"/>
          <w:bCs w:val="1"/>
          <w:color w:val="071D49"/>
        </w:rPr>
      </w:pPr>
      <w:r>
        <w:rPr>
          <w:rFonts w:ascii="Arial" w:cs="Arial" w:eastAsia="Arial" w:hAnsi="Arial"/>
          <w:sz w:val="12"/>
          <w:szCs w:val="12"/>
          <w:color w:val="auto"/>
        </w:rPr>
        <w:t xml:space="preserve">with the drivers of stockholder returns and </w:t>
      </w:r>
      <w:r>
        <w:rPr>
          <w:rFonts w:ascii="Arial" w:cs="Arial" w:eastAsia="Arial" w:hAnsi="Arial"/>
          <w:sz w:val="15"/>
          <w:szCs w:val="15"/>
          <w:color w:val="auto"/>
          <w:vertAlign w:val="subscript"/>
        </w:rPr>
        <w:t>profitable growth</w:t>
      </w:r>
      <w:r>
        <w:rPr>
          <w:rFonts w:ascii="Arial" w:cs="Arial" w:eastAsia="Arial" w:hAnsi="Arial"/>
          <w:sz w:val="12"/>
          <w:szCs w:val="12"/>
          <w:b w:val="1"/>
          <w:bCs w:val="1"/>
          <w:color w:val="auto"/>
        </w:rPr>
        <w:t>Alignexecutive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575" w:right="55" w:hanging="575"/>
        <w:spacing w:after="0" w:line="189" w:lineRule="auto"/>
        <w:tabs>
          <w:tab w:leader="none" w:pos="575" w:val="left"/>
        </w:tabs>
        <w:numPr>
          <w:ilvl w:val="0"/>
          <w:numId w:val="19"/>
        </w:numPr>
        <w:rPr>
          <w:rFonts w:ascii="Arial" w:cs="Arial" w:eastAsia="Arial" w:hAnsi="Arial"/>
          <w:sz w:val="32"/>
          <w:szCs w:val="32"/>
          <w:b w:val="1"/>
          <w:bCs w:val="1"/>
          <w:color w:val="071D49"/>
        </w:rPr>
      </w:pPr>
      <w:r>
        <w:rPr>
          <w:rFonts w:ascii="Arial" w:cs="Arial" w:eastAsia="Arial" w:hAnsi="Arial"/>
          <w:sz w:val="13"/>
          <w:szCs w:val="13"/>
          <w:color w:val="auto"/>
        </w:rPr>
        <w:t xml:space="preserve">company’s </w:t>
      </w:r>
      <w:r>
        <w:rPr>
          <w:rFonts w:ascii="Arial" w:cs="Arial" w:eastAsia="Arial" w:hAnsi="Arial"/>
          <w:sz w:val="13"/>
          <w:szCs w:val="13"/>
          <w:b w:val="1"/>
          <w:bCs w:val="1"/>
          <w:color w:val="auto"/>
        </w:rPr>
        <w:t>primary</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business goals </w:t>
      </w:r>
      <w:r>
        <w:rPr>
          <w:rFonts w:ascii="Arial" w:cs="Arial" w:eastAsia="Arial" w:hAnsi="Arial"/>
          <w:sz w:val="13"/>
          <w:szCs w:val="13"/>
          <w:color w:val="auto"/>
        </w:rPr>
        <w:t>to have 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remarkable impact on </w:t>
      </w:r>
      <w:r>
        <w:rPr>
          <w:rFonts w:ascii="Arial" w:cs="Arial" w:eastAsia="Arial" w:hAnsi="Arial"/>
          <w:sz w:val="20"/>
          <w:szCs w:val="20"/>
          <w:color w:val="auto"/>
          <w:vertAlign w:val="subscript"/>
        </w:rPr>
        <w:t>patients’ lives</w:t>
      </w:r>
      <w:r>
        <w:rPr>
          <w:rFonts w:ascii="Arial" w:cs="Arial" w:eastAsia="Arial" w:hAnsi="Arial"/>
          <w:sz w:val="13"/>
          <w:szCs w:val="13"/>
          <w:color w:val="auto"/>
        </w:rPr>
        <w:t>Supportachievement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565" w:right="220" w:hanging="565"/>
        <w:spacing w:after="0" w:line="189" w:lineRule="auto"/>
        <w:tabs>
          <w:tab w:leader="none" w:pos="565" w:val="left"/>
        </w:tabs>
        <w:numPr>
          <w:ilvl w:val="0"/>
          <w:numId w:val="20"/>
        </w:numPr>
        <w:rPr>
          <w:rFonts w:ascii="Arial" w:cs="Arial" w:eastAsia="Arial" w:hAnsi="Arial"/>
          <w:sz w:val="32"/>
          <w:szCs w:val="32"/>
          <w:b w:val="1"/>
          <w:bCs w:val="1"/>
          <w:color w:val="071D49"/>
        </w:rPr>
      </w:pPr>
      <w:r>
        <w:rPr>
          <w:rFonts w:ascii="Arial" w:cs="Arial" w:eastAsia="Arial" w:hAnsi="Arial"/>
          <w:sz w:val="13"/>
          <w:szCs w:val="13"/>
          <w:b w:val="1"/>
          <w:bCs w:val="1"/>
          <w:color w:val="auto"/>
        </w:rPr>
        <w:t xml:space="preserve">class executives </w:t>
      </w:r>
      <w:r>
        <w:rPr>
          <w:rFonts w:ascii="Arial" w:cs="Arial" w:eastAsia="Arial" w:hAnsi="Arial"/>
          <w:sz w:val="13"/>
          <w:szCs w:val="13"/>
          <w:color w:val="auto"/>
        </w:rPr>
        <w:t>whose</w:t>
      </w:r>
      <w:r>
        <w:rPr>
          <w:rFonts w:ascii="Arial" w:cs="Arial" w:eastAsia="Arial" w:hAnsi="Arial"/>
          <w:sz w:val="13"/>
          <w:szCs w:val="13"/>
          <w:b w:val="1"/>
          <w:bCs w:val="1"/>
          <w:color w:val="auto"/>
        </w:rPr>
        <w:t xml:space="preserve"> </w:t>
      </w:r>
      <w:r>
        <w:rPr>
          <w:rFonts w:ascii="Arial" w:cs="Arial" w:eastAsia="Arial" w:hAnsi="Arial"/>
          <w:sz w:val="13"/>
          <w:szCs w:val="13"/>
          <w:color w:val="auto"/>
        </w:rPr>
        <w:t>talents and contributions sustain the growth in long-</w:t>
      </w:r>
      <w:r>
        <w:rPr>
          <w:rFonts w:ascii="Arial" w:cs="Arial" w:eastAsia="Arial" w:hAnsi="Arial"/>
          <w:sz w:val="20"/>
          <w:szCs w:val="20"/>
          <w:color w:val="auto"/>
          <w:vertAlign w:val="subscript"/>
        </w:rPr>
        <w:t>term stockholder value</w:t>
      </w:r>
      <w:r>
        <w:rPr>
          <w:rFonts w:ascii="Arial" w:cs="Arial" w:eastAsia="Arial" w:hAnsi="Arial"/>
          <w:sz w:val="13"/>
          <w:szCs w:val="13"/>
          <w:b w:val="1"/>
          <w:bCs w:val="1"/>
          <w:color w:val="auto"/>
        </w:rPr>
        <w:t>Attractandretainworld-</w:t>
      </w:r>
    </w:p>
    <w:p>
      <w:pPr>
        <w:spacing w:after="0" w:line="200" w:lineRule="exact"/>
        <w:rPr>
          <w:sz w:val="20"/>
          <w:szCs w:val="20"/>
          <w:color w:val="auto"/>
        </w:rPr>
      </w:pPr>
    </w:p>
    <w:p>
      <w:pPr>
        <w:sectPr>
          <w:pgSz w:w="11900" w:h="16838" w:orient="portrait"/>
          <w:cols w:equalWidth="0" w:num="3">
            <w:col w:w="2585" w:space="720"/>
            <w:col w:w="2530" w:space="720"/>
            <w:col w:w="2705"/>
          </w:cols>
          <w:pgMar w:left="1320" w:top="480" w:right="1319" w:bottom="1440" w:gutter="0" w:footer="0" w:header="0"/>
          <w:type w:val="continuous"/>
        </w:sectPr>
      </w:pPr>
    </w:p>
    <w:p>
      <w:pPr>
        <w:spacing w:after="0" w:line="8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When determining NEO compensation, the committee first considers the median of the competitive marketplace (as derived primarily from the Health Care Peer Group approved by the committee) as an initial benchmark for assessing compensation. The committee then takes into account the company’s overall performance against the financial, operating and strategic objectives that were established at the start of the performance period. Finally, specific pay determinations are made for each NEO based on individual performance against goals and contributions to the short- and long-term performance of the company.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071D49"/>
        </w:rPr>
        <w:t>Key components and design of our executive compensation program:</w:t>
      </w:r>
    </w:p>
    <w:p>
      <w:pPr>
        <w:spacing w:after="0" w:line="13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Three primary components make up AbbVie’s executive pay program: base salary, short-term incentives, and long-term incentives. The structure of each component is tailored to serve a specific function and purpose. The following is a summary of the key components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5878195" cy="266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78195" cy="266065"/>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0" w:type="dxa"/>
            <w:vAlign w:val="bottom"/>
            <w:tcBorders>
              <w:right w:val="single" w:sz="8" w:color="F1F1F1"/>
            </w:tcBorders>
            <w:shd w:val="clear" w:color="auto" w:fill="F1F1F1"/>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ind w:left="100"/>
              <w:spacing w:after="0"/>
              <w:rPr>
                <w:sz w:val="20"/>
                <w:szCs w:val="20"/>
                <w:color w:val="auto"/>
              </w:rPr>
            </w:pPr>
            <w:r>
              <w:rPr>
                <w:rFonts w:ascii="Arial" w:cs="Arial" w:eastAsia="Arial" w:hAnsi="Arial"/>
                <w:sz w:val="16"/>
                <w:szCs w:val="16"/>
                <w:b w:val="1"/>
                <w:bCs w:val="1"/>
                <w:color w:val="auto"/>
              </w:rPr>
              <w:t>Primary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0" w:type="dxa"/>
            <w:vAlign w:val="bottom"/>
            <w:tcBorders>
              <w:right w:val="single" w:sz="8" w:color="F1F1F1"/>
            </w:tcBorders>
            <w:shd w:val="clear" w:color="auto" w:fill="F1F1F1"/>
          </w:tcPr>
          <w:p>
            <w:pPr>
              <w:spacing w:after="0"/>
              <w:rPr>
                <w:sz w:val="19"/>
                <w:szCs w:val="19"/>
                <w:color w:val="auto"/>
              </w:rPr>
            </w:pPr>
          </w:p>
        </w:tc>
        <w:tc>
          <w:tcPr>
            <w:tcW w:w="1100" w:type="dxa"/>
            <w:vAlign w:val="bottom"/>
          </w:tcPr>
          <w:p>
            <w:pPr>
              <w:ind w:left="100"/>
              <w:spacing w:after="0"/>
              <w:rPr>
                <w:sz w:val="20"/>
                <w:szCs w:val="20"/>
                <w:color w:val="auto"/>
              </w:rPr>
            </w:pPr>
            <w:r>
              <w:rPr>
                <w:rFonts w:ascii="Arial" w:cs="Arial" w:eastAsia="Arial" w:hAnsi="Arial"/>
                <w:sz w:val="16"/>
                <w:szCs w:val="16"/>
                <w:b w:val="1"/>
                <w:bCs w:val="1"/>
                <w:color w:val="auto"/>
              </w:rPr>
              <w:t>Element</w:t>
            </w:r>
          </w:p>
        </w:tc>
        <w:tc>
          <w:tcPr>
            <w:tcW w:w="200" w:type="dxa"/>
            <w:vAlign w:val="bottom"/>
          </w:tcPr>
          <w:p>
            <w:pPr>
              <w:spacing w:after="0"/>
              <w:rPr>
                <w:sz w:val="19"/>
                <w:szCs w:val="19"/>
                <w:color w:val="auto"/>
              </w:rPr>
            </w:pPr>
          </w:p>
        </w:tc>
        <w:tc>
          <w:tcPr>
            <w:tcW w:w="900" w:type="dxa"/>
            <w:vAlign w:val="bottom"/>
          </w:tcPr>
          <w:p>
            <w:pPr>
              <w:ind w:left="100"/>
              <w:spacing w:after="0"/>
              <w:rPr>
                <w:sz w:val="20"/>
                <w:szCs w:val="20"/>
                <w:color w:val="auto"/>
              </w:rPr>
            </w:pPr>
            <w:r>
              <w:rPr>
                <w:rFonts w:ascii="Arial" w:cs="Arial" w:eastAsia="Arial" w:hAnsi="Arial"/>
                <w:sz w:val="16"/>
                <w:szCs w:val="16"/>
                <w:b w:val="1"/>
                <w:bCs w:val="1"/>
                <w:color w:val="auto"/>
              </w:rPr>
              <w:t>Type</w:t>
            </w:r>
          </w:p>
        </w:tc>
        <w:tc>
          <w:tcPr>
            <w:tcW w:w="200" w:type="dxa"/>
            <w:vAlign w:val="bottom"/>
          </w:tcPr>
          <w:p>
            <w:pPr>
              <w:spacing w:after="0"/>
              <w:rPr>
                <w:sz w:val="19"/>
                <w:szCs w:val="19"/>
                <w:color w:val="auto"/>
              </w:rPr>
            </w:pPr>
          </w:p>
        </w:tc>
        <w:tc>
          <w:tcPr>
            <w:tcW w:w="1280" w:type="dxa"/>
            <w:vAlign w:val="bottom"/>
          </w:tcPr>
          <w:p>
            <w:pPr>
              <w:ind w:left="100"/>
              <w:spacing w:after="0"/>
              <w:rPr>
                <w:sz w:val="20"/>
                <w:szCs w:val="20"/>
                <w:color w:val="auto"/>
              </w:rPr>
            </w:pPr>
            <w:r>
              <w:rPr>
                <w:rFonts w:ascii="Arial" w:cs="Arial" w:eastAsia="Arial" w:hAnsi="Arial"/>
                <w:sz w:val="16"/>
                <w:szCs w:val="16"/>
                <w:b w:val="1"/>
                <w:bCs w:val="1"/>
                <w:color w:val="auto"/>
              </w:rPr>
              <w:t>Objective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80" w:type="dxa"/>
            <w:vAlign w:val="bottom"/>
            <w:tcBorders>
              <w:bottom w:val="single" w:sz="8" w:color="F1F1F1"/>
              <w:right w:val="single" w:sz="8" w:color="F1F1F1"/>
            </w:tcBorders>
            <w:shd w:val="clear" w:color="auto" w:fill="F1F1F1"/>
          </w:tcPr>
          <w:p>
            <w:pPr>
              <w:spacing w:after="0"/>
              <w:rPr>
                <w:sz w:val="11"/>
                <w:szCs w:val="11"/>
                <w:color w:val="auto"/>
              </w:rPr>
            </w:pPr>
          </w:p>
        </w:tc>
        <w:tc>
          <w:tcPr>
            <w:tcW w:w="1100" w:type="dxa"/>
            <w:vAlign w:val="bottom"/>
            <w:tcBorders>
              <w:bottom w:val="single" w:sz="8" w:color="071D49"/>
            </w:tcBorders>
          </w:tcPr>
          <w:p>
            <w:pPr>
              <w:spacing w:after="0"/>
              <w:rPr>
                <w:sz w:val="11"/>
                <w:szCs w:val="11"/>
                <w:color w:val="auto"/>
              </w:rPr>
            </w:pPr>
          </w:p>
        </w:tc>
        <w:tc>
          <w:tcPr>
            <w:tcW w:w="200" w:type="dxa"/>
            <w:vAlign w:val="bottom"/>
            <w:tcBorders>
              <w:bottom w:val="single" w:sz="8" w:color="F1F1F1"/>
            </w:tcBorders>
          </w:tcPr>
          <w:p>
            <w:pPr>
              <w:spacing w:after="0"/>
              <w:rPr>
                <w:sz w:val="11"/>
                <w:szCs w:val="11"/>
                <w:color w:val="auto"/>
              </w:rPr>
            </w:pPr>
          </w:p>
        </w:tc>
        <w:tc>
          <w:tcPr>
            <w:tcW w:w="900" w:type="dxa"/>
            <w:vAlign w:val="bottom"/>
            <w:tcBorders>
              <w:bottom w:val="single" w:sz="8" w:color="071D49"/>
            </w:tcBorders>
          </w:tcPr>
          <w:p>
            <w:pPr>
              <w:spacing w:after="0"/>
              <w:rPr>
                <w:sz w:val="11"/>
                <w:szCs w:val="11"/>
                <w:color w:val="auto"/>
              </w:rPr>
            </w:pPr>
          </w:p>
        </w:tc>
        <w:tc>
          <w:tcPr>
            <w:tcW w:w="200" w:type="dxa"/>
            <w:vAlign w:val="bottom"/>
            <w:tcBorders>
              <w:bottom w:val="single" w:sz="8" w:color="F1F1F1"/>
            </w:tcBorders>
          </w:tcPr>
          <w:p>
            <w:pPr>
              <w:spacing w:after="0"/>
              <w:rPr>
                <w:sz w:val="11"/>
                <w:szCs w:val="11"/>
                <w:color w:val="auto"/>
              </w:rPr>
            </w:pPr>
          </w:p>
        </w:tc>
        <w:tc>
          <w:tcPr>
            <w:tcW w:w="1280" w:type="dxa"/>
            <w:vAlign w:val="bottom"/>
            <w:tcBorders>
              <w:bottom w:val="single" w:sz="8" w:color="071D49"/>
            </w:tcBorders>
          </w:tcPr>
          <w:p>
            <w:pPr>
              <w:spacing w:after="0"/>
              <w:rPr>
                <w:sz w:val="11"/>
                <w:szCs w:val="11"/>
                <w:color w:val="auto"/>
              </w:rPr>
            </w:pPr>
          </w:p>
        </w:tc>
        <w:tc>
          <w:tcPr>
            <w:tcW w:w="160" w:type="dxa"/>
            <w:vAlign w:val="bottom"/>
            <w:tcBorders>
              <w:bottom w:val="single" w:sz="8" w:color="F1F1F1"/>
            </w:tcBorders>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80" w:type="dxa"/>
            <w:vAlign w:val="bottom"/>
            <w:tcBorders>
              <w:right w:val="single" w:sz="8" w:color="071D49"/>
            </w:tcBorders>
            <w:shd w:val="clear" w:color="auto" w:fill="F1F1F1"/>
          </w:tcPr>
          <w:p>
            <w:pPr>
              <w:spacing w:after="0"/>
              <w:rPr>
                <w:sz w:val="24"/>
                <w:szCs w:val="24"/>
                <w:color w:val="auto"/>
              </w:rPr>
            </w:pPr>
          </w:p>
        </w:tc>
        <w:tc>
          <w:tcPr>
            <w:tcW w:w="11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Base Salary</w:t>
            </w:r>
          </w:p>
        </w:tc>
        <w:tc>
          <w:tcPr>
            <w:tcW w:w="200" w:type="dxa"/>
            <w:vAlign w:val="bottom"/>
            <w:tcBorders>
              <w:right w:val="single" w:sz="8" w:color="071D49"/>
            </w:tcBorders>
            <w:shd w:val="clear" w:color="auto" w:fill="F1F1F1"/>
          </w:tcPr>
          <w:p>
            <w:pPr>
              <w:spacing w:after="0"/>
              <w:rPr>
                <w:sz w:val="24"/>
                <w:szCs w:val="24"/>
                <w:color w:val="auto"/>
              </w:rPr>
            </w:pPr>
          </w:p>
        </w:tc>
        <w:tc>
          <w:tcPr>
            <w:tcW w:w="900" w:type="dxa"/>
            <w:vAlign w:val="bottom"/>
            <w:vMerge w:val="restart"/>
          </w:tcPr>
          <w:p>
            <w:pPr>
              <w:ind w:left="120"/>
              <w:spacing w:after="0"/>
              <w:rPr>
                <w:sz w:val="20"/>
                <w:szCs w:val="20"/>
                <w:color w:val="auto"/>
              </w:rPr>
            </w:pPr>
            <w:r>
              <w:rPr>
                <w:rFonts w:ascii="Arial" w:cs="Arial" w:eastAsia="Arial" w:hAnsi="Arial"/>
                <w:sz w:val="15"/>
                <w:szCs w:val="15"/>
                <w:color w:val="auto"/>
              </w:rPr>
              <w:t>Fixed</w:t>
            </w:r>
          </w:p>
        </w:tc>
        <w:tc>
          <w:tcPr>
            <w:tcW w:w="200" w:type="dxa"/>
            <w:vAlign w:val="bottom"/>
            <w:tcBorders>
              <w:right w:val="single" w:sz="8" w:color="071D49"/>
            </w:tcBorders>
            <w:shd w:val="clear" w:color="auto" w:fill="F1F1F1"/>
          </w:tcPr>
          <w:p>
            <w:pPr>
              <w:spacing w:after="0"/>
              <w:rPr>
                <w:sz w:val="24"/>
                <w:szCs w:val="24"/>
                <w:color w:val="auto"/>
              </w:rPr>
            </w:pPr>
          </w:p>
        </w:tc>
        <w:tc>
          <w:tcPr>
            <w:tcW w:w="1280" w:type="dxa"/>
            <w:vAlign w:val="bottom"/>
          </w:tcPr>
          <w:p>
            <w:pPr>
              <w:ind w:left="120"/>
              <w:spacing w:after="0"/>
              <w:rPr>
                <w:sz w:val="20"/>
                <w:szCs w:val="20"/>
                <w:color w:val="auto"/>
              </w:rPr>
            </w:pPr>
            <w:r>
              <w:rPr>
                <w:rFonts w:ascii="Arial" w:cs="Arial" w:eastAsia="Arial" w:hAnsi="Arial"/>
                <w:sz w:val="15"/>
                <w:szCs w:val="15"/>
                <w:color w:val="auto"/>
              </w:rPr>
              <w:t>Attract &amp; retain</w:t>
            </w:r>
          </w:p>
        </w:tc>
        <w:tc>
          <w:tcPr>
            <w:tcW w:w="160" w:type="dxa"/>
            <w:vAlign w:val="bottom"/>
            <w:shd w:val="clear" w:color="auto" w:fill="F1F1F1"/>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80" w:type="dxa"/>
            <w:vAlign w:val="bottom"/>
            <w:tcBorders>
              <w:right w:val="single" w:sz="8" w:color="071D49"/>
            </w:tcBorders>
            <w:shd w:val="clear" w:color="auto" w:fill="F1F1F1"/>
          </w:tcPr>
          <w:p>
            <w:pPr>
              <w:spacing w:after="0"/>
              <w:rPr>
                <w:sz w:val="10"/>
                <w:szCs w:val="10"/>
                <w:color w:val="auto"/>
              </w:rPr>
            </w:pPr>
          </w:p>
        </w:tc>
        <w:tc>
          <w:tcPr>
            <w:tcW w:w="1100" w:type="dxa"/>
            <w:vAlign w:val="bottom"/>
            <w:vMerge w:val="continue"/>
          </w:tcPr>
          <w:p>
            <w:pPr>
              <w:spacing w:after="0"/>
              <w:rPr>
                <w:sz w:val="10"/>
                <w:szCs w:val="10"/>
                <w:color w:val="auto"/>
              </w:rPr>
            </w:pPr>
          </w:p>
        </w:tc>
        <w:tc>
          <w:tcPr>
            <w:tcW w:w="200" w:type="dxa"/>
            <w:vAlign w:val="bottom"/>
            <w:tcBorders>
              <w:right w:val="single" w:sz="8" w:color="071D49"/>
            </w:tcBorders>
            <w:shd w:val="clear" w:color="auto" w:fill="F1F1F1"/>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071D49"/>
            </w:tcBorders>
            <w:shd w:val="clear" w:color="auto" w:fill="F1F1F1"/>
          </w:tcPr>
          <w:p>
            <w:pPr>
              <w:spacing w:after="0"/>
              <w:rPr>
                <w:sz w:val="10"/>
                <w:szCs w:val="10"/>
                <w:color w:val="auto"/>
              </w:rPr>
            </w:pPr>
          </w:p>
        </w:tc>
        <w:tc>
          <w:tcPr>
            <w:tcW w:w="1280" w:type="dxa"/>
            <w:vAlign w:val="bottom"/>
            <w:vMerge w:val="restart"/>
          </w:tcPr>
          <w:p>
            <w:pPr>
              <w:ind w:left="120"/>
              <w:spacing w:after="0"/>
              <w:rPr>
                <w:sz w:val="20"/>
                <w:szCs w:val="20"/>
                <w:color w:val="auto"/>
              </w:rPr>
            </w:pPr>
            <w:r>
              <w:rPr>
                <w:rFonts w:ascii="Arial" w:cs="Arial" w:eastAsia="Arial" w:hAnsi="Arial"/>
                <w:sz w:val="15"/>
                <w:szCs w:val="15"/>
                <w:color w:val="auto"/>
              </w:rPr>
              <w:t>top talent</w:t>
            </w:r>
          </w:p>
        </w:tc>
        <w:tc>
          <w:tcPr>
            <w:tcW w:w="160" w:type="dxa"/>
            <w:vAlign w:val="bottom"/>
            <w:shd w:val="clear" w:color="auto" w:fill="F1F1F1"/>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80" w:type="dxa"/>
            <w:vAlign w:val="bottom"/>
            <w:tcBorders>
              <w:right w:val="single" w:sz="8" w:color="071D49"/>
            </w:tcBorders>
            <w:shd w:val="clear" w:color="auto" w:fill="F1F1F1"/>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right w:val="single" w:sz="8" w:color="071D49"/>
            </w:tcBorders>
            <w:shd w:val="clear" w:color="auto" w:fill="F1F1F1"/>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Borders>
              <w:right w:val="single" w:sz="8" w:color="071D49"/>
            </w:tcBorders>
            <w:shd w:val="clear" w:color="auto" w:fill="F1F1F1"/>
          </w:tcPr>
          <w:p>
            <w:pPr>
              <w:spacing w:after="0"/>
              <w:rPr>
                <w:sz w:val="6"/>
                <w:szCs w:val="6"/>
                <w:color w:val="auto"/>
              </w:rPr>
            </w:pPr>
          </w:p>
        </w:tc>
        <w:tc>
          <w:tcPr>
            <w:tcW w:w="1280" w:type="dxa"/>
            <w:vAlign w:val="bottom"/>
            <w:vMerge w:val="continue"/>
          </w:tcPr>
          <w:p>
            <w:pPr>
              <w:spacing w:after="0"/>
              <w:rPr>
                <w:sz w:val="6"/>
                <w:szCs w:val="6"/>
                <w:color w:val="auto"/>
              </w:rPr>
            </w:pPr>
          </w:p>
        </w:tc>
        <w:tc>
          <w:tcPr>
            <w:tcW w:w="160" w:type="dxa"/>
            <w:vAlign w:val="bottom"/>
            <w:shd w:val="clear" w:color="auto" w:fill="F1F1F1"/>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80" w:type="dxa"/>
            <w:vAlign w:val="bottom"/>
            <w:tcBorders>
              <w:right w:val="single" w:sz="8" w:color="071D49"/>
            </w:tcBorders>
            <w:shd w:val="clear" w:color="auto" w:fill="F1F1F1"/>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right w:val="single" w:sz="8" w:color="071D49"/>
            </w:tcBorders>
            <w:shd w:val="clear" w:color="auto" w:fill="F1F1F1"/>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Borders>
              <w:right w:val="single" w:sz="8" w:color="071D49"/>
            </w:tcBorders>
            <w:shd w:val="clear" w:color="auto" w:fill="F1F1F1"/>
          </w:tcPr>
          <w:p>
            <w:pPr>
              <w:spacing w:after="0"/>
              <w:rPr>
                <w:sz w:val="6"/>
                <w:szCs w:val="6"/>
                <w:color w:val="auto"/>
              </w:rPr>
            </w:pPr>
          </w:p>
        </w:tc>
        <w:tc>
          <w:tcPr>
            <w:tcW w:w="1280" w:type="dxa"/>
            <w:vAlign w:val="bottom"/>
          </w:tcPr>
          <w:p>
            <w:pPr>
              <w:spacing w:after="0"/>
              <w:rPr>
                <w:sz w:val="6"/>
                <w:szCs w:val="6"/>
                <w:color w:val="auto"/>
              </w:rPr>
            </w:pPr>
          </w:p>
        </w:tc>
        <w:tc>
          <w:tcPr>
            <w:tcW w:w="160" w:type="dxa"/>
            <w:vAlign w:val="bottom"/>
            <w:shd w:val="clear" w:color="auto" w:fill="F1F1F1"/>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80" w:type="dxa"/>
            <w:vAlign w:val="bottom"/>
            <w:tcBorders>
              <w:bottom w:val="single" w:sz="8" w:color="F1F1F1"/>
              <w:right w:val="single" w:sz="8" w:color="F1F1F1"/>
            </w:tcBorders>
            <w:shd w:val="clear" w:color="auto" w:fill="F1F1F1"/>
          </w:tcPr>
          <w:p>
            <w:pPr>
              <w:spacing w:after="0"/>
              <w:rPr>
                <w:sz w:val="13"/>
                <w:szCs w:val="13"/>
                <w:color w:val="auto"/>
              </w:rPr>
            </w:pPr>
          </w:p>
        </w:tc>
        <w:tc>
          <w:tcPr>
            <w:tcW w:w="1100" w:type="dxa"/>
            <w:vAlign w:val="bottom"/>
            <w:tcBorders>
              <w:bottom w:val="single" w:sz="8" w:color="071D49"/>
            </w:tcBorders>
            <w:shd w:val="clear" w:color="auto" w:fill="F1F1F1"/>
          </w:tcPr>
          <w:p>
            <w:pPr>
              <w:spacing w:after="0"/>
              <w:rPr>
                <w:sz w:val="13"/>
                <w:szCs w:val="13"/>
                <w:color w:val="auto"/>
              </w:rPr>
            </w:pPr>
          </w:p>
        </w:tc>
        <w:tc>
          <w:tcPr>
            <w:tcW w:w="200" w:type="dxa"/>
            <w:vAlign w:val="bottom"/>
            <w:tcBorders>
              <w:bottom w:val="single" w:sz="8" w:color="F1F1F1"/>
              <w:right w:val="single" w:sz="8" w:color="F1F1F1"/>
            </w:tcBorders>
            <w:shd w:val="clear" w:color="auto" w:fill="F1F1F1"/>
          </w:tcPr>
          <w:p>
            <w:pPr>
              <w:spacing w:after="0"/>
              <w:rPr>
                <w:sz w:val="13"/>
                <w:szCs w:val="13"/>
                <w:color w:val="auto"/>
              </w:rPr>
            </w:pPr>
          </w:p>
        </w:tc>
        <w:tc>
          <w:tcPr>
            <w:tcW w:w="900" w:type="dxa"/>
            <w:vAlign w:val="bottom"/>
            <w:tcBorders>
              <w:bottom w:val="single" w:sz="8" w:color="071D49"/>
            </w:tcBorders>
            <w:shd w:val="clear" w:color="auto" w:fill="F1F1F1"/>
          </w:tcPr>
          <w:p>
            <w:pPr>
              <w:spacing w:after="0"/>
              <w:rPr>
                <w:sz w:val="13"/>
                <w:szCs w:val="13"/>
                <w:color w:val="auto"/>
              </w:rPr>
            </w:pPr>
          </w:p>
        </w:tc>
        <w:tc>
          <w:tcPr>
            <w:tcW w:w="200" w:type="dxa"/>
            <w:vAlign w:val="bottom"/>
            <w:tcBorders>
              <w:bottom w:val="single" w:sz="8" w:color="F1F1F1"/>
              <w:right w:val="single" w:sz="8" w:color="F1F1F1"/>
            </w:tcBorders>
            <w:shd w:val="clear" w:color="auto" w:fill="F1F1F1"/>
          </w:tcPr>
          <w:p>
            <w:pPr>
              <w:spacing w:after="0"/>
              <w:rPr>
                <w:sz w:val="13"/>
                <w:szCs w:val="13"/>
                <w:color w:val="auto"/>
              </w:rPr>
            </w:pPr>
          </w:p>
        </w:tc>
        <w:tc>
          <w:tcPr>
            <w:tcW w:w="1280" w:type="dxa"/>
            <w:vAlign w:val="bottom"/>
            <w:tcBorders>
              <w:bottom w:val="single" w:sz="8" w:color="071D49"/>
            </w:tcBorders>
            <w:shd w:val="clear" w:color="auto" w:fill="F1F1F1"/>
          </w:tcPr>
          <w:p>
            <w:pPr>
              <w:spacing w:after="0"/>
              <w:rPr>
                <w:sz w:val="13"/>
                <w:szCs w:val="13"/>
                <w:color w:val="auto"/>
              </w:rPr>
            </w:pPr>
          </w:p>
        </w:tc>
        <w:tc>
          <w:tcPr>
            <w:tcW w:w="160" w:type="dxa"/>
            <w:vAlign w:val="bottom"/>
            <w:tcBorders>
              <w:bottom w:val="single" w:sz="8" w:color="F1F1F1"/>
            </w:tcBorders>
            <w:shd w:val="clear" w:color="auto" w:fill="F1F1F1"/>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180" w:type="dxa"/>
            <w:vAlign w:val="bottom"/>
            <w:tcBorders>
              <w:right w:val="single" w:sz="8" w:color="071D49"/>
            </w:tcBorders>
            <w:shd w:val="clear" w:color="auto" w:fill="F1F1F1"/>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Borders>
              <w:right w:val="single" w:sz="8" w:color="071D49"/>
            </w:tcBorders>
            <w:shd w:val="clear" w:color="auto" w:fill="F1F1F1"/>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Borders>
              <w:right w:val="single" w:sz="8" w:color="071D49"/>
            </w:tcBorders>
            <w:shd w:val="clear" w:color="auto" w:fill="F1F1F1"/>
          </w:tcPr>
          <w:p>
            <w:pPr>
              <w:spacing w:after="0"/>
              <w:rPr>
                <w:sz w:val="24"/>
                <w:szCs w:val="24"/>
                <w:color w:val="auto"/>
              </w:rPr>
            </w:pPr>
          </w:p>
        </w:tc>
        <w:tc>
          <w:tcPr>
            <w:tcW w:w="1280" w:type="dxa"/>
            <w:vAlign w:val="bottom"/>
          </w:tcPr>
          <w:p>
            <w:pPr>
              <w:ind w:left="120"/>
              <w:spacing w:after="0"/>
              <w:rPr>
                <w:sz w:val="20"/>
                <w:szCs w:val="20"/>
                <w:color w:val="auto"/>
              </w:rPr>
            </w:pPr>
            <w:r>
              <w:rPr>
                <w:rFonts w:ascii="Arial" w:cs="Arial" w:eastAsia="Arial" w:hAnsi="Arial"/>
                <w:sz w:val="15"/>
                <w:szCs w:val="15"/>
                <w:color w:val="auto"/>
              </w:rPr>
              <w:t>Encourage</w:t>
            </w:r>
          </w:p>
        </w:tc>
        <w:tc>
          <w:tcPr>
            <w:tcW w:w="160" w:type="dxa"/>
            <w:vAlign w:val="bottom"/>
            <w:shd w:val="clear" w:color="auto" w:fill="F1F1F1"/>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80" w:type="dxa"/>
            <w:vAlign w:val="bottom"/>
            <w:tcBorders>
              <w:right w:val="single" w:sz="8" w:color="071D49"/>
            </w:tcBorders>
            <w:shd w:val="clear" w:color="auto" w:fill="F1F1F1"/>
          </w:tcPr>
          <w:p>
            <w:pPr>
              <w:spacing w:after="0"/>
              <w:rPr>
                <w:sz w:val="14"/>
                <w:szCs w:val="14"/>
                <w:color w:val="auto"/>
              </w:rPr>
            </w:pPr>
          </w:p>
        </w:tc>
        <w:tc>
          <w:tcPr>
            <w:tcW w:w="11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Short-Term</w:t>
            </w:r>
          </w:p>
        </w:tc>
        <w:tc>
          <w:tcPr>
            <w:tcW w:w="200" w:type="dxa"/>
            <w:vAlign w:val="bottom"/>
            <w:tcBorders>
              <w:right w:val="single" w:sz="8" w:color="071D49"/>
            </w:tcBorders>
            <w:shd w:val="clear" w:color="auto" w:fill="F1F1F1"/>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Borders>
              <w:right w:val="single" w:sz="8" w:color="071D49"/>
            </w:tcBorders>
            <w:shd w:val="clear" w:color="auto" w:fill="F1F1F1"/>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5"/>
                <w:szCs w:val="15"/>
                <w:color w:val="auto"/>
              </w:rPr>
              <w:t>achievement of</w:t>
            </w:r>
          </w:p>
        </w:tc>
        <w:tc>
          <w:tcPr>
            <w:tcW w:w="160" w:type="dxa"/>
            <w:vAlign w:val="bottom"/>
            <w:shd w:val="clear" w:color="auto" w:fill="F1F1F1"/>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80" w:type="dxa"/>
            <w:vAlign w:val="bottom"/>
            <w:tcBorders>
              <w:right w:val="single" w:sz="8" w:color="071D49"/>
            </w:tcBorders>
            <w:shd w:val="clear" w:color="auto" w:fill="F1F1F1"/>
          </w:tcPr>
          <w:p>
            <w:pPr>
              <w:spacing w:after="0"/>
              <w:rPr>
                <w:sz w:val="7"/>
                <w:szCs w:val="7"/>
                <w:color w:val="auto"/>
              </w:rPr>
            </w:pPr>
          </w:p>
        </w:tc>
        <w:tc>
          <w:tcPr>
            <w:tcW w:w="1100" w:type="dxa"/>
            <w:vAlign w:val="bottom"/>
            <w:vMerge w:val="continue"/>
          </w:tcPr>
          <w:p>
            <w:pPr>
              <w:spacing w:after="0"/>
              <w:rPr>
                <w:sz w:val="7"/>
                <w:szCs w:val="7"/>
                <w:color w:val="auto"/>
              </w:rPr>
            </w:pPr>
          </w:p>
        </w:tc>
        <w:tc>
          <w:tcPr>
            <w:tcW w:w="200" w:type="dxa"/>
            <w:vAlign w:val="bottom"/>
            <w:tcBorders>
              <w:right w:val="single" w:sz="8" w:color="071D49"/>
            </w:tcBorders>
            <w:shd w:val="clear" w:color="auto" w:fill="F1F1F1"/>
          </w:tcPr>
          <w:p>
            <w:pPr>
              <w:spacing w:after="0"/>
              <w:rPr>
                <w:sz w:val="7"/>
                <w:szCs w:val="7"/>
                <w:color w:val="auto"/>
              </w:rPr>
            </w:pPr>
          </w:p>
        </w:tc>
        <w:tc>
          <w:tcPr>
            <w:tcW w:w="900" w:type="dxa"/>
            <w:vAlign w:val="bottom"/>
            <w:vMerge w:val="restart"/>
          </w:tcPr>
          <w:p>
            <w:pPr>
              <w:ind w:left="120"/>
              <w:spacing w:after="0"/>
              <w:rPr>
                <w:sz w:val="20"/>
                <w:szCs w:val="20"/>
                <w:color w:val="auto"/>
              </w:rPr>
            </w:pPr>
            <w:r>
              <w:rPr>
                <w:rFonts w:ascii="Arial" w:cs="Arial" w:eastAsia="Arial" w:hAnsi="Arial"/>
                <w:sz w:val="15"/>
                <w:szCs w:val="15"/>
                <w:color w:val="auto"/>
              </w:rPr>
              <w:t>At-Risk</w:t>
            </w:r>
          </w:p>
        </w:tc>
        <w:tc>
          <w:tcPr>
            <w:tcW w:w="200" w:type="dxa"/>
            <w:vAlign w:val="bottom"/>
            <w:tcBorders>
              <w:right w:val="single" w:sz="8" w:color="071D49"/>
            </w:tcBorders>
            <w:shd w:val="clear" w:color="auto" w:fill="F1F1F1"/>
          </w:tcPr>
          <w:p>
            <w:pPr>
              <w:spacing w:after="0"/>
              <w:rPr>
                <w:sz w:val="7"/>
                <w:szCs w:val="7"/>
                <w:color w:val="auto"/>
              </w:rPr>
            </w:pPr>
          </w:p>
        </w:tc>
        <w:tc>
          <w:tcPr>
            <w:tcW w:w="1280" w:type="dxa"/>
            <w:vAlign w:val="bottom"/>
            <w:vMerge w:val="restart"/>
          </w:tcPr>
          <w:p>
            <w:pPr>
              <w:ind w:left="120"/>
              <w:spacing w:after="0"/>
              <w:rPr>
                <w:sz w:val="20"/>
                <w:szCs w:val="20"/>
                <w:color w:val="auto"/>
              </w:rPr>
            </w:pPr>
            <w:r>
              <w:rPr>
                <w:rFonts w:ascii="Arial" w:cs="Arial" w:eastAsia="Arial" w:hAnsi="Arial"/>
                <w:sz w:val="15"/>
                <w:szCs w:val="15"/>
                <w:color w:val="auto"/>
              </w:rPr>
              <w:t>company’s</w:t>
            </w:r>
          </w:p>
        </w:tc>
        <w:tc>
          <w:tcPr>
            <w:tcW w:w="160" w:type="dxa"/>
            <w:vAlign w:val="bottom"/>
            <w:shd w:val="clear" w:color="auto" w:fill="F1F1F1"/>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80" w:type="dxa"/>
            <w:vAlign w:val="bottom"/>
            <w:tcBorders>
              <w:right w:val="single" w:sz="8" w:color="071D49"/>
            </w:tcBorders>
            <w:shd w:val="clear" w:color="auto" w:fill="F1F1F1"/>
          </w:tcPr>
          <w:p>
            <w:pPr>
              <w:spacing w:after="0"/>
              <w:rPr>
                <w:sz w:val="7"/>
                <w:szCs w:val="7"/>
                <w:color w:val="auto"/>
              </w:rPr>
            </w:pPr>
          </w:p>
        </w:tc>
        <w:tc>
          <w:tcPr>
            <w:tcW w:w="11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Incentives</w:t>
            </w:r>
          </w:p>
        </w:tc>
        <w:tc>
          <w:tcPr>
            <w:tcW w:w="200" w:type="dxa"/>
            <w:vAlign w:val="bottom"/>
            <w:tcBorders>
              <w:right w:val="single" w:sz="8" w:color="071D49"/>
            </w:tcBorders>
            <w:shd w:val="clear" w:color="auto" w:fill="F1F1F1"/>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tcBorders>
              <w:right w:val="single" w:sz="8" w:color="071D49"/>
            </w:tcBorders>
            <w:shd w:val="clear" w:color="auto" w:fill="F1F1F1"/>
          </w:tcPr>
          <w:p>
            <w:pPr>
              <w:spacing w:after="0"/>
              <w:rPr>
                <w:sz w:val="7"/>
                <w:szCs w:val="7"/>
                <w:color w:val="auto"/>
              </w:rPr>
            </w:pPr>
          </w:p>
        </w:tc>
        <w:tc>
          <w:tcPr>
            <w:tcW w:w="1280" w:type="dxa"/>
            <w:vAlign w:val="bottom"/>
            <w:vMerge w:val="continue"/>
          </w:tcPr>
          <w:p>
            <w:pPr>
              <w:spacing w:after="0"/>
              <w:rPr>
                <w:sz w:val="7"/>
                <w:szCs w:val="7"/>
                <w:color w:val="auto"/>
              </w:rPr>
            </w:pPr>
          </w:p>
        </w:tc>
        <w:tc>
          <w:tcPr>
            <w:tcW w:w="160" w:type="dxa"/>
            <w:vAlign w:val="bottom"/>
            <w:shd w:val="clear" w:color="auto" w:fill="F1F1F1"/>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80" w:type="dxa"/>
            <w:vAlign w:val="bottom"/>
            <w:tcBorders>
              <w:right w:val="single" w:sz="8" w:color="071D49"/>
            </w:tcBorders>
            <w:shd w:val="clear" w:color="auto" w:fill="F1F1F1"/>
          </w:tcPr>
          <w:p>
            <w:pPr>
              <w:spacing w:after="0"/>
              <w:rPr>
                <w:sz w:val="10"/>
                <w:szCs w:val="10"/>
                <w:color w:val="auto"/>
              </w:rPr>
            </w:pPr>
          </w:p>
        </w:tc>
        <w:tc>
          <w:tcPr>
            <w:tcW w:w="1100" w:type="dxa"/>
            <w:vAlign w:val="bottom"/>
            <w:vMerge w:val="continue"/>
          </w:tcPr>
          <w:p>
            <w:pPr>
              <w:spacing w:after="0"/>
              <w:rPr>
                <w:sz w:val="10"/>
                <w:szCs w:val="10"/>
                <w:color w:val="auto"/>
              </w:rPr>
            </w:pPr>
          </w:p>
        </w:tc>
        <w:tc>
          <w:tcPr>
            <w:tcW w:w="200" w:type="dxa"/>
            <w:vAlign w:val="bottom"/>
            <w:tcBorders>
              <w:right w:val="single" w:sz="8" w:color="071D49"/>
            </w:tcBorders>
            <w:shd w:val="clear" w:color="auto" w:fill="F1F1F1"/>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Borders>
              <w:right w:val="single" w:sz="8" w:color="071D49"/>
            </w:tcBorders>
            <w:shd w:val="clear" w:color="auto" w:fill="F1F1F1"/>
          </w:tcPr>
          <w:p>
            <w:pPr>
              <w:spacing w:after="0"/>
              <w:rPr>
                <w:sz w:val="10"/>
                <w:szCs w:val="10"/>
                <w:color w:val="auto"/>
              </w:rPr>
            </w:pPr>
          </w:p>
        </w:tc>
        <w:tc>
          <w:tcPr>
            <w:tcW w:w="1280" w:type="dxa"/>
            <w:vAlign w:val="bottom"/>
            <w:vMerge w:val="restart"/>
          </w:tcPr>
          <w:p>
            <w:pPr>
              <w:ind w:left="120"/>
              <w:spacing w:after="0"/>
              <w:rPr>
                <w:sz w:val="20"/>
                <w:szCs w:val="20"/>
                <w:color w:val="auto"/>
              </w:rPr>
            </w:pPr>
            <w:r>
              <w:rPr>
                <w:rFonts w:ascii="Arial" w:cs="Arial" w:eastAsia="Arial" w:hAnsi="Arial"/>
                <w:sz w:val="15"/>
                <w:szCs w:val="15"/>
                <w:color w:val="auto"/>
              </w:rPr>
              <w:t>primary business</w:t>
            </w:r>
          </w:p>
        </w:tc>
        <w:tc>
          <w:tcPr>
            <w:tcW w:w="160" w:type="dxa"/>
            <w:vAlign w:val="bottom"/>
            <w:shd w:val="clear" w:color="auto" w:fill="F1F1F1"/>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80" w:type="dxa"/>
            <w:vAlign w:val="bottom"/>
            <w:tcBorders>
              <w:right w:val="single" w:sz="8" w:color="071D49"/>
            </w:tcBorders>
            <w:shd w:val="clear" w:color="auto" w:fill="F1F1F1"/>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Borders>
              <w:right w:val="single" w:sz="8" w:color="071D49"/>
            </w:tcBorders>
            <w:shd w:val="clear" w:color="auto" w:fill="F1F1F1"/>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Borders>
              <w:right w:val="single" w:sz="8" w:color="071D49"/>
            </w:tcBorders>
            <w:shd w:val="clear" w:color="auto" w:fill="F1F1F1"/>
          </w:tcPr>
          <w:p>
            <w:pPr>
              <w:spacing w:after="0"/>
              <w:rPr>
                <w:sz w:val="4"/>
                <w:szCs w:val="4"/>
                <w:color w:val="auto"/>
              </w:rPr>
            </w:pPr>
          </w:p>
        </w:tc>
        <w:tc>
          <w:tcPr>
            <w:tcW w:w="1280" w:type="dxa"/>
            <w:vAlign w:val="bottom"/>
            <w:vMerge w:val="continue"/>
          </w:tcPr>
          <w:p>
            <w:pPr>
              <w:spacing w:after="0"/>
              <w:rPr>
                <w:sz w:val="4"/>
                <w:szCs w:val="4"/>
                <w:color w:val="auto"/>
              </w:rPr>
            </w:pPr>
          </w:p>
        </w:tc>
        <w:tc>
          <w:tcPr>
            <w:tcW w:w="160" w:type="dxa"/>
            <w:vAlign w:val="bottom"/>
            <w:shd w:val="clear" w:color="auto" w:fill="F1F1F1"/>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80" w:type="dxa"/>
            <w:vAlign w:val="bottom"/>
            <w:tcBorders>
              <w:right w:val="single" w:sz="8" w:color="071D49"/>
            </w:tcBorders>
            <w:shd w:val="clear" w:color="auto" w:fill="F1F1F1"/>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Borders>
              <w:right w:val="single" w:sz="8" w:color="071D49"/>
            </w:tcBorders>
            <w:shd w:val="clear" w:color="auto" w:fill="F1F1F1"/>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Borders>
              <w:right w:val="single" w:sz="8" w:color="071D49"/>
            </w:tcBorders>
            <w:shd w:val="clear" w:color="auto" w:fill="F1F1F1"/>
          </w:tcPr>
          <w:p>
            <w:pPr>
              <w:spacing w:after="0"/>
              <w:rPr>
                <w:sz w:val="16"/>
                <w:szCs w:val="16"/>
                <w:color w:val="auto"/>
              </w:rPr>
            </w:pPr>
          </w:p>
        </w:tc>
        <w:tc>
          <w:tcPr>
            <w:tcW w:w="1280" w:type="dxa"/>
            <w:vAlign w:val="bottom"/>
          </w:tcPr>
          <w:p>
            <w:pPr>
              <w:ind w:left="120"/>
              <w:spacing w:after="0"/>
              <w:rPr>
                <w:sz w:val="20"/>
                <w:szCs w:val="20"/>
                <w:color w:val="auto"/>
              </w:rPr>
            </w:pPr>
            <w:r>
              <w:rPr>
                <w:rFonts w:ascii="Arial" w:cs="Arial" w:eastAsia="Arial" w:hAnsi="Arial"/>
                <w:sz w:val="15"/>
                <w:szCs w:val="15"/>
                <w:color w:val="auto"/>
              </w:rPr>
              <w:t>goals</w:t>
            </w:r>
          </w:p>
        </w:tc>
        <w:tc>
          <w:tcPr>
            <w:tcW w:w="160" w:type="dxa"/>
            <w:vAlign w:val="bottom"/>
            <w:shd w:val="clear" w:color="auto" w:fill="F1F1F1"/>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0" w:type="dxa"/>
            <w:vAlign w:val="bottom"/>
            <w:tcBorders>
              <w:right w:val="single" w:sz="8" w:color="071D49"/>
            </w:tcBorders>
            <w:shd w:val="clear" w:color="auto" w:fill="F1F1F1"/>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Borders>
              <w:right w:val="single" w:sz="8" w:color="071D49"/>
            </w:tcBorders>
            <w:shd w:val="clear" w:color="auto" w:fill="F1F1F1"/>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Borders>
              <w:right w:val="single" w:sz="8" w:color="071D49"/>
            </w:tcBorders>
            <w:shd w:val="clear" w:color="auto" w:fill="F1F1F1"/>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shd w:val="clear" w:color="auto" w:fill="F1F1F1"/>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 w:type="dxa"/>
            <w:vAlign w:val="bottom"/>
            <w:tcBorders>
              <w:bottom w:val="single" w:sz="8" w:color="F1F1F1"/>
              <w:right w:val="single" w:sz="8" w:color="F1F1F1"/>
            </w:tcBorders>
            <w:shd w:val="clear" w:color="auto" w:fill="F1F1F1"/>
          </w:tcPr>
          <w:p>
            <w:pPr>
              <w:spacing w:after="0"/>
              <w:rPr>
                <w:sz w:val="13"/>
                <w:szCs w:val="13"/>
                <w:color w:val="auto"/>
              </w:rPr>
            </w:pPr>
          </w:p>
        </w:tc>
        <w:tc>
          <w:tcPr>
            <w:tcW w:w="1100" w:type="dxa"/>
            <w:vAlign w:val="bottom"/>
            <w:tcBorders>
              <w:bottom w:val="single" w:sz="8" w:color="071D49"/>
            </w:tcBorders>
            <w:shd w:val="clear" w:color="auto" w:fill="F1F1F1"/>
          </w:tcPr>
          <w:p>
            <w:pPr>
              <w:spacing w:after="0"/>
              <w:rPr>
                <w:sz w:val="13"/>
                <w:szCs w:val="13"/>
                <w:color w:val="auto"/>
              </w:rPr>
            </w:pPr>
          </w:p>
        </w:tc>
        <w:tc>
          <w:tcPr>
            <w:tcW w:w="200" w:type="dxa"/>
            <w:vAlign w:val="bottom"/>
            <w:tcBorders>
              <w:bottom w:val="single" w:sz="8" w:color="F1F1F1"/>
              <w:right w:val="single" w:sz="8" w:color="F1F1F1"/>
            </w:tcBorders>
            <w:shd w:val="clear" w:color="auto" w:fill="F1F1F1"/>
          </w:tcPr>
          <w:p>
            <w:pPr>
              <w:spacing w:after="0"/>
              <w:rPr>
                <w:sz w:val="13"/>
                <w:szCs w:val="13"/>
                <w:color w:val="auto"/>
              </w:rPr>
            </w:pPr>
          </w:p>
        </w:tc>
        <w:tc>
          <w:tcPr>
            <w:tcW w:w="900" w:type="dxa"/>
            <w:vAlign w:val="bottom"/>
            <w:tcBorders>
              <w:bottom w:val="single" w:sz="8" w:color="071D49"/>
            </w:tcBorders>
            <w:shd w:val="clear" w:color="auto" w:fill="F1F1F1"/>
          </w:tcPr>
          <w:p>
            <w:pPr>
              <w:spacing w:after="0"/>
              <w:rPr>
                <w:sz w:val="13"/>
                <w:szCs w:val="13"/>
                <w:color w:val="auto"/>
              </w:rPr>
            </w:pPr>
          </w:p>
        </w:tc>
        <w:tc>
          <w:tcPr>
            <w:tcW w:w="200" w:type="dxa"/>
            <w:vAlign w:val="bottom"/>
            <w:tcBorders>
              <w:bottom w:val="single" w:sz="8" w:color="F1F1F1"/>
              <w:right w:val="single" w:sz="8" w:color="F1F1F1"/>
            </w:tcBorders>
            <w:shd w:val="clear" w:color="auto" w:fill="F1F1F1"/>
          </w:tcPr>
          <w:p>
            <w:pPr>
              <w:spacing w:after="0"/>
              <w:rPr>
                <w:sz w:val="13"/>
                <w:szCs w:val="13"/>
                <w:color w:val="auto"/>
              </w:rPr>
            </w:pPr>
          </w:p>
        </w:tc>
        <w:tc>
          <w:tcPr>
            <w:tcW w:w="1280" w:type="dxa"/>
            <w:vAlign w:val="bottom"/>
            <w:tcBorders>
              <w:bottom w:val="single" w:sz="8" w:color="071D49"/>
            </w:tcBorders>
            <w:shd w:val="clear" w:color="auto" w:fill="F1F1F1"/>
          </w:tcPr>
          <w:p>
            <w:pPr>
              <w:spacing w:after="0"/>
              <w:rPr>
                <w:sz w:val="13"/>
                <w:szCs w:val="13"/>
                <w:color w:val="auto"/>
              </w:rPr>
            </w:pPr>
          </w:p>
        </w:tc>
        <w:tc>
          <w:tcPr>
            <w:tcW w:w="160" w:type="dxa"/>
            <w:vAlign w:val="bottom"/>
            <w:tcBorders>
              <w:bottom w:val="single" w:sz="8" w:color="F1F1F1"/>
            </w:tcBorders>
            <w:shd w:val="clear" w:color="auto" w:fill="F1F1F1"/>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80" w:type="dxa"/>
            <w:vAlign w:val="bottom"/>
            <w:tcBorders>
              <w:right w:val="single" w:sz="8" w:color="071D49"/>
            </w:tcBorders>
            <w:shd w:val="clear" w:color="auto" w:fill="F1F1F1"/>
          </w:tcPr>
          <w:p>
            <w:pPr>
              <w:spacing w:after="0"/>
              <w:rPr>
                <w:sz w:val="24"/>
                <w:szCs w:val="24"/>
                <w:color w:val="auto"/>
              </w:rPr>
            </w:pPr>
          </w:p>
        </w:tc>
        <w:tc>
          <w:tcPr>
            <w:tcW w:w="11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Long-Term</w:t>
            </w:r>
          </w:p>
        </w:tc>
        <w:tc>
          <w:tcPr>
            <w:tcW w:w="200" w:type="dxa"/>
            <w:vAlign w:val="bottom"/>
            <w:tcBorders>
              <w:right w:val="single" w:sz="8" w:color="071D49"/>
            </w:tcBorders>
            <w:shd w:val="clear" w:color="auto" w:fill="F1F1F1"/>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Borders>
              <w:right w:val="single" w:sz="8" w:color="071D49"/>
            </w:tcBorders>
            <w:shd w:val="clear" w:color="auto" w:fill="F1F1F1"/>
          </w:tcPr>
          <w:p>
            <w:pPr>
              <w:spacing w:after="0"/>
              <w:rPr>
                <w:sz w:val="24"/>
                <w:szCs w:val="24"/>
                <w:color w:val="auto"/>
              </w:rPr>
            </w:pPr>
          </w:p>
        </w:tc>
        <w:tc>
          <w:tcPr>
            <w:tcW w:w="1280" w:type="dxa"/>
            <w:vAlign w:val="bottom"/>
          </w:tcPr>
          <w:p>
            <w:pPr>
              <w:ind w:left="120"/>
              <w:spacing w:after="0"/>
              <w:rPr>
                <w:sz w:val="20"/>
                <w:szCs w:val="20"/>
                <w:color w:val="auto"/>
              </w:rPr>
            </w:pPr>
            <w:r>
              <w:rPr>
                <w:rFonts w:ascii="Arial" w:cs="Arial" w:eastAsia="Arial" w:hAnsi="Arial"/>
                <w:sz w:val="15"/>
                <w:szCs w:val="15"/>
                <w:color w:val="auto"/>
              </w:rPr>
              <w:t>Align NEO</w:t>
            </w:r>
          </w:p>
        </w:tc>
        <w:tc>
          <w:tcPr>
            <w:tcW w:w="160" w:type="dxa"/>
            <w:vAlign w:val="bottom"/>
            <w:shd w:val="clear" w:color="auto" w:fill="F1F1F1"/>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80" w:type="dxa"/>
            <w:vAlign w:val="bottom"/>
            <w:tcBorders>
              <w:right w:val="single" w:sz="8" w:color="071D49"/>
            </w:tcBorders>
            <w:shd w:val="clear" w:color="auto" w:fill="F1F1F1"/>
          </w:tcPr>
          <w:p>
            <w:pPr>
              <w:spacing w:after="0"/>
              <w:rPr>
                <w:sz w:val="7"/>
                <w:szCs w:val="7"/>
                <w:color w:val="auto"/>
              </w:rPr>
            </w:pPr>
          </w:p>
        </w:tc>
        <w:tc>
          <w:tcPr>
            <w:tcW w:w="1100" w:type="dxa"/>
            <w:vAlign w:val="bottom"/>
            <w:vMerge w:val="continue"/>
          </w:tcPr>
          <w:p>
            <w:pPr>
              <w:spacing w:after="0"/>
              <w:rPr>
                <w:sz w:val="7"/>
                <w:szCs w:val="7"/>
                <w:color w:val="auto"/>
              </w:rPr>
            </w:pPr>
          </w:p>
        </w:tc>
        <w:tc>
          <w:tcPr>
            <w:tcW w:w="200" w:type="dxa"/>
            <w:vAlign w:val="bottom"/>
            <w:tcBorders>
              <w:right w:val="single" w:sz="8" w:color="071D49"/>
            </w:tcBorders>
            <w:shd w:val="clear" w:color="auto" w:fill="F1F1F1"/>
          </w:tcPr>
          <w:p>
            <w:pPr>
              <w:spacing w:after="0"/>
              <w:rPr>
                <w:sz w:val="7"/>
                <w:szCs w:val="7"/>
                <w:color w:val="auto"/>
              </w:rPr>
            </w:pPr>
          </w:p>
        </w:tc>
        <w:tc>
          <w:tcPr>
            <w:tcW w:w="900" w:type="dxa"/>
            <w:vAlign w:val="bottom"/>
            <w:vMerge w:val="restart"/>
          </w:tcPr>
          <w:p>
            <w:pPr>
              <w:ind w:left="120"/>
              <w:spacing w:after="0"/>
              <w:rPr>
                <w:sz w:val="20"/>
                <w:szCs w:val="20"/>
                <w:color w:val="auto"/>
              </w:rPr>
            </w:pPr>
            <w:r>
              <w:rPr>
                <w:rFonts w:ascii="Arial" w:cs="Arial" w:eastAsia="Arial" w:hAnsi="Arial"/>
                <w:sz w:val="15"/>
                <w:szCs w:val="15"/>
                <w:color w:val="auto"/>
              </w:rPr>
              <w:t>At-Risk</w:t>
            </w:r>
          </w:p>
        </w:tc>
        <w:tc>
          <w:tcPr>
            <w:tcW w:w="200" w:type="dxa"/>
            <w:vAlign w:val="bottom"/>
            <w:tcBorders>
              <w:right w:val="single" w:sz="8" w:color="071D49"/>
            </w:tcBorders>
            <w:shd w:val="clear" w:color="auto" w:fill="F1F1F1"/>
          </w:tcPr>
          <w:p>
            <w:pPr>
              <w:spacing w:after="0"/>
              <w:rPr>
                <w:sz w:val="7"/>
                <w:szCs w:val="7"/>
                <w:color w:val="auto"/>
              </w:rPr>
            </w:pPr>
          </w:p>
        </w:tc>
        <w:tc>
          <w:tcPr>
            <w:tcW w:w="1280" w:type="dxa"/>
            <w:vAlign w:val="bottom"/>
            <w:vMerge w:val="restart"/>
          </w:tcPr>
          <w:p>
            <w:pPr>
              <w:ind w:left="120"/>
              <w:spacing w:after="0"/>
              <w:rPr>
                <w:sz w:val="20"/>
                <w:szCs w:val="20"/>
                <w:color w:val="auto"/>
              </w:rPr>
            </w:pPr>
            <w:r>
              <w:rPr>
                <w:rFonts w:ascii="Arial" w:cs="Arial" w:eastAsia="Arial" w:hAnsi="Arial"/>
                <w:sz w:val="15"/>
                <w:szCs w:val="15"/>
                <w:color w:val="auto"/>
              </w:rPr>
              <w:t>interests with</w:t>
            </w:r>
          </w:p>
        </w:tc>
        <w:tc>
          <w:tcPr>
            <w:tcW w:w="160" w:type="dxa"/>
            <w:vAlign w:val="bottom"/>
            <w:shd w:val="clear" w:color="auto" w:fill="F1F1F1"/>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80" w:type="dxa"/>
            <w:vAlign w:val="bottom"/>
            <w:tcBorders>
              <w:right w:val="single" w:sz="8" w:color="071D49"/>
            </w:tcBorders>
            <w:shd w:val="clear" w:color="auto" w:fill="F1F1F1"/>
          </w:tcPr>
          <w:p>
            <w:pPr>
              <w:spacing w:after="0"/>
              <w:rPr>
                <w:sz w:val="7"/>
                <w:szCs w:val="7"/>
                <w:color w:val="auto"/>
              </w:rPr>
            </w:pPr>
          </w:p>
        </w:tc>
        <w:tc>
          <w:tcPr>
            <w:tcW w:w="11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Incentives</w:t>
            </w:r>
          </w:p>
        </w:tc>
        <w:tc>
          <w:tcPr>
            <w:tcW w:w="200" w:type="dxa"/>
            <w:vAlign w:val="bottom"/>
            <w:tcBorders>
              <w:right w:val="single" w:sz="8" w:color="071D49"/>
            </w:tcBorders>
            <w:shd w:val="clear" w:color="auto" w:fill="F1F1F1"/>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tcBorders>
              <w:right w:val="single" w:sz="8" w:color="071D49"/>
            </w:tcBorders>
            <w:shd w:val="clear" w:color="auto" w:fill="F1F1F1"/>
          </w:tcPr>
          <w:p>
            <w:pPr>
              <w:spacing w:after="0"/>
              <w:rPr>
                <w:sz w:val="7"/>
                <w:szCs w:val="7"/>
                <w:color w:val="auto"/>
              </w:rPr>
            </w:pPr>
          </w:p>
        </w:tc>
        <w:tc>
          <w:tcPr>
            <w:tcW w:w="1280" w:type="dxa"/>
            <w:vAlign w:val="bottom"/>
            <w:vMerge w:val="continue"/>
          </w:tcPr>
          <w:p>
            <w:pPr>
              <w:spacing w:after="0"/>
              <w:rPr>
                <w:sz w:val="7"/>
                <w:szCs w:val="7"/>
                <w:color w:val="auto"/>
              </w:rPr>
            </w:pPr>
          </w:p>
        </w:tc>
        <w:tc>
          <w:tcPr>
            <w:tcW w:w="160" w:type="dxa"/>
            <w:vAlign w:val="bottom"/>
            <w:shd w:val="clear" w:color="auto" w:fill="F1F1F1"/>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80" w:type="dxa"/>
            <w:vAlign w:val="bottom"/>
            <w:tcBorders>
              <w:right w:val="single" w:sz="8" w:color="071D49"/>
            </w:tcBorders>
            <w:shd w:val="clear" w:color="auto" w:fill="F1F1F1"/>
          </w:tcPr>
          <w:p>
            <w:pPr>
              <w:spacing w:after="0"/>
              <w:rPr>
                <w:sz w:val="10"/>
                <w:szCs w:val="10"/>
                <w:color w:val="auto"/>
              </w:rPr>
            </w:pPr>
          </w:p>
        </w:tc>
        <w:tc>
          <w:tcPr>
            <w:tcW w:w="1100" w:type="dxa"/>
            <w:vAlign w:val="bottom"/>
            <w:vMerge w:val="continue"/>
          </w:tcPr>
          <w:p>
            <w:pPr>
              <w:spacing w:after="0"/>
              <w:rPr>
                <w:sz w:val="10"/>
                <w:szCs w:val="10"/>
                <w:color w:val="auto"/>
              </w:rPr>
            </w:pPr>
          </w:p>
        </w:tc>
        <w:tc>
          <w:tcPr>
            <w:tcW w:w="200" w:type="dxa"/>
            <w:vAlign w:val="bottom"/>
            <w:tcBorders>
              <w:right w:val="single" w:sz="8" w:color="071D49"/>
            </w:tcBorders>
            <w:shd w:val="clear" w:color="auto" w:fill="F1F1F1"/>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Borders>
              <w:right w:val="single" w:sz="8" w:color="071D49"/>
            </w:tcBorders>
            <w:shd w:val="clear" w:color="auto" w:fill="F1F1F1"/>
          </w:tcPr>
          <w:p>
            <w:pPr>
              <w:spacing w:after="0"/>
              <w:rPr>
                <w:sz w:val="10"/>
                <w:szCs w:val="10"/>
                <w:color w:val="auto"/>
              </w:rPr>
            </w:pPr>
          </w:p>
        </w:tc>
        <w:tc>
          <w:tcPr>
            <w:tcW w:w="1280" w:type="dxa"/>
            <w:vAlign w:val="bottom"/>
            <w:vMerge w:val="restart"/>
          </w:tcPr>
          <w:p>
            <w:pPr>
              <w:ind w:left="120"/>
              <w:spacing w:after="0"/>
              <w:rPr>
                <w:sz w:val="20"/>
                <w:szCs w:val="20"/>
                <w:color w:val="auto"/>
              </w:rPr>
            </w:pPr>
            <w:r>
              <w:rPr>
                <w:rFonts w:ascii="Arial" w:cs="Arial" w:eastAsia="Arial" w:hAnsi="Arial"/>
                <w:sz w:val="15"/>
                <w:szCs w:val="15"/>
                <w:color w:val="auto"/>
              </w:rPr>
              <w:t>stockholders</w:t>
            </w:r>
          </w:p>
        </w:tc>
        <w:tc>
          <w:tcPr>
            <w:tcW w:w="160" w:type="dxa"/>
            <w:vAlign w:val="bottom"/>
            <w:shd w:val="clear" w:color="auto" w:fill="F1F1F1"/>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80" w:type="dxa"/>
            <w:vAlign w:val="bottom"/>
            <w:tcBorders>
              <w:right w:val="single" w:sz="8" w:color="071D49"/>
            </w:tcBorders>
            <w:shd w:val="clear" w:color="auto" w:fill="F1F1F1"/>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right w:val="single" w:sz="8" w:color="071D49"/>
            </w:tcBorders>
            <w:shd w:val="clear" w:color="auto" w:fill="F1F1F1"/>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Borders>
              <w:right w:val="single" w:sz="8" w:color="071D49"/>
            </w:tcBorders>
            <w:shd w:val="clear" w:color="auto" w:fill="F1F1F1"/>
          </w:tcPr>
          <w:p>
            <w:pPr>
              <w:spacing w:after="0"/>
              <w:rPr>
                <w:sz w:val="6"/>
                <w:szCs w:val="6"/>
                <w:color w:val="auto"/>
              </w:rPr>
            </w:pPr>
          </w:p>
        </w:tc>
        <w:tc>
          <w:tcPr>
            <w:tcW w:w="1280" w:type="dxa"/>
            <w:vAlign w:val="bottom"/>
            <w:vMerge w:val="continue"/>
          </w:tcPr>
          <w:p>
            <w:pPr>
              <w:spacing w:after="0"/>
              <w:rPr>
                <w:sz w:val="6"/>
                <w:szCs w:val="6"/>
                <w:color w:val="auto"/>
              </w:rPr>
            </w:pPr>
          </w:p>
        </w:tc>
        <w:tc>
          <w:tcPr>
            <w:tcW w:w="160" w:type="dxa"/>
            <w:vAlign w:val="bottom"/>
            <w:shd w:val="clear" w:color="auto" w:fill="F1F1F1"/>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80" w:type="dxa"/>
            <w:vAlign w:val="bottom"/>
            <w:tcBorders>
              <w:right w:val="single" w:sz="8" w:color="071D49"/>
            </w:tcBorders>
            <w:shd w:val="clear" w:color="auto" w:fill="F1F1F1"/>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right w:val="single" w:sz="8" w:color="071D49"/>
            </w:tcBorders>
            <w:shd w:val="clear" w:color="auto" w:fill="F1F1F1"/>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Borders>
              <w:right w:val="single" w:sz="8" w:color="071D49"/>
            </w:tcBorders>
            <w:shd w:val="clear" w:color="auto" w:fill="F1F1F1"/>
          </w:tcPr>
          <w:p>
            <w:pPr>
              <w:spacing w:after="0"/>
              <w:rPr>
                <w:sz w:val="6"/>
                <w:szCs w:val="6"/>
                <w:color w:val="auto"/>
              </w:rPr>
            </w:pPr>
          </w:p>
        </w:tc>
        <w:tc>
          <w:tcPr>
            <w:tcW w:w="1280" w:type="dxa"/>
            <w:vAlign w:val="bottom"/>
          </w:tcPr>
          <w:p>
            <w:pPr>
              <w:spacing w:after="0"/>
              <w:rPr>
                <w:sz w:val="6"/>
                <w:szCs w:val="6"/>
                <w:color w:val="auto"/>
              </w:rPr>
            </w:pPr>
          </w:p>
        </w:tc>
        <w:tc>
          <w:tcPr>
            <w:tcW w:w="160" w:type="dxa"/>
            <w:vAlign w:val="bottom"/>
            <w:shd w:val="clear" w:color="auto" w:fill="F1F1F1"/>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80" w:type="dxa"/>
            <w:vAlign w:val="bottom"/>
            <w:tcBorders>
              <w:right w:val="single" w:sz="8" w:color="F1F1F1"/>
            </w:tcBorders>
            <w:shd w:val="clear" w:color="auto" w:fill="F1F1F1"/>
          </w:tcPr>
          <w:p>
            <w:pPr>
              <w:spacing w:after="0"/>
              <w:rPr>
                <w:sz w:val="12"/>
                <w:szCs w:val="12"/>
                <w:color w:val="auto"/>
              </w:rPr>
            </w:pPr>
          </w:p>
        </w:tc>
        <w:tc>
          <w:tcPr>
            <w:tcW w:w="1100" w:type="dxa"/>
            <w:vAlign w:val="bottom"/>
            <w:shd w:val="clear" w:color="auto" w:fill="F1F1F1"/>
          </w:tcPr>
          <w:p>
            <w:pPr>
              <w:spacing w:after="0"/>
              <w:rPr>
                <w:sz w:val="12"/>
                <w:szCs w:val="12"/>
                <w:color w:val="auto"/>
              </w:rPr>
            </w:pPr>
          </w:p>
        </w:tc>
        <w:tc>
          <w:tcPr>
            <w:tcW w:w="200" w:type="dxa"/>
            <w:vAlign w:val="bottom"/>
            <w:tcBorders>
              <w:right w:val="single" w:sz="8" w:color="F1F1F1"/>
            </w:tcBorders>
            <w:shd w:val="clear" w:color="auto" w:fill="F1F1F1"/>
          </w:tcPr>
          <w:p>
            <w:pPr>
              <w:spacing w:after="0"/>
              <w:rPr>
                <w:sz w:val="12"/>
                <w:szCs w:val="12"/>
                <w:color w:val="auto"/>
              </w:rPr>
            </w:pPr>
          </w:p>
        </w:tc>
        <w:tc>
          <w:tcPr>
            <w:tcW w:w="900" w:type="dxa"/>
            <w:vAlign w:val="bottom"/>
            <w:shd w:val="clear" w:color="auto" w:fill="F1F1F1"/>
          </w:tcPr>
          <w:p>
            <w:pPr>
              <w:spacing w:after="0"/>
              <w:rPr>
                <w:sz w:val="12"/>
                <w:szCs w:val="12"/>
                <w:color w:val="auto"/>
              </w:rPr>
            </w:pPr>
          </w:p>
        </w:tc>
        <w:tc>
          <w:tcPr>
            <w:tcW w:w="200" w:type="dxa"/>
            <w:vAlign w:val="bottom"/>
            <w:tcBorders>
              <w:right w:val="single" w:sz="8" w:color="F1F1F1"/>
            </w:tcBorders>
            <w:shd w:val="clear" w:color="auto" w:fill="F1F1F1"/>
          </w:tcPr>
          <w:p>
            <w:pPr>
              <w:spacing w:after="0"/>
              <w:rPr>
                <w:sz w:val="12"/>
                <w:szCs w:val="12"/>
                <w:color w:val="auto"/>
              </w:rPr>
            </w:pPr>
          </w:p>
        </w:tc>
        <w:tc>
          <w:tcPr>
            <w:tcW w:w="1280" w:type="dxa"/>
            <w:vAlign w:val="bottom"/>
            <w:shd w:val="clear" w:color="auto" w:fill="F1F1F1"/>
          </w:tcPr>
          <w:p>
            <w:pPr>
              <w:spacing w:after="0"/>
              <w:rPr>
                <w:sz w:val="12"/>
                <w:szCs w:val="12"/>
                <w:color w:val="auto"/>
              </w:rPr>
            </w:pPr>
          </w:p>
        </w:tc>
        <w:tc>
          <w:tcPr>
            <w:tcW w:w="160" w:type="dxa"/>
            <w:vAlign w:val="bottom"/>
            <w:shd w:val="clear" w:color="auto" w:fill="F1F1F1"/>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10795</wp:posOffset>
            </wp:positionV>
            <wp:extent cx="5768975" cy="2047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68975" cy="2047875"/>
                    </a:xfrm>
                    <a:prstGeom prst="rect">
                      <a:avLst/>
                    </a:prstGeom>
                    <a:noFill/>
                  </pic:spPr>
                </pic:pic>
              </a:graphicData>
            </a:graphic>
          </wp:anchor>
        </w:drawing>
      </w:r>
    </w:p>
    <w:p>
      <w:pPr>
        <w:spacing w:after="0" w:line="207" w:lineRule="exact"/>
        <w:rPr>
          <w:sz w:val="20"/>
          <w:szCs w:val="20"/>
          <w:color w:val="auto"/>
        </w:rPr>
      </w:pPr>
    </w:p>
    <w:p>
      <w:pPr>
        <w:ind w:left="20" w:right="260"/>
        <w:spacing w:after="0" w:line="254" w:lineRule="auto"/>
        <w:rPr>
          <w:sz w:val="20"/>
          <w:szCs w:val="20"/>
          <w:color w:val="auto"/>
        </w:rPr>
      </w:pPr>
      <w:r>
        <w:rPr>
          <w:rFonts w:ascii="Arial" w:cs="Arial" w:eastAsia="Arial" w:hAnsi="Arial"/>
          <w:sz w:val="15"/>
          <w:szCs w:val="15"/>
          <w:color w:val="auto"/>
        </w:rPr>
        <w:t>Individual salaries are established relative to market median based on each NEO’s individual performance, skills, experience, and internal equity, as well as the company’s annual operating budget</w:t>
      </w:r>
    </w:p>
    <w:p>
      <w:pPr>
        <w:spacing w:after="0" w:line="191" w:lineRule="exact"/>
        <w:rPr>
          <w:sz w:val="20"/>
          <w:szCs w:val="20"/>
          <w:color w:val="auto"/>
        </w:rPr>
      </w:pPr>
    </w:p>
    <w:p>
      <w:pPr>
        <w:ind w:left="20" w:right="700"/>
        <w:spacing w:after="0" w:line="249" w:lineRule="auto"/>
        <w:rPr>
          <w:sz w:val="20"/>
          <w:szCs w:val="20"/>
          <w:color w:val="auto"/>
        </w:rPr>
      </w:pPr>
      <w:r>
        <w:rPr>
          <w:rFonts w:ascii="Arial" w:cs="Arial" w:eastAsia="Arial" w:hAnsi="Arial"/>
          <w:sz w:val="15"/>
          <w:szCs w:val="15"/>
          <w:color w:val="auto"/>
        </w:rPr>
        <w:t>Plan utilizes non-GAAP financial goals as well as an assessment of individual performance against strategic objectives: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 Platform revenue</w:t>
      </w:r>
    </w:p>
    <w:p>
      <w:pPr>
        <w:ind w:left="20"/>
        <w:spacing w:after="0"/>
        <w:rPr>
          <w:sz w:val="20"/>
          <w:szCs w:val="20"/>
          <w:color w:val="auto"/>
        </w:rPr>
      </w:pPr>
      <w:r>
        <w:rPr>
          <w:rFonts w:ascii="Arial" w:cs="Arial" w:eastAsia="Arial" w:hAnsi="Arial"/>
          <w:sz w:val="15"/>
          <w:szCs w:val="15"/>
          <w:color w:val="auto"/>
        </w:rPr>
        <w:t>— Income before taxes</w:t>
      </w:r>
    </w:p>
    <w:p>
      <w:pPr>
        <w:ind w:left="20"/>
        <w:spacing w:after="0"/>
        <w:rPr>
          <w:sz w:val="20"/>
          <w:szCs w:val="20"/>
          <w:color w:val="auto"/>
        </w:rPr>
      </w:pPr>
      <w:r>
        <w:rPr>
          <w:rFonts w:ascii="Arial" w:cs="Arial" w:eastAsia="Arial" w:hAnsi="Arial"/>
          <w:sz w:val="15"/>
          <w:szCs w:val="15"/>
          <w:color w:val="auto"/>
        </w:rPr>
        <w:t>— Operating margin</w:t>
      </w:r>
    </w:p>
    <w:p>
      <w:pPr>
        <w:ind w:left="20"/>
        <w:spacing w:after="0"/>
        <w:rPr>
          <w:sz w:val="20"/>
          <w:szCs w:val="20"/>
          <w:color w:val="auto"/>
        </w:rPr>
      </w:pPr>
      <w:r>
        <w:rPr>
          <w:rFonts w:ascii="Arial" w:cs="Arial" w:eastAsia="Arial" w:hAnsi="Arial"/>
          <w:sz w:val="15"/>
          <w:szCs w:val="15"/>
          <w:color w:val="auto"/>
        </w:rPr>
        <w:t>— Return on assets</w:t>
      </w:r>
    </w:p>
    <w:p>
      <w:pPr>
        <w:ind w:left="20"/>
        <w:spacing w:after="0"/>
        <w:rPr>
          <w:sz w:val="20"/>
          <w:szCs w:val="20"/>
          <w:color w:val="auto"/>
        </w:rPr>
      </w:pPr>
      <w:r>
        <w:rPr>
          <w:rFonts w:ascii="Arial" w:cs="Arial" w:eastAsia="Arial" w:hAnsi="Arial"/>
          <w:sz w:val="15"/>
          <w:szCs w:val="15"/>
          <w:color w:val="auto"/>
        </w:rPr>
        <w:t>— Strategic and leadership goals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5"/>
          <w:szCs w:val="15"/>
          <w:color w:val="auto"/>
        </w:rPr>
        <w:t>Long-term incentive annual awards are granted in the form of:</w:t>
      </w:r>
    </w:p>
    <w:p>
      <w:pPr>
        <w:spacing w:after="0" w:line="14" w:lineRule="exact"/>
        <w:rPr>
          <w:sz w:val="20"/>
          <w:szCs w:val="20"/>
          <w:color w:val="auto"/>
        </w:rPr>
      </w:pPr>
    </w:p>
    <w:p>
      <w:pPr>
        <w:ind w:left="20" w:right="560"/>
        <w:spacing w:after="0" w:line="239" w:lineRule="auto"/>
        <w:rPr>
          <w:sz w:val="20"/>
          <w:szCs w:val="20"/>
          <w:color w:val="auto"/>
        </w:rPr>
      </w:pPr>
      <w:r>
        <w:rPr>
          <w:rFonts w:ascii="Arial" w:cs="Arial" w:eastAsia="Arial" w:hAnsi="Arial"/>
          <w:sz w:val="15"/>
          <w:szCs w:val="15"/>
          <w:color w:val="auto"/>
        </w:rPr>
        <w:t>— Performance shares and performance-vested restricted stock units (80% of NEO’s LTI award)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 Non-qualified stock options (20% of NEO’s LTI award)</w:t>
      </w:r>
    </w:p>
    <w:p>
      <w:pPr>
        <w:spacing w:after="0" w:line="345" w:lineRule="exact"/>
        <w:rPr>
          <w:sz w:val="20"/>
          <w:szCs w:val="20"/>
          <w:color w:val="auto"/>
        </w:rPr>
      </w:pPr>
    </w:p>
    <w:p>
      <w:pPr>
        <w:sectPr>
          <w:pgSz w:w="11900" w:h="16838" w:orient="portrait"/>
          <w:cols w:equalWidth="0" w:num="2">
            <w:col w:w="4020" w:space="120"/>
            <w:col w:w="5120"/>
          </w:cols>
          <w:pgMar w:left="1320" w:top="480" w:right="1319" w:bottom="1440" w:gutter="0" w:footer="0" w:header="0"/>
          <w:type w:val="continuous"/>
        </w:sect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320" w:type="dxa"/>
            <w:vAlign w:val="bottom"/>
          </w:tcPr>
          <w:p>
            <w:pPr>
              <w:ind w:left="55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493"/>
        </w:trPr>
        <w:tc>
          <w:tcPr>
            <w:tcW w:w="8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4898390</wp:posOffset>
            </wp:positionH>
            <wp:positionV relativeFrom="paragraph">
              <wp:posOffset>-507365</wp:posOffset>
            </wp:positionV>
            <wp:extent cx="797560" cy="148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32"/>
          <w:szCs w:val="32"/>
          <w:color w:val="071D49"/>
        </w:rPr>
        <w:t>INFORMATION CONCERNING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587819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78195" cy="1587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194310</wp:posOffset>
            </wp:positionV>
            <wp:extent cx="23495" cy="531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495" cy="53149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186055</wp:posOffset>
            </wp:positionV>
            <wp:extent cx="4002405" cy="547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02405" cy="54737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140"/>
        <w:spacing w:after="0" w:line="294" w:lineRule="auto"/>
        <w:rPr>
          <w:sz w:val="20"/>
          <w:szCs w:val="20"/>
          <w:color w:val="auto"/>
        </w:rPr>
      </w:pPr>
      <w:r>
        <w:rPr>
          <w:rFonts w:ascii="Arial" w:cs="Arial" w:eastAsia="Arial" w:hAnsi="Arial"/>
          <w:sz w:val="23"/>
          <w:szCs w:val="23"/>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You are being asked to elect four Class II directors at the Annual Meeting.</w:t>
      </w:r>
    </w:p>
    <w:p>
      <w:pPr>
        <w:spacing w:after="0" w:line="97"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b w:val="1"/>
          <w:bCs w:val="1"/>
          <w:i w:val="1"/>
          <w:iCs w:val="1"/>
          <w:color w:val="auto"/>
        </w:rPr>
        <w:t xml:space="preserve">The Board of Directors recommends you vote </w:t>
      </w:r>
      <w:r>
        <w:rPr>
          <w:rFonts w:ascii="Arial" w:cs="Arial" w:eastAsia="Arial" w:hAnsi="Arial"/>
          <w:sz w:val="16"/>
          <w:szCs w:val="16"/>
          <w:b w:val="1"/>
          <w:bCs w:val="1"/>
          <w:color w:val="auto"/>
        </w:rPr>
        <w:t>“FOR”</w:t>
      </w:r>
      <w:r>
        <w:rPr>
          <w:rFonts w:ascii="Arial" w:cs="Arial" w:eastAsia="Arial" w:hAnsi="Arial"/>
          <w:sz w:val="16"/>
          <w:szCs w:val="16"/>
          <w:b w:val="1"/>
          <w:bCs w:val="1"/>
          <w:i w:val="1"/>
          <w:iCs w:val="1"/>
          <w:color w:val="auto"/>
        </w:rPr>
        <w:t xml:space="preserve"> each of the nominees set forth below.</w:t>
      </w:r>
    </w:p>
    <w:p>
      <w:pPr>
        <w:spacing w:after="0" w:line="200" w:lineRule="exact"/>
        <w:rPr>
          <w:sz w:val="20"/>
          <w:szCs w:val="20"/>
          <w:color w:val="auto"/>
        </w:rPr>
      </w:pPr>
    </w:p>
    <w:p>
      <w:pPr>
        <w:sectPr>
          <w:pgSz w:w="11900" w:h="16838" w:orient="portrait"/>
          <w:cols w:equalWidth="0" w:num="2">
            <w:col w:w="2800" w:space="300"/>
            <w:col w:w="6160"/>
          </w:cols>
          <w:pgMar w:left="1320" w:top="480" w:right="1319" w:bottom="1440" w:gutter="0" w:footer="0" w:header="0"/>
          <w:type w:val="continuous"/>
        </w:sectPr>
      </w:pP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Board of Directors consists of three classes currently comprised of four directors in Class I, five directors in Class II, and four directors in Class III. Directors of one class are elected each year for a term of three years. The Class II directors are presented for re-election to hold office until the expiration of their term at the 2029 annual meeting of stockholders and until their successors are elected and qualified or until their earlier death or resignation. All of the nominees are currently serving as directors.</w:t>
      </w:r>
    </w:p>
    <w:p>
      <w:pPr>
        <w:spacing w:after="0" w:line="32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Dr. Robert J. Alpern, a current Class II director, recently turned 75. Consistent with AbbVie’s governance guidelines, Dr. Alpern will not stand for re-election as a director as of the 2026 annual stockholder meeting and the board size will be reduced to twelve directors.</w:t>
      </w:r>
    </w:p>
    <w:p>
      <w:pPr>
        <w:spacing w:after="0" w:line="11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Directors are elected by stockholders if a majority of the votes cast are “for” a director’s re-election at the Annual Meeting, excluding abstentions and broker non-votes. For more information on the director majority vote standard, see AbbVie’s By-Laws as listed as an exhibit to AbbVie’s 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10</w:t>
      </w:r>
      <w:r>
        <w:rPr>
          <w:sz w:val="20"/>
          <w:szCs w:val="20"/>
          <w:color w:val="auto"/>
        </w:rPr>
        <w:tab/>
      </w:r>
      <w:r>
        <w:rPr>
          <w:sz w:val="1"/>
          <w:szCs w:val="1"/>
          <w:color w:val="auto"/>
        </w:rPr>
        <w:drawing>
          <wp:inline distT="0" distB="0" distL="0" distR="0">
            <wp:extent cx="797560" cy="14859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INFORMATION CONCERNING DIRECTOR NOMINEES</w:t>
      </w:r>
    </w:p>
    <w:p>
      <w:pPr>
        <w:spacing w:after="0" w:line="178" w:lineRule="exact"/>
        <w:rPr>
          <w:sz w:val="20"/>
          <w:szCs w:val="20"/>
          <w:color w:val="auto"/>
        </w:rPr>
      </w:pPr>
    </w:p>
    <w:p>
      <w:pPr>
        <w:spacing w:after="0"/>
        <w:rPr>
          <w:sz w:val="20"/>
          <w:szCs w:val="20"/>
          <w:color w:val="auto"/>
        </w:rPr>
      </w:pPr>
      <w:r>
        <w:rPr>
          <w:rFonts w:ascii="Arial" w:cs="Arial" w:eastAsia="Arial" w:hAnsi="Arial"/>
          <w:sz w:val="30"/>
          <w:szCs w:val="30"/>
          <w:color w:val="auto"/>
        </w:rPr>
        <w:t>Nominees (Class II)</w:t>
      </w:r>
    </w:p>
    <w:p>
      <w:pPr>
        <w:spacing w:after="0" w:line="174"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Jennifer 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-153035</wp:posOffset>
            </wp:positionV>
            <wp:extent cx="805180" cy="812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05180" cy="812800"/>
                    </a:xfrm>
                    <a:prstGeom prst="rect">
                      <a:avLst/>
                    </a:prstGeom>
                    <a:noFill/>
                  </pic:spPr>
                </pic:pic>
              </a:graphicData>
            </a:graphic>
          </wp:anchor>
        </w:drawing>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71D49"/>
        </w:rPr>
        <w:t>2023</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71D49"/>
        </w:rPr>
        <w:t>54</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Committees</w:t>
      </w:r>
      <w:r>
        <w:rPr>
          <w:rFonts w:ascii="Arial" w:cs="Arial" w:eastAsia="Arial" w:hAnsi="Arial"/>
          <w:sz w:val="16"/>
          <w:szCs w:val="16"/>
          <w:color w:val="007F91"/>
        </w:rPr>
        <w:t>:</w:t>
      </w:r>
      <w:r>
        <w:rPr>
          <w:rFonts w:ascii="Arial" w:cs="Arial" w:eastAsia="Arial" w:hAnsi="Arial"/>
          <w:sz w:val="16"/>
          <w:szCs w:val="16"/>
          <w:color w:val="auto"/>
        </w:rPr>
        <w:t xml:space="preserve"> </w:t>
      </w:r>
      <w:r>
        <w:rPr>
          <w:rFonts w:ascii="Arial" w:cs="Arial" w:eastAsia="Arial" w:hAnsi="Arial"/>
          <w:sz w:val="16"/>
          <w:szCs w:val="16"/>
          <w:b w:val="1"/>
          <w:bCs w:val="1"/>
          <w:color w:val="071D49"/>
        </w:rPr>
        <w:t>Nominations &amp; Governance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Primary Occupation: </w:t>
      </w:r>
      <w:r>
        <w:rPr>
          <w:rFonts w:ascii="Arial" w:cs="Arial" w:eastAsia="Arial" w:hAnsi="Arial"/>
          <w:sz w:val="16"/>
          <w:szCs w:val="16"/>
          <w:b w:val="1"/>
          <w:bCs w:val="1"/>
          <w:color w:val="071D49"/>
        </w:rPr>
        <w:t>Chief Executive Officer, Health Care, Procter &amp; Gamble</w:t>
      </w:r>
    </w:p>
    <w:p>
      <w:pPr>
        <w:spacing w:after="0" w:line="3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0" w:lineRule="exact"/>
        <w:rPr>
          <w:sz w:val="20"/>
          <w:szCs w:val="20"/>
          <w:color w:val="auto"/>
        </w:rPr>
      </w:pPr>
    </w:p>
    <w:p>
      <w:pPr>
        <w:ind w:left="120" w:right="100"/>
        <w:spacing w:after="0" w:line="246" w:lineRule="auto"/>
        <w:rPr>
          <w:sz w:val="20"/>
          <w:szCs w:val="20"/>
          <w:color w:val="auto"/>
        </w:rPr>
      </w:pPr>
      <w:r>
        <w:rPr>
          <w:rFonts w:ascii="Arial" w:cs="Arial" w:eastAsia="Arial" w:hAnsi="Arial"/>
          <w:sz w:val="16"/>
          <w:szCs w:val="16"/>
          <w:color w:val="auto"/>
        </w:rPr>
        <w:t>Ms. Davis currently serves as Chief Executive Officer, Health Care at Procter &amp; Gamble (P&amp;G), a position she has held since 2022. Ms. Davis previously served at P&amp;G as President, Feminine Care (2019 - 2022), President, Global Feminine Care (2018 - 2019), and Vice President - Feminine Care, North America and Brand Franchise Leader, Tampax (2016 - 2018), in addition to various commercial roles with increasing responsibility in her 30+ year career at P&amp;G. Ms. Davis plans to retire from P&amp;G in June 2026.</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0" w:lineRule="exact"/>
        <w:rPr>
          <w:sz w:val="20"/>
          <w:szCs w:val="20"/>
          <w:color w:val="auto"/>
        </w:rPr>
      </w:pPr>
    </w:p>
    <w:p>
      <w:pPr>
        <w:ind w:left="360" w:right="100" w:hanging="238"/>
        <w:spacing w:after="0" w:line="253" w:lineRule="auto"/>
        <w:tabs>
          <w:tab w:leader="none" w:pos="329" w:val="left"/>
        </w:tabs>
        <w:numPr>
          <w:ilvl w:val="0"/>
          <w:numId w:val="23"/>
        </w:numPr>
        <w:rPr>
          <w:rFonts w:ascii="Times New Roman" w:cs="Times New Roman" w:eastAsia="Times New Roman" w:hAnsi="Times New Roman"/>
          <w:sz w:val="16"/>
          <w:szCs w:val="16"/>
          <w:color w:val="071D49"/>
        </w:rPr>
      </w:pPr>
      <w:r>
        <w:rPr>
          <w:rFonts w:ascii="Arial" w:cs="Arial" w:eastAsia="Arial" w:hAnsi="Arial"/>
          <w:sz w:val="16"/>
          <w:szCs w:val="16"/>
          <w:color w:val="auto"/>
        </w:rPr>
        <w:t>As a result of her extensive tenure at P&amp;G, Ms. Davis brings to the Board marketing and other commercial strategy and execution experience, as well as corporate strategy and leadership, consumer behavior, and business development expertise. She also has substantial experience overseeing P&amp;G’s health care research and development, manufacturing, quality, and supply, and regulatory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-492125</wp:posOffset>
            </wp:positionV>
            <wp:extent cx="5878195" cy="476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78195" cy="476885"/>
                    </a:xfrm>
                    <a:prstGeom prst="rect">
                      <a:avLst/>
                    </a:prstGeom>
                    <a:noFill/>
                  </pic:spPr>
                </pic:pic>
              </a:graphicData>
            </a:graphic>
          </wp:anchor>
        </w:drawing>
      </w:r>
    </w:p>
    <w:p>
      <w:pPr>
        <w:spacing w:after="0" w:line="129"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Melody B.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-153035</wp:posOffset>
            </wp:positionV>
            <wp:extent cx="859790" cy="8597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9790" cy="859790"/>
                    </a:xfrm>
                    <a:prstGeom prst="rect">
                      <a:avLst/>
                    </a:prstGeom>
                    <a:noFill/>
                  </pic:spPr>
                </pic:pic>
              </a:graphicData>
            </a:graphic>
          </wp:anchor>
        </w:drawing>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71D49"/>
        </w:rPr>
        <w:t>2017</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71D49"/>
        </w:rPr>
        <w:t>68</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071D49"/>
        </w:rPr>
        <w:t>Audit and Public Policy &amp; Sustainability (Chair)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Primary Occupation: </w:t>
      </w:r>
      <w:r>
        <w:rPr>
          <w:rFonts w:ascii="Arial" w:cs="Arial" w:eastAsia="Arial" w:hAnsi="Arial"/>
          <w:sz w:val="16"/>
          <w:szCs w:val="16"/>
          <w:b w:val="1"/>
          <w:bCs w:val="1"/>
          <w:color w:val="071D49"/>
        </w:rPr>
        <w:t>Retired President, Chevron Asia Pacific Exploration and Production</w:t>
      </w: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0" w:lineRule="exact"/>
        <w:rPr>
          <w:sz w:val="20"/>
          <w:szCs w:val="20"/>
          <w:color w:val="auto"/>
        </w:rPr>
      </w:pPr>
    </w:p>
    <w:p>
      <w:pPr>
        <w:ind w:left="120" w:right="40"/>
        <w:spacing w:after="0" w:line="245" w:lineRule="auto"/>
        <w:rPr>
          <w:sz w:val="20"/>
          <w:szCs w:val="20"/>
          <w:color w:val="auto"/>
        </w:rPr>
      </w:pPr>
      <w:r>
        <w:rPr>
          <w:rFonts w:ascii="Arial" w:cs="Arial" w:eastAsia="Arial" w:hAnsi="Arial"/>
          <w:sz w:val="16"/>
          <w:szCs w:val="16"/>
          <w:color w:val="auto"/>
        </w:rPr>
        <w:t>Ms. Meyer served as President of Chevron Asia Pacific Exploration and Production Company from March 2011 to April 2016. She previously served as President of Chevron Energy Technology Company from 2008 to 2011. Ms. Meyer held various leadership roles in global and U.S. locations during her thirty-seven year career at Chevron and retired in 2016. Ms. Meyer is President of Melody Meyer Energy, LLC, a private consulting firm, since June 2016 and Women with Energy LLC since 2025. Ms. Meyer is also a director at bp p.l.c., where her term ends in April 2026. Ms. Meyer previously served as a director of NOV, Inc. from 2017 to 2023.</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0" w:lineRule="exact"/>
        <w:rPr>
          <w:sz w:val="20"/>
          <w:szCs w:val="20"/>
          <w:color w:val="auto"/>
        </w:rPr>
      </w:pPr>
    </w:p>
    <w:p>
      <w:pPr>
        <w:ind w:left="360" w:right="40" w:hanging="238"/>
        <w:spacing w:after="0" w:line="248" w:lineRule="auto"/>
        <w:tabs>
          <w:tab w:leader="none" w:pos="329" w:val="left"/>
        </w:tabs>
        <w:numPr>
          <w:ilvl w:val="0"/>
          <w:numId w:val="24"/>
        </w:numPr>
        <w:rPr>
          <w:rFonts w:ascii="Times New Roman" w:cs="Times New Roman" w:eastAsia="Times New Roman" w:hAnsi="Times New Roman"/>
          <w:sz w:val="16"/>
          <w:szCs w:val="16"/>
          <w:color w:val="071D49"/>
        </w:rPr>
      </w:pPr>
      <w:r>
        <w:rPr>
          <w:rFonts w:ascii="Arial" w:cs="Arial" w:eastAsia="Arial" w:hAnsi="Arial"/>
          <w:sz w:val="16"/>
          <w:szCs w:val="16"/>
          <w:color w:val="auto"/>
        </w:rPr>
        <w:t>As a result of her tenure at Chevron, Ms. Meyer has acquired operational, management, strategic planning, and financial expertise with extensive global experience and provides an informed perspective to the Board on financial and operational matters faced by a complex international company. She also brings substantial experience related to long-term capital projects and environmental, health, safety, and sustainability matters. Her experience spans multiple jurisdictions, including developing markets in Asia and Africa. Ms. Meyer has long been active in promoting the advancement of women in energy and life sciences and provides the Board with strong human capital management oversight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-723900</wp:posOffset>
            </wp:positionV>
            <wp:extent cx="5878195" cy="7112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7819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50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4851400</wp:posOffset>
            </wp:positionH>
            <wp:positionV relativeFrom="paragraph">
              <wp:posOffset>-499745</wp:posOffset>
            </wp:positionV>
            <wp:extent cx="797560" cy="148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INFORMATION CONCERNING DIRECTOR NOMINEES</w:t>
      </w:r>
    </w:p>
    <w:p>
      <w:pPr>
        <w:spacing w:after="0" w:line="192"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-153035</wp:posOffset>
            </wp:positionV>
            <wp:extent cx="859790" cy="8362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9790" cy="836295"/>
                    </a:xfrm>
                    <a:prstGeom prst="rect">
                      <a:avLst/>
                    </a:prstGeom>
                    <a:noFill/>
                  </pic:spPr>
                </pic:pic>
              </a:graphicData>
            </a:graphic>
          </wp:anchor>
        </w:drawing>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71D49"/>
        </w:rPr>
        <w:t>2024</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71D49"/>
        </w:rPr>
        <w:t>55</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Primary Occupation: </w:t>
      </w:r>
      <w:r>
        <w:rPr>
          <w:rFonts w:ascii="Arial" w:cs="Arial" w:eastAsia="Arial" w:hAnsi="Arial"/>
          <w:sz w:val="16"/>
          <w:szCs w:val="16"/>
          <w:b w:val="1"/>
          <w:bCs w:val="1"/>
          <w:color w:val="071D49"/>
        </w:rPr>
        <w:t>Chairman of the Board and Chief Executive Officer, AbbVie Inc.</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0" w:lineRule="exact"/>
        <w:rPr>
          <w:sz w:val="20"/>
          <w:szCs w:val="20"/>
          <w:color w:val="auto"/>
        </w:rPr>
      </w:pPr>
    </w:p>
    <w:p>
      <w:pPr>
        <w:ind w:left="120"/>
        <w:spacing w:after="0" w:line="243" w:lineRule="auto"/>
        <w:rPr>
          <w:sz w:val="20"/>
          <w:szCs w:val="20"/>
          <w:color w:val="auto"/>
        </w:rPr>
      </w:pPr>
      <w:r>
        <w:rPr>
          <w:rFonts w:ascii="Arial" w:cs="Arial" w:eastAsia="Arial" w:hAnsi="Arial"/>
          <w:sz w:val="16"/>
          <w:szCs w:val="16"/>
          <w:color w:val="auto"/>
        </w:rPr>
        <w:t>Mr. Michael is AbbVie’s Chairman and Chief Executive Officer, a position he has held since July 2025. Mr. Michael previously served as Chief Executive Officer starting in 2024 and President and Chief Operating Officer from July 2023 to June 2024, where he was responsible for global commercial operations, finance, corporate human resources, global operations, business development and corporate strategy for the company. He previously served as Vice Chairman and President from June 2022 to July 2023, as Vice Chairman, Finance and Commercial Operations and Chief Financial Officer from June 2021 to June 2022, as Executive Vice President, Chief Financial Officer from 2019 to 2021, and as Senior Vice President, Chief Financial Officer from 2018 to 2019. Mr. Michael first joined Abbott in 1993 and held numerous leadership positions across several different business units before joining AbbVie in 2013.</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0" w:lineRule="exact"/>
        <w:rPr>
          <w:sz w:val="20"/>
          <w:szCs w:val="20"/>
          <w:color w:val="auto"/>
        </w:rPr>
      </w:pPr>
    </w:p>
    <w:p>
      <w:pPr>
        <w:ind w:left="360" w:right="220" w:hanging="238"/>
        <w:spacing w:after="0" w:line="253" w:lineRule="auto"/>
        <w:tabs>
          <w:tab w:leader="none" w:pos="329" w:val="left"/>
        </w:tabs>
        <w:numPr>
          <w:ilvl w:val="0"/>
          <w:numId w:val="25"/>
        </w:numPr>
        <w:rPr>
          <w:rFonts w:ascii="Times New Roman" w:cs="Times New Roman" w:eastAsia="Times New Roman" w:hAnsi="Times New Roman"/>
          <w:sz w:val="16"/>
          <w:szCs w:val="16"/>
          <w:color w:val="071D49"/>
        </w:rPr>
      </w:pPr>
      <w:r>
        <w:rPr>
          <w:rFonts w:ascii="Arial" w:cs="Arial" w:eastAsia="Arial" w:hAnsi="Arial"/>
          <w:sz w:val="16"/>
          <w:szCs w:val="16"/>
          <w:color w:val="auto"/>
        </w:rPr>
        <w:t>As a result of his numerous leadership roles across a more than 30-year career at Abbott and AbbVie, Mr. Michael has developed valuable business, strategic, leadership, and financial experience, as well as extensive knowledge of AbbVie and its complex global operations. Mr. Michael’s experience and knowledge enable him to contribute to AbbVie’s Board key insights into strategic, operations, business development, management, and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-492125</wp:posOffset>
            </wp:positionV>
            <wp:extent cx="5878195" cy="476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78195" cy="476885"/>
                    </a:xfrm>
                    <a:prstGeom prst="rect">
                      <a:avLst/>
                    </a:prstGeom>
                    <a:noFill/>
                  </pic:spPr>
                </pic:pic>
              </a:graphicData>
            </a:graphic>
          </wp:anchor>
        </w:drawing>
      </w:r>
    </w:p>
    <w:p>
      <w:pPr>
        <w:spacing w:after="0" w:line="117"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Frederick H. Waddell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-153035</wp:posOffset>
            </wp:positionV>
            <wp:extent cx="797560" cy="781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97560" cy="781685"/>
                    </a:xfrm>
                    <a:prstGeom prst="rect">
                      <a:avLst/>
                    </a:prstGeom>
                    <a:noFill/>
                  </pic:spPr>
                </pic:pic>
              </a:graphicData>
            </a:graphic>
          </wp:anchor>
        </w:drawing>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71D49"/>
        </w:rPr>
        <w:t>2013</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71D49"/>
        </w:rPr>
        <w:t>72</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071D49"/>
        </w:rPr>
        <w:t>Audit (Chair) and Compensation</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Primary Occupation: </w:t>
      </w:r>
      <w:r>
        <w:rPr>
          <w:rFonts w:ascii="Arial" w:cs="Arial" w:eastAsia="Arial" w:hAnsi="Arial"/>
          <w:sz w:val="16"/>
          <w:szCs w:val="16"/>
          <w:b w:val="1"/>
          <w:bCs w:val="1"/>
          <w:color w:val="071D49"/>
        </w:rPr>
        <w:t>Former Chairman of the Board and Chief Executive Officer of Northern Trust</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071D49"/>
        </w:rPr>
        <w:t>Corporation and The Northern Trust Company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0" w:lineRule="exact"/>
        <w:rPr>
          <w:sz w:val="20"/>
          <w:szCs w:val="20"/>
          <w:color w:val="auto"/>
        </w:rPr>
      </w:pPr>
    </w:p>
    <w:p>
      <w:pPr>
        <w:ind w:left="120" w:right="160"/>
        <w:spacing w:after="0" w:line="248" w:lineRule="auto"/>
        <w:rPr>
          <w:sz w:val="20"/>
          <w:szCs w:val="20"/>
          <w:color w:val="auto"/>
        </w:rPr>
      </w:pPr>
      <w:r>
        <w:rPr>
          <w:rFonts w:ascii="Arial" w:cs="Arial" w:eastAsia="Arial" w:hAnsi="Arial"/>
          <w:sz w:val="16"/>
          <w:szCs w:val="16"/>
          <w:color w:val="auto"/>
        </w:rPr>
        <w:t>Mr. Waddell served as Chairman of the Board of Northern Trust Corporation and The Northern Trust Company from November 2009 until his retirement in January 2019. He previously served as Chief Executive Officer from 2008 through 2017, as President from 2006 to 2011 and again from October to December 2016, and Chief Operating Officer from 2006 to 2008. Mr. Waddell is also a director of International Business Machines Corporation.</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0" w:lineRule="exact"/>
        <w:rPr>
          <w:sz w:val="20"/>
          <w:szCs w:val="20"/>
          <w:color w:val="auto"/>
        </w:rPr>
      </w:pPr>
    </w:p>
    <w:p>
      <w:pPr>
        <w:ind w:left="360" w:right="200" w:hanging="238"/>
        <w:spacing w:after="0" w:line="250" w:lineRule="auto"/>
        <w:tabs>
          <w:tab w:leader="none" w:pos="329" w:val="left"/>
        </w:tabs>
        <w:numPr>
          <w:ilvl w:val="0"/>
          <w:numId w:val="26"/>
        </w:numPr>
        <w:rPr>
          <w:rFonts w:ascii="Times New Roman" w:cs="Times New Roman" w:eastAsia="Times New Roman" w:hAnsi="Times New Roman"/>
          <w:sz w:val="16"/>
          <w:szCs w:val="16"/>
          <w:color w:val="071D49"/>
        </w:rPr>
      </w:pPr>
      <w:r>
        <w:rPr>
          <w:rFonts w:ascii="Arial" w:cs="Arial" w:eastAsia="Arial" w:hAnsi="Arial"/>
          <w:sz w:val="16"/>
          <w:szCs w:val="16"/>
          <w:color w:val="auto"/>
        </w:rPr>
        <w:t>As former Chairman and Chief Executive Officer of Northern Trust Corporation and The Northern Trust Company, Mr. Waddell contributes broad financial services experience with a strong record of leadership in a highly regulated industry. Having begun his role as CEO at Northern Trust during the 2008 recession, Mr. Waddell has substantial experience overseeing a company’s strategic priorities during changing economic conditions. Through his role as a director at IBM since 2017, Mr. Waddell has garnered significant information technology and security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-607695</wp:posOffset>
            </wp:positionV>
            <wp:extent cx="5878195" cy="5943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7819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12</w:t>
      </w:r>
      <w:r>
        <w:rPr>
          <w:sz w:val="20"/>
          <w:szCs w:val="20"/>
          <w:color w:val="auto"/>
        </w:rPr>
        <w:tab/>
      </w:r>
      <w:r>
        <w:rPr>
          <w:sz w:val="1"/>
          <w:szCs w:val="1"/>
          <w:color w:val="auto"/>
        </w:rPr>
        <w:drawing>
          <wp:inline distT="0" distB="0" distL="0" distR="0">
            <wp:extent cx="797560" cy="14859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40"/>
          </w:cols>
          <w:pgMar w:left="1320" w:top="480" w:right="1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2" w:lineRule="exact"/>
        <w:rPr>
          <w:sz w:val="20"/>
          <w:szCs w:val="20"/>
          <w:color w:val="auto"/>
        </w:rPr>
      </w:pPr>
    </w:p>
    <w:p>
      <w:pPr>
        <w:ind w:left="5120"/>
        <w:spacing w:after="0"/>
        <w:rPr>
          <w:sz w:val="20"/>
          <w:szCs w:val="20"/>
          <w:color w:val="auto"/>
        </w:rPr>
      </w:pPr>
      <w:r>
        <w:rPr>
          <w:rFonts w:ascii="Arial" w:cs="Arial" w:eastAsia="Arial" w:hAnsi="Arial"/>
          <w:sz w:val="16"/>
          <w:szCs w:val="16"/>
          <w:color w:val="808080"/>
        </w:rPr>
        <w:t>INFORMATION CONCERNING DIRECTOR NOMINEES</w:t>
      </w:r>
    </w:p>
    <w:p>
      <w:pPr>
        <w:spacing w:after="0" w:line="178" w:lineRule="exact"/>
        <w:rPr>
          <w:sz w:val="20"/>
          <w:szCs w:val="20"/>
          <w:color w:val="auto"/>
        </w:rPr>
      </w:pPr>
    </w:p>
    <w:p>
      <w:pPr>
        <w:spacing w:after="0"/>
        <w:rPr>
          <w:sz w:val="20"/>
          <w:szCs w:val="20"/>
          <w:color w:val="auto"/>
        </w:rPr>
      </w:pPr>
      <w:r>
        <w:rPr>
          <w:rFonts w:ascii="Arial" w:cs="Arial" w:eastAsia="Arial" w:hAnsi="Arial"/>
          <w:sz w:val="30"/>
          <w:szCs w:val="30"/>
          <w:color w:val="auto"/>
        </w:rPr>
        <w:t>Class III - Directors whose terms expire in 2027</w:t>
      </w:r>
    </w:p>
    <w:p>
      <w:pPr>
        <w:spacing w:after="0" w:line="174"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Roxanne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-82550</wp:posOffset>
            </wp:positionV>
            <wp:extent cx="805180" cy="805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05180" cy="805180"/>
                    </a:xfrm>
                    <a:prstGeom prst="rect">
                      <a:avLst/>
                    </a:prstGeom>
                    <a:noFill/>
                  </pic:spPr>
                </pic:pic>
              </a:graphicData>
            </a:graphic>
          </wp:anchor>
        </w:drawing>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71D49"/>
        </w:rPr>
        <w:t>2013</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71D49"/>
        </w:rPr>
        <w:t>65</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071D49"/>
        </w:rPr>
        <w:t>Audit, Compensation, Nominations &amp; Governance, and Public Policy &amp;</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071D49"/>
        </w:rPr>
        <w:t>Sustainability</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Primary Occupation: </w:t>
      </w:r>
      <w:r>
        <w:rPr>
          <w:rFonts w:ascii="Arial" w:cs="Arial" w:eastAsia="Arial" w:hAnsi="Arial"/>
          <w:sz w:val="16"/>
          <w:szCs w:val="16"/>
          <w:b w:val="1"/>
          <w:bCs w:val="1"/>
          <w:color w:val="071D49"/>
        </w:rPr>
        <w:t>President, Austin Investment Advisors</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071D49"/>
        </w:rPr>
        <w:t>Lead Independent Director</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0" w:lineRule="exact"/>
        <w:rPr>
          <w:sz w:val="20"/>
          <w:szCs w:val="20"/>
          <w:color w:val="auto"/>
        </w:rPr>
      </w:pPr>
    </w:p>
    <w:p>
      <w:pPr>
        <w:ind w:left="120" w:right="80"/>
        <w:spacing w:after="0" w:line="243" w:lineRule="auto"/>
        <w:rPr>
          <w:sz w:val="20"/>
          <w:szCs w:val="20"/>
          <w:color w:val="auto"/>
        </w:rPr>
      </w:pPr>
      <w:r>
        <w:rPr>
          <w:rFonts w:ascii="Arial" w:cs="Arial" w:eastAsia="Arial" w:hAnsi="Arial"/>
          <w:sz w:val="16"/>
          <w:szCs w:val="16"/>
          <w:color w:val="auto"/>
        </w:rPr>
        <w:t>Ms. Austin is President of Austin Investment Advisors, a private investment and consulting firm. She chaired the U.S. Mid-market Investment Advisory Committee of EQT Partners from 2017 to 2023. Previously, Ms. Austin also served as the President and Chief Executive Officer of Move Networks, Inc., a provider of Internet television services. Ms. Austin served as President and Chief Operating Officer of DIRECTV, Inc. Ms. Austin also served as Executive Vice President and Chief Financial Officer of Hughes Electronics Corporation and as a partner of Deloitte &amp; Touche LLP. Ms. Austin is also a director of Crowdstrike, Inc., Freshworks, Inc., and Verizon Communications Inc. Ms. Austin previously served as a director of Abbott Laboratories from 2000 to 2022, Teledyne Technologies, Inc. from 2006 to 2021, Target Corporation from 2002 to 2020, and Telefonaktiebolaget LM Ericsson from 2008 to 2016.</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0" w:lineRule="exact"/>
        <w:rPr>
          <w:sz w:val="20"/>
          <w:szCs w:val="20"/>
          <w:color w:val="auto"/>
        </w:rPr>
      </w:pPr>
    </w:p>
    <w:p>
      <w:pPr>
        <w:ind w:left="360" w:right="60" w:hanging="238"/>
        <w:spacing w:after="0" w:line="243" w:lineRule="auto"/>
        <w:tabs>
          <w:tab w:leader="none" w:pos="329" w:val="left"/>
        </w:tabs>
        <w:numPr>
          <w:ilvl w:val="0"/>
          <w:numId w:val="27"/>
        </w:numPr>
        <w:rPr>
          <w:rFonts w:ascii="Times New Roman" w:cs="Times New Roman" w:eastAsia="Times New Roman" w:hAnsi="Times New Roman"/>
          <w:sz w:val="16"/>
          <w:szCs w:val="16"/>
          <w:color w:val="071D49"/>
        </w:rPr>
      </w:pPr>
      <w:r>
        <w:rPr>
          <w:rFonts w:ascii="Arial" w:cs="Arial" w:eastAsia="Arial" w:hAnsi="Arial"/>
          <w:sz w:val="16"/>
          <w:szCs w:val="16"/>
          <w:color w:val="auto"/>
        </w:rPr>
        <w:t>As a result of her extensive management and operating roles, Ms. Austin contributes significant oversight and leadership experience to the Board, including knowledge of global business strategy in health care and other industries, corporate governance, financial statements, and capital allocation strategy. Ms. Austin also provides substantial cybersecurity and other information technology expertise, as a result of her role as a director at Crowdstrike, Inc., a cybersecurity technology company, and other publicly traded companies.</w:t>
      </w:r>
    </w:p>
    <w:p>
      <w:pPr>
        <w:spacing w:after="0" w:line="3" w:lineRule="exact"/>
        <w:rPr>
          <w:rFonts w:ascii="Times New Roman" w:cs="Times New Roman" w:eastAsia="Times New Roman" w:hAnsi="Times New Roman"/>
          <w:sz w:val="16"/>
          <w:szCs w:val="16"/>
          <w:color w:val="071D49"/>
        </w:rPr>
      </w:pPr>
    </w:p>
    <w:p>
      <w:pPr>
        <w:ind w:left="360" w:right="40" w:hanging="238"/>
        <w:spacing w:after="0" w:line="277" w:lineRule="auto"/>
        <w:tabs>
          <w:tab w:leader="none" w:pos="329" w:val="left"/>
        </w:tabs>
        <w:numPr>
          <w:ilvl w:val="0"/>
          <w:numId w:val="27"/>
        </w:numPr>
        <w:rPr>
          <w:rFonts w:ascii="Times New Roman" w:cs="Times New Roman" w:eastAsia="Times New Roman" w:hAnsi="Times New Roman"/>
          <w:sz w:val="16"/>
          <w:szCs w:val="16"/>
          <w:color w:val="071D49"/>
        </w:rPr>
      </w:pPr>
      <w:r>
        <w:rPr>
          <w:rFonts w:ascii="Arial" w:cs="Arial" w:eastAsia="Arial" w:hAnsi="Arial"/>
          <w:sz w:val="16"/>
          <w:szCs w:val="16"/>
          <w:color w:val="auto"/>
        </w:rPr>
        <w:t>Her leadership roles at both public and private companies also enhance her independent oversight role as AbbVie’s Lead Independent Director, including effectively leading key board processes such as self-evaluations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-862965</wp:posOffset>
            </wp:positionV>
            <wp:extent cx="5878195" cy="8362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78195" cy="83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-507365</wp:posOffset>
            </wp:positionV>
            <wp:extent cx="797560" cy="148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INFORMATION CONCERNING DIRECTOR NOMINEES</w:t>
      </w:r>
    </w:p>
    <w:p>
      <w:pPr>
        <w:spacing w:after="0" w:line="192"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Thomas J. Falk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-153035</wp:posOffset>
            </wp:positionV>
            <wp:extent cx="805180" cy="805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05180" cy="805180"/>
                    </a:xfrm>
                    <a:prstGeom prst="rect">
                      <a:avLst/>
                    </a:prstGeom>
                    <a:noFill/>
                  </pic:spPr>
                </pic:pic>
              </a:graphicData>
            </a:graphic>
          </wp:anchor>
        </w:drawing>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71D49"/>
        </w:rPr>
        <w:t>2025</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71D49"/>
        </w:rPr>
        <w:t>67</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071D49"/>
        </w:rPr>
        <w:t>Audit</w:t>
      </w:r>
    </w:p>
    <w:p>
      <w:pPr>
        <w:spacing w:after="0" w:line="1" w:lineRule="exact"/>
        <w:rPr>
          <w:sz w:val="20"/>
          <w:szCs w:val="20"/>
          <w:color w:val="auto"/>
        </w:rPr>
      </w:pPr>
    </w:p>
    <w:p>
      <w:pPr>
        <w:ind w:left="1720" w:right="1180"/>
        <w:spacing w:after="0" w:line="272" w:lineRule="auto"/>
        <w:rPr>
          <w:sz w:val="20"/>
          <w:szCs w:val="20"/>
          <w:color w:val="auto"/>
        </w:rPr>
      </w:pPr>
      <w:r>
        <w:rPr>
          <w:rFonts w:ascii="Arial" w:cs="Arial" w:eastAsia="Arial" w:hAnsi="Arial"/>
          <w:sz w:val="16"/>
          <w:szCs w:val="16"/>
          <w:color w:val="auto"/>
        </w:rPr>
        <w:t xml:space="preserve">Primary Occupation: </w:t>
      </w:r>
      <w:r>
        <w:rPr>
          <w:rFonts w:ascii="Arial" w:cs="Arial" w:eastAsia="Arial" w:hAnsi="Arial"/>
          <w:sz w:val="16"/>
          <w:szCs w:val="16"/>
          <w:b w:val="1"/>
          <w:bCs w:val="1"/>
          <w:color w:val="071D49"/>
        </w:rPr>
        <w:t>Retired Chairman and Chief Executive Officer, Kimberly-Clark</w:t>
      </w:r>
      <w:r>
        <w:rPr>
          <w:rFonts w:ascii="Arial" w:cs="Arial" w:eastAsia="Arial" w:hAnsi="Arial"/>
          <w:sz w:val="16"/>
          <w:szCs w:val="16"/>
          <w:color w:val="auto"/>
        </w:rPr>
        <w:t xml:space="preserve"> </w:t>
      </w:r>
      <w:r>
        <w:rPr>
          <w:rFonts w:ascii="Arial" w:cs="Arial" w:eastAsia="Arial" w:hAnsi="Arial"/>
          <w:sz w:val="16"/>
          <w:szCs w:val="16"/>
          <w:b w:val="1"/>
          <w:bCs w:val="1"/>
          <w:color w:val="071D49"/>
        </w:rPr>
        <w:t>Corporation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0" w:lineRule="exact"/>
        <w:rPr>
          <w:sz w:val="20"/>
          <w:szCs w:val="20"/>
          <w:color w:val="auto"/>
        </w:rPr>
      </w:pPr>
    </w:p>
    <w:p>
      <w:pPr>
        <w:ind w:left="120" w:right="140"/>
        <w:spacing w:after="0" w:line="246" w:lineRule="auto"/>
        <w:rPr>
          <w:sz w:val="20"/>
          <w:szCs w:val="20"/>
          <w:color w:val="auto"/>
        </w:rPr>
      </w:pPr>
      <w:r>
        <w:rPr>
          <w:rFonts w:ascii="Arial" w:cs="Arial" w:eastAsia="Arial" w:hAnsi="Arial"/>
          <w:sz w:val="16"/>
          <w:szCs w:val="16"/>
          <w:color w:val="auto"/>
        </w:rPr>
        <w:t>Having served 36 years at Kimberly-Clark Corporation, Mr. Falk served as Executive Chairman from January 2019 until his retirement in December 2019. He previously served as Chairman of the Board and Chief Executive Officer from 2003 until December 2018, as Chief Executive Officer from 2002 to 2003, and as President and Chief Operating Officer from 1999 to 2002. Mr. Falk is also a director on the boards of Lockheed Martin and the Bipartisan Policy Center, the Baker Institute, and as a National Governor of the Boys and Girls Clubs of America.</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0" w:lineRule="exact"/>
        <w:rPr>
          <w:sz w:val="20"/>
          <w:szCs w:val="20"/>
          <w:color w:val="auto"/>
        </w:rPr>
      </w:pPr>
    </w:p>
    <w:p>
      <w:pPr>
        <w:ind w:left="360" w:right="140" w:hanging="217"/>
        <w:spacing w:after="0" w:line="248" w:lineRule="auto"/>
        <w:tabs>
          <w:tab w:leader="none" w:pos="344" w:val="left"/>
        </w:tabs>
        <w:numPr>
          <w:ilvl w:val="0"/>
          <w:numId w:val="28"/>
        </w:numPr>
        <w:rPr>
          <w:rFonts w:ascii="Times New Roman" w:cs="Times New Roman" w:eastAsia="Times New Roman" w:hAnsi="Times New Roman"/>
          <w:sz w:val="16"/>
          <w:szCs w:val="16"/>
          <w:color w:val="071D49"/>
        </w:rPr>
      </w:pPr>
      <w:r>
        <w:rPr>
          <w:rFonts w:ascii="Arial" w:cs="Arial" w:eastAsia="Arial" w:hAnsi="Arial"/>
          <w:sz w:val="16"/>
          <w:szCs w:val="16"/>
          <w:color w:val="auto"/>
        </w:rPr>
        <w:t>During his tenure as Chairman of the Board and Chief Executive Officer of Kimberly-Clark Corporation, Mr. Falk acquired extensive management experience overseeing a complex multinational business, including strategic, management, financial, and operational expertise. In addition, as a result of his current role as Lead Independent Director at Lockheed Martin, Mr. Falk has garnered significant independent board oversight experience, including related to key board processes such as succession planning and capital allocation oversight. This combined expertise allows him to exercise effective independent oversight of AbbVie’s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-723900</wp:posOffset>
            </wp:positionV>
            <wp:extent cx="5878195" cy="7112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78195" cy="711200"/>
                    </a:xfrm>
                    <a:prstGeom prst="rect">
                      <a:avLst/>
                    </a:prstGeom>
                    <a:noFill/>
                  </pic:spPr>
                </pic:pic>
              </a:graphicData>
            </a:graphic>
          </wp:anchor>
        </w:drawing>
      </w:r>
    </w:p>
    <w:p>
      <w:pPr>
        <w:spacing w:after="0" w:line="134"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Susan E. Quaggin,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-153035</wp:posOffset>
            </wp:positionV>
            <wp:extent cx="805180" cy="797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05180" cy="797560"/>
                    </a:xfrm>
                    <a:prstGeom prst="rect">
                      <a:avLst/>
                    </a:prstGeom>
                    <a:noFill/>
                  </pic:spPr>
                </pic:pic>
              </a:graphicData>
            </a:graphic>
          </wp:anchor>
        </w:drawing>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71D49"/>
        </w:rPr>
        <w:t>2023</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71D49"/>
        </w:rPr>
        <w:t>62</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071D49"/>
        </w:rPr>
        <w:t>Public Policy &amp; Sustainability</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Primary Occupation: </w:t>
      </w:r>
      <w:r>
        <w:rPr>
          <w:rFonts w:ascii="Arial" w:cs="Arial" w:eastAsia="Arial" w:hAnsi="Arial"/>
          <w:sz w:val="16"/>
          <w:szCs w:val="16"/>
          <w:b w:val="1"/>
          <w:bCs w:val="1"/>
          <w:color w:val="071D49"/>
        </w:rPr>
        <w:t>Irving S. Cutter Professor and Chair of Medicine, Northwestern University</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071D49"/>
        </w:rPr>
        <w:t>Feinberg School of Medicine</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0" w:lineRule="exact"/>
        <w:rPr>
          <w:sz w:val="20"/>
          <w:szCs w:val="20"/>
          <w:color w:val="auto"/>
        </w:rPr>
      </w:pPr>
    </w:p>
    <w:p>
      <w:pPr>
        <w:ind w:left="120" w:right="220"/>
        <w:spacing w:after="0" w:line="248" w:lineRule="auto"/>
        <w:rPr>
          <w:sz w:val="20"/>
          <w:szCs w:val="20"/>
          <w:color w:val="auto"/>
        </w:rPr>
      </w:pPr>
      <w:r>
        <w:rPr>
          <w:rFonts w:ascii="Arial" w:cs="Arial" w:eastAsia="Arial" w:hAnsi="Arial"/>
          <w:sz w:val="16"/>
          <w:szCs w:val="16"/>
          <w:color w:val="auto"/>
        </w:rPr>
        <w:t>Dr. Quaggin is currently the Irving S. Cutter Professor of Medicine at Northwestern University Feinberg School of Medicine, where she has served as the Chair of the Department of Medicine since 2023 and Director of the Feinberg Cardiovascular and Renal Research Institute since 2013. Dr. Quaggin serves as a council member of the Association of American Physicians and previously served as President of the American Society of Nephrology in 2021 and 2022.</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0" w:lineRule="exact"/>
        <w:rPr>
          <w:sz w:val="20"/>
          <w:szCs w:val="20"/>
          <w:color w:val="auto"/>
        </w:rPr>
      </w:pPr>
    </w:p>
    <w:p>
      <w:pPr>
        <w:ind w:left="360" w:hanging="238"/>
        <w:spacing w:after="0" w:line="253" w:lineRule="auto"/>
        <w:tabs>
          <w:tab w:leader="none" w:pos="329" w:val="left"/>
        </w:tabs>
        <w:numPr>
          <w:ilvl w:val="0"/>
          <w:numId w:val="29"/>
        </w:numPr>
        <w:rPr>
          <w:rFonts w:ascii="Times New Roman" w:cs="Times New Roman" w:eastAsia="Times New Roman" w:hAnsi="Times New Roman"/>
          <w:sz w:val="16"/>
          <w:szCs w:val="16"/>
          <w:color w:val="071D49"/>
        </w:rPr>
      </w:pPr>
      <w:r>
        <w:rPr>
          <w:rFonts w:ascii="Arial" w:cs="Arial" w:eastAsia="Arial" w:hAnsi="Arial"/>
          <w:sz w:val="16"/>
          <w:szCs w:val="16"/>
          <w:color w:val="auto"/>
        </w:rPr>
        <w:t>Through her position as the Irving S. Cutter Professor of Medicine at Northwestern University Feinberg School of Medicine, as well as her other leadership roles, Dr. Quaggin has acquired extensive medical and scientific expertise and deep knowledge of the health care environment. This expertise allows her to contribute valuable insights on AbbVie’s key research and development initiatives, among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-492125</wp:posOffset>
            </wp:positionV>
            <wp:extent cx="5878195" cy="476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78195" cy="47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14</w:t>
      </w:r>
      <w:r>
        <w:rPr>
          <w:sz w:val="20"/>
          <w:szCs w:val="20"/>
          <w:color w:val="auto"/>
        </w:rPr>
        <w:tab/>
      </w:r>
      <w:r>
        <w:rPr>
          <w:sz w:val="1"/>
          <w:szCs w:val="1"/>
          <w:color w:val="auto"/>
        </w:rPr>
        <w:drawing>
          <wp:inline distT="0" distB="0" distL="0" distR="0">
            <wp:extent cx="797560" cy="14859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40"/>
          </w:cols>
          <w:pgMar w:left="1320" w:top="480" w:right="1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INFORMATION CONCERNING DIRECTOR NOMINEES</w:t>
      </w:r>
    </w:p>
    <w:p>
      <w:pPr>
        <w:spacing w:after="0" w:line="192"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Rebecca B.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-153035</wp:posOffset>
            </wp:positionV>
            <wp:extent cx="789305" cy="805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89305" cy="805180"/>
                    </a:xfrm>
                    <a:prstGeom prst="rect">
                      <a:avLst/>
                    </a:prstGeom>
                    <a:noFill/>
                  </pic:spPr>
                </pic:pic>
              </a:graphicData>
            </a:graphic>
          </wp:anchor>
        </w:drawing>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71D49"/>
        </w:rPr>
        <w:t>2018</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71D49"/>
        </w:rPr>
        <w:t>73</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071D49"/>
        </w:rPr>
        <w:t>Nominations &amp; Governance and Public Policy &amp; Sustainability</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Primary Occupation: </w:t>
      </w:r>
      <w:r>
        <w:rPr>
          <w:rFonts w:ascii="Arial" w:cs="Arial" w:eastAsia="Arial" w:hAnsi="Arial"/>
          <w:sz w:val="16"/>
          <w:szCs w:val="16"/>
          <w:b w:val="1"/>
          <w:bCs w:val="1"/>
          <w:color w:val="071D49"/>
        </w:rPr>
        <w:t>Retired President of Chevron Pipe Line Company</w:t>
      </w:r>
    </w:p>
    <w:p>
      <w:pPr>
        <w:spacing w:after="0" w:line="3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0" w:lineRule="exact"/>
        <w:rPr>
          <w:sz w:val="20"/>
          <w:szCs w:val="20"/>
          <w:color w:val="auto"/>
        </w:rPr>
      </w:pPr>
    </w:p>
    <w:p>
      <w:pPr>
        <w:ind w:left="120" w:right="240"/>
        <w:spacing w:after="0" w:line="246" w:lineRule="auto"/>
        <w:rPr>
          <w:sz w:val="20"/>
          <w:szCs w:val="20"/>
          <w:color w:val="auto"/>
        </w:rPr>
      </w:pPr>
      <w:r>
        <w:rPr>
          <w:rFonts w:ascii="Arial" w:cs="Arial" w:eastAsia="Arial" w:hAnsi="Arial"/>
          <w:sz w:val="16"/>
          <w:szCs w:val="16"/>
          <w:color w:val="auto"/>
        </w:rPr>
        <w:t>Ms. Roberts served as President of Chevron Pipe Line Company from 2006 until her retirement in 2011. She previously served as the President of Chevron Global Power Generation from 2003 to 2006, in addition to various technical and management positions during her thirty-six year career with Chevron. Ms. Roberts began her career as a chemist and research scientist. Ms. Roberts previously served as a director of Enbridge, Inc. from 2015 to 2018, Black Hills Corporation from 2011 to 2025, and MSA Safety Incorporated from 2013 to 2025.</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0" w:lineRule="exact"/>
        <w:rPr>
          <w:sz w:val="20"/>
          <w:szCs w:val="20"/>
          <w:color w:val="auto"/>
        </w:rPr>
      </w:pPr>
    </w:p>
    <w:p>
      <w:pPr>
        <w:ind w:left="360" w:right="200" w:hanging="238"/>
        <w:spacing w:after="0" w:line="248" w:lineRule="auto"/>
        <w:tabs>
          <w:tab w:leader="none" w:pos="329" w:val="left"/>
        </w:tabs>
        <w:numPr>
          <w:ilvl w:val="0"/>
          <w:numId w:val="30"/>
        </w:numPr>
        <w:rPr>
          <w:rFonts w:ascii="Times New Roman" w:cs="Times New Roman" w:eastAsia="Times New Roman" w:hAnsi="Times New Roman"/>
          <w:sz w:val="16"/>
          <w:szCs w:val="16"/>
          <w:color w:val="071D49"/>
        </w:rPr>
      </w:pPr>
      <w:r>
        <w:rPr>
          <w:rFonts w:ascii="Arial" w:cs="Arial" w:eastAsia="Arial" w:hAnsi="Arial"/>
          <w:sz w:val="16"/>
          <w:szCs w:val="16"/>
          <w:color w:val="auto"/>
        </w:rPr>
        <w:t>Ms. Roberts brings management, business development, operational, environmental and safety, marketing, and strategy development expertise with a scientific background and extensive global experience at Chevron.</w:t>
      </w:r>
    </w:p>
    <w:p>
      <w:pPr>
        <w:ind w:left="360" w:right="60" w:hanging="238"/>
        <w:spacing w:after="0" w:line="277" w:lineRule="auto"/>
        <w:tabs>
          <w:tab w:leader="none" w:pos="329" w:val="left"/>
        </w:tabs>
        <w:numPr>
          <w:ilvl w:val="0"/>
          <w:numId w:val="30"/>
        </w:numPr>
        <w:rPr>
          <w:rFonts w:ascii="Times New Roman" w:cs="Times New Roman" w:eastAsia="Times New Roman" w:hAnsi="Times New Roman"/>
          <w:sz w:val="16"/>
          <w:szCs w:val="16"/>
          <w:color w:val="071D49"/>
        </w:rPr>
      </w:pPr>
      <w:r>
        <w:rPr>
          <w:rFonts w:ascii="Arial" w:cs="Arial" w:eastAsia="Arial" w:hAnsi="Arial"/>
          <w:sz w:val="16"/>
          <w:szCs w:val="16"/>
          <w:color w:val="auto"/>
        </w:rPr>
        <w:t>She provides an informed perspective to the Board on regulatory and operational matters faced by a complex international company. She also has broad experience across a range of geographies, including Asia, Europe, and Central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-511175</wp:posOffset>
            </wp:positionV>
            <wp:extent cx="5878195" cy="4845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78195" cy="48450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30"/>
          <w:szCs w:val="30"/>
          <w:color w:val="auto"/>
        </w:rPr>
        <w:t>Class I - Directors whose terms expire in 2028</w:t>
      </w:r>
    </w:p>
    <w:p>
      <w:pPr>
        <w:spacing w:after="0" w:line="162"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William H.L. Burnside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-153035</wp:posOffset>
            </wp:positionV>
            <wp:extent cx="789305" cy="805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89305" cy="805180"/>
                    </a:xfrm>
                    <a:prstGeom prst="rect">
                      <a:avLst/>
                    </a:prstGeom>
                    <a:noFill/>
                  </pic:spPr>
                </pic:pic>
              </a:graphicData>
            </a:graphic>
          </wp:anchor>
        </w:drawing>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71D49"/>
        </w:rPr>
        <w:t>2013</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71D49"/>
        </w:rPr>
        <w:t>74</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071D49"/>
        </w:rPr>
        <w:t>Audit and Public Policy &amp; Sustainability</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Primary Occupation: </w:t>
      </w:r>
      <w:r>
        <w:rPr>
          <w:rFonts w:ascii="Arial" w:cs="Arial" w:eastAsia="Arial" w:hAnsi="Arial"/>
          <w:sz w:val="16"/>
          <w:szCs w:val="16"/>
          <w:b w:val="1"/>
          <w:bCs w:val="1"/>
          <w:color w:val="071D49"/>
        </w:rPr>
        <w:t>Retired Senior Vice President and Director at The Boston Consulting Group</w:t>
      </w:r>
    </w:p>
    <w:p>
      <w:pPr>
        <w:spacing w:after="0" w:line="3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0"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auto"/>
        </w:rPr>
        <w:t>Mr. Burnside is a retired Senior Vice President and director at The Boston Consulting Group (BCG). Prior to becoming managing partner of BCG’s Los Angeles office in 1987, he worked in BCG’s London and Chicago offices, servicing clients in telecommunications, media, defense, financial services, and manufacturing. He most recently served as an advisor for BCG from 2011 to 2023.</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0" w:lineRule="exact"/>
        <w:rPr>
          <w:sz w:val="20"/>
          <w:szCs w:val="20"/>
          <w:color w:val="auto"/>
        </w:rPr>
      </w:pPr>
    </w:p>
    <w:p>
      <w:pPr>
        <w:ind w:left="360" w:right="140" w:hanging="238"/>
        <w:spacing w:after="0" w:line="253" w:lineRule="auto"/>
        <w:tabs>
          <w:tab w:leader="none" w:pos="377" w:val="left"/>
        </w:tabs>
        <w:numPr>
          <w:ilvl w:val="0"/>
          <w:numId w:val="31"/>
        </w:numPr>
        <w:rPr>
          <w:rFonts w:ascii="Times New Roman" w:cs="Times New Roman" w:eastAsia="Times New Roman" w:hAnsi="Times New Roman"/>
          <w:sz w:val="15"/>
          <w:szCs w:val="15"/>
          <w:color w:val="071D49"/>
        </w:rPr>
      </w:pPr>
      <w:r>
        <w:rPr>
          <w:rFonts w:ascii="Arial" w:cs="Arial" w:eastAsia="Arial" w:hAnsi="Arial"/>
          <w:sz w:val="16"/>
          <w:szCs w:val="16"/>
          <w:color w:val="auto"/>
        </w:rPr>
        <w:t>Through his experience with The Boston Consulting Group, Mr. Burnside contributes knowledge and understanding of corporate finance and capital markets matters to the Board, as well as global and domestic strategic advisory experience across a broad base of industries. He provides an informed perspective to the Board on financial forecasting and planning, mergers and acquisitions, human capital management, marketing, and risk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-491490</wp:posOffset>
            </wp:positionV>
            <wp:extent cx="5878195" cy="476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78195" cy="47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-507365</wp:posOffset>
            </wp:positionV>
            <wp:extent cx="797560" cy="148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INFORMATION CONCERNING DIRECTOR NOMINEES</w:t>
      </w:r>
    </w:p>
    <w:p>
      <w:pPr>
        <w:spacing w:after="0" w:line="192"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Thomas C. Freyman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-153035</wp:posOffset>
            </wp:positionV>
            <wp:extent cx="836295" cy="8674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36295" cy="867410"/>
                    </a:xfrm>
                    <a:prstGeom prst="rect">
                      <a:avLst/>
                    </a:prstGeom>
                    <a:noFill/>
                  </pic:spPr>
                </pic:pic>
              </a:graphicData>
            </a:graphic>
          </wp:anchor>
        </w:drawing>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71D49"/>
        </w:rPr>
        <w:t>2020</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71D49"/>
        </w:rPr>
        <w:t>71</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071D49"/>
        </w:rPr>
        <w:t>Compensation and Nominations &amp; Governance (Chair)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Primary Occupation: </w:t>
      </w:r>
      <w:r>
        <w:rPr>
          <w:rFonts w:ascii="Arial" w:cs="Arial" w:eastAsia="Arial" w:hAnsi="Arial"/>
          <w:sz w:val="16"/>
          <w:szCs w:val="16"/>
          <w:b w:val="1"/>
          <w:bCs w:val="1"/>
          <w:color w:val="071D49"/>
        </w:rPr>
        <w:t>Retired Executive Vice President, Finance and Administration,</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071D49"/>
        </w:rPr>
        <w:t>Abbott Laboratories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0" w:lineRule="exact"/>
        <w:rPr>
          <w:sz w:val="20"/>
          <w:szCs w:val="20"/>
          <w:color w:val="auto"/>
        </w:rPr>
      </w:pPr>
    </w:p>
    <w:p>
      <w:pPr>
        <w:ind w:left="120"/>
        <w:spacing w:after="0" w:line="246" w:lineRule="auto"/>
        <w:rPr>
          <w:sz w:val="20"/>
          <w:szCs w:val="20"/>
          <w:color w:val="auto"/>
        </w:rPr>
      </w:pPr>
      <w:r>
        <w:rPr>
          <w:rFonts w:ascii="Arial" w:cs="Arial" w:eastAsia="Arial" w:hAnsi="Arial"/>
          <w:sz w:val="16"/>
          <w:szCs w:val="16"/>
          <w:color w:val="auto"/>
        </w:rPr>
        <w:t>Mr. Freyman served as a director at Allergan from 2018 to 2020, when AbbVie acquired Allergan plc. Mr. Freyman previously served as Executive Vice President, Finance and Administration at Abbott Laboratories from 2015 until his retirement in 2017. He previously served at Abbott as Chief Financial Officer and Executive Vice President, Finance and was first appointed Chief Financial Officer and Senior Vice President, Finance in 2001. Mr. Freyman previously served as a director of Tenneco Inc. from 2013 to 2022 and Hanger, Inc. from 2017 to 2022.</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0" w:lineRule="exact"/>
        <w:rPr>
          <w:sz w:val="20"/>
          <w:szCs w:val="20"/>
          <w:color w:val="auto"/>
        </w:rPr>
      </w:pPr>
    </w:p>
    <w:p>
      <w:pPr>
        <w:ind w:left="360" w:right="20" w:hanging="238"/>
        <w:spacing w:after="0" w:line="250" w:lineRule="auto"/>
        <w:tabs>
          <w:tab w:leader="none" w:pos="325" w:val="left"/>
        </w:tabs>
        <w:numPr>
          <w:ilvl w:val="0"/>
          <w:numId w:val="32"/>
        </w:numPr>
        <w:rPr>
          <w:rFonts w:ascii="Times New Roman" w:cs="Times New Roman" w:eastAsia="Times New Roman" w:hAnsi="Times New Roman"/>
          <w:sz w:val="15"/>
          <w:szCs w:val="15"/>
          <w:color w:val="071D49"/>
        </w:rPr>
      </w:pPr>
      <w:r>
        <w:rPr>
          <w:rFonts w:ascii="Arial" w:cs="Arial" w:eastAsia="Arial" w:hAnsi="Arial"/>
          <w:sz w:val="16"/>
          <w:szCs w:val="16"/>
          <w:color w:val="auto"/>
        </w:rPr>
        <w:t>Mr. Freyman’s extensive experience as a leader in the health care industry, knowledge of the Allergan businesses, and expertise in complex accounting and financial issues provides the Board with significant global industry experience, continuity in oversight of the Allergan businesses, and finance and risk expertise, including related to financial planning. As a result of his previous role as a director at Tenneco Inc., a global automotive products manufacturer, Mr. Freyman also has extensive manufacturing and environmental, health, and safety oversight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-607060</wp:posOffset>
            </wp:positionV>
            <wp:extent cx="5878195" cy="5943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78195" cy="594360"/>
                    </a:xfrm>
                    <a:prstGeom prst="rect">
                      <a:avLst/>
                    </a:prstGeom>
                    <a:noFill/>
                  </pic:spPr>
                </pic:pic>
              </a:graphicData>
            </a:graphic>
          </wp:anchor>
        </w:drawing>
      </w:r>
    </w:p>
    <w:p>
      <w:pPr>
        <w:spacing w:after="0" w:line="120"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Brett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-153035</wp:posOffset>
            </wp:positionV>
            <wp:extent cx="789305" cy="797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89305" cy="797560"/>
                    </a:xfrm>
                    <a:prstGeom prst="rect">
                      <a:avLst/>
                    </a:prstGeom>
                    <a:noFill/>
                  </pic:spPr>
                </pic:pic>
              </a:graphicData>
            </a:graphic>
          </wp:anchor>
        </w:drawing>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71D49"/>
        </w:rPr>
        <w:t>2016</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71D49"/>
        </w:rPr>
        <w:t>57</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071D49"/>
        </w:rPr>
        <w:t>Compensation (Chair) and Nominations &amp; Governance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Primary Occupation: </w:t>
      </w:r>
      <w:r>
        <w:rPr>
          <w:rFonts w:ascii="Arial" w:cs="Arial" w:eastAsia="Arial" w:hAnsi="Arial"/>
          <w:sz w:val="16"/>
          <w:szCs w:val="16"/>
          <w:b w:val="1"/>
          <w:bCs w:val="1"/>
          <w:color w:val="071D49"/>
        </w:rPr>
        <w:t>President, United Airlines Holdings, Inc.</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0" w:lineRule="exact"/>
        <w:rPr>
          <w:sz w:val="20"/>
          <w:szCs w:val="20"/>
          <w:color w:val="auto"/>
        </w:rPr>
      </w:pPr>
    </w:p>
    <w:p>
      <w:pPr>
        <w:ind w:left="120" w:right="180"/>
        <w:spacing w:after="0" w:line="244" w:lineRule="auto"/>
        <w:rPr>
          <w:sz w:val="20"/>
          <w:szCs w:val="20"/>
          <w:color w:val="auto"/>
        </w:rPr>
      </w:pPr>
      <w:r>
        <w:rPr>
          <w:rFonts w:ascii="Arial" w:cs="Arial" w:eastAsia="Arial" w:hAnsi="Arial"/>
          <w:sz w:val="16"/>
          <w:szCs w:val="16"/>
          <w:color w:val="auto"/>
        </w:rPr>
        <w:t>Mr. Hart is the President of United Airlines Holdings, Inc. (UAL) and United Airlines, Inc. He served as Executive Vice President and Chief Administrative Officer between March 2019 and May 2020, Executive Vice President, Chief Administrative Officer and General Counsel between May 2017 and March 2019, and as Executive Vice President and General Counsel between February 2012 and May 2017. Mr. Hart also served as acting Chief Executive Officer of UAL and United Airlines, Inc. from October 2015 to March 2016. From December 2010 to February 2012, he served as Senior Vice President, General Counsel and Secretary of UAL, United and Continental. From June 2009 to December 2010, Mr. Hart served as Executive Vice President, General Counsel and Corporate Secretary at Sara Lee Corporation.</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0" w:lineRule="exact"/>
        <w:rPr>
          <w:sz w:val="20"/>
          <w:szCs w:val="20"/>
          <w:color w:val="auto"/>
        </w:rPr>
      </w:pPr>
    </w:p>
    <w:p>
      <w:pPr>
        <w:ind w:left="360" w:right="240" w:hanging="238"/>
        <w:spacing w:after="0" w:line="250" w:lineRule="auto"/>
        <w:tabs>
          <w:tab w:leader="none" w:pos="325" w:val="left"/>
        </w:tabs>
        <w:numPr>
          <w:ilvl w:val="0"/>
          <w:numId w:val="33"/>
        </w:numPr>
        <w:rPr>
          <w:rFonts w:ascii="Times New Roman" w:cs="Times New Roman" w:eastAsia="Times New Roman" w:hAnsi="Times New Roman"/>
          <w:sz w:val="15"/>
          <w:szCs w:val="15"/>
          <w:color w:val="071D49"/>
        </w:rPr>
      </w:pPr>
      <w:r>
        <w:rPr>
          <w:rFonts w:ascii="Arial" w:cs="Arial" w:eastAsia="Arial" w:hAnsi="Arial"/>
          <w:sz w:val="16"/>
          <w:szCs w:val="16"/>
          <w:color w:val="auto"/>
        </w:rPr>
        <w:t>In his role leading United Airlines Holdings, Inc.’s operations, including safety, government affairs, regulatory, legal, and environmental sustainability teams, among other functions, Mr. Hart has a broad set of skills critical to oversight of a complex international business in a highly regulated industry like AbbVie. These skills include operational and strategic acumen with expertise in risk management, ESG, climate change, legal strategic matters, government and regulatory affairs, corporate governance,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-607060</wp:posOffset>
            </wp:positionV>
            <wp:extent cx="5878195" cy="5943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7819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16</w:t>
      </w:r>
      <w:r>
        <w:rPr>
          <w:sz w:val="20"/>
          <w:szCs w:val="20"/>
          <w:color w:val="auto"/>
        </w:rPr>
        <w:tab/>
      </w:r>
      <w:r>
        <w:rPr>
          <w:sz w:val="1"/>
          <w:szCs w:val="1"/>
          <w:color w:val="auto"/>
        </w:rPr>
        <w:drawing>
          <wp:inline distT="0" distB="0" distL="0" distR="0">
            <wp:extent cx="797560" cy="14859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40"/>
          </w:cols>
          <w:pgMar w:left="1320" w:top="480" w:right="1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INFORMATION CONCERNING DIRECTOR NOMINEES</w:t>
      </w:r>
    </w:p>
    <w:p>
      <w:pPr>
        <w:spacing w:after="0" w:line="179"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Edward J.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-153035</wp:posOffset>
            </wp:positionV>
            <wp:extent cx="805180" cy="797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05180" cy="797560"/>
                    </a:xfrm>
                    <a:prstGeom prst="rect">
                      <a:avLst/>
                    </a:prstGeom>
                    <a:noFill/>
                  </pic:spPr>
                </pic:pic>
              </a:graphicData>
            </a:graphic>
          </wp:anchor>
        </w:drawing>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71D49"/>
        </w:rPr>
        <w:t>2013</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71D49"/>
        </w:rPr>
        <w:t>68</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071D49"/>
        </w:rPr>
        <w:t>Audit and Nominations &amp; Governance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Primary Occupation: </w:t>
      </w:r>
      <w:r>
        <w:rPr>
          <w:rFonts w:ascii="Arial" w:cs="Arial" w:eastAsia="Arial" w:hAnsi="Arial"/>
          <w:sz w:val="16"/>
          <w:szCs w:val="16"/>
          <w:b w:val="1"/>
          <w:bCs w:val="1"/>
          <w:color w:val="071D49"/>
        </w:rPr>
        <w:t>Retired Group President for Resource Industries of Caterpillar Inc.</w:t>
      </w:r>
    </w:p>
    <w:p>
      <w:pPr>
        <w:spacing w:after="0" w:line="3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0" w:lineRule="exact"/>
        <w:rPr>
          <w:sz w:val="20"/>
          <w:szCs w:val="20"/>
          <w:color w:val="auto"/>
        </w:rPr>
      </w:pPr>
    </w:p>
    <w:p>
      <w:pPr>
        <w:ind w:left="120" w:right="60"/>
        <w:spacing w:after="0" w:line="246" w:lineRule="auto"/>
        <w:rPr>
          <w:sz w:val="20"/>
          <w:szCs w:val="20"/>
          <w:color w:val="auto"/>
        </w:rPr>
      </w:pPr>
      <w:r>
        <w:rPr>
          <w:rFonts w:ascii="Arial" w:cs="Arial" w:eastAsia="Arial" w:hAnsi="Arial"/>
          <w:sz w:val="16"/>
          <w:szCs w:val="16"/>
          <w:color w:val="auto"/>
        </w:rPr>
        <w:t>Mr. Rapp served as the Caterpillar Inc. Group President for resource industries from 2014 until his retirement in mid-2016. He previously served at Caterpillar as Group President based in Singapore in 2013 and 2014 and as the Chief Financial Officer from 2010 to 2013, and he was named a Group President in 2007. He also serves as a director of Xos, Inc. He is currently a member of the University of Missouri College of Business Advisory Board. Mr. Rapp previously served as a director of FM Global.</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0" w:lineRule="exact"/>
        <w:rPr>
          <w:sz w:val="20"/>
          <w:szCs w:val="20"/>
          <w:color w:val="auto"/>
        </w:rPr>
      </w:pPr>
    </w:p>
    <w:p>
      <w:pPr>
        <w:ind w:left="360" w:right="600" w:hanging="238"/>
        <w:spacing w:after="0" w:line="245" w:lineRule="auto"/>
        <w:tabs>
          <w:tab w:leader="none" w:pos="329" w:val="left"/>
        </w:tabs>
        <w:numPr>
          <w:ilvl w:val="0"/>
          <w:numId w:val="34"/>
        </w:numPr>
        <w:rPr>
          <w:rFonts w:ascii="Times New Roman" w:cs="Times New Roman" w:eastAsia="Times New Roman" w:hAnsi="Times New Roman"/>
          <w:sz w:val="16"/>
          <w:szCs w:val="16"/>
          <w:color w:val="071D49"/>
        </w:rPr>
      </w:pPr>
      <w:r>
        <w:rPr>
          <w:rFonts w:ascii="Arial" w:cs="Arial" w:eastAsia="Arial" w:hAnsi="Arial"/>
          <w:sz w:val="16"/>
          <w:szCs w:val="16"/>
          <w:color w:val="auto"/>
        </w:rPr>
        <w:t>As a result of his tenure as Group President and Chief Financial Officer at Caterpillar Inc., Mr. Rapp has acquired management, operational, and financial expertise with extensive global experience and provides the Board with an informed perspective on financial and operational matters faced by a complex international company.</w:t>
      </w:r>
    </w:p>
    <w:p>
      <w:pPr>
        <w:spacing w:after="0" w:line="2" w:lineRule="exact"/>
        <w:rPr>
          <w:rFonts w:ascii="Times New Roman" w:cs="Times New Roman" w:eastAsia="Times New Roman" w:hAnsi="Times New Roman"/>
          <w:sz w:val="16"/>
          <w:szCs w:val="16"/>
          <w:color w:val="071D49"/>
        </w:rPr>
      </w:pPr>
    </w:p>
    <w:p>
      <w:pPr>
        <w:ind w:left="360" w:right="120" w:hanging="238"/>
        <w:spacing w:after="0" w:line="253" w:lineRule="auto"/>
        <w:tabs>
          <w:tab w:leader="none" w:pos="329" w:val="left"/>
        </w:tabs>
        <w:numPr>
          <w:ilvl w:val="0"/>
          <w:numId w:val="34"/>
        </w:numPr>
        <w:rPr>
          <w:rFonts w:ascii="Times New Roman" w:cs="Times New Roman" w:eastAsia="Times New Roman" w:hAnsi="Times New Roman"/>
          <w:sz w:val="16"/>
          <w:szCs w:val="16"/>
          <w:color w:val="071D49"/>
        </w:rPr>
      </w:pPr>
      <w:r>
        <w:rPr>
          <w:rFonts w:ascii="Arial" w:cs="Arial" w:eastAsia="Arial" w:hAnsi="Arial"/>
          <w:sz w:val="16"/>
          <w:szCs w:val="16"/>
          <w:color w:val="auto"/>
        </w:rPr>
        <w:t>Mr. Rapp brings experience with business operations in numerous geographies, including Asia, Africa, and Europe, which provides a strong international perspective for AbbVie’s business across more than 180 countries and territories. As a result of his role on the board of Xos, Inc., a manufacturer of zero-emission commercial vehicles, Mr. Rapp has gained substantial experience in climate change and emissions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-851535</wp:posOffset>
            </wp:positionV>
            <wp:extent cx="5878195" cy="8362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78195" cy="83629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797560" cy="148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THE BOARD OF DIRECTORS AND ITS COMMITTEES</w:t>
      </w:r>
    </w:p>
    <w:p>
      <w:pPr>
        <w:spacing w:after="0" w:line="169" w:lineRule="exact"/>
        <w:rPr>
          <w:sz w:val="20"/>
          <w:szCs w:val="20"/>
          <w:color w:val="auto"/>
        </w:rPr>
      </w:pPr>
    </w:p>
    <w:p>
      <w:pPr>
        <w:spacing w:after="0"/>
        <w:rPr>
          <w:sz w:val="20"/>
          <w:szCs w:val="20"/>
          <w:color w:val="auto"/>
        </w:rPr>
      </w:pPr>
      <w:r>
        <w:rPr>
          <w:rFonts w:ascii="Arial" w:cs="Arial" w:eastAsia="Arial" w:hAnsi="Arial"/>
          <w:sz w:val="33"/>
          <w:szCs w:val="33"/>
          <w:color w:val="071D49"/>
        </w:rPr>
        <w:t>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587819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pacing w:after="0" w:line="233"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 Board of Directors held six meetings in 2025. The average attendance of all directors at Board and committee meetings in 2025 was 97% percent, and each director attended at least 75% of the total number of Board meetings and meetings of the committees of which they served. AbbVie encourages its Board members to attend the annual stockholder meeting. All of AbbVie’s directors attended the 2025 annual stockholder meeting.</w:t>
      </w:r>
    </w:p>
    <w:p>
      <w:pPr>
        <w:spacing w:after="0" w:line="58"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Board has determined that each of the following individuals is independent in accordance with the New York Stock Exchange (NYSE) listing standards: Dr. Alpern, Ms. Austin, Mr. Burnside, Ms. Davis, Mr. Falk, Mr. Freyman, Mr. Hart, Ms. Meyer, Dr. Quaggin, Mr. Rapp, Ms. Roberts, and Mr. Waddell. To determine independence, the Board applied the AbbVie Inc. director independence guidelines. The Board also considered whether a director has any other material relationships with AbbVie or its subsidiaries and concluded that none of these directors had a relationship that impaired the director’s independence. This included consideration of the fact that some of the directors are officers or serve on boards of companies or entities to which AbbVie sold products or made contributions or from which AbbVie purchased products and services during the year. In making its determination, the Board relied on both information provided by the directors and information developed internally by AbbVie.</w:t>
      </w:r>
    </w:p>
    <w:p>
      <w:pPr>
        <w:spacing w:after="0" w:line="244" w:lineRule="exact"/>
        <w:rPr>
          <w:sz w:val="20"/>
          <w:szCs w:val="20"/>
          <w:color w:val="auto"/>
        </w:rPr>
      </w:pPr>
    </w:p>
    <w:p>
      <w:pPr>
        <w:spacing w:after="0"/>
        <w:rPr>
          <w:sz w:val="20"/>
          <w:szCs w:val="20"/>
          <w:color w:val="auto"/>
        </w:rPr>
      </w:pPr>
      <w:r>
        <w:rPr>
          <w:rFonts w:ascii="Arial" w:cs="Arial" w:eastAsia="Arial" w:hAnsi="Arial"/>
          <w:sz w:val="30"/>
          <w:szCs w:val="30"/>
          <w:color w:val="auto"/>
        </w:rPr>
        <w:t>Board Leadership Structure</w:t>
      </w:r>
    </w:p>
    <w:p>
      <w:pPr>
        <w:spacing w:after="0" w:line="15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As announced on February 14, 2025, Mr. Michael, AbbVie’s Chief Executive Officer, became Chairman of the Board effective July 1, 2025. The Board has determined that this leadership structure, in which the offices of Chairman of the Board and Chief Executive Officer are held by one individual with a Board appointed Lead Independent Director, ensures the appropriate level of oversight, independence, and responsibility is applied to all Board decisions, including risk oversight, and is in the best interests of AbbVie and its stockholders. The Lead Independent Director is chosen annually by and from the independent members of the Board of Directors. The Board regularly reviews its leadership structure and effectiveness. This structure has proven to be an effective form of governance for AbbVie and its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In determining this leadership structure, the Board weighed numerous factors, such as:</w:t>
      </w:r>
    </w:p>
    <w:p>
      <w:pPr>
        <w:spacing w:after="0" w:line="150" w:lineRule="exact"/>
        <w:rPr>
          <w:sz w:val="20"/>
          <w:szCs w:val="20"/>
          <w:color w:val="auto"/>
        </w:rPr>
      </w:pPr>
    </w:p>
    <w:p>
      <w:pPr>
        <w:ind w:left="600" w:right="40" w:hanging="289"/>
        <w:spacing w:after="0" w:line="250" w:lineRule="auto"/>
        <w:tabs>
          <w:tab w:leader="none" w:pos="6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qualifications of the Lead Independent Director and performance in the role, including stockholder votes in favor of re-election</w:t>
      </w:r>
      <w:r>
        <w:rPr>
          <w:rFonts w:ascii="Arial" w:cs="Arial" w:eastAsia="Arial" w:hAnsi="Arial"/>
          <w:sz w:val="16"/>
          <w:szCs w:val="16"/>
          <w:color w:val="auto"/>
        </w:rPr>
        <w:t>. Ms. Austin’s extensive leadership skills as a former CEO as well as her current and past experience as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at other publicly traded companies, and Chair of the Board at Freshworks, Inc., ensures that she is able to exercise effective independent leadership over AbbVie’s Board, including in relation to risk oversight and financial matters. When she was most recently up for re-election, Ms. Austin received nearly 94% of votes in favor.</w:t>
      </w:r>
    </w:p>
    <w:p>
      <w:pPr>
        <w:spacing w:after="0" w:line="134" w:lineRule="exact"/>
        <w:rPr>
          <w:rFonts w:ascii="Times New Roman" w:cs="Times New Roman" w:eastAsia="Times New Roman" w:hAnsi="Times New Roman"/>
          <w:sz w:val="16"/>
          <w:szCs w:val="16"/>
          <w:color w:val="auto"/>
        </w:rPr>
      </w:pPr>
    </w:p>
    <w:p>
      <w:pPr>
        <w:ind w:left="600" w:right="200" w:hanging="289"/>
        <w:spacing w:after="0" w:line="282" w:lineRule="auto"/>
        <w:tabs>
          <w:tab w:leader="none" w:pos="6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The historical performance of the company under this leadership structure. </w:t>
      </w:r>
      <w:r>
        <w:rPr>
          <w:rFonts w:ascii="Arial" w:cs="Arial" w:eastAsia="Arial" w:hAnsi="Arial"/>
          <w:sz w:val="16"/>
          <w:szCs w:val="16"/>
          <w:color w:val="auto"/>
        </w:rPr>
        <w:t>As discussed elsewhere in this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AbbVie has established an outstanding track record of performance with a combined CEO and chair role.</w:t>
      </w:r>
    </w:p>
    <w:p>
      <w:pPr>
        <w:spacing w:after="0" w:line="83" w:lineRule="exact"/>
        <w:rPr>
          <w:rFonts w:ascii="Times New Roman" w:cs="Times New Roman" w:eastAsia="Times New Roman" w:hAnsi="Times New Roman"/>
          <w:sz w:val="16"/>
          <w:szCs w:val="16"/>
          <w:color w:val="auto"/>
        </w:rPr>
      </w:pPr>
    </w:p>
    <w:p>
      <w:pPr>
        <w:jc w:val="both"/>
        <w:ind w:left="600" w:right="200" w:hanging="289"/>
        <w:spacing w:after="0" w:line="247" w:lineRule="auto"/>
        <w:tabs>
          <w:tab w:leader="none" w:pos="6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Investor feedback on this topic</w:t>
      </w:r>
      <w:r>
        <w:rPr>
          <w:rFonts w:ascii="Arial" w:cs="Arial" w:eastAsia="Arial" w:hAnsi="Arial"/>
          <w:sz w:val="16"/>
          <w:szCs w:val="16"/>
          <w:color w:val="auto"/>
        </w:rPr>
        <w:t>. At the most recent stockholder meeting where a stockholder proposal to mandate an</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chair was voted on, nearly 70% of the shares voted against mandating an independent chair. Investors have also expressed support for our current leadership structure through our stockholder engagement program.</w:t>
      </w:r>
    </w:p>
    <w:p>
      <w:pPr>
        <w:spacing w:after="0" w:line="1" w:lineRule="exact"/>
        <w:rPr>
          <w:rFonts w:ascii="Times New Roman" w:cs="Times New Roman" w:eastAsia="Times New Roman" w:hAnsi="Times New Roman"/>
          <w:sz w:val="16"/>
          <w:szCs w:val="16"/>
          <w:color w:val="auto"/>
        </w:rPr>
      </w:pPr>
    </w:p>
    <w:p>
      <w:pPr>
        <w:ind w:left="600" w:right="140"/>
        <w:spacing w:after="0" w:line="262" w:lineRule="auto"/>
        <w:rPr>
          <w:rFonts w:ascii="Times New Roman" w:cs="Times New Roman" w:eastAsia="Times New Roman" w:hAnsi="Times New Roman"/>
          <w:sz w:val="16"/>
          <w:szCs w:val="16"/>
          <w:color w:val="auto"/>
        </w:rPr>
      </w:pPr>
      <w:r>
        <w:rPr>
          <w:rFonts w:ascii="Arial" w:cs="Arial" w:eastAsia="Arial" w:hAnsi="Arial"/>
          <w:sz w:val="16"/>
          <w:szCs w:val="16"/>
          <w:color w:val="auto"/>
        </w:rPr>
        <w:t>AbbVie’s investors who do support an independent chair structure generally state that this preference is not unique to AbbVie and is a consistent preference across all portfolio companies.</w:t>
      </w:r>
    </w:p>
    <w:p>
      <w:pPr>
        <w:spacing w:after="0" w:line="86" w:lineRule="exact"/>
        <w:rPr>
          <w:rFonts w:ascii="Times New Roman" w:cs="Times New Roman" w:eastAsia="Times New Roman" w:hAnsi="Times New Roman"/>
          <w:sz w:val="16"/>
          <w:szCs w:val="16"/>
          <w:color w:val="auto"/>
        </w:rPr>
      </w:pPr>
    </w:p>
    <w:p>
      <w:pPr>
        <w:ind w:left="600" w:right="360" w:hanging="289"/>
        <w:spacing w:after="0" w:line="254" w:lineRule="auto"/>
        <w:tabs>
          <w:tab w:leader="none" w:pos="6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Other Board leadership and independence considerations</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to Ms. Austin’s strong independent leadership,</w:t>
      </w:r>
      <w:r>
        <w:rPr>
          <w:rFonts w:ascii="Arial" w:cs="Arial" w:eastAsia="Arial" w:hAnsi="Arial"/>
          <w:sz w:val="16"/>
          <w:szCs w:val="16"/>
          <w:i w:val="1"/>
          <w:iCs w:val="1"/>
          <w:color w:val="auto"/>
        </w:rPr>
        <w:t xml:space="preserve"> </w:t>
      </w:r>
      <w:r>
        <w:rPr>
          <w:rFonts w:ascii="Arial" w:cs="Arial" w:eastAsia="Arial" w:hAnsi="Arial"/>
          <w:sz w:val="16"/>
          <w:szCs w:val="16"/>
          <w:color w:val="auto"/>
        </w:rPr>
        <w:t>AbbVie has recently made several additional changes to the Board, all of which further strengthen the independent oversight of the Board. The Board added four new directors since October 2023 (three of whom are independent) and appointed all new committee chairs for the four key Board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18</w:t>
      </w:r>
      <w:r>
        <w:rPr>
          <w:sz w:val="20"/>
          <w:szCs w:val="20"/>
          <w:color w:val="auto"/>
        </w:rPr>
        <w:tab/>
      </w:r>
      <w:r>
        <w:rPr>
          <w:sz w:val="1"/>
          <w:szCs w:val="1"/>
          <w:color w:val="auto"/>
        </w:rPr>
        <w:drawing>
          <wp:inline distT="0" distB="0" distL="0" distR="0">
            <wp:extent cx="797560" cy="14859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23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40"/>
          </w:cols>
          <w:pgMar w:left="1320" w:top="480" w:right="1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5180"/>
        <w:spacing w:after="0"/>
        <w:rPr>
          <w:sz w:val="20"/>
          <w:szCs w:val="20"/>
          <w:color w:val="auto"/>
        </w:rPr>
      </w:pPr>
      <w:r>
        <w:rPr>
          <w:rFonts w:ascii="Arial" w:cs="Arial" w:eastAsia="Arial" w:hAnsi="Arial"/>
          <w:sz w:val="16"/>
          <w:szCs w:val="16"/>
          <w:color w:val="808080"/>
        </w:rPr>
        <w:t>THE BOARD OF DIRECTORS AND ITS COMMITTEES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committees in July 2024. This commitment to refreshment further supports the use of a combined CEO and chair role.</w:t>
      </w:r>
    </w:p>
    <w:p>
      <w:pPr>
        <w:spacing w:after="0" w:line="210" w:lineRule="exact"/>
        <w:rPr>
          <w:sz w:val="20"/>
          <w:szCs w:val="20"/>
          <w:color w:val="auto"/>
        </w:rPr>
      </w:pPr>
    </w:p>
    <w:p>
      <w:pPr>
        <w:ind w:left="600" w:right="20" w:hanging="289"/>
        <w:spacing w:after="0" w:line="261" w:lineRule="auto"/>
        <w:tabs>
          <w:tab w:leader="none" w:pos="6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Practices at peer companies and trends across the S&amp;P 500</w:t>
      </w:r>
      <w:r>
        <w:rPr>
          <w:rFonts w:ascii="Arial" w:cs="Arial" w:eastAsia="Arial" w:hAnsi="Arial"/>
          <w:sz w:val="16"/>
          <w:szCs w:val="16"/>
          <w:color w:val="auto"/>
        </w:rPr>
        <w:t>. AbbVie benchmarks peer companies 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leadership structures on an ongoing basis and also monitors the external landscape in terms of the number of S&amp;P 500 companies that utilize independent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5885815" cy="28530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85815" cy="2853055"/>
                    </a:xfrm>
                    <a:prstGeom prst="rect">
                      <a:avLst/>
                    </a:prstGeom>
                    <a:noFill/>
                  </pic:spPr>
                </pic:pic>
              </a:graphicData>
            </a:graphic>
          </wp:anchor>
        </w:drawing>
      </w:r>
    </w:p>
    <w:p>
      <w:pPr>
        <w:spacing w:after="0" w:line="179" w:lineRule="exact"/>
        <w:rPr>
          <w:sz w:val="20"/>
          <w:szCs w:val="20"/>
          <w:color w:val="auto"/>
        </w:rPr>
      </w:pPr>
    </w:p>
    <w:p>
      <w:pPr>
        <w:ind w:left="80" w:right="820"/>
        <w:spacing w:after="0" w:line="283"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Lead Independent Director</w:t>
      </w:r>
      <w:r>
        <w:rPr>
          <w:rFonts w:ascii="Arial" w:cs="Arial" w:eastAsia="Arial" w:hAnsi="Arial"/>
          <w:sz w:val="16"/>
          <w:szCs w:val="16"/>
          <w:color w:val="auto"/>
        </w:rPr>
        <w:t xml:space="preserve"> has robust and well-defined responsibilities that provide our Board with significant leadership and oversight:</w:t>
      </w:r>
    </w:p>
    <w:p>
      <w:pPr>
        <w:sectPr>
          <w:pgSz w:w="11900" w:h="16838" w:orient="portrait"/>
          <w:cols w:equalWidth="0" w:num="1">
            <w:col w:w="9260"/>
          </w:cols>
          <w:pgMar w:left="1320" w:top="480" w:right="1319" w:bottom="1440" w:gutter="0" w:footer="0" w:header="0"/>
        </w:sectPr>
      </w:pPr>
    </w:p>
    <w:p>
      <w:pPr>
        <w:spacing w:after="0" w:line="71" w:lineRule="exact"/>
        <w:rPr>
          <w:sz w:val="20"/>
          <w:szCs w:val="20"/>
          <w:color w:val="auto"/>
        </w:rPr>
      </w:pPr>
    </w:p>
    <w:p>
      <w:pPr>
        <w:ind w:left="300" w:hanging="221"/>
        <w:spacing w:after="0"/>
        <w:tabs>
          <w:tab w:leader="none" w:pos="300" w:val="left"/>
        </w:tabs>
        <w:numPr>
          <w:ilvl w:val="0"/>
          <w:numId w:val="37"/>
        </w:numPr>
        <w:rPr>
          <w:rFonts w:ascii="MS PGothic" w:cs="MS PGothic" w:eastAsia="MS PGothic" w:hAnsi="MS PGothic"/>
          <w:sz w:val="16"/>
          <w:szCs w:val="16"/>
          <w:color w:val="auto"/>
        </w:rPr>
      </w:pPr>
      <w:r>
        <w:rPr>
          <w:rFonts w:ascii="Arial" w:cs="Arial" w:eastAsia="Arial" w:hAnsi="Arial"/>
          <w:sz w:val="16"/>
          <w:szCs w:val="16"/>
          <w:color w:val="auto"/>
        </w:rPr>
        <w:t>​leads​ the CEO succession planning process</w:t>
      </w:r>
    </w:p>
    <w:p>
      <w:pPr>
        <w:spacing w:after="0" w:line="136" w:lineRule="exact"/>
        <w:rPr>
          <w:rFonts w:ascii="MS PGothic" w:cs="MS PGothic" w:eastAsia="MS PGothic" w:hAnsi="MS PGothic"/>
          <w:sz w:val="16"/>
          <w:szCs w:val="16"/>
          <w:color w:val="auto"/>
        </w:rPr>
      </w:pPr>
    </w:p>
    <w:p>
      <w:pPr>
        <w:ind w:left="80" w:hanging="1"/>
        <w:spacing w:after="0" w:line="260" w:lineRule="auto"/>
        <w:tabs>
          <w:tab w:leader="none" w:pos="307" w:val="left"/>
        </w:tabs>
        <w:numPr>
          <w:ilvl w:val="0"/>
          <w:numId w:val="37"/>
        </w:numPr>
        <w:rPr>
          <w:rFonts w:ascii="MS PGothic" w:cs="MS PGothic" w:eastAsia="MS PGothic" w:hAnsi="MS PGothic"/>
          <w:sz w:val="16"/>
          <w:szCs w:val="16"/>
          <w:color w:val="auto"/>
        </w:rPr>
      </w:pPr>
      <w:r>
        <w:rPr>
          <w:rFonts w:ascii="Arial" w:cs="Arial" w:eastAsia="Arial" w:hAnsi="Arial"/>
          <w:sz w:val="16"/>
          <w:szCs w:val="16"/>
          <w:color w:val="auto"/>
        </w:rPr>
        <w:t>​facilitates​ communication with the Board and presides over regularly conducted executive sessions of the independent directors or sessions where the Chairman of the Board is not present</w:t>
      </w:r>
    </w:p>
    <w:p>
      <w:pPr>
        <w:spacing w:after="0" w:line="89" w:lineRule="exact"/>
        <w:rPr>
          <w:rFonts w:ascii="MS PGothic" w:cs="MS PGothic" w:eastAsia="MS PGothic" w:hAnsi="MS PGothic"/>
          <w:sz w:val="16"/>
          <w:szCs w:val="16"/>
          <w:color w:val="auto"/>
        </w:rPr>
      </w:pPr>
    </w:p>
    <w:p>
      <w:pPr>
        <w:ind w:left="80" w:right="160" w:hanging="1"/>
        <w:spacing w:after="0" w:line="270" w:lineRule="auto"/>
        <w:tabs>
          <w:tab w:leader="none" w:pos="307" w:val="left"/>
        </w:tabs>
        <w:numPr>
          <w:ilvl w:val="0"/>
          <w:numId w:val="37"/>
        </w:numPr>
        <w:rPr>
          <w:rFonts w:ascii="MS PGothic" w:cs="MS PGothic" w:eastAsia="MS PGothic" w:hAnsi="MS PGothic"/>
          <w:sz w:val="16"/>
          <w:szCs w:val="16"/>
          <w:color w:val="auto"/>
        </w:rPr>
      </w:pPr>
      <w:r>
        <w:rPr>
          <w:rFonts w:ascii="Arial" w:cs="Arial" w:eastAsia="Arial" w:hAnsi="Arial"/>
          <w:sz w:val="16"/>
          <w:szCs w:val="16"/>
          <w:color w:val="auto"/>
        </w:rPr>
        <w:t>​reviews​ and approves matters, such as schedule sufficiency, and, where appropriate, information provided to other Board members</w:t>
      </w:r>
    </w:p>
    <w:p>
      <w:pPr>
        <w:spacing w:after="0" w:line="80" w:lineRule="exact"/>
        <w:rPr>
          <w:rFonts w:ascii="MS PGothic" w:cs="MS PGothic" w:eastAsia="MS PGothic" w:hAnsi="MS PGothic"/>
          <w:sz w:val="16"/>
          <w:szCs w:val="16"/>
          <w:color w:val="auto"/>
        </w:rPr>
      </w:pPr>
    </w:p>
    <w:p>
      <w:pPr>
        <w:ind w:left="80" w:right="40" w:hanging="1"/>
        <w:spacing w:after="0" w:line="299" w:lineRule="auto"/>
        <w:tabs>
          <w:tab w:leader="none" w:pos="307" w:val="left"/>
        </w:tabs>
        <w:numPr>
          <w:ilvl w:val="0"/>
          <w:numId w:val="37"/>
        </w:numPr>
        <w:rPr>
          <w:rFonts w:ascii="MS PGothic" w:cs="MS PGothic" w:eastAsia="MS PGothic" w:hAnsi="MS PGothic"/>
          <w:sz w:val="16"/>
          <w:szCs w:val="16"/>
          <w:color w:val="auto"/>
        </w:rPr>
      </w:pPr>
      <w:r>
        <w:rPr>
          <w:rFonts w:ascii="Arial" w:cs="Arial" w:eastAsia="Arial" w:hAnsi="Arial"/>
          <w:sz w:val="16"/>
          <w:szCs w:val="16"/>
          <w:color w:val="auto"/>
        </w:rPr>
        <w:t>​serves​ as the liaison between the Chairman of the Board and the independent directors</w:t>
      </w:r>
    </w:p>
    <w:p>
      <w:pPr>
        <w:spacing w:after="0" w:line="46" w:lineRule="exact"/>
        <w:rPr>
          <w:rFonts w:ascii="MS PGothic" w:cs="MS PGothic" w:eastAsia="MS PGothic" w:hAnsi="MS PGothic"/>
          <w:sz w:val="16"/>
          <w:szCs w:val="16"/>
          <w:color w:val="auto"/>
        </w:rPr>
      </w:pPr>
    </w:p>
    <w:p>
      <w:pPr>
        <w:ind w:left="80" w:right="360" w:hanging="1"/>
        <w:spacing w:after="0" w:line="299" w:lineRule="auto"/>
        <w:tabs>
          <w:tab w:leader="none" w:pos="307" w:val="left"/>
        </w:tabs>
        <w:numPr>
          <w:ilvl w:val="0"/>
          <w:numId w:val="37"/>
        </w:numPr>
        <w:rPr>
          <w:rFonts w:ascii="MS PGothic" w:cs="MS PGothic" w:eastAsia="MS PGothic" w:hAnsi="MS PGothic"/>
          <w:sz w:val="16"/>
          <w:szCs w:val="16"/>
          <w:color w:val="auto"/>
        </w:rPr>
      </w:pPr>
      <w:r>
        <w:rPr>
          <w:rFonts w:ascii="Arial" w:cs="Arial" w:eastAsia="Arial" w:hAnsi="Arial"/>
          <w:sz w:val="16"/>
          <w:szCs w:val="16"/>
          <w:color w:val="auto"/>
        </w:rPr>
        <w:t>​has​ the authority to call meetings of the independent directors</w:t>
      </w:r>
    </w:p>
    <w:p>
      <w:pPr>
        <w:spacing w:after="0" w:line="58" w:lineRule="exact"/>
        <w:rPr>
          <w:rFonts w:ascii="MS PGothic" w:cs="MS PGothic" w:eastAsia="MS PGothic" w:hAnsi="MS PGothic"/>
          <w:sz w:val="16"/>
          <w:szCs w:val="16"/>
          <w:color w:val="auto"/>
        </w:rPr>
      </w:pPr>
    </w:p>
    <w:p>
      <w:pPr>
        <w:ind w:left="300" w:hanging="221"/>
        <w:spacing w:after="0"/>
        <w:tabs>
          <w:tab w:leader="none" w:pos="300" w:val="left"/>
        </w:tabs>
        <w:numPr>
          <w:ilvl w:val="0"/>
          <w:numId w:val="37"/>
        </w:numPr>
        <w:rPr>
          <w:rFonts w:ascii="MS PGothic" w:cs="MS PGothic" w:eastAsia="MS PGothic" w:hAnsi="MS PGothic"/>
          <w:sz w:val="16"/>
          <w:szCs w:val="16"/>
          <w:color w:val="auto"/>
        </w:rPr>
      </w:pPr>
      <w:r>
        <w:rPr>
          <w:rFonts w:ascii="Arial" w:cs="Arial" w:eastAsia="Arial" w:hAnsi="Arial"/>
          <w:sz w:val="16"/>
          <w:szCs w:val="16"/>
          <w:color w:val="auto"/>
        </w:rPr>
        <w:t>​leads​ the Board’s evaluation of the CEO</w:t>
      </w:r>
    </w:p>
    <w:p>
      <w:pPr>
        <w:spacing w:after="0" w:line="148" w:lineRule="exact"/>
        <w:rPr>
          <w:rFonts w:ascii="MS PGothic" w:cs="MS PGothic" w:eastAsia="MS PGothic" w:hAnsi="MS PGothic"/>
          <w:sz w:val="16"/>
          <w:szCs w:val="16"/>
          <w:color w:val="auto"/>
        </w:rPr>
      </w:pPr>
    </w:p>
    <w:p>
      <w:pPr>
        <w:ind w:left="300" w:hanging="221"/>
        <w:spacing w:after="0"/>
        <w:tabs>
          <w:tab w:leader="none" w:pos="300" w:val="left"/>
        </w:tabs>
        <w:numPr>
          <w:ilvl w:val="0"/>
          <w:numId w:val="37"/>
        </w:numPr>
        <w:rPr>
          <w:rFonts w:ascii="MS PGothic" w:cs="MS PGothic" w:eastAsia="MS PGothic" w:hAnsi="MS PGothic"/>
          <w:sz w:val="16"/>
          <w:szCs w:val="16"/>
          <w:color w:val="auto"/>
        </w:rPr>
      </w:pPr>
      <w:r>
        <w:rPr>
          <w:rFonts w:ascii="Arial" w:cs="Arial" w:eastAsia="Arial" w:hAnsi="Arial"/>
          <w:sz w:val="16"/>
          <w:szCs w:val="16"/>
          <w:color w:val="auto"/>
        </w:rPr>
        <w:t>​leads​ the annual Board and committee evaluation</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232" w:hanging="232"/>
        <w:spacing w:after="0"/>
        <w:tabs>
          <w:tab w:leader="none" w:pos="232" w:val="left"/>
        </w:tabs>
        <w:numPr>
          <w:ilvl w:val="0"/>
          <w:numId w:val="38"/>
        </w:numPr>
        <w:rPr>
          <w:rFonts w:ascii="MS PGothic" w:cs="MS PGothic" w:eastAsia="MS PGothic" w:hAnsi="MS PGothic"/>
          <w:sz w:val="16"/>
          <w:szCs w:val="16"/>
          <w:color w:val="auto"/>
        </w:rPr>
      </w:pPr>
      <w:r>
        <w:rPr>
          <w:rFonts w:ascii="Arial" w:cs="Arial" w:eastAsia="Arial" w:hAnsi="Arial"/>
          <w:sz w:val="16"/>
          <w:szCs w:val="16"/>
          <w:color w:val="auto"/>
        </w:rPr>
        <w:t>​reviews​ and guides agenda items for Board meetings</w:t>
      </w:r>
    </w:p>
    <w:p>
      <w:pPr>
        <w:spacing w:after="0" w:line="136" w:lineRule="exact"/>
        <w:rPr>
          <w:rFonts w:ascii="MS PGothic" w:cs="MS PGothic" w:eastAsia="MS PGothic" w:hAnsi="MS PGothic"/>
          <w:sz w:val="16"/>
          <w:szCs w:val="16"/>
          <w:color w:val="auto"/>
        </w:rPr>
      </w:pPr>
    </w:p>
    <w:p>
      <w:pPr>
        <w:ind w:left="-8" w:right="120" w:firstLine="8"/>
        <w:spacing w:after="0" w:line="270" w:lineRule="auto"/>
        <w:tabs>
          <w:tab w:leader="none" w:pos="219" w:val="left"/>
        </w:tabs>
        <w:numPr>
          <w:ilvl w:val="0"/>
          <w:numId w:val="38"/>
        </w:numPr>
        <w:rPr>
          <w:rFonts w:ascii="MS PGothic" w:cs="MS PGothic" w:eastAsia="MS PGothic" w:hAnsi="MS PGothic"/>
          <w:sz w:val="16"/>
          <w:szCs w:val="16"/>
          <w:color w:val="auto"/>
        </w:rPr>
      </w:pPr>
      <w:r>
        <w:rPr>
          <w:rFonts w:ascii="Arial" w:cs="Arial" w:eastAsia="Arial" w:hAnsi="Arial"/>
          <w:sz w:val="16"/>
          <w:szCs w:val="16"/>
          <w:color w:val="auto"/>
        </w:rPr>
        <w:t>​encourages​ effective director participation by fostering an environment of open dialogue and constructive feedback among independent directors</w:t>
      </w:r>
    </w:p>
    <w:p>
      <w:pPr>
        <w:spacing w:after="0" w:line="80" w:lineRule="exact"/>
        <w:rPr>
          <w:rFonts w:ascii="MS PGothic" w:cs="MS PGothic" w:eastAsia="MS PGothic" w:hAnsi="MS PGothic"/>
          <w:sz w:val="16"/>
          <w:szCs w:val="16"/>
          <w:color w:val="auto"/>
        </w:rPr>
      </w:pPr>
    </w:p>
    <w:p>
      <w:pPr>
        <w:ind w:left="-8" w:right="560" w:firstLine="8"/>
        <w:spacing w:after="0" w:line="299" w:lineRule="auto"/>
        <w:tabs>
          <w:tab w:leader="none" w:pos="219" w:val="left"/>
        </w:tabs>
        <w:numPr>
          <w:ilvl w:val="0"/>
          <w:numId w:val="38"/>
        </w:numPr>
        <w:rPr>
          <w:rFonts w:ascii="MS PGothic" w:cs="MS PGothic" w:eastAsia="MS PGothic" w:hAnsi="MS PGothic"/>
          <w:sz w:val="16"/>
          <w:szCs w:val="16"/>
          <w:color w:val="auto"/>
        </w:rPr>
      </w:pPr>
      <w:r>
        <w:rPr>
          <w:rFonts w:ascii="Arial" w:cs="Arial" w:eastAsia="Arial" w:hAnsi="Arial"/>
          <w:sz w:val="16"/>
          <w:szCs w:val="16"/>
          <w:color w:val="auto"/>
        </w:rPr>
        <w:t>​involved​ in selection and interviewing of new Board members</w:t>
      </w:r>
    </w:p>
    <w:p>
      <w:pPr>
        <w:spacing w:after="0" w:line="58" w:lineRule="exact"/>
        <w:rPr>
          <w:rFonts w:ascii="MS PGothic" w:cs="MS PGothic" w:eastAsia="MS PGothic" w:hAnsi="MS PGothic"/>
          <w:sz w:val="16"/>
          <w:szCs w:val="16"/>
          <w:color w:val="auto"/>
        </w:rPr>
      </w:pPr>
    </w:p>
    <w:p>
      <w:pPr>
        <w:ind w:left="-8" w:right="140" w:firstLine="8"/>
        <w:spacing w:after="0" w:line="270" w:lineRule="auto"/>
        <w:tabs>
          <w:tab w:leader="none" w:pos="219" w:val="left"/>
        </w:tabs>
        <w:numPr>
          <w:ilvl w:val="0"/>
          <w:numId w:val="38"/>
        </w:numPr>
        <w:rPr>
          <w:rFonts w:ascii="MS PGothic" w:cs="MS PGothic" w:eastAsia="MS PGothic" w:hAnsi="MS PGothic"/>
          <w:sz w:val="16"/>
          <w:szCs w:val="16"/>
          <w:color w:val="auto"/>
        </w:rPr>
      </w:pPr>
      <w:r>
        <w:rPr>
          <w:rFonts w:ascii="Arial" w:cs="Arial" w:eastAsia="Arial" w:hAnsi="Arial"/>
          <w:sz w:val="16"/>
          <w:szCs w:val="16"/>
          <w:color w:val="auto"/>
        </w:rPr>
        <w:t>​if​ requested by major stockholders, ensures that they are available for consultation and direct communication as needed</w:t>
      </w:r>
    </w:p>
    <w:p>
      <w:pPr>
        <w:spacing w:after="0" w:line="68" w:lineRule="exact"/>
        <w:rPr>
          <w:rFonts w:ascii="MS PGothic" w:cs="MS PGothic" w:eastAsia="MS PGothic" w:hAnsi="MS PGothic"/>
          <w:sz w:val="16"/>
          <w:szCs w:val="16"/>
          <w:color w:val="auto"/>
        </w:rPr>
      </w:pPr>
    </w:p>
    <w:p>
      <w:pPr>
        <w:ind w:left="-8" w:right="420" w:firstLine="8"/>
        <w:spacing w:after="0" w:line="270" w:lineRule="auto"/>
        <w:tabs>
          <w:tab w:leader="none" w:pos="219" w:val="left"/>
        </w:tabs>
        <w:numPr>
          <w:ilvl w:val="0"/>
          <w:numId w:val="38"/>
        </w:numPr>
        <w:rPr>
          <w:rFonts w:ascii="MS PGothic" w:cs="MS PGothic" w:eastAsia="MS PGothic" w:hAnsi="MS PGothic"/>
          <w:sz w:val="16"/>
          <w:szCs w:val="16"/>
          <w:color w:val="auto"/>
        </w:rPr>
      </w:pPr>
      <w:r>
        <w:rPr>
          <w:rFonts w:ascii="Arial" w:cs="Arial" w:eastAsia="Arial" w:hAnsi="Arial"/>
          <w:sz w:val="16"/>
          <w:szCs w:val="16"/>
          <w:color w:val="auto"/>
        </w:rPr>
        <w:t>​if​ required, represents independent Board members externally, including in communications with stockholders and other stakeholders</w:t>
      </w:r>
    </w:p>
    <w:p>
      <w:pPr>
        <w:spacing w:after="0" w:line="80" w:lineRule="exact"/>
        <w:rPr>
          <w:rFonts w:ascii="MS PGothic" w:cs="MS PGothic" w:eastAsia="MS PGothic" w:hAnsi="MS PGothic"/>
          <w:sz w:val="16"/>
          <w:szCs w:val="16"/>
          <w:color w:val="auto"/>
        </w:rPr>
      </w:pPr>
    </w:p>
    <w:p>
      <w:pPr>
        <w:ind w:left="-8" w:right="240" w:firstLine="8"/>
        <w:spacing w:after="0" w:line="299" w:lineRule="auto"/>
        <w:tabs>
          <w:tab w:leader="none" w:pos="219" w:val="left"/>
        </w:tabs>
        <w:numPr>
          <w:ilvl w:val="0"/>
          <w:numId w:val="38"/>
        </w:numPr>
        <w:rPr>
          <w:rFonts w:ascii="MS PGothic" w:cs="MS PGothic" w:eastAsia="MS PGothic" w:hAnsi="MS PGothic"/>
          <w:sz w:val="16"/>
          <w:szCs w:val="16"/>
          <w:color w:val="auto"/>
        </w:rPr>
      </w:pPr>
      <w:r>
        <w:rPr>
          <w:rFonts w:ascii="Arial" w:cs="Arial" w:eastAsia="Arial" w:hAnsi="Arial"/>
          <w:sz w:val="16"/>
          <w:szCs w:val="16"/>
          <w:color w:val="auto"/>
        </w:rPr>
        <w:t>​performs​ such other duties as the Board may determine from time to time</w:t>
      </w:r>
    </w:p>
    <w:p>
      <w:pPr>
        <w:spacing w:after="0" w:line="86" w:lineRule="exact"/>
        <w:rPr>
          <w:sz w:val="20"/>
          <w:szCs w:val="20"/>
          <w:color w:val="auto"/>
        </w:rPr>
      </w:pPr>
    </w:p>
    <w:p>
      <w:pPr>
        <w:sectPr>
          <w:pgSz w:w="11900" w:h="16838" w:orient="portrait"/>
          <w:cols w:equalWidth="0" w:num="2">
            <w:col w:w="4520" w:space="188"/>
            <w:col w:w="4552"/>
          </w:cols>
          <w:pgMar w:left="1320" w:top="480" w:right="131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process, including discussing evaluations with each director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individually</w:t>
      </w:r>
    </w:p>
    <w:p>
      <w:pPr>
        <w:spacing w:after="0" w:line="305"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All directors are encouraged to consult with the Chairman of the Board and Chief Executive Officer on each of the above topics, as well. The Lead Independent Director, and each of the other directors, communicates regularly with the Chairman of the Board and Chief Executive Officer regarding appropriate agenda topics and other Board related matters.</w:t>
      </w:r>
    </w:p>
    <w:p>
      <w:pPr>
        <w:spacing w:after="0" w:line="128" w:lineRule="exact"/>
        <w:rPr>
          <w:sz w:val="20"/>
          <w:szCs w:val="20"/>
          <w:color w:val="auto"/>
        </w:rPr>
      </w:pPr>
    </w:p>
    <w:p>
      <w:pPr>
        <w:spacing w:after="0"/>
        <w:rPr>
          <w:sz w:val="20"/>
          <w:szCs w:val="20"/>
          <w:color w:val="auto"/>
        </w:rPr>
      </w:pPr>
      <w:r>
        <w:rPr>
          <w:rFonts w:ascii="Arial" w:cs="Arial" w:eastAsia="Arial" w:hAnsi="Arial"/>
          <w:sz w:val="30"/>
          <w:szCs w:val="30"/>
          <w:color w:val="auto"/>
        </w:rPr>
        <w:t>Board Succession Planning and Composition</w:t>
      </w:r>
    </w:p>
    <w:p>
      <w:pPr>
        <w:spacing w:after="0" w:line="131"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AbbVie directors have backgrounds that when combined provide a portfolio of experience and knowledge that serve AbbVie’s governance and strategic needs. Director nominees are considered based on a range of criteria including broad-based business knowledge and relationships, prominence and excellent reputations in their primary fields of endeavor, as well as a global business perspective and commitment to good corporate citizenship, and ability to commit sufficient time and attention to the activities of the Board. They must have demonstrated experience and ability that is relevant to the Board’s oversight role with respect to AbbVie’s business and affairs. They must also be able and willing to represent the stockholders’ economic interests and satisfy their fiduciary duties to stockholders without conflicts of interest. For more details on director qualifications, please see Exhibit A to AbbVie’s Governance Guidelines.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797560" cy="148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THE BOARD OF DIRECTORS AND ITS COMMITTEES</w:t>
      </w:r>
    </w:p>
    <w:p>
      <w:pPr>
        <w:spacing w:after="0" w:line="185"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In addition to executive succession planning, the Board actively plans for its own succession. Over the past several years, the Board has undergone significant refreshment, including four new directors since 2023, a new lead independent director starting in 2024, all new committee chairs starting in 2024, and a new Chairman in 2025. Two directors, who had served since the company’s inception in 2013, also retired in 2025. All of these changes were the result of an established, robust board succession planning process. The Board anticipates potential director retirement timelines well in advance and assesses what skills may need to be added to the Board when retirements occur, as well as what Board leadership positions a retiring director has. This allows the Board to actively recruit for specific skillsets and plan for Board leadership changes in advance of retirements. For example, the two directors who retired in 2025 were both former chief executive officers. The Board was therefore able to recruit and elect Mr. Falk, a former chief executive officer of a large, publicly traded company, to supplement that skillset on the Board shortly before the planned retirements.</w:t>
      </w:r>
    </w:p>
    <w:p>
      <w:pPr>
        <w:spacing w:after="0" w:line="153" w:lineRule="exact"/>
        <w:rPr>
          <w:sz w:val="20"/>
          <w:szCs w:val="20"/>
          <w:color w:val="auto"/>
        </w:rPr>
      </w:pPr>
    </w:p>
    <w:p>
      <w:pPr>
        <w:jc w:val="both"/>
        <w:ind w:right="200"/>
        <w:spacing w:after="0" w:line="262" w:lineRule="auto"/>
        <w:rPr>
          <w:sz w:val="20"/>
          <w:szCs w:val="20"/>
          <w:color w:val="auto"/>
        </w:rPr>
      </w:pPr>
      <w:r>
        <w:rPr>
          <w:rFonts w:ascii="Arial" w:cs="Arial" w:eastAsia="Arial" w:hAnsi="Arial"/>
          <w:sz w:val="16"/>
          <w:szCs w:val="16"/>
          <w:color w:val="auto"/>
        </w:rPr>
        <w:t>Each director’s biography includes the particular experience and qualifications that led the Board to conclude that the director should serve on the Board and how their qualifications add to the mix of skills on the Board. The directors’ biographies are in the section of this proxy statement captioned “Information Concerning Director Nominees.”</w:t>
      </w:r>
    </w:p>
    <w:p>
      <w:pPr>
        <w:spacing w:after="0" w:line="13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following table highlights our directors’ skills and experience. The skills identified below are considered by the nominations and governance committee to be the most relevant to the Board’s oversight role with respect to AbbVie’s business and affairs and to drive our culture of innovation and responsibility. The specific importance of each skill also is noted.</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Such skills include,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135890</wp:posOffset>
            </wp:positionV>
            <wp:extent cx="46990" cy="3110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6990" cy="3110865"/>
                    </a:xfrm>
                    <a:prstGeom prst="rect">
                      <a:avLst/>
                    </a:prstGeom>
                    <a:noFill/>
                  </pic:spPr>
                </pic:pic>
              </a:graphicData>
            </a:graphic>
          </wp:anchor>
        </w:drawing>
      </w:r>
    </w:p>
    <w:p>
      <w:pPr>
        <w:spacing w:after="0" w:line="194"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60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18"/>
                <w:szCs w:val="18"/>
                <w:color w:val="auto"/>
              </w:rPr>
              <w:t>Health Care Industry</w:t>
            </w:r>
          </w:p>
        </w:tc>
        <w:tc>
          <w:tcPr>
            <w:tcW w:w="6480" w:type="dxa"/>
            <w:vAlign w:val="bottom"/>
          </w:tcPr>
          <w:p>
            <w:pPr>
              <w:ind w:left="120"/>
              <w:spacing w:after="0"/>
              <w:rPr>
                <w:sz w:val="20"/>
                <w:szCs w:val="20"/>
                <w:color w:val="auto"/>
              </w:rPr>
            </w:pPr>
            <w:r>
              <w:rPr>
                <w:rFonts w:ascii="Arial" w:cs="Arial" w:eastAsia="Arial" w:hAnsi="Arial"/>
                <w:sz w:val="18"/>
                <w:szCs w:val="18"/>
                <w:color w:val="auto"/>
              </w:rPr>
              <w:t>Relevant to an industry understanding and review of our business and strategy</w:t>
            </w:r>
          </w:p>
        </w:tc>
        <w:tc>
          <w:tcPr>
            <w:tcW w:w="0" w:type="dxa"/>
            <w:vAlign w:val="bottom"/>
          </w:tcPr>
          <w:p>
            <w:pPr>
              <w:spacing w:after="0"/>
              <w:rPr>
                <w:sz w:val="1"/>
                <w:szCs w:val="1"/>
                <w:color w:val="auto"/>
              </w:rPr>
            </w:pPr>
          </w:p>
        </w:tc>
      </w:tr>
      <w:tr>
        <w:trPr>
          <w:trHeight w:val="141"/>
        </w:trPr>
        <w:tc>
          <w:tcPr>
            <w:tcW w:w="2600" w:type="dxa"/>
            <w:vAlign w:val="bottom"/>
            <w:tcBorders>
              <w:right w:val="single" w:sz="8" w:color="071D49"/>
            </w:tcBorders>
            <w:vMerge w:val="continue"/>
          </w:tcPr>
          <w:p>
            <w:pPr>
              <w:spacing w:after="0"/>
              <w:rPr>
                <w:sz w:val="12"/>
                <w:szCs w:val="12"/>
                <w:color w:val="auto"/>
              </w:rPr>
            </w:pPr>
          </w:p>
        </w:tc>
        <w:tc>
          <w:tcPr>
            <w:tcW w:w="6480" w:type="dxa"/>
            <w:vAlign w:val="bottom"/>
            <w:vMerge w:val="restart"/>
          </w:tcPr>
          <w:p>
            <w:pPr>
              <w:ind w:left="120"/>
              <w:spacing w:after="0"/>
              <w:rPr>
                <w:sz w:val="20"/>
                <w:szCs w:val="20"/>
                <w:color w:val="auto"/>
              </w:rPr>
            </w:pPr>
            <w:r>
              <w:rPr>
                <w:rFonts w:ascii="Arial" w:cs="Arial" w:eastAsia="Arial" w:hAnsi="Arial"/>
                <w:sz w:val="18"/>
                <w:szCs w:val="18"/>
                <w:color w:val="auto"/>
              </w:rPr>
              <w:t>for continued innovation.</w:t>
            </w:r>
          </w:p>
        </w:tc>
        <w:tc>
          <w:tcPr>
            <w:tcW w:w="0" w:type="dxa"/>
            <w:vAlign w:val="bottom"/>
          </w:tcPr>
          <w:p>
            <w:pPr>
              <w:spacing w:after="0"/>
              <w:rPr>
                <w:sz w:val="1"/>
                <w:szCs w:val="1"/>
                <w:color w:val="auto"/>
              </w:rPr>
            </w:pPr>
          </w:p>
        </w:tc>
      </w:tr>
      <w:tr>
        <w:trPr>
          <w:trHeight w:val="98"/>
        </w:trPr>
        <w:tc>
          <w:tcPr>
            <w:tcW w:w="2600" w:type="dxa"/>
            <w:vAlign w:val="bottom"/>
            <w:tcBorders>
              <w:right w:val="single" w:sz="8" w:color="071D49"/>
            </w:tcBorders>
          </w:tcPr>
          <w:p>
            <w:pPr>
              <w:spacing w:after="0"/>
              <w:rPr>
                <w:sz w:val="8"/>
                <w:szCs w:val="8"/>
                <w:color w:val="auto"/>
              </w:rPr>
            </w:pPr>
          </w:p>
        </w:tc>
        <w:tc>
          <w:tcPr>
            <w:tcW w:w="6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600" w:type="dxa"/>
            <w:vAlign w:val="bottom"/>
            <w:tcBorders>
              <w:bottom w:val="single" w:sz="8" w:color="071D49"/>
              <w:right w:val="single" w:sz="8" w:color="071D49"/>
            </w:tcBorders>
          </w:tcPr>
          <w:p>
            <w:pPr>
              <w:spacing w:after="0"/>
              <w:rPr>
                <w:sz w:val="7"/>
                <w:szCs w:val="7"/>
                <w:color w:val="auto"/>
              </w:rPr>
            </w:pPr>
          </w:p>
        </w:tc>
        <w:tc>
          <w:tcPr>
            <w:tcW w:w="648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60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18"/>
                <w:szCs w:val="18"/>
                <w:color w:val="auto"/>
              </w:rPr>
              <w:t>Leadership</w:t>
            </w:r>
          </w:p>
        </w:tc>
        <w:tc>
          <w:tcPr>
            <w:tcW w:w="6480" w:type="dxa"/>
            <w:vAlign w:val="bottom"/>
          </w:tcPr>
          <w:p>
            <w:pPr>
              <w:ind w:left="120"/>
              <w:spacing w:after="0"/>
              <w:rPr>
                <w:sz w:val="20"/>
                <w:szCs w:val="20"/>
                <w:color w:val="auto"/>
              </w:rPr>
            </w:pPr>
            <w:r>
              <w:rPr>
                <w:rFonts w:ascii="Arial" w:cs="Arial" w:eastAsia="Arial" w:hAnsi="Arial"/>
                <w:sz w:val="18"/>
                <w:szCs w:val="18"/>
                <w:color w:val="auto"/>
              </w:rPr>
              <w:t>For a board that can successfully advise and oversee the company’s business</w:t>
            </w:r>
          </w:p>
        </w:tc>
        <w:tc>
          <w:tcPr>
            <w:tcW w:w="0" w:type="dxa"/>
            <w:vAlign w:val="bottom"/>
          </w:tcPr>
          <w:p>
            <w:pPr>
              <w:spacing w:after="0"/>
              <w:rPr>
                <w:sz w:val="1"/>
                <w:szCs w:val="1"/>
                <w:color w:val="auto"/>
              </w:rPr>
            </w:pPr>
          </w:p>
        </w:tc>
      </w:tr>
      <w:tr>
        <w:trPr>
          <w:trHeight w:val="141"/>
        </w:trPr>
        <w:tc>
          <w:tcPr>
            <w:tcW w:w="2600" w:type="dxa"/>
            <w:vAlign w:val="bottom"/>
            <w:tcBorders>
              <w:right w:val="single" w:sz="8" w:color="071D49"/>
            </w:tcBorders>
            <w:vMerge w:val="continue"/>
          </w:tcPr>
          <w:p>
            <w:pPr>
              <w:spacing w:after="0"/>
              <w:rPr>
                <w:sz w:val="12"/>
                <w:szCs w:val="12"/>
                <w:color w:val="auto"/>
              </w:rPr>
            </w:pPr>
          </w:p>
        </w:tc>
        <w:tc>
          <w:tcPr>
            <w:tcW w:w="6480" w:type="dxa"/>
            <w:vAlign w:val="bottom"/>
            <w:vMerge w:val="restart"/>
          </w:tcPr>
          <w:p>
            <w:pPr>
              <w:ind w:left="120"/>
              <w:spacing w:after="0"/>
              <w:rPr>
                <w:sz w:val="20"/>
                <w:szCs w:val="20"/>
                <w:color w:val="auto"/>
              </w:rPr>
            </w:pPr>
            <w:r>
              <w:rPr>
                <w:rFonts w:ascii="Arial" w:cs="Arial" w:eastAsia="Arial" w:hAnsi="Arial"/>
                <w:sz w:val="18"/>
                <w:szCs w:val="18"/>
                <w:color w:val="auto"/>
              </w:rPr>
              <w:t>performance and represent stockholders’ interests.</w:t>
            </w:r>
          </w:p>
        </w:tc>
        <w:tc>
          <w:tcPr>
            <w:tcW w:w="0" w:type="dxa"/>
            <w:vAlign w:val="bottom"/>
          </w:tcPr>
          <w:p>
            <w:pPr>
              <w:spacing w:after="0"/>
              <w:rPr>
                <w:sz w:val="1"/>
                <w:szCs w:val="1"/>
                <w:color w:val="auto"/>
              </w:rPr>
            </w:pPr>
          </w:p>
        </w:tc>
      </w:tr>
      <w:tr>
        <w:trPr>
          <w:trHeight w:val="98"/>
        </w:trPr>
        <w:tc>
          <w:tcPr>
            <w:tcW w:w="2600" w:type="dxa"/>
            <w:vAlign w:val="bottom"/>
            <w:tcBorders>
              <w:right w:val="single" w:sz="8" w:color="071D49"/>
            </w:tcBorders>
          </w:tcPr>
          <w:p>
            <w:pPr>
              <w:spacing w:after="0"/>
              <w:rPr>
                <w:sz w:val="8"/>
                <w:szCs w:val="8"/>
                <w:color w:val="auto"/>
              </w:rPr>
            </w:pPr>
          </w:p>
        </w:tc>
        <w:tc>
          <w:tcPr>
            <w:tcW w:w="6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600" w:type="dxa"/>
            <w:vAlign w:val="bottom"/>
            <w:tcBorders>
              <w:bottom w:val="single" w:sz="8" w:color="071D49"/>
              <w:right w:val="single" w:sz="8" w:color="071D49"/>
            </w:tcBorders>
          </w:tcPr>
          <w:p>
            <w:pPr>
              <w:spacing w:after="0"/>
              <w:rPr>
                <w:sz w:val="7"/>
                <w:szCs w:val="7"/>
                <w:color w:val="auto"/>
              </w:rPr>
            </w:pPr>
          </w:p>
        </w:tc>
        <w:tc>
          <w:tcPr>
            <w:tcW w:w="648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60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18"/>
                <w:szCs w:val="18"/>
                <w:color w:val="auto"/>
              </w:rPr>
              <w:t>Global Business and Strategy</w:t>
            </w:r>
          </w:p>
        </w:tc>
        <w:tc>
          <w:tcPr>
            <w:tcW w:w="6480" w:type="dxa"/>
            <w:vAlign w:val="bottom"/>
          </w:tcPr>
          <w:p>
            <w:pPr>
              <w:ind w:left="120"/>
              <w:spacing w:after="0"/>
              <w:rPr>
                <w:sz w:val="20"/>
                <w:szCs w:val="20"/>
                <w:color w:val="auto"/>
              </w:rPr>
            </w:pPr>
            <w:r>
              <w:rPr>
                <w:rFonts w:ascii="Arial" w:cs="Arial" w:eastAsia="Arial" w:hAnsi="Arial"/>
                <w:sz w:val="18"/>
                <w:szCs w:val="18"/>
                <w:color w:val="auto"/>
              </w:rPr>
              <w:t>For oversight of a complex global organization like AbbVie to successfully</w:t>
            </w:r>
          </w:p>
        </w:tc>
        <w:tc>
          <w:tcPr>
            <w:tcW w:w="0" w:type="dxa"/>
            <w:vAlign w:val="bottom"/>
          </w:tcPr>
          <w:p>
            <w:pPr>
              <w:spacing w:after="0"/>
              <w:rPr>
                <w:sz w:val="1"/>
                <w:szCs w:val="1"/>
                <w:color w:val="auto"/>
              </w:rPr>
            </w:pPr>
          </w:p>
        </w:tc>
      </w:tr>
      <w:tr>
        <w:trPr>
          <w:trHeight w:val="141"/>
        </w:trPr>
        <w:tc>
          <w:tcPr>
            <w:tcW w:w="2600" w:type="dxa"/>
            <w:vAlign w:val="bottom"/>
            <w:tcBorders>
              <w:right w:val="single" w:sz="8" w:color="071D49"/>
            </w:tcBorders>
            <w:vMerge w:val="continue"/>
          </w:tcPr>
          <w:p>
            <w:pPr>
              <w:spacing w:after="0"/>
              <w:rPr>
                <w:sz w:val="12"/>
                <w:szCs w:val="12"/>
                <w:color w:val="auto"/>
              </w:rPr>
            </w:pPr>
          </w:p>
        </w:tc>
        <w:tc>
          <w:tcPr>
            <w:tcW w:w="6480" w:type="dxa"/>
            <w:vAlign w:val="bottom"/>
            <w:vMerge w:val="restart"/>
          </w:tcPr>
          <w:p>
            <w:pPr>
              <w:ind w:left="120"/>
              <w:spacing w:after="0"/>
              <w:rPr>
                <w:sz w:val="20"/>
                <w:szCs w:val="20"/>
                <w:color w:val="auto"/>
              </w:rPr>
            </w:pPr>
            <w:r>
              <w:rPr>
                <w:rFonts w:ascii="Arial" w:cs="Arial" w:eastAsia="Arial" w:hAnsi="Arial"/>
                <w:sz w:val="18"/>
                <w:szCs w:val="18"/>
                <w:color w:val="auto"/>
              </w:rPr>
              <w:t>advise and oversee the strategic development and direction of the company.</w:t>
            </w:r>
          </w:p>
        </w:tc>
        <w:tc>
          <w:tcPr>
            <w:tcW w:w="0" w:type="dxa"/>
            <w:vAlign w:val="bottom"/>
          </w:tcPr>
          <w:p>
            <w:pPr>
              <w:spacing w:after="0"/>
              <w:rPr>
                <w:sz w:val="1"/>
                <w:szCs w:val="1"/>
                <w:color w:val="auto"/>
              </w:rPr>
            </w:pPr>
          </w:p>
        </w:tc>
      </w:tr>
      <w:tr>
        <w:trPr>
          <w:trHeight w:val="98"/>
        </w:trPr>
        <w:tc>
          <w:tcPr>
            <w:tcW w:w="2600" w:type="dxa"/>
            <w:vAlign w:val="bottom"/>
            <w:tcBorders>
              <w:right w:val="single" w:sz="8" w:color="071D49"/>
            </w:tcBorders>
          </w:tcPr>
          <w:p>
            <w:pPr>
              <w:spacing w:after="0"/>
              <w:rPr>
                <w:sz w:val="8"/>
                <w:szCs w:val="8"/>
                <w:color w:val="auto"/>
              </w:rPr>
            </w:pPr>
          </w:p>
        </w:tc>
        <w:tc>
          <w:tcPr>
            <w:tcW w:w="6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600" w:type="dxa"/>
            <w:vAlign w:val="bottom"/>
            <w:tcBorders>
              <w:bottom w:val="single" w:sz="8" w:color="071D49"/>
              <w:right w:val="single" w:sz="8" w:color="071D49"/>
            </w:tcBorders>
          </w:tcPr>
          <w:p>
            <w:pPr>
              <w:spacing w:after="0"/>
              <w:rPr>
                <w:sz w:val="7"/>
                <w:szCs w:val="7"/>
                <w:color w:val="auto"/>
              </w:rPr>
            </w:pPr>
          </w:p>
        </w:tc>
        <w:tc>
          <w:tcPr>
            <w:tcW w:w="648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600" w:type="dxa"/>
            <w:vAlign w:val="bottom"/>
            <w:tcBorders>
              <w:right w:val="single" w:sz="8" w:color="071D49"/>
            </w:tcBorders>
          </w:tcPr>
          <w:p>
            <w:pPr>
              <w:jc w:val="center"/>
              <w:spacing w:after="0"/>
              <w:rPr>
                <w:sz w:val="20"/>
                <w:szCs w:val="20"/>
                <w:color w:val="auto"/>
              </w:rPr>
            </w:pPr>
            <w:r>
              <w:rPr>
                <w:rFonts w:ascii="Arial" w:cs="Arial" w:eastAsia="Arial" w:hAnsi="Arial"/>
                <w:sz w:val="18"/>
                <w:szCs w:val="18"/>
                <w:color w:val="auto"/>
                <w:w w:val="99"/>
              </w:rPr>
              <w:t>Science/Research &amp;</w:t>
            </w:r>
          </w:p>
        </w:tc>
        <w:tc>
          <w:tcPr>
            <w:tcW w:w="6480" w:type="dxa"/>
            <w:vAlign w:val="bottom"/>
          </w:tcPr>
          <w:p>
            <w:pPr>
              <w:ind w:left="120"/>
              <w:spacing w:after="0"/>
              <w:rPr>
                <w:sz w:val="20"/>
                <w:szCs w:val="20"/>
                <w:color w:val="auto"/>
              </w:rPr>
            </w:pPr>
            <w:r>
              <w:rPr>
                <w:rFonts w:ascii="Arial" w:cs="Arial" w:eastAsia="Arial" w:hAnsi="Arial"/>
                <w:sz w:val="18"/>
                <w:szCs w:val="18"/>
                <w:color w:val="auto"/>
              </w:rPr>
              <w:t>For an understanding of AbbVie’s scientific and research and development</w:t>
            </w:r>
          </w:p>
        </w:tc>
        <w:tc>
          <w:tcPr>
            <w:tcW w:w="0" w:type="dxa"/>
            <w:vAlign w:val="bottom"/>
          </w:tcPr>
          <w:p>
            <w:pPr>
              <w:spacing w:after="0"/>
              <w:rPr>
                <w:sz w:val="1"/>
                <w:szCs w:val="1"/>
                <w:color w:val="auto"/>
              </w:rPr>
            </w:pPr>
          </w:p>
        </w:tc>
      </w:tr>
      <w:tr>
        <w:trPr>
          <w:trHeight w:val="239"/>
        </w:trPr>
        <w:tc>
          <w:tcPr>
            <w:tcW w:w="2600" w:type="dxa"/>
            <w:vAlign w:val="bottom"/>
            <w:tcBorders>
              <w:right w:val="single" w:sz="8" w:color="071D49"/>
            </w:tcBorders>
          </w:tcPr>
          <w:p>
            <w:pPr>
              <w:jc w:val="center"/>
              <w:spacing w:after="0"/>
              <w:rPr>
                <w:sz w:val="20"/>
                <w:szCs w:val="20"/>
                <w:color w:val="auto"/>
              </w:rPr>
            </w:pPr>
            <w:r>
              <w:rPr>
                <w:rFonts w:ascii="Arial" w:cs="Arial" w:eastAsia="Arial" w:hAnsi="Arial"/>
                <w:sz w:val="18"/>
                <w:szCs w:val="18"/>
                <w:color w:val="auto"/>
                <w:w w:val="99"/>
              </w:rPr>
              <w:t>Development</w:t>
            </w:r>
          </w:p>
        </w:tc>
        <w:tc>
          <w:tcPr>
            <w:tcW w:w="6480" w:type="dxa"/>
            <w:vAlign w:val="bottom"/>
          </w:tcPr>
          <w:p>
            <w:pPr>
              <w:ind w:left="120"/>
              <w:spacing w:after="0"/>
              <w:rPr>
                <w:sz w:val="20"/>
                <w:szCs w:val="20"/>
                <w:color w:val="auto"/>
              </w:rPr>
            </w:pPr>
            <w:r>
              <w:rPr>
                <w:rFonts w:ascii="Arial" w:cs="Arial" w:eastAsia="Arial" w:hAnsi="Arial"/>
                <w:sz w:val="18"/>
                <w:szCs w:val="18"/>
                <w:color w:val="auto"/>
              </w:rPr>
              <w:t>initiatives.</w:t>
            </w:r>
          </w:p>
        </w:tc>
        <w:tc>
          <w:tcPr>
            <w:tcW w:w="0" w:type="dxa"/>
            <w:vAlign w:val="bottom"/>
          </w:tcPr>
          <w:p>
            <w:pPr>
              <w:spacing w:after="0"/>
              <w:rPr>
                <w:sz w:val="1"/>
                <w:szCs w:val="1"/>
                <w:color w:val="auto"/>
              </w:rPr>
            </w:pPr>
          </w:p>
        </w:tc>
      </w:tr>
      <w:tr>
        <w:trPr>
          <w:trHeight w:val="82"/>
        </w:trPr>
        <w:tc>
          <w:tcPr>
            <w:tcW w:w="2600" w:type="dxa"/>
            <w:vAlign w:val="bottom"/>
            <w:tcBorders>
              <w:bottom w:val="single" w:sz="8" w:color="071D49"/>
              <w:right w:val="single" w:sz="8" w:color="071D49"/>
            </w:tcBorders>
          </w:tcPr>
          <w:p>
            <w:pPr>
              <w:spacing w:after="0"/>
              <w:rPr>
                <w:sz w:val="7"/>
                <w:szCs w:val="7"/>
                <w:color w:val="auto"/>
              </w:rPr>
            </w:pPr>
          </w:p>
        </w:tc>
        <w:tc>
          <w:tcPr>
            <w:tcW w:w="648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600" w:type="dxa"/>
            <w:vAlign w:val="bottom"/>
            <w:tcBorders>
              <w:right w:val="single" w:sz="8" w:color="071D49"/>
            </w:tcBorders>
          </w:tcPr>
          <w:p>
            <w:pPr>
              <w:jc w:val="center"/>
              <w:spacing w:after="0"/>
              <w:rPr>
                <w:sz w:val="20"/>
                <w:szCs w:val="20"/>
                <w:color w:val="auto"/>
              </w:rPr>
            </w:pPr>
            <w:r>
              <w:rPr>
                <w:rFonts w:ascii="Arial" w:cs="Arial" w:eastAsia="Arial" w:hAnsi="Arial"/>
                <w:sz w:val="18"/>
                <w:szCs w:val="18"/>
                <w:color w:val="auto"/>
                <w:w w:val="99"/>
              </w:rPr>
              <w:t>Corporate Governance and</w:t>
            </w:r>
          </w:p>
        </w:tc>
        <w:tc>
          <w:tcPr>
            <w:tcW w:w="6480" w:type="dxa"/>
            <w:vAlign w:val="bottom"/>
          </w:tcPr>
          <w:p>
            <w:pPr>
              <w:ind w:left="120"/>
              <w:spacing w:after="0"/>
              <w:rPr>
                <w:sz w:val="20"/>
                <w:szCs w:val="20"/>
                <w:color w:val="auto"/>
              </w:rPr>
            </w:pPr>
            <w:r>
              <w:rPr>
                <w:rFonts w:ascii="Arial" w:cs="Arial" w:eastAsia="Arial" w:hAnsi="Arial"/>
                <w:sz w:val="18"/>
                <w:szCs w:val="18"/>
                <w:color w:val="auto"/>
              </w:rPr>
              <w:t>Ensuring directors have the background and knowledge to perform oversight</w:t>
            </w:r>
          </w:p>
        </w:tc>
        <w:tc>
          <w:tcPr>
            <w:tcW w:w="0" w:type="dxa"/>
            <w:vAlign w:val="bottom"/>
          </w:tcPr>
          <w:p>
            <w:pPr>
              <w:spacing w:after="0"/>
              <w:rPr>
                <w:sz w:val="1"/>
                <w:szCs w:val="1"/>
                <w:color w:val="auto"/>
              </w:rPr>
            </w:pPr>
          </w:p>
        </w:tc>
      </w:tr>
      <w:tr>
        <w:trPr>
          <w:trHeight w:val="239"/>
        </w:trPr>
        <w:tc>
          <w:tcPr>
            <w:tcW w:w="2600" w:type="dxa"/>
            <w:vAlign w:val="bottom"/>
            <w:tcBorders>
              <w:right w:val="single" w:sz="8" w:color="071D49"/>
            </w:tcBorders>
          </w:tcPr>
          <w:p>
            <w:pPr>
              <w:jc w:val="center"/>
              <w:spacing w:after="0"/>
              <w:rPr>
                <w:sz w:val="20"/>
                <w:szCs w:val="20"/>
                <w:color w:val="auto"/>
              </w:rPr>
            </w:pPr>
            <w:r>
              <w:rPr>
                <w:rFonts w:ascii="Arial" w:cs="Arial" w:eastAsia="Arial" w:hAnsi="Arial"/>
                <w:sz w:val="18"/>
                <w:szCs w:val="18"/>
                <w:color w:val="auto"/>
              </w:rPr>
              <w:t>Public Company Board</w:t>
            </w:r>
          </w:p>
        </w:tc>
        <w:tc>
          <w:tcPr>
            <w:tcW w:w="6480" w:type="dxa"/>
            <w:vAlign w:val="bottom"/>
          </w:tcPr>
          <w:p>
            <w:pPr>
              <w:ind w:left="120"/>
              <w:spacing w:after="0"/>
              <w:rPr>
                <w:sz w:val="20"/>
                <w:szCs w:val="20"/>
                <w:color w:val="auto"/>
              </w:rPr>
            </w:pPr>
            <w:r>
              <w:rPr>
                <w:rFonts w:ascii="Arial" w:cs="Arial" w:eastAsia="Arial" w:hAnsi="Arial"/>
                <w:sz w:val="18"/>
                <w:szCs w:val="18"/>
                <w:color w:val="auto"/>
              </w:rPr>
              <w:t>and governance roles.</w:t>
            </w:r>
          </w:p>
        </w:tc>
        <w:tc>
          <w:tcPr>
            <w:tcW w:w="0" w:type="dxa"/>
            <w:vAlign w:val="bottom"/>
          </w:tcPr>
          <w:p>
            <w:pPr>
              <w:spacing w:after="0"/>
              <w:rPr>
                <w:sz w:val="1"/>
                <w:szCs w:val="1"/>
                <w:color w:val="auto"/>
              </w:rPr>
            </w:pPr>
          </w:p>
        </w:tc>
      </w:tr>
      <w:tr>
        <w:trPr>
          <w:trHeight w:val="82"/>
        </w:trPr>
        <w:tc>
          <w:tcPr>
            <w:tcW w:w="2600" w:type="dxa"/>
            <w:vAlign w:val="bottom"/>
            <w:tcBorders>
              <w:bottom w:val="single" w:sz="8" w:color="071D49"/>
              <w:right w:val="single" w:sz="8" w:color="071D49"/>
            </w:tcBorders>
          </w:tcPr>
          <w:p>
            <w:pPr>
              <w:spacing w:after="0"/>
              <w:rPr>
                <w:sz w:val="7"/>
                <w:szCs w:val="7"/>
                <w:color w:val="auto"/>
              </w:rPr>
            </w:pPr>
          </w:p>
        </w:tc>
        <w:tc>
          <w:tcPr>
            <w:tcW w:w="648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60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18"/>
                <w:szCs w:val="18"/>
                <w:color w:val="auto"/>
                <w:w w:val="99"/>
              </w:rPr>
              <w:t>Finance or Accounting</w:t>
            </w:r>
          </w:p>
        </w:tc>
        <w:tc>
          <w:tcPr>
            <w:tcW w:w="6480" w:type="dxa"/>
            <w:vAlign w:val="bottom"/>
          </w:tcPr>
          <w:p>
            <w:pPr>
              <w:ind w:left="120"/>
              <w:spacing w:after="0"/>
              <w:rPr>
                <w:sz w:val="20"/>
                <w:szCs w:val="20"/>
                <w:color w:val="auto"/>
              </w:rPr>
            </w:pPr>
            <w:r>
              <w:rPr>
                <w:rFonts w:ascii="Arial" w:cs="Arial" w:eastAsia="Arial" w:hAnsi="Arial"/>
                <w:sz w:val="18"/>
                <w:szCs w:val="18"/>
                <w:color w:val="auto"/>
              </w:rPr>
              <w:t>Enabling our directors to analyze our financial statements, oversee our capital</w:t>
            </w:r>
          </w:p>
        </w:tc>
        <w:tc>
          <w:tcPr>
            <w:tcW w:w="0" w:type="dxa"/>
            <w:vAlign w:val="bottom"/>
          </w:tcPr>
          <w:p>
            <w:pPr>
              <w:spacing w:after="0"/>
              <w:rPr>
                <w:sz w:val="1"/>
                <w:szCs w:val="1"/>
                <w:color w:val="auto"/>
              </w:rPr>
            </w:pPr>
          </w:p>
        </w:tc>
      </w:tr>
      <w:tr>
        <w:trPr>
          <w:trHeight w:val="141"/>
        </w:trPr>
        <w:tc>
          <w:tcPr>
            <w:tcW w:w="2600" w:type="dxa"/>
            <w:vAlign w:val="bottom"/>
            <w:tcBorders>
              <w:right w:val="single" w:sz="8" w:color="071D49"/>
            </w:tcBorders>
            <w:vMerge w:val="continue"/>
          </w:tcPr>
          <w:p>
            <w:pPr>
              <w:spacing w:after="0"/>
              <w:rPr>
                <w:sz w:val="12"/>
                <w:szCs w:val="12"/>
                <w:color w:val="auto"/>
              </w:rPr>
            </w:pPr>
          </w:p>
        </w:tc>
        <w:tc>
          <w:tcPr>
            <w:tcW w:w="6480" w:type="dxa"/>
            <w:vAlign w:val="bottom"/>
            <w:vMerge w:val="restart"/>
          </w:tcPr>
          <w:p>
            <w:pPr>
              <w:ind w:left="120"/>
              <w:spacing w:after="0"/>
              <w:rPr>
                <w:sz w:val="20"/>
                <w:szCs w:val="20"/>
                <w:color w:val="auto"/>
              </w:rPr>
            </w:pPr>
            <w:r>
              <w:rPr>
                <w:rFonts w:ascii="Arial" w:cs="Arial" w:eastAsia="Arial" w:hAnsi="Arial"/>
                <w:sz w:val="18"/>
                <w:szCs w:val="18"/>
                <w:color w:val="auto"/>
              </w:rPr>
              <w:t>structure, and consider financial transactions.</w:t>
            </w:r>
          </w:p>
        </w:tc>
        <w:tc>
          <w:tcPr>
            <w:tcW w:w="0" w:type="dxa"/>
            <w:vAlign w:val="bottom"/>
          </w:tcPr>
          <w:p>
            <w:pPr>
              <w:spacing w:after="0"/>
              <w:rPr>
                <w:sz w:val="1"/>
                <w:szCs w:val="1"/>
                <w:color w:val="auto"/>
              </w:rPr>
            </w:pPr>
          </w:p>
        </w:tc>
      </w:tr>
      <w:tr>
        <w:trPr>
          <w:trHeight w:val="98"/>
        </w:trPr>
        <w:tc>
          <w:tcPr>
            <w:tcW w:w="2600" w:type="dxa"/>
            <w:vAlign w:val="bottom"/>
            <w:tcBorders>
              <w:right w:val="single" w:sz="8" w:color="071D49"/>
            </w:tcBorders>
          </w:tcPr>
          <w:p>
            <w:pPr>
              <w:spacing w:after="0"/>
              <w:rPr>
                <w:sz w:val="8"/>
                <w:szCs w:val="8"/>
                <w:color w:val="auto"/>
              </w:rPr>
            </w:pPr>
          </w:p>
        </w:tc>
        <w:tc>
          <w:tcPr>
            <w:tcW w:w="6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600" w:type="dxa"/>
            <w:vAlign w:val="bottom"/>
            <w:tcBorders>
              <w:bottom w:val="single" w:sz="8" w:color="071D49"/>
              <w:right w:val="single" w:sz="8" w:color="071D49"/>
            </w:tcBorders>
          </w:tcPr>
          <w:p>
            <w:pPr>
              <w:spacing w:after="0"/>
              <w:rPr>
                <w:sz w:val="7"/>
                <w:szCs w:val="7"/>
                <w:color w:val="auto"/>
              </w:rPr>
            </w:pPr>
          </w:p>
        </w:tc>
        <w:tc>
          <w:tcPr>
            <w:tcW w:w="648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600" w:type="dxa"/>
            <w:vAlign w:val="bottom"/>
            <w:tcBorders>
              <w:right w:val="single" w:sz="8" w:color="071D49"/>
            </w:tcBorders>
          </w:tcPr>
          <w:p>
            <w:pPr>
              <w:jc w:val="center"/>
              <w:spacing w:after="0"/>
              <w:rPr>
                <w:sz w:val="20"/>
                <w:szCs w:val="20"/>
                <w:color w:val="auto"/>
              </w:rPr>
            </w:pPr>
            <w:r>
              <w:rPr>
                <w:rFonts w:ascii="Arial" w:cs="Arial" w:eastAsia="Arial" w:hAnsi="Arial"/>
                <w:sz w:val="18"/>
                <w:szCs w:val="18"/>
                <w:color w:val="auto"/>
                <w:w w:val="99"/>
              </w:rPr>
              <w:t>Government Relations and</w:t>
            </w:r>
          </w:p>
        </w:tc>
        <w:tc>
          <w:tcPr>
            <w:tcW w:w="6480" w:type="dxa"/>
            <w:vAlign w:val="bottom"/>
          </w:tcPr>
          <w:p>
            <w:pPr>
              <w:ind w:left="120"/>
              <w:spacing w:after="0"/>
              <w:rPr>
                <w:sz w:val="20"/>
                <w:szCs w:val="20"/>
                <w:color w:val="auto"/>
              </w:rPr>
            </w:pPr>
            <w:r>
              <w:rPr>
                <w:rFonts w:ascii="Arial" w:cs="Arial" w:eastAsia="Arial" w:hAnsi="Arial"/>
                <w:sz w:val="18"/>
                <w:szCs w:val="18"/>
                <w:color w:val="auto"/>
              </w:rPr>
              <w:t>For an understanding of the complex regulatory and governmental environment</w:t>
            </w:r>
          </w:p>
        </w:tc>
        <w:tc>
          <w:tcPr>
            <w:tcW w:w="0" w:type="dxa"/>
            <w:vAlign w:val="bottom"/>
          </w:tcPr>
          <w:p>
            <w:pPr>
              <w:spacing w:after="0"/>
              <w:rPr>
                <w:sz w:val="1"/>
                <w:szCs w:val="1"/>
                <w:color w:val="auto"/>
              </w:rPr>
            </w:pPr>
          </w:p>
        </w:tc>
      </w:tr>
      <w:tr>
        <w:trPr>
          <w:trHeight w:val="239"/>
        </w:trPr>
        <w:tc>
          <w:tcPr>
            <w:tcW w:w="2600" w:type="dxa"/>
            <w:vAlign w:val="bottom"/>
            <w:tcBorders>
              <w:right w:val="single" w:sz="8" w:color="071D49"/>
            </w:tcBorders>
          </w:tcPr>
          <w:p>
            <w:pPr>
              <w:jc w:val="center"/>
              <w:spacing w:after="0"/>
              <w:rPr>
                <w:sz w:val="20"/>
                <w:szCs w:val="20"/>
                <w:color w:val="auto"/>
              </w:rPr>
            </w:pPr>
            <w:r>
              <w:rPr>
                <w:rFonts w:ascii="Arial" w:cs="Arial" w:eastAsia="Arial" w:hAnsi="Arial"/>
                <w:sz w:val="18"/>
                <w:szCs w:val="18"/>
                <w:color w:val="auto"/>
                <w:w w:val="98"/>
              </w:rPr>
              <w:t>Regulatory</w:t>
            </w:r>
          </w:p>
        </w:tc>
        <w:tc>
          <w:tcPr>
            <w:tcW w:w="6480" w:type="dxa"/>
            <w:vAlign w:val="bottom"/>
          </w:tcPr>
          <w:p>
            <w:pPr>
              <w:ind w:left="120"/>
              <w:spacing w:after="0"/>
              <w:rPr>
                <w:sz w:val="20"/>
                <w:szCs w:val="20"/>
                <w:color w:val="auto"/>
              </w:rPr>
            </w:pPr>
            <w:r>
              <w:rPr>
                <w:rFonts w:ascii="Arial" w:cs="Arial" w:eastAsia="Arial" w:hAnsi="Arial"/>
                <w:sz w:val="18"/>
                <w:szCs w:val="18"/>
                <w:color w:val="auto"/>
              </w:rPr>
              <w:t>in which our business operates.</w:t>
            </w:r>
          </w:p>
        </w:tc>
        <w:tc>
          <w:tcPr>
            <w:tcW w:w="0" w:type="dxa"/>
            <w:vAlign w:val="bottom"/>
          </w:tcPr>
          <w:p>
            <w:pPr>
              <w:spacing w:after="0"/>
              <w:rPr>
                <w:sz w:val="1"/>
                <w:szCs w:val="1"/>
                <w:color w:val="auto"/>
              </w:rPr>
            </w:pPr>
          </w:p>
        </w:tc>
      </w:tr>
      <w:tr>
        <w:trPr>
          <w:trHeight w:val="82"/>
        </w:trPr>
        <w:tc>
          <w:tcPr>
            <w:tcW w:w="2600" w:type="dxa"/>
            <w:vAlign w:val="bottom"/>
            <w:tcBorders>
              <w:bottom w:val="single" w:sz="8" w:color="071D49"/>
              <w:right w:val="single" w:sz="8" w:color="071D49"/>
            </w:tcBorders>
          </w:tcPr>
          <w:p>
            <w:pPr>
              <w:spacing w:after="0"/>
              <w:rPr>
                <w:sz w:val="7"/>
                <w:szCs w:val="7"/>
                <w:color w:val="auto"/>
              </w:rPr>
            </w:pPr>
          </w:p>
        </w:tc>
        <w:tc>
          <w:tcPr>
            <w:tcW w:w="648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60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18"/>
                <w:szCs w:val="18"/>
                <w:color w:val="auto"/>
              </w:rPr>
              <w:t>Marketing/Sales</w:t>
            </w:r>
          </w:p>
        </w:tc>
        <w:tc>
          <w:tcPr>
            <w:tcW w:w="6480" w:type="dxa"/>
            <w:vAlign w:val="bottom"/>
          </w:tcPr>
          <w:p>
            <w:pPr>
              <w:ind w:left="120"/>
              <w:spacing w:after="0"/>
              <w:rPr>
                <w:sz w:val="20"/>
                <w:szCs w:val="20"/>
                <w:color w:val="auto"/>
              </w:rPr>
            </w:pPr>
            <w:r>
              <w:rPr>
                <w:rFonts w:ascii="Arial" w:cs="Arial" w:eastAsia="Arial" w:hAnsi="Arial"/>
                <w:sz w:val="18"/>
                <w:szCs w:val="18"/>
                <w:color w:val="auto"/>
              </w:rPr>
              <w:t>Experience in commercialization, marketing, and brand development, including</w:t>
            </w:r>
          </w:p>
        </w:tc>
        <w:tc>
          <w:tcPr>
            <w:tcW w:w="0" w:type="dxa"/>
            <w:vAlign w:val="bottom"/>
          </w:tcPr>
          <w:p>
            <w:pPr>
              <w:spacing w:after="0"/>
              <w:rPr>
                <w:sz w:val="1"/>
                <w:szCs w:val="1"/>
                <w:color w:val="auto"/>
              </w:rPr>
            </w:pPr>
          </w:p>
        </w:tc>
      </w:tr>
      <w:tr>
        <w:trPr>
          <w:trHeight w:val="141"/>
        </w:trPr>
        <w:tc>
          <w:tcPr>
            <w:tcW w:w="2600" w:type="dxa"/>
            <w:vAlign w:val="bottom"/>
            <w:tcBorders>
              <w:right w:val="single" w:sz="8" w:color="071D49"/>
            </w:tcBorders>
            <w:vMerge w:val="continue"/>
          </w:tcPr>
          <w:p>
            <w:pPr>
              <w:spacing w:after="0"/>
              <w:rPr>
                <w:sz w:val="12"/>
                <w:szCs w:val="12"/>
                <w:color w:val="auto"/>
              </w:rPr>
            </w:pPr>
          </w:p>
        </w:tc>
        <w:tc>
          <w:tcPr>
            <w:tcW w:w="6480" w:type="dxa"/>
            <w:vAlign w:val="bottom"/>
            <w:vMerge w:val="restart"/>
          </w:tcPr>
          <w:p>
            <w:pPr>
              <w:ind w:left="120"/>
              <w:spacing w:after="0"/>
              <w:rPr>
                <w:sz w:val="20"/>
                <w:szCs w:val="20"/>
                <w:color w:val="auto"/>
              </w:rPr>
            </w:pPr>
            <w:r>
              <w:rPr>
                <w:rFonts w:ascii="Arial" w:cs="Arial" w:eastAsia="Arial" w:hAnsi="Arial"/>
                <w:sz w:val="18"/>
                <w:szCs w:val="18"/>
                <w:color w:val="auto"/>
              </w:rPr>
              <w:t>through digital channels.</w:t>
            </w:r>
          </w:p>
        </w:tc>
        <w:tc>
          <w:tcPr>
            <w:tcW w:w="0" w:type="dxa"/>
            <w:vAlign w:val="bottom"/>
          </w:tcPr>
          <w:p>
            <w:pPr>
              <w:spacing w:after="0"/>
              <w:rPr>
                <w:sz w:val="1"/>
                <w:szCs w:val="1"/>
                <w:color w:val="auto"/>
              </w:rPr>
            </w:pPr>
          </w:p>
        </w:tc>
      </w:tr>
      <w:tr>
        <w:trPr>
          <w:trHeight w:val="98"/>
        </w:trPr>
        <w:tc>
          <w:tcPr>
            <w:tcW w:w="2600" w:type="dxa"/>
            <w:vAlign w:val="bottom"/>
            <w:tcBorders>
              <w:right w:val="single" w:sz="8" w:color="071D49"/>
            </w:tcBorders>
          </w:tcPr>
          <w:p>
            <w:pPr>
              <w:spacing w:after="0"/>
              <w:rPr>
                <w:sz w:val="8"/>
                <w:szCs w:val="8"/>
                <w:color w:val="auto"/>
              </w:rPr>
            </w:pPr>
          </w:p>
        </w:tc>
        <w:tc>
          <w:tcPr>
            <w:tcW w:w="6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600" w:type="dxa"/>
            <w:vAlign w:val="bottom"/>
            <w:tcBorders>
              <w:right w:val="single" w:sz="8" w:color="071D49"/>
            </w:tcBorders>
          </w:tcPr>
          <w:p>
            <w:pPr>
              <w:spacing w:after="0"/>
              <w:rPr>
                <w:sz w:val="6"/>
                <w:szCs w:val="6"/>
                <w:color w:val="auto"/>
              </w:rPr>
            </w:pPr>
          </w:p>
        </w:tc>
        <w:tc>
          <w:tcPr>
            <w:tcW w:w="64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20</w:t>
      </w:r>
      <w:r>
        <w:rPr>
          <w:sz w:val="20"/>
          <w:szCs w:val="20"/>
          <w:color w:val="auto"/>
        </w:rPr>
        <w:tab/>
      </w:r>
      <w:r>
        <w:rPr>
          <w:sz w:val="1"/>
          <w:szCs w:val="1"/>
          <w:color w:val="auto"/>
        </w:rPr>
        <w:drawing>
          <wp:inline distT="0" distB="0" distL="0" distR="0">
            <wp:extent cx="797560" cy="14859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5180"/>
        <w:spacing w:after="0"/>
        <w:rPr>
          <w:sz w:val="20"/>
          <w:szCs w:val="20"/>
          <w:color w:val="auto"/>
        </w:rPr>
      </w:pPr>
      <w:r>
        <w:rPr>
          <w:rFonts w:ascii="Arial" w:cs="Arial" w:eastAsia="Arial" w:hAnsi="Arial"/>
          <w:sz w:val="16"/>
          <w:szCs w:val="16"/>
          <w:color w:val="808080"/>
        </w:rPr>
        <w:t>THE BOARD OF DIRECTORS AND ITS COMMITTEES</w:t>
      </w:r>
    </w:p>
    <w:p>
      <w:pPr>
        <w:spacing w:after="0" w:line="200" w:lineRule="exact"/>
        <w:rPr>
          <w:sz w:val="20"/>
          <w:szCs w:val="20"/>
          <w:color w:val="auto"/>
        </w:rPr>
      </w:pP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8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rPr>
              <w:t>ALPERN</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rPr>
              <w:t>AUSTIN</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5"/>
              </w:rPr>
              <w:t>BURNSIDE</w:t>
            </w: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8"/>
              </w:rPr>
              <w:t>DAVIS</w:t>
            </w: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7"/>
              </w:rPr>
              <w:t>FALK</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6"/>
              </w:rPr>
              <w:t>FREYMAN</w:t>
            </w: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rPr>
              <w:t>HART</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rPr>
              <w:t>MEYER</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6"/>
              </w:rPr>
              <w:t>MICHAEL</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rPr>
              <w:t>QUAGGIN</w:t>
            </w: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rPr>
              <w:t>RAPP</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rPr>
              <w:t>ROBERTS</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5"/>
              </w:rPr>
              <w:t>WADDELL</w:t>
            </w:r>
          </w:p>
        </w:tc>
        <w:tc>
          <w:tcPr>
            <w:tcW w:w="0" w:type="dxa"/>
            <w:vAlign w:val="bottom"/>
          </w:tcPr>
          <w:p>
            <w:pPr>
              <w:spacing w:after="0"/>
              <w:rPr>
                <w:sz w:val="1"/>
                <w:szCs w:val="1"/>
                <w:color w:val="auto"/>
              </w:rPr>
            </w:pPr>
          </w:p>
        </w:tc>
      </w:tr>
      <w:tr>
        <w:trPr>
          <w:trHeight w:val="239"/>
        </w:trPr>
        <w:tc>
          <w:tcPr>
            <w:tcW w:w="820" w:type="dxa"/>
            <w:vAlign w:val="bottom"/>
            <w:tcBorders>
              <w:bottom w:val="single" w:sz="8" w:color="071D49"/>
            </w:tcBorders>
          </w:tcPr>
          <w:p>
            <w:pPr>
              <w:spacing w:after="0"/>
              <w:rPr>
                <w:sz w:val="20"/>
                <w:szCs w:val="20"/>
                <w:color w:val="auto"/>
              </w:rPr>
            </w:pPr>
          </w:p>
        </w:tc>
        <w:tc>
          <w:tcPr>
            <w:tcW w:w="580" w:type="dxa"/>
            <w:vAlign w:val="bottom"/>
            <w:tcBorders>
              <w:bottom w:val="single" w:sz="8" w:color="071D49"/>
            </w:tcBorders>
          </w:tcPr>
          <w:p>
            <w:pPr>
              <w:spacing w:after="0"/>
              <w:rPr>
                <w:sz w:val="20"/>
                <w:szCs w:val="20"/>
                <w:color w:val="auto"/>
              </w:rPr>
            </w:pPr>
          </w:p>
        </w:tc>
        <w:tc>
          <w:tcPr>
            <w:tcW w:w="580" w:type="dxa"/>
            <w:vAlign w:val="bottom"/>
            <w:tcBorders>
              <w:bottom w:val="single" w:sz="8" w:color="071D49"/>
            </w:tcBorders>
          </w:tcPr>
          <w:p>
            <w:pPr>
              <w:spacing w:after="0"/>
              <w:rPr>
                <w:sz w:val="20"/>
                <w:szCs w:val="20"/>
                <w:color w:val="auto"/>
              </w:rPr>
            </w:pPr>
          </w:p>
        </w:tc>
        <w:tc>
          <w:tcPr>
            <w:tcW w:w="660" w:type="dxa"/>
            <w:vAlign w:val="bottom"/>
            <w:tcBorders>
              <w:bottom w:val="single" w:sz="8" w:color="071D49"/>
            </w:tcBorders>
          </w:tcPr>
          <w:p>
            <w:pPr>
              <w:spacing w:after="0"/>
              <w:rPr>
                <w:sz w:val="20"/>
                <w:szCs w:val="20"/>
                <w:color w:val="auto"/>
              </w:rPr>
            </w:pPr>
          </w:p>
        </w:tc>
        <w:tc>
          <w:tcPr>
            <w:tcW w:w="500" w:type="dxa"/>
            <w:vAlign w:val="bottom"/>
            <w:tcBorders>
              <w:bottom w:val="single" w:sz="8" w:color="071D49"/>
            </w:tcBorders>
          </w:tcPr>
          <w:p>
            <w:pPr>
              <w:spacing w:after="0"/>
              <w:rPr>
                <w:sz w:val="20"/>
                <w:szCs w:val="20"/>
                <w:color w:val="auto"/>
              </w:rPr>
            </w:pPr>
          </w:p>
        </w:tc>
        <w:tc>
          <w:tcPr>
            <w:tcW w:w="480" w:type="dxa"/>
            <w:vAlign w:val="bottom"/>
            <w:tcBorders>
              <w:bottom w:val="single" w:sz="8" w:color="071D49"/>
            </w:tcBorders>
          </w:tcPr>
          <w:p>
            <w:pPr>
              <w:spacing w:after="0"/>
              <w:rPr>
                <w:sz w:val="20"/>
                <w:szCs w:val="20"/>
                <w:color w:val="auto"/>
              </w:rPr>
            </w:pPr>
          </w:p>
        </w:tc>
        <w:tc>
          <w:tcPr>
            <w:tcW w:w="660" w:type="dxa"/>
            <w:vAlign w:val="bottom"/>
            <w:tcBorders>
              <w:bottom w:val="single" w:sz="8" w:color="071D49"/>
            </w:tcBorders>
          </w:tcPr>
          <w:p>
            <w:pPr>
              <w:spacing w:after="0"/>
              <w:rPr>
                <w:sz w:val="20"/>
                <w:szCs w:val="20"/>
                <w:color w:val="auto"/>
              </w:rPr>
            </w:pPr>
          </w:p>
        </w:tc>
        <w:tc>
          <w:tcPr>
            <w:tcW w:w="480" w:type="dxa"/>
            <w:vAlign w:val="bottom"/>
            <w:tcBorders>
              <w:bottom w:val="single" w:sz="8" w:color="071D49"/>
            </w:tcBorders>
          </w:tcPr>
          <w:p>
            <w:pPr>
              <w:spacing w:after="0"/>
              <w:rPr>
                <w:sz w:val="20"/>
                <w:szCs w:val="20"/>
                <w:color w:val="auto"/>
              </w:rPr>
            </w:pPr>
          </w:p>
        </w:tc>
        <w:tc>
          <w:tcPr>
            <w:tcW w:w="600" w:type="dxa"/>
            <w:vAlign w:val="bottom"/>
            <w:tcBorders>
              <w:bottom w:val="single" w:sz="8" w:color="071D49"/>
            </w:tcBorders>
          </w:tcPr>
          <w:p>
            <w:pPr>
              <w:spacing w:after="0"/>
              <w:rPr>
                <w:sz w:val="20"/>
                <w:szCs w:val="20"/>
                <w:color w:val="auto"/>
              </w:rPr>
            </w:pPr>
          </w:p>
        </w:tc>
        <w:tc>
          <w:tcPr>
            <w:tcW w:w="680" w:type="dxa"/>
            <w:vAlign w:val="bottom"/>
            <w:tcBorders>
              <w:bottom w:val="single" w:sz="8" w:color="071D49"/>
            </w:tcBorders>
          </w:tcPr>
          <w:p>
            <w:pPr>
              <w:spacing w:after="0"/>
              <w:rPr>
                <w:sz w:val="20"/>
                <w:szCs w:val="20"/>
                <w:color w:val="auto"/>
              </w:rPr>
            </w:pPr>
          </w:p>
        </w:tc>
        <w:tc>
          <w:tcPr>
            <w:tcW w:w="660" w:type="dxa"/>
            <w:vAlign w:val="bottom"/>
            <w:tcBorders>
              <w:bottom w:val="single" w:sz="8" w:color="071D49"/>
            </w:tcBorders>
          </w:tcPr>
          <w:p>
            <w:pPr>
              <w:spacing w:after="0"/>
              <w:rPr>
                <w:sz w:val="20"/>
                <w:szCs w:val="20"/>
                <w:color w:val="auto"/>
              </w:rPr>
            </w:pPr>
          </w:p>
        </w:tc>
        <w:tc>
          <w:tcPr>
            <w:tcW w:w="500" w:type="dxa"/>
            <w:vAlign w:val="bottom"/>
            <w:tcBorders>
              <w:bottom w:val="single" w:sz="8" w:color="071D49"/>
            </w:tcBorders>
          </w:tcPr>
          <w:p>
            <w:pPr>
              <w:spacing w:after="0"/>
              <w:rPr>
                <w:sz w:val="20"/>
                <w:szCs w:val="20"/>
                <w:color w:val="auto"/>
              </w:rPr>
            </w:pPr>
          </w:p>
        </w:tc>
        <w:tc>
          <w:tcPr>
            <w:tcW w:w="660" w:type="dxa"/>
            <w:vAlign w:val="bottom"/>
            <w:tcBorders>
              <w:bottom w:val="single" w:sz="8" w:color="071D49"/>
            </w:tcBorders>
          </w:tcPr>
          <w:p>
            <w:pPr>
              <w:spacing w:after="0"/>
              <w:rPr>
                <w:sz w:val="20"/>
                <w:szCs w:val="20"/>
                <w:color w:val="auto"/>
              </w:rPr>
            </w:pPr>
          </w:p>
        </w:tc>
        <w:tc>
          <w:tcPr>
            <w:tcW w:w="660" w:type="dxa"/>
            <w:vAlign w:val="bottom"/>
            <w:tcBorders>
              <w:bottom w:val="single" w:sz="8" w:color="071D49"/>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8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Industry</w:t>
            </w:r>
          </w:p>
        </w:tc>
        <w:tc>
          <w:tcPr>
            <w:tcW w:w="580" w:type="dxa"/>
            <w:vAlign w:val="bottom"/>
            <w:shd w:val="clear" w:color="auto" w:fill="F2F2F2"/>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58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660" w:type="dxa"/>
            <w:vAlign w:val="bottom"/>
            <w:shd w:val="clear" w:color="auto" w:fill="F2F2F2"/>
          </w:tcPr>
          <w:p>
            <w:pPr>
              <w:spacing w:after="0"/>
              <w:rPr>
                <w:sz w:val="7"/>
                <w:szCs w:val="7"/>
                <w:color w:val="auto"/>
              </w:rPr>
            </w:pPr>
          </w:p>
        </w:tc>
        <w:tc>
          <w:tcPr>
            <w:tcW w:w="50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480" w:type="dxa"/>
            <w:vAlign w:val="bottom"/>
            <w:shd w:val="clear" w:color="auto" w:fill="F2F2F2"/>
          </w:tcPr>
          <w:p>
            <w:pPr>
              <w:spacing w:after="0"/>
              <w:rPr>
                <w:sz w:val="7"/>
                <w:szCs w:val="7"/>
                <w:color w:val="auto"/>
              </w:rPr>
            </w:pPr>
          </w:p>
        </w:tc>
        <w:tc>
          <w:tcPr>
            <w:tcW w:w="66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480" w:type="dxa"/>
            <w:vAlign w:val="bottom"/>
            <w:shd w:val="clear" w:color="auto" w:fill="F2F2F2"/>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shd w:val="clear" w:color="auto" w:fill="F2F2F2"/>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66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500" w:type="dxa"/>
            <w:vAlign w:val="bottom"/>
            <w:shd w:val="clear" w:color="auto" w:fill="F2F2F2"/>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Health Care</w:t>
            </w:r>
          </w:p>
        </w:tc>
        <w:tc>
          <w:tcPr>
            <w:tcW w:w="580" w:type="dxa"/>
            <w:vAlign w:val="bottom"/>
            <w:shd w:val="clear" w:color="auto" w:fill="F2F2F2"/>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shd w:val="clear" w:color="auto" w:fill="F2F2F2"/>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shd w:val="clear" w:color="auto" w:fill="F2F2F2"/>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shd w:val="clear" w:color="auto" w:fill="F2F2F2"/>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shd w:val="clear" w:color="auto" w:fill="F2F2F2"/>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shd w:val="clear" w:color="auto" w:fill="F2F2F2"/>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820" w:type="dxa"/>
            <w:vAlign w:val="bottom"/>
            <w:tcBorders>
              <w:bottom w:val="single" w:sz="8" w:color="071D49"/>
            </w:tcBorders>
          </w:tcPr>
          <w:p>
            <w:pPr>
              <w:spacing w:after="0"/>
              <w:rPr>
                <w:sz w:val="17"/>
                <w:szCs w:val="17"/>
                <w:color w:val="auto"/>
              </w:rPr>
            </w:pPr>
          </w:p>
        </w:tc>
        <w:tc>
          <w:tcPr>
            <w:tcW w:w="580" w:type="dxa"/>
            <w:vAlign w:val="bottom"/>
            <w:tcBorders>
              <w:bottom w:val="single" w:sz="8" w:color="071D49"/>
            </w:tcBorders>
            <w:shd w:val="clear" w:color="auto" w:fill="F2F2F2"/>
          </w:tcPr>
          <w:p>
            <w:pPr>
              <w:spacing w:after="0"/>
              <w:rPr>
                <w:sz w:val="17"/>
                <w:szCs w:val="17"/>
                <w:color w:val="auto"/>
              </w:rPr>
            </w:pPr>
          </w:p>
        </w:tc>
        <w:tc>
          <w:tcPr>
            <w:tcW w:w="580" w:type="dxa"/>
            <w:vAlign w:val="bottom"/>
            <w:tcBorders>
              <w:bottom w:val="single" w:sz="8" w:color="071D49"/>
            </w:tcBorders>
          </w:tcPr>
          <w:p>
            <w:pPr>
              <w:spacing w:after="0"/>
              <w:rPr>
                <w:sz w:val="17"/>
                <w:szCs w:val="17"/>
                <w:color w:val="auto"/>
              </w:rPr>
            </w:pPr>
          </w:p>
        </w:tc>
        <w:tc>
          <w:tcPr>
            <w:tcW w:w="660" w:type="dxa"/>
            <w:vAlign w:val="bottom"/>
            <w:tcBorders>
              <w:bottom w:val="single" w:sz="8" w:color="071D49"/>
            </w:tcBorders>
            <w:shd w:val="clear" w:color="auto" w:fill="F2F2F2"/>
          </w:tcPr>
          <w:p>
            <w:pPr>
              <w:spacing w:after="0"/>
              <w:rPr>
                <w:sz w:val="17"/>
                <w:szCs w:val="17"/>
                <w:color w:val="auto"/>
              </w:rPr>
            </w:pPr>
          </w:p>
        </w:tc>
        <w:tc>
          <w:tcPr>
            <w:tcW w:w="500" w:type="dxa"/>
            <w:vAlign w:val="bottom"/>
            <w:tcBorders>
              <w:bottom w:val="single" w:sz="8" w:color="071D49"/>
            </w:tcBorders>
          </w:tcPr>
          <w:p>
            <w:pPr>
              <w:spacing w:after="0"/>
              <w:rPr>
                <w:sz w:val="17"/>
                <w:szCs w:val="17"/>
                <w:color w:val="auto"/>
              </w:rPr>
            </w:pPr>
          </w:p>
        </w:tc>
        <w:tc>
          <w:tcPr>
            <w:tcW w:w="480" w:type="dxa"/>
            <w:vAlign w:val="bottom"/>
            <w:tcBorders>
              <w:bottom w:val="single" w:sz="8" w:color="071D49"/>
            </w:tcBorders>
            <w:shd w:val="clear" w:color="auto" w:fill="F2F2F2"/>
          </w:tcPr>
          <w:p>
            <w:pPr>
              <w:spacing w:after="0"/>
              <w:rPr>
                <w:sz w:val="17"/>
                <w:szCs w:val="17"/>
                <w:color w:val="auto"/>
              </w:rPr>
            </w:pPr>
          </w:p>
        </w:tc>
        <w:tc>
          <w:tcPr>
            <w:tcW w:w="660" w:type="dxa"/>
            <w:vAlign w:val="bottom"/>
            <w:tcBorders>
              <w:bottom w:val="single" w:sz="8" w:color="071D49"/>
            </w:tcBorders>
          </w:tcPr>
          <w:p>
            <w:pPr>
              <w:spacing w:after="0"/>
              <w:rPr>
                <w:sz w:val="17"/>
                <w:szCs w:val="17"/>
                <w:color w:val="auto"/>
              </w:rPr>
            </w:pPr>
          </w:p>
        </w:tc>
        <w:tc>
          <w:tcPr>
            <w:tcW w:w="480" w:type="dxa"/>
            <w:vAlign w:val="bottom"/>
            <w:tcBorders>
              <w:bottom w:val="single" w:sz="8" w:color="071D49"/>
            </w:tcBorders>
            <w:shd w:val="clear" w:color="auto" w:fill="F2F2F2"/>
          </w:tcPr>
          <w:p>
            <w:pPr>
              <w:spacing w:after="0"/>
              <w:rPr>
                <w:sz w:val="17"/>
                <w:szCs w:val="17"/>
                <w:color w:val="auto"/>
              </w:rPr>
            </w:pPr>
          </w:p>
        </w:tc>
        <w:tc>
          <w:tcPr>
            <w:tcW w:w="600" w:type="dxa"/>
            <w:vAlign w:val="bottom"/>
            <w:tcBorders>
              <w:bottom w:val="single" w:sz="8" w:color="071D49"/>
            </w:tcBorders>
          </w:tcPr>
          <w:p>
            <w:pPr>
              <w:spacing w:after="0"/>
              <w:rPr>
                <w:sz w:val="17"/>
                <w:szCs w:val="17"/>
                <w:color w:val="auto"/>
              </w:rPr>
            </w:pPr>
          </w:p>
        </w:tc>
        <w:tc>
          <w:tcPr>
            <w:tcW w:w="680" w:type="dxa"/>
            <w:vAlign w:val="bottom"/>
            <w:tcBorders>
              <w:bottom w:val="single" w:sz="8" w:color="071D49"/>
            </w:tcBorders>
            <w:shd w:val="clear" w:color="auto" w:fill="F2F2F2"/>
          </w:tcPr>
          <w:p>
            <w:pPr>
              <w:spacing w:after="0"/>
              <w:rPr>
                <w:sz w:val="17"/>
                <w:szCs w:val="17"/>
                <w:color w:val="auto"/>
              </w:rPr>
            </w:pPr>
          </w:p>
        </w:tc>
        <w:tc>
          <w:tcPr>
            <w:tcW w:w="660" w:type="dxa"/>
            <w:vAlign w:val="bottom"/>
            <w:tcBorders>
              <w:bottom w:val="single" w:sz="8" w:color="071D49"/>
            </w:tcBorders>
          </w:tcPr>
          <w:p>
            <w:pPr>
              <w:spacing w:after="0"/>
              <w:rPr>
                <w:sz w:val="17"/>
                <w:szCs w:val="17"/>
                <w:color w:val="auto"/>
              </w:rPr>
            </w:pPr>
          </w:p>
        </w:tc>
        <w:tc>
          <w:tcPr>
            <w:tcW w:w="500" w:type="dxa"/>
            <w:vAlign w:val="bottom"/>
            <w:tcBorders>
              <w:bottom w:val="single" w:sz="8" w:color="071D49"/>
            </w:tcBorders>
            <w:shd w:val="clear" w:color="auto" w:fill="F2F2F2"/>
          </w:tcPr>
          <w:p>
            <w:pPr>
              <w:spacing w:after="0"/>
              <w:rPr>
                <w:sz w:val="17"/>
                <w:szCs w:val="17"/>
                <w:color w:val="auto"/>
              </w:rPr>
            </w:pPr>
          </w:p>
        </w:tc>
        <w:tc>
          <w:tcPr>
            <w:tcW w:w="660" w:type="dxa"/>
            <w:vAlign w:val="bottom"/>
            <w:tcBorders>
              <w:bottom w:val="single" w:sz="8" w:color="071D49"/>
            </w:tcBorders>
          </w:tcPr>
          <w:p>
            <w:pPr>
              <w:spacing w:after="0"/>
              <w:rPr>
                <w:sz w:val="17"/>
                <w:szCs w:val="17"/>
                <w:color w:val="auto"/>
              </w:rPr>
            </w:pPr>
          </w:p>
        </w:tc>
        <w:tc>
          <w:tcPr>
            <w:tcW w:w="660" w:type="dxa"/>
            <w:vAlign w:val="bottom"/>
            <w:tcBorders>
              <w:bottom w:val="single" w:sz="8" w:color="071D49"/>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Leadership</w:t>
            </w:r>
          </w:p>
        </w:tc>
        <w:tc>
          <w:tcPr>
            <w:tcW w:w="5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0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0" w:type="dxa"/>
            <w:vAlign w:val="bottom"/>
          </w:tcPr>
          <w:p>
            <w:pPr>
              <w:spacing w:after="0"/>
              <w:rPr>
                <w:sz w:val="1"/>
                <w:szCs w:val="1"/>
                <w:color w:val="auto"/>
              </w:rPr>
            </w:pPr>
          </w:p>
        </w:tc>
      </w:tr>
      <w:tr>
        <w:trPr>
          <w:trHeight w:val="82"/>
        </w:trPr>
        <w:tc>
          <w:tcPr>
            <w:tcW w:w="820" w:type="dxa"/>
            <w:vAlign w:val="bottom"/>
            <w:tcBorders>
              <w:bottom w:val="single" w:sz="8" w:color="071D49"/>
            </w:tcBorders>
          </w:tcPr>
          <w:p>
            <w:pPr>
              <w:spacing w:after="0"/>
              <w:rPr>
                <w:sz w:val="7"/>
                <w:szCs w:val="7"/>
                <w:color w:val="auto"/>
              </w:rPr>
            </w:pPr>
          </w:p>
        </w:tc>
        <w:tc>
          <w:tcPr>
            <w:tcW w:w="580" w:type="dxa"/>
            <w:vAlign w:val="bottom"/>
            <w:tcBorders>
              <w:bottom w:val="single" w:sz="8" w:color="071D49"/>
            </w:tcBorders>
            <w:shd w:val="clear" w:color="auto" w:fill="F2F2F2"/>
          </w:tcPr>
          <w:p>
            <w:pPr>
              <w:spacing w:after="0"/>
              <w:rPr>
                <w:sz w:val="7"/>
                <w:szCs w:val="7"/>
                <w:color w:val="auto"/>
              </w:rPr>
            </w:pPr>
          </w:p>
        </w:tc>
        <w:tc>
          <w:tcPr>
            <w:tcW w:w="580" w:type="dxa"/>
            <w:vAlign w:val="bottom"/>
            <w:tcBorders>
              <w:bottom w:val="single" w:sz="8" w:color="071D49"/>
            </w:tcBorders>
          </w:tcPr>
          <w:p>
            <w:pPr>
              <w:spacing w:after="0"/>
              <w:rPr>
                <w:sz w:val="7"/>
                <w:szCs w:val="7"/>
                <w:color w:val="auto"/>
              </w:rPr>
            </w:pPr>
          </w:p>
        </w:tc>
        <w:tc>
          <w:tcPr>
            <w:tcW w:w="660" w:type="dxa"/>
            <w:vAlign w:val="bottom"/>
            <w:tcBorders>
              <w:bottom w:val="single" w:sz="8" w:color="071D49"/>
            </w:tcBorders>
            <w:shd w:val="clear" w:color="auto" w:fill="F2F2F2"/>
          </w:tcPr>
          <w:p>
            <w:pPr>
              <w:spacing w:after="0"/>
              <w:rPr>
                <w:sz w:val="7"/>
                <w:szCs w:val="7"/>
                <w:color w:val="auto"/>
              </w:rPr>
            </w:pPr>
          </w:p>
        </w:tc>
        <w:tc>
          <w:tcPr>
            <w:tcW w:w="500" w:type="dxa"/>
            <w:vAlign w:val="bottom"/>
            <w:tcBorders>
              <w:bottom w:val="single" w:sz="8" w:color="071D49"/>
            </w:tcBorders>
          </w:tcPr>
          <w:p>
            <w:pPr>
              <w:spacing w:after="0"/>
              <w:rPr>
                <w:sz w:val="7"/>
                <w:szCs w:val="7"/>
                <w:color w:val="auto"/>
              </w:rPr>
            </w:pPr>
          </w:p>
        </w:tc>
        <w:tc>
          <w:tcPr>
            <w:tcW w:w="480" w:type="dxa"/>
            <w:vAlign w:val="bottom"/>
            <w:tcBorders>
              <w:bottom w:val="single" w:sz="8" w:color="071D49"/>
            </w:tcBorders>
            <w:shd w:val="clear" w:color="auto" w:fill="F2F2F2"/>
          </w:tcPr>
          <w:p>
            <w:pPr>
              <w:spacing w:after="0"/>
              <w:rPr>
                <w:sz w:val="7"/>
                <w:szCs w:val="7"/>
                <w:color w:val="auto"/>
              </w:rPr>
            </w:pPr>
          </w:p>
        </w:tc>
        <w:tc>
          <w:tcPr>
            <w:tcW w:w="660" w:type="dxa"/>
            <w:vAlign w:val="bottom"/>
            <w:tcBorders>
              <w:bottom w:val="single" w:sz="8" w:color="071D49"/>
            </w:tcBorders>
          </w:tcPr>
          <w:p>
            <w:pPr>
              <w:spacing w:after="0"/>
              <w:rPr>
                <w:sz w:val="7"/>
                <w:szCs w:val="7"/>
                <w:color w:val="auto"/>
              </w:rPr>
            </w:pPr>
          </w:p>
        </w:tc>
        <w:tc>
          <w:tcPr>
            <w:tcW w:w="480" w:type="dxa"/>
            <w:vAlign w:val="bottom"/>
            <w:tcBorders>
              <w:bottom w:val="single" w:sz="8" w:color="071D49"/>
            </w:tcBorders>
            <w:shd w:val="clear" w:color="auto" w:fill="F2F2F2"/>
          </w:tcPr>
          <w:p>
            <w:pPr>
              <w:spacing w:after="0"/>
              <w:rPr>
                <w:sz w:val="7"/>
                <w:szCs w:val="7"/>
                <w:color w:val="auto"/>
              </w:rPr>
            </w:pPr>
          </w:p>
        </w:tc>
        <w:tc>
          <w:tcPr>
            <w:tcW w:w="600" w:type="dxa"/>
            <w:vAlign w:val="bottom"/>
            <w:tcBorders>
              <w:bottom w:val="single" w:sz="8" w:color="071D49"/>
            </w:tcBorders>
          </w:tcPr>
          <w:p>
            <w:pPr>
              <w:spacing w:after="0"/>
              <w:rPr>
                <w:sz w:val="7"/>
                <w:szCs w:val="7"/>
                <w:color w:val="auto"/>
              </w:rPr>
            </w:pPr>
          </w:p>
        </w:tc>
        <w:tc>
          <w:tcPr>
            <w:tcW w:w="680" w:type="dxa"/>
            <w:vAlign w:val="bottom"/>
            <w:tcBorders>
              <w:bottom w:val="single" w:sz="8" w:color="071D49"/>
            </w:tcBorders>
            <w:shd w:val="clear" w:color="auto" w:fill="F2F2F2"/>
          </w:tcPr>
          <w:p>
            <w:pPr>
              <w:spacing w:after="0"/>
              <w:rPr>
                <w:sz w:val="7"/>
                <w:szCs w:val="7"/>
                <w:color w:val="auto"/>
              </w:rPr>
            </w:pPr>
          </w:p>
        </w:tc>
        <w:tc>
          <w:tcPr>
            <w:tcW w:w="660" w:type="dxa"/>
            <w:vAlign w:val="bottom"/>
            <w:tcBorders>
              <w:bottom w:val="single" w:sz="8" w:color="071D49"/>
            </w:tcBorders>
          </w:tcPr>
          <w:p>
            <w:pPr>
              <w:spacing w:after="0"/>
              <w:rPr>
                <w:sz w:val="7"/>
                <w:szCs w:val="7"/>
                <w:color w:val="auto"/>
              </w:rPr>
            </w:pPr>
          </w:p>
        </w:tc>
        <w:tc>
          <w:tcPr>
            <w:tcW w:w="500" w:type="dxa"/>
            <w:vAlign w:val="bottom"/>
            <w:tcBorders>
              <w:bottom w:val="single" w:sz="8" w:color="071D49"/>
            </w:tcBorders>
            <w:shd w:val="clear" w:color="auto" w:fill="F2F2F2"/>
          </w:tcPr>
          <w:p>
            <w:pPr>
              <w:spacing w:after="0"/>
              <w:rPr>
                <w:sz w:val="7"/>
                <w:szCs w:val="7"/>
                <w:color w:val="auto"/>
              </w:rPr>
            </w:pPr>
          </w:p>
        </w:tc>
        <w:tc>
          <w:tcPr>
            <w:tcW w:w="660" w:type="dxa"/>
            <w:vAlign w:val="bottom"/>
            <w:tcBorders>
              <w:bottom w:val="single" w:sz="8" w:color="071D49"/>
            </w:tcBorders>
          </w:tcPr>
          <w:p>
            <w:pPr>
              <w:spacing w:after="0"/>
              <w:rPr>
                <w:sz w:val="7"/>
                <w:szCs w:val="7"/>
                <w:color w:val="auto"/>
              </w:rPr>
            </w:pPr>
          </w:p>
        </w:tc>
        <w:tc>
          <w:tcPr>
            <w:tcW w:w="660" w:type="dxa"/>
            <w:vAlign w:val="bottom"/>
            <w:tcBorders>
              <w:bottom w:val="single" w:sz="8" w:color="071D49"/>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9"/>
              </w:rPr>
              <w:t>Global</w:t>
            </w:r>
          </w:p>
        </w:tc>
        <w:tc>
          <w:tcPr>
            <w:tcW w:w="58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8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8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8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tcPr>
          <w:p>
            <w:pPr>
              <w:spacing w:after="0"/>
              <w:rPr>
                <w:sz w:val="15"/>
                <w:szCs w:val="15"/>
                <w:color w:val="auto"/>
              </w:rPr>
            </w:pPr>
          </w:p>
        </w:tc>
        <w:tc>
          <w:tcPr>
            <w:tcW w:w="50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0" w:type="dxa"/>
            <w:vAlign w:val="bottom"/>
          </w:tcPr>
          <w:p>
            <w:pPr>
              <w:spacing w:after="0"/>
              <w:rPr>
                <w:sz w:val="1"/>
                <w:szCs w:val="1"/>
                <w:color w:val="auto"/>
              </w:rPr>
            </w:pPr>
          </w:p>
        </w:tc>
      </w:tr>
      <w:tr>
        <w:trPr>
          <w:trHeight w:val="153"/>
        </w:trPr>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Business</w:t>
            </w:r>
          </w:p>
        </w:tc>
        <w:tc>
          <w:tcPr>
            <w:tcW w:w="580" w:type="dxa"/>
            <w:vAlign w:val="bottom"/>
            <w:vMerge w:val="continue"/>
            <w:shd w:val="clear" w:color="auto" w:fill="F2F2F2"/>
          </w:tcPr>
          <w:p>
            <w:pPr>
              <w:spacing w:after="0"/>
              <w:rPr>
                <w:sz w:val="13"/>
                <w:szCs w:val="13"/>
                <w:color w:val="auto"/>
              </w:rPr>
            </w:pPr>
          </w:p>
        </w:tc>
        <w:tc>
          <w:tcPr>
            <w:tcW w:w="580" w:type="dxa"/>
            <w:vAlign w:val="bottom"/>
            <w:vMerge w:val="continue"/>
          </w:tcPr>
          <w:p>
            <w:pPr>
              <w:spacing w:after="0"/>
              <w:rPr>
                <w:sz w:val="13"/>
                <w:szCs w:val="13"/>
                <w:color w:val="auto"/>
              </w:rPr>
            </w:pPr>
          </w:p>
        </w:tc>
        <w:tc>
          <w:tcPr>
            <w:tcW w:w="660" w:type="dxa"/>
            <w:vAlign w:val="bottom"/>
            <w:vMerge w:val="continue"/>
            <w:shd w:val="clear" w:color="auto" w:fill="F2F2F2"/>
          </w:tcPr>
          <w:p>
            <w:pPr>
              <w:spacing w:after="0"/>
              <w:rPr>
                <w:sz w:val="13"/>
                <w:szCs w:val="13"/>
                <w:color w:val="auto"/>
              </w:rPr>
            </w:pPr>
          </w:p>
        </w:tc>
        <w:tc>
          <w:tcPr>
            <w:tcW w:w="500" w:type="dxa"/>
            <w:vAlign w:val="bottom"/>
            <w:vMerge w:val="continue"/>
          </w:tcPr>
          <w:p>
            <w:pPr>
              <w:spacing w:after="0"/>
              <w:rPr>
                <w:sz w:val="13"/>
                <w:szCs w:val="13"/>
                <w:color w:val="auto"/>
              </w:rPr>
            </w:pPr>
          </w:p>
        </w:tc>
        <w:tc>
          <w:tcPr>
            <w:tcW w:w="480" w:type="dxa"/>
            <w:vAlign w:val="bottom"/>
            <w:vMerge w:val="continue"/>
            <w:shd w:val="clear" w:color="auto" w:fill="F2F2F2"/>
          </w:tcPr>
          <w:p>
            <w:pPr>
              <w:spacing w:after="0"/>
              <w:rPr>
                <w:sz w:val="13"/>
                <w:szCs w:val="13"/>
                <w:color w:val="auto"/>
              </w:rPr>
            </w:pPr>
          </w:p>
        </w:tc>
        <w:tc>
          <w:tcPr>
            <w:tcW w:w="660" w:type="dxa"/>
            <w:vAlign w:val="bottom"/>
            <w:vMerge w:val="continue"/>
          </w:tcPr>
          <w:p>
            <w:pPr>
              <w:spacing w:after="0"/>
              <w:rPr>
                <w:sz w:val="13"/>
                <w:szCs w:val="13"/>
                <w:color w:val="auto"/>
              </w:rPr>
            </w:pPr>
          </w:p>
        </w:tc>
        <w:tc>
          <w:tcPr>
            <w:tcW w:w="480" w:type="dxa"/>
            <w:vAlign w:val="bottom"/>
            <w:vMerge w:val="continue"/>
            <w:shd w:val="clear" w:color="auto" w:fill="F2F2F2"/>
          </w:tcPr>
          <w:p>
            <w:pPr>
              <w:spacing w:after="0"/>
              <w:rPr>
                <w:sz w:val="13"/>
                <w:szCs w:val="13"/>
                <w:color w:val="auto"/>
              </w:rPr>
            </w:pPr>
          </w:p>
        </w:tc>
        <w:tc>
          <w:tcPr>
            <w:tcW w:w="600" w:type="dxa"/>
            <w:vAlign w:val="bottom"/>
            <w:vMerge w:val="continue"/>
          </w:tcPr>
          <w:p>
            <w:pPr>
              <w:spacing w:after="0"/>
              <w:rPr>
                <w:sz w:val="13"/>
                <w:szCs w:val="13"/>
                <w:color w:val="auto"/>
              </w:rPr>
            </w:pPr>
          </w:p>
        </w:tc>
        <w:tc>
          <w:tcPr>
            <w:tcW w:w="680" w:type="dxa"/>
            <w:vAlign w:val="bottom"/>
            <w:vMerge w:val="continue"/>
            <w:shd w:val="clear" w:color="auto" w:fill="F2F2F2"/>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vMerge w:val="continue"/>
            <w:shd w:val="clear" w:color="auto" w:fill="F2F2F2"/>
          </w:tcPr>
          <w:p>
            <w:pPr>
              <w:spacing w:after="0"/>
              <w:rPr>
                <w:sz w:val="13"/>
                <w:szCs w:val="13"/>
                <w:color w:val="auto"/>
              </w:rPr>
            </w:pPr>
          </w:p>
        </w:tc>
        <w:tc>
          <w:tcPr>
            <w:tcW w:w="660" w:type="dxa"/>
            <w:vAlign w:val="bottom"/>
            <w:vMerge w:val="continue"/>
          </w:tcPr>
          <w:p>
            <w:pPr>
              <w:spacing w:after="0"/>
              <w:rPr>
                <w:sz w:val="13"/>
                <w:szCs w:val="13"/>
                <w:color w:val="auto"/>
              </w:rPr>
            </w:pPr>
          </w:p>
        </w:tc>
        <w:tc>
          <w:tcPr>
            <w:tcW w:w="660" w:type="dxa"/>
            <w:vAlign w:val="bottom"/>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&amp; Strategy</w:t>
            </w:r>
          </w:p>
        </w:tc>
        <w:tc>
          <w:tcPr>
            <w:tcW w:w="580" w:type="dxa"/>
            <w:vAlign w:val="bottom"/>
            <w:tcBorders>
              <w:bottom w:val="single" w:sz="8" w:color="F2F2F2"/>
            </w:tcBorders>
            <w:shd w:val="clear" w:color="auto" w:fill="F2F2F2"/>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Borders>
              <w:bottom w:val="single" w:sz="8" w:color="F2F2F2"/>
            </w:tcBorders>
            <w:shd w:val="clear" w:color="auto" w:fill="F2F2F2"/>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Borders>
              <w:bottom w:val="single" w:sz="8" w:color="F2F2F2"/>
            </w:tcBorders>
            <w:shd w:val="clear" w:color="auto" w:fill="F2F2F2"/>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Borders>
              <w:bottom w:val="single" w:sz="8" w:color="F2F2F2"/>
            </w:tcBorders>
            <w:shd w:val="clear" w:color="auto" w:fill="F2F2F2"/>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bottom w:val="single" w:sz="8" w:color="F2F2F2"/>
            </w:tcBorders>
            <w:shd w:val="clear" w:color="auto" w:fill="F2F2F2"/>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Borders>
              <w:bottom w:val="single" w:sz="8" w:color="F2F2F2"/>
            </w:tcBorders>
            <w:shd w:val="clear" w:color="auto" w:fill="F2F2F2"/>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20" w:type="dxa"/>
            <w:vAlign w:val="bottom"/>
            <w:tcBorders>
              <w:top w:val="single" w:sz="8" w:color="071D49"/>
            </w:tcBorders>
          </w:tcPr>
          <w:p>
            <w:pPr>
              <w:jc w:val="center"/>
              <w:spacing w:after="0"/>
              <w:rPr>
                <w:sz w:val="20"/>
                <w:szCs w:val="20"/>
                <w:color w:val="auto"/>
              </w:rPr>
            </w:pPr>
            <w:r>
              <w:rPr>
                <w:rFonts w:ascii="Arial" w:cs="Arial" w:eastAsia="Arial" w:hAnsi="Arial"/>
                <w:sz w:val="11"/>
                <w:szCs w:val="11"/>
                <w:b w:val="1"/>
                <w:bCs w:val="1"/>
                <w:color w:val="auto"/>
              </w:rPr>
              <w:t>Science/</w:t>
            </w:r>
          </w:p>
        </w:tc>
        <w:tc>
          <w:tcPr>
            <w:tcW w:w="580" w:type="dxa"/>
            <w:vAlign w:val="bottom"/>
            <w:tcBorders>
              <w:top w:val="single" w:sz="8" w:color="071D49"/>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80" w:type="dxa"/>
            <w:vAlign w:val="bottom"/>
            <w:tcBorders>
              <w:top w:val="single" w:sz="8" w:color="071D49"/>
            </w:tcBorders>
          </w:tcPr>
          <w:p>
            <w:pPr>
              <w:spacing w:after="0"/>
              <w:rPr>
                <w:sz w:val="15"/>
                <w:szCs w:val="15"/>
                <w:color w:val="auto"/>
              </w:rPr>
            </w:pPr>
          </w:p>
        </w:tc>
        <w:tc>
          <w:tcPr>
            <w:tcW w:w="660" w:type="dxa"/>
            <w:vAlign w:val="bottom"/>
            <w:tcBorders>
              <w:top w:val="single" w:sz="8" w:color="071D49"/>
            </w:tcBorders>
            <w:shd w:val="clear" w:color="auto" w:fill="F2F2F2"/>
          </w:tcPr>
          <w:p>
            <w:pPr>
              <w:spacing w:after="0"/>
              <w:rPr>
                <w:sz w:val="15"/>
                <w:szCs w:val="15"/>
                <w:color w:val="auto"/>
              </w:rPr>
            </w:pPr>
          </w:p>
        </w:tc>
        <w:tc>
          <w:tcPr>
            <w:tcW w:w="500" w:type="dxa"/>
            <w:vAlign w:val="bottom"/>
            <w:tcBorders>
              <w:top w:val="single" w:sz="8" w:color="071D49"/>
            </w:tcBorders>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80" w:type="dxa"/>
            <w:vAlign w:val="bottom"/>
            <w:tcBorders>
              <w:top w:val="single" w:sz="8" w:color="071D49"/>
            </w:tcBorders>
            <w:shd w:val="clear" w:color="auto" w:fill="F2F2F2"/>
          </w:tcPr>
          <w:p>
            <w:pPr>
              <w:spacing w:after="0"/>
              <w:rPr>
                <w:sz w:val="15"/>
                <w:szCs w:val="15"/>
                <w:color w:val="auto"/>
              </w:rPr>
            </w:pPr>
          </w:p>
        </w:tc>
        <w:tc>
          <w:tcPr>
            <w:tcW w:w="660" w:type="dxa"/>
            <w:vAlign w:val="bottom"/>
            <w:tcBorders>
              <w:top w:val="single" w:sz="8" w:color="071D49"/>
            </w:tcBorders>
          </w:tcPr>
          <w:p>
            <w:pPr>
              <w:spacing w:after="0"/>
              <w:rPr>
                <w:sz w:val="15"/>
                <w:szCs w:val="15"/>
                <w:color w:val="auto"/>
              </w:rPr>
            </w:pPr>
          </w:p>
        </w:tc>
        <w:tc>
          <w:tcPr>
            <w:tcW w:w="480" w:type="dxa"/>
            <w:vAlign w:val="bottom"/>
            <w:tcBorders>
              <w:top w:val="single" w:sz="8" w:color="071D49"/>
            </w:tcBorders>
            <w:shd w:val="clear" w:color="auto" w:fill="F2F2F2"/>
          </w:tcPr>
          <w:p>
            <w:pPr>
              <w:spacing w:after="0"/>
              <w:rPr>
                <w:sz w:val="15"/>
                <w:szCs w:val="15"/>
                <w:color w:val="auto"/>
              </w:rPr>
            </w:pPr>
          </w:p>
        </w:tc>
        <w:tc>
          <w:tcPr>
            <w:tcW w:w="600" w:type="dxa"/>
            <w:vAlign w:val="bottom"/>
            <w:tcBorders>
              <w:top w:val="single" w:sz="8" w:color="071D49"/>
            </w:tcBorders>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80" w:type="dxa"/>
            <w:vAlign w:val="bottom"/>
            <w:tcBorders>
              <w:top w:val="single" w:sz="8" w:color="071D49"/>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tcBorders>
              <w:top w:val="single" w:sz="8" w:color="071D49"/>
            </w:tcBorders>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00" w:type="dxa"/>
            <w:vAlign w:val="bottom"/>
            <w:tcBorders>
              <w:top w:val="single" w:sz="8" w:color="071D49"/>
            </w:tcBorders>
            <w:shd w:val="clear" w:color="auto" w:fill="F2F2F2"/>
          </w:tcPr>
          <w:p>
            <w:pPr>
              <w:spacing w:after="0"/>
              <w:rPr>
                <w:sz w:val="15"/>
                <w:szCs w:val="15"/>
                <w:color w:val="auto"/>
              </w:rPr>
            </w:pPr>
          </w:p>
        </w:tc>
        <w:tc>
          <w:tcPr>
            <w:tcW w:w="660" w:type="dxa"/>
            <w:vAlign w:val="bottom"/>
            <w:tcBorders>
              <w:top w:val="single" w:sz="8" w:color="071D49"/>
            </w:tcBorders>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tcBorders>
              <w:top w:val="single" w:sz="8" w:color="071D49"/>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Research &amp;</w:t>
            </w:r>
          </w:p>
        </w:tc>
        <w:tc>
          <w:tcPr>
            <w:tcW w:w="580" w:type="dxa"/>
            <w:vAlign w:val="bottom"/>
            <w:vMerge w:val="continue"/>
            <w:shd w:val="clear" w:color="auto" w:fill="F2F2F2"/>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500" w:type="dxa"/>
            <w:vAlign w:val="bottom"/>
            <w:vMerge w:val="continue"/>
          </w:tcPr>
          <w:p>
            <w:pPr>
              <w:spacing w:after="0"/>
              <w:rPr>
                <w:sz w:val="11"/>
                <w:szCs w:val="11"/>
                <w:color w:val="auto"/>
              </w:rPr>
            </w:pPr>
          </w:p>
        </w:tc>
        <w:tc>
          <w:tcPr>
            <w:tcW w:w="480" w:type="dxa"/>
            <w:vAlign w:val="bottom"/>
            <w:shd w:val="clear" w:color="auto" w:fill="F2F2F2"/>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shd w:val="clear" w:color="auto" w:fill="F2F2F2"/>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vMerge w:val="continue"/>
            <w:shd w:val="clear" w:color="auto" w:fill="F2F2F2"/>
          </w:tcPr>
          <w:p>
            <w:pPr>
              <w:spacing w:after="0"/>
              <w:rPr>
                <w:sz w:val="11"/>
                <w:szCs w:val="11"/>
                <w:color w:val="auto"/>
              </w:rPr>
            </w:pPr>
          </w:p>
        </w:tc>
        <w:tc>
          <w:tcPr>
            <w:tcW w:w="660" w:type="dxa"/>
            <w:vAlign w:val="bottom"/>
            <w:vMerge w:val="continue"/>
          </w:tcPr>
          <w:p>
            <w:pPr>
              <w:spacing w:after="0"/>
              <w:rPr>
                <w:sz w:val="11"/>
                <w:szCs w:val="11"/>
                <w:color w:val="auto"/>
              </w:rPr>
            </w:pPr>
          </w:p>
        </w:tc>
        <w:tc>
          <w:tcPr>
            <w:tcW w:w="500" w:type="dxa"/>
            <w:vAlign w:val="bottom"/>
            <w:shd w:val="clear" w:color="auto" w:fill="F2F2F2"/>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Development</w:t>
            </w:r>
          </w:p>
        </w:tc>
        <w:tc>
          <w:tcPr>
            <w:tcW w:w="580" w:type="dxa"/>
            <w:vAlign w:val="bottom"/>
            <w:tcBorders>
              <w:bottom w:val="single" w:sz="8" w:color="F2F2F2"/>
            </w:tcBorders>
            <w:shd w:val="clear" w:color="auto" w:fill="F2F2F2"/>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bottom w:val="single" w:sz="8" w:color="F2F2F2"/>
            </w:tcBorders>
            <w:shd w:val="clear" w:color="auto" w:fill="F2F2F2"/>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Borders>
              <w:bottom w:val="single" w:sz="8" w:color="F2F2F2"/>
            </w:tcBorders>
            <w:shd w:val="clear" w:color="auto" w:fill="F2F2F2"/>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Borders>
              <w:bottom w:val="single" w:sz="8" w:color="F2F2F2"/>
            </w:tcBorders>
            <w:shd w:val="clear" w:color="auto" w:fill="F2F2F2"/>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bottom w:val="single" w:sz="8" w:color="F2F2F2"/>
            </w:tcBorders>
            <w:shd w:val="clear" w:color="auto" w:fill="F2F2F2"/>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Borders>
              <w:bottom w:val="single" w:sz="8" w:color="F2F2F2"/>
            </w:tcBorders>
            <w:shd w:val="clear" w:color="auto" w:fill="F2F2F2"/>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20" w:type="dxa"/>
            <w:vAlign w:val="bottom"/>
            <w:tcBorders>
              <w:top w:val="single" w:sz="8" w:color="071D49"/>
            </w:tcBorders>
          </w:tcPr>
          <w:p>
            <w:pPr>
              <w:jc w:val="center"/>
              <w:spacing w:after="0"/>
              <w:rPr>
                <w:sz w:val="20"/>
                <w:szCs w:val="20"/>
                <w:color w:val="auto"/>
              </w:rPr>
            </w:pPr>
            <w:r>
              <w:rPr>
                <w:rFonts w:ascii="Arial" w:cs="Arial" w:eastAsia="Arial" w:hAnsi="Arial"/>
                <w:sz w:val="11"/>
                <w:szCs w:val="11"/>
                <w:b w:val="1"/>
                <w:bCs w:val="1"/>
                <w:color w:val="auto"/>
              </w:rPr>
              <w:t>Corporate</w:t>
            </w:r>
          </w:p>
        </w:tc>
        <w:tc>
          <w:tcPr>
            <w:tcW w:w="580" w:type="dxa"/>
            <w:vAlign w:val="bottom"/>
            <w:tcBorders>
              <w:top w:val="single" w:sz="8" w:color="071D49"/>
            </w:tcBorders>
            <w:shd w:val="clear" w:color="auto" w:fill="F2F2F2"/>
          </w:tcPr>
          <w:p>
            <w:pPr>
              <w:spacing w:after="0"/>
              <w:rPr>
                <w:sz w:val="15"/>
                <w:szCs w:val="15"/>
                <w:color w:val="auto"/>
              </w:rPr>
            </w:pPr>
          </w:p>
        </w:tc>
        <w:tc>
          <w:tcPr>
            <w:tcW w:w="580" w:type="dxa"/>
            <w:vAlign w:val="bottom"/>
            <w:tcBorders>
              <w:top w:val="single" w:sz="8" w:color="071D49"/>
            </w:tcBorders>
          </w:tcPr>
          <w:p>
            <w:pPr>
              <w:spacing w:after="0"/>
              <w:rPr>
                <w:sz w:val="15"/>
                <w:szCs w:val="15"/>
                <w:color w:val="auto"/>
              </w:rPr>
            </w:pPr>
          </w:p>
        </w:tc>
        <w:tc>
          <w:tcPr>
            <w:tcW w:w="660" w:type="dxa"/>
            <w:vAlign w:val="bottom"/>
            <w:tcBorders>
              <w:top w:val="single" w:sz="8" w:color="071D49"/>
            </w:tcBorders>
            <w:shd w:val="clear" w:color="auto" w:fill="F2F2F2"/>
          </w:tcPr>
          <w:p>
            <w:pPr>
              <w:spacing w:after="0"/>
              <w:rPr>
                <w:sz w:val="15"/>
                <w:szCs w:val="15"/>
                <w:color w:val="auto"/>
              </w:rPr>
            </w:pPr>
          </w:p>
        </w:tc>
        <w:tc>
          <w:tcPr>
            <w:tcW w:w="500" w:type="dxa"/>
            <w:vAlign w:val="bottom"/>
            <w:tcBorders>
              <w:top w:val="single" w:sz="8" w:color="071D49"/>
            </w:tcBorders>
          </w:tcPr>
          <w:p>
            <w:pPr>
              <w:spacing w:after="0"/>
              <w:rPr>
                <w:sz w:val="15"/>
                <w:szCs w:val="15"/>
                <w:color w:val="auto"/>
              </w:rPr>
            </w:pPr>
          </w:p>
        </w:tc>
        <w:tc>
          <w:tcPr>
            <w:tcW w:w="480" w:type="dxa"/>
            <w:vAlign w:val="bottom"/>
            <w:tcBorders>
              <w:top w:val="single" w:sz="8" w:color="071D49"/>
            </w:tcBorders>
            <w:shd w:val="clear" w:color="auto" w:fill="F2F2F2"/>
          </w:tcPr>
          <w:p>
            <w:pPr>
              <w:spacing w:after="0"/>
              <w:rPr>
                <w:sz w:val="15"/>
                <w:szCs w:val="15"/>
                <w:color w:val="auto"/>
              </w:rPr>
            </w:pPr>
          </w:p>
        </w:tc>
        <w:tc>
          <w:tcPr>
            <w:tcW w:w="660" w:type="dxa"/>
            <w:vAlign w:val="bottom"/>
            <w:tcBorders>
              <w:top w:val="single" w:sz="8" w:color="071D49"/>
            </w:tcBorders>
          </w:tcPr>
          <w:p>
            <w:pPr>
              <w:spacing w:after="0"/>
              <w:rPr>
                <w:sz w:val="15"/>
                <w:szCs w:val="15"/>
                <w:color w:val="auto"/>
              </w:rPr>
            </w:pPr>
          </w:p>
        </w:tc>
        <w:tc>
          <w:tcPr>
            <w:tcW w:w="480" w:type="dxa"/>
            <w:vAlign w:val="bottom"/>
            <w:tcBorders>
              <w:top w:val="single" w:sz="8" w:color="071D49"/>
            </w:tcBorders>
            <w:shd w:val="clear" w:color="auto" w:fill="F2F2F2"/>
          </w:tcPr>
          <w:p>
            <w:pPr>
              <w:spacing w:after="0"/>
              <w:rPr>
                <w:sz w:val="15"/>
                <w:szCs w:val="15"/>
                <w:color w:val="auto"/>
              </w:rPr>
            </w:pPr>
          </w:p>
        </w:tc>
        <w:tc>
          <w:tcPr>
            <w:tcW w:w="600" w:type="dxa"/>
            <w:vAlign w:val="bottom"/>
            <w:tcBorders>
              <w:top w:val="single" w:sz="8" w:color="071D49"/>
            </w:tcBorders>
          </w:tcPr>
          <w:p>
            <w:pPr>
              <w:spacing w:after="0"/>
              <w:rPr>
                <w:sz w:val="15"/>
                <w:szCs w:val="15"/>
                <w:color w:val="auto"/>
              </w:rPr>
            </w:pPr>
          </w:p>
        </w:tc>
        <w:tc>
          <w:tcPr>
            <w:tcW w:w="680" w:type="dxa"/>
            <w:vAlign w:val="bottom"/>
            <w:tcBorders>
              <w:top w:val="single" w:sz="8" w:color="071D49"/>
            </w:tcBorders>
            <w:shd w:val="clear" w:color="auto" w:fill="F2F2F2"/>
          </w:tcPr>
          <w:p>
            <w:pPr>
              <w:spacing w:after="0"/>
              <w:rPr>
                <w:sz w:val="15"/>
                <w:szCs w:val="15"/>
                <w:color w:val="auto"/>
              </w:rPr>
            </w:pPr>
          </w:p>
        </w:tc>
        <w:tc>
          <w:tcPr>
            <w:tcW w:w="660" w:type="dxa"/>
            <w:vAlign w:val="bottom"/>
            <w:tcBorders>
              <w:top w:val="single" w:sz="8" w:color="071D49"/>
            </w:tcBorders>
          </w:tcPr>
          <w:p>
            <w:pPr>
              <w:spacing w:after="0"/>
              <w:rPr>
                <w:sz w:val="15"/>
                <w:szCs w:val="15"/>
                <w:color w:val="auto"/>
              </w:rPr>
            </w:pPr>
          </w:p>
        </w:tc>
        <w:tc>
          <w:tcPr>
            <w:tcW w:w="500" w:type="dxa"/>
            <w:vAlign w:val="bottom"/>
            <w:tcBorders>
              <w:top w:val="single" w:sz="8" w:color="071D49"/>
            </w:tcBorders>
            <w:shd w:val="clear" w:color="auto" w:fill="F2F2F2"/>
          </w:tcPr>
          <w:p>
            <w:pPr>
              <w:spacing w:after="0"/>
              <w:rPr>
                <w:sz w:val="15"/>
                <w:szCs w:val="15"/>
                <w:color w:val="auto"/>
              </w:rPr>
            </w:pPr>
          </w:p>
        </w:tc>
        <w:tc>
          <w:tcPr>
            <w:tcW w:w="660" w:type="dxa"/>
            <w:vAlign w:val="bottom"/>
            <w:tcBorders>
              <w:top w:val="single" w:sz="8" w:color="071D49"/>
            </w:tcBorders>
          </w:tcPr>
          <w:p>
            <w:pPr>
              <w:spacing w:after="0"/>
              <w:rPr>
                <w:sz w:val="15"/>
                <w:szCs w:val="15"/>
                <w:color w:val="auto"/>
              </w:rPr>
            </w:pPr>
          </w:p>
        </w:tc>
        <w:tc>
          <w:tcPr>
            <w:tcW w:w="660" w:type="dxa"/>
            <w:vAlign w:val="bottom"/>
            <w:tcBorders>
              <w:top w:val="single" w:sz="8" w:color="071D49"/>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8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Governance &amp;</w:t>
            </w:r>
          </w:p>
        </w:tc>
        <w:tc>
          <w:tcPr>
            <w:tcW w:w="58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8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8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8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0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0" w:type="dxa"/>
            <w:vAlign w:val="bottom"/>
          </w:tcPr>
          <w:p>
            <w:pPr>
              <w:spacing w:after="0"/>
              <w:rPr>
                <w:sz w:val="1"/>
                <w:szCs w:val="1"/>
                <w:color w:val="auto"/>
              </w:rPr>
            </w:pPr>
          </w:p>
        </w:tc>
      </w:tr>
      <w:tr>
        <w:trPr>
          <w:trHeight w:val="153"/>
        </w:trPr>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Public</w:t>
            </w:r>
          </w:p>
        </w:tc>
        <w:tc>
          <w:tcPr>
            <w:tcW w:w="580" w:type="dxa"/>
            <w:vAlign w:val="bottom"/>
            <w:vMerge w:val="continue"/>
            <w:shd w:val="clear" w:color="auto" w:fill="F2F2F2"/>
          </w:tcPr>
          <w:p>
            <w:pPr>
              <w:spacing w:after="0"/>
              <w:rPr>
                <w:sz w:val="13"/>
                <w:szCs w:val="13"/>
                <w:color w:val="auto"/>
              </w:rPr>
            </w:pPr>
          </w:p>
        </w:tc>
        <w:tc>
          <w:tcPr>
            <w:tcW w:w="580" w:type="dxa"/>
            <w:vAlign w:val="bottom"/>
            <w:vMerge w:val="continue"/>
          </w:tcPr>
          <w:p>
            <w:pPr>
              <w:spacing w:after="0"/>
              <w:rPr>
                <w:sz w:val="13"/>
                <w:szCs w:val="13"/>
                <w:color w:val="auto"/>
              </w:rPr>
            </w:pPr>
          </w:p>
        </w:tc>
        <w:tc>
          <w:tcPr>
            <w:tcW w:w="660" w:type="dxa"/>
            <w:vAlign w:val="bottom"/>
            <w:vMerge w:val="continue"/>
            <w:shd w:val="clear" w:color="auto" w:fill="F2F2F2"/>
          </w:tcPr>
          <w:p>
            <w:pPr>
              <w:spacing w:after="0"/>
              <w:rPr>
                <w:sz w:val="13"/>
                <w:szCs w:val="13"/>
                <w:color w:val="auto"/>
              </w:rPr>
            </w:pPr>
          </w:p>
        </w:tc>
        <w:tc>
          <w:tcPr>
            <w:tcW w:w="500" w:type="dxa"/>
            <w:vAlign w:val="bottom"/>
            <w:vMerge w:val="continue"/>
          </w:tcPr>
          <w:p>
            <w:pPr>
              <w:spacing w:after="0"/>
              <w:rPr>
                <w:sz w:val="13"/>
                <w:szCs w:val="13"/>
                <w:color w:val="auto"/>
              </w:rPr>
            </w:pPr>
          </w:p>
        </w:tc>
        <w:tc>
          <w:tcPr>
            <w:tcW w:w="480" w:type="dxa"/>
            <w:vAlign w:val="bottom"/>
            <w:vMerge w:val="continue"/>
            <w:shd w:val="clear" w:color="auto" w:fill="F2F2F2"/>
          </w:tcPr>
          <w:p>
            <w:pPr>
              <w:spacing w:after="0"/>
              <w:rPr>
                <w:sz w:val="13"/>
                <w:szCs w:val="13"/>
                <w:color w:val="auto"/>
              </w:rPr>
            </w:pPr>
          </w:p>
        </w:tc>
        <w:tc>
          <w:tcPr>
            <w:tcW w:w="660" w:type="dxa"/>
            <w:vAlign w:val="bottom"/>
            <w:vMerge w:val="continue"/>
          </w:tcPr>
          <w:p>
            <w:pPr>
              <w:spacing w:after="0"/>
              <w:rPr>
                <w:sz w:val="13"/>
                <w:szCs w:val="13"/>
                <w:color w:val="auto"/>
              </w:rPr>
            </w:pPr>
          </w:p>
        </w:tc>
        <w:tc>
          <w:tcPr>
            <w:tcW w:w="480" w:type="dxa"/>
            <w:vAlign w:val="bottom"/>
            <w:vMerge w:val="continue"/>
            <w:shd w:val="clear" w:color="auto" w:fill="F2F2F2"/>
          </w:tcPr>
          <w:p>
            <w:pPr>
              <w:spacing w:after="0"/>
              <w:rPr>
                <w:sz w:val="13"/>
                <w:szCs w:val="13"/>
                <w:color w:val="auto"/>
              </w:rPr>
            </w:pPr>
          </w:p>
        </w:tc>
        <w:tc>
          <w:tcPr>
            <w:tcW w:w="600" w:type="dxa"/>
            <w:vAlign w:val="bottom"/>
            <w:vMerge w:val="continue"/>
          </w:tcPr>
          <w:p>
            <w:pPr>
              <w:spacing w:after="0"/>
              <w:rPr>
                <w:sz w:val="13"/>
                <w:szCs w:val="13"/>
                <w:color w:val="auto"/>
              </w:rPr>
            </w:pPr>
          </w:p>
        </w:tc>
        <w:tc>
          <w:tcPr>
            <w:tcW w:w="680" w:type="dxa"/>
            <w:vAlign w:val="bottom"/>
            <w:vMerge w:val="continue"/>
            <w:shd w:val="clear" w:color="auto" w:fill="F2F2F2"/>
          </w:tcPr>
          <w:p>
            <w:pPr>
              <w:spacing w:after="0"/>
              <w:rPr>
                <w:sz w:val="13"/>
                <w:szCs w:val="13"/>
                <w:color w:val="auto"/>
              </w:rPr>
            </w:pPr>
          </w:p>
        </w:tc>
        <w:tc>
          <w:tcPr>
            <w:tcW w:w="660" w:type="dxa"/>
            <w:vAlign w:val="bottom"/>
            <w:vMerge w:val="continue"/>
          </w:tcPr>
          <w:p>
            <w:pPr>
              <w:spacing w:after="0"/>
              <w:rPr>
                <w:sz w:val="13"/>
                <w:szCs w:val="13"/>
                <w:color w:val="auto"/>
              </w:rPr>
            </w:pPr>
          </w:p>
        </w:tc>
        <w:tc>
          <w:tcPr>
            <w:tcW w:w="500" w:type="dxa"/>
            <w:vAlign w:val="bottom"/>
            <w:vMerge w:val="continue"/>
            <w:shd w:val="clear" w:color="auto" w:fill="F2F2F2"/>
          </w:tcPr>
          <w:p>
            <w:pPr>
              <w:spacing w:after="0"/>
              <w:rPr>
                <w:sz w:val="13"/>
                <w:szCs w:val="13"/>
                <w:color w:val="auto"/>
              </w:rPr>
            </w:pPr>
          </w:p>
        </w:tc>
        <w:tc>
          <w:tcPr>
            <w:tcW w:w="660" w:type="dxa"/>
            <w:vAlign w:val="bottom"/>
            <w:vMerge w:val="continue"/>
          </w:tcPr>
          <w:p>
            <w:pPr>
              <w:spacing w:after="0"/>
              <w:rPr>
                <w:sz w:val="13"/>
                <w:szCs w:val="13"/>
                <w:color w:val="auto"/>
              </w:rPr>
            </w:pPr>
          </w:p>
        </w:tc>
        <w:tc>
          <w:tcPr>
            <w:tcW w:w="660" w:type="dxa"/>
            <w:vAlign w:val="bottom"/>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820" w:type="dxa"/>
            <w:vAlign w:val="bottom"/>
          </w:tcPr>
          <w:p>
            <w:pPr>
              <w:jc w:val="center"/>
              <w:spacing w:after="0" w:line="93" w:lineRule="exact"/>
              <w:rPr>
                <w:sz w:val="20"/>
                <w:szCs w:val="20"/>
                <w:color w:val="auto"/>
              </w:rPr>
            </w:pPr>
            <w:r>
              <w:rPr>
                <w:rFonts w:ascii="Arial" w:cs="Arial" w:eastAsia="Arial" w:hAnsi="Arial"/>
                <w:sz w:val="10"/>
                <w:szCs w:val="10"/>
                <w:b w:val="1"/>
                <w:bCs w:val="1"/>
                <w:color w:val="auto"/>
              </w:rPr>
              <w:t>Company</w:t>
            </w:r>
          </w:p>
        </w:tc>
        <w:tc>
          <w:tcPr>
            <w:tcW w:w="580" w:type="dxa"/>
            <w:vAlign w:val="bottom"/>
            <w:shd w:val="clear" w:color="auto" w:fill="F2F2F2"/>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shd w:val="clear" w:color="auto" w:fill="F2F2F2"/>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shd w:val="clear" w:color="auto" w:fill="F2F2F2"/>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Board</w:t>
            </w:r>
          </w:p>
        </w:tc>
        <w:tc>
          <w:tcPr>
            <w:tcW w:w="580" w:type="dxa"/>
            <w:vAlign w:val="bottom"/>
            <w:shd w:val="clear" w:color="auto" w:fill="F2F2F2"/>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shd w:val="clear" w:color="auto" w:fill="F2F2F2"/>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shd w:val="clear" w:color="auto" w:fill="F2F2F2"/>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shd w:val="clear" w:color="auto" w:fill="F2F2F2"/>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shd w:val="clear" w:color="auto" w:fill="F2F2F2"/>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shd w:val="clear" w:color="auto" w:fill="F2F2F2"/>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820" w:type="dxa"/>
            <w:vAlign w:val="bottom"/>
            <w:tcBorders>
              <w:bottom w:val="single" w:sz="8" w:color="071D49"/>
            </w:tcBorders>
          </w:tcPr>
          <w:p>
            <w:pPr>
              <w:spacing w:after="0"/>
              <w:rPr>
                <w:sz w:val="6"/>
                <w:szCs w:val="6"/>
                <w:color w:val="auto"/>
              </w:rPr>
            </w:pPr>
          </w:p>
        </w:tc>
        <w:tc>
          <w:tcPr>
            <w:tcW w:w="580" w:type="dxa"/>
            <w:vAlign w:val="bottom"/>
            <w:tcBorders>
              <w:bottom w:val="single" w:sz="8" w:color="071D49"/>
            </w:tcBorders>
            <w:shd w:val="clear" w:color="auto" w:fill="F2F2F2"/>
          </w:tcPr>
          <w:p>
            <w:pPr>
              <w:spacing w:after="0"/>
              <w:rPr>
                <w:sz w:val="6"/>
                <w:szCs w:val="6"/>
                <w:color w:val="auto"/>
              </w:rPr>
            </w:pPr>
          </w:p>
        </w:tc>
        <w:tc>
          <w:tcPr>
            <w:tcW w:w="580" w:type="dxa"/>
            <w:vAlign w:val="bottom"/>
            <w:tcBorders>
              <w:bottom w:val="single" w:sz="8" w:color="071D49"/>
            </w:tcBorders>
          </w:tcPr>
          <w:p>
            <w:pPr>
              <w:spacing w:after="0"/>
              <w:rPr>
                <w:sz w:val="6"/>
                <w:szCs w:val="6"/>
                <w:color w:val="auto"/>
              </w:rPr>
            </w:pPr>
          </w:p>
        </w:tc>
        <w:tc>
          <w:tcPr>
            <w:tcW w:w="660" w:type="dxa"/>
            <w:vAlign w:val="bottom"/>
            <w:tcBorders>
              <w:bottom w:val="single" w:sz="8" w:color="071D49"/>
            </w:tcBorders>
            <w:shd w:val="clear" w:color="auto" w:fill="F2F2F2"/>
          </w:tcPr>
          <w:p>
            <w:pPr>
              <w:spacing w:after="0"/>
              <w:rPr>
                <w:sz w:val="6"/>
                <w:szCs w:val="6"/>
                <w:color w:val="auto"/>
              </w:rPr>
            </w:pPr>
          </w:p>
        </w:tc>
        <w:tc>
          <w:tcPr>
            <w:tcW w:w="500" w:type="dxa"/>
            <w:vAlign w:val="bottom"/>
            <w:tcBorders>
              <w:bottom w:val="single" w:sz="8" w:color="071D49"/>
            </w:tcBorders>
          </w:tcPr>
          <w:p>
            <w:pPr>
              <w:spacing w:after="0"/>
              <w:rPr>
                <w:sz w:val="6"/>
                <w:szCs w:val="6"/>
                <w:color w:val="auto"/>
              </w:rPr>
            </w:pPr>
          </w:p>
        </w:tc>
        <w:tc>
          <w:tcPr>
            <w:tcW w:w="480" w:type="dxa"/>
            <w:vAlign w:val="bottom"/>
            <w:tcBorders>
              <w:bottom w:val="single" w:sz="8" w:color="071D49"/>
            </w:tcBorders>
            <w:shd w:val="clear" w:color="auto" w:fill="F2F2F2"/>
          </w:tcPr>
          <w:p>
            <w:pPr>
              <w:spacing w:after="0"/>
              <w:rPr>
                <w:sz w:val="6"/>
                <w:szCs w:val="6"/>
                <w:color w:val="auto"/>
              </w:rPr>
            </w:pPr>
          </w:p>
        </w:tc>
        <w:tc>
          <w:tcPr>
            <w:tcW w:w="660" w:type="dxa"/>
            <w:vAlign w:val="bottom"/>
            <w:tcBorders>
              <w:bottom w:val="single" w:sz="8" w:color="071D49"/>
            </w:tcBorders>
          </w:tcPr>
          <w:p>
            <w:pPr>
              <w:spacing w:after="0"/>
              <w:rPr>
                <w:sz w:val="6"/>
                <w:szCs w:val="6"/>
                <w:color w:val="auto"/>
              </w:rPr>
            </w:pPr>
          </w:p>
        </w:tc>
        <w:tc>
          <w:tcPr>
            <w:tcW w:w="480" w:type="dxa"/>
            <w:vAlign w:val="bottom"/>
            <w:tcBorders>
              <w:bottom w:val="single" w:sz="8" w:color="071D49"/>
            </w:tcBorders>
            <w:shd w:val="clear" w:color="auto" w:fill="F2F2F2"/>
          </w:tcPr>
          <w:p>
            <w:pPr>
              <w:spacing w:after="0"/>
              <w:rPr>
                <w:sz w:val="6"/>
                <w:szCs w:val="6"/>
                <w:color w:val="auto"/>
              </w:rPr>
            </w:pPr>
          </w:p>
        </w:tc>
        <w:tc>
          <w:tcPr>
            <w:tcW w:w="600" w:type="dxa"/>
            <w:vAlign w:val="bottom"/>
            <w:tcBorders>
              <w:bottom w:val="single" w:sz="8" w:color="071D49"/>
            </w:tcBorders>
          </w:tcPr>
          <w:p>
            <w:pPr>
              <w:spacing w:after="0"/>
              <w:rPr>
                <w:sz w:val="6"/>
                <w:szCs w:val="6"/>
                <w:color w:val="auto"/>
              </w:rPr>
            </w:pPr>
          </w:p>
        </w:tc>
        <w:tc>
          <w:tcPr>
            <w:tcW w:w="680" w:type="dxa"/>
            <w:vAlign w:val="bottom"/>
            <w:tcBorders>
              <w:bottom w:val="single" w:sz="8" w:color="071D49"/>
            </w:tcBorders>
            <w:shd w:val="clear" w:color="auto" w:fill="F2F2F2"/>
          </w:tcPr>
          <w:p>
            <w:pPr>
              <w:spacing w:after="0"/>
              <w:rPr>
                <w:sz w:val="6"/>
                <w:szCs w:val="6"/>
                <w:color w:val="auto"/>
              </w:rPr>
            </w:pPr>
          </w:p>
        </w:tc>
        <w:tc>
          <w:tcPr>
            <w:tcW w:w="660" w:type="dxa"/>
            <w:vAlign w:val="bottom"/>
            <w:tcBorders>
              <w:bottom w:val="single" w:sz="8" w:color="071D49"/>
            </w:tcBorders>
          </w:tcPr>
          <w:p>
            <w:pPr>
              <w:spacing w:after="0"/>
              <w:rPr>
                <w:sz w:val="6"/>
                <w:szCs w:val="6"/>
                <w:color w:val="auto"/>
              </w:rPr>
            </w:pPr>
          </w:p>
        </w:tc>
        <w:tc>
          <w:tcPr>
            <w:tcW w:w="500" w:type="dxa"/>
            <w:vAlign w:val="bottom"/>
            <w:tcBorders>
              <w:bottom w:val="single" w:sz="8" w:color="071D49"/>
            </w:tcBorders>
            <w:shd w:val="clear" w:color="auto" w:fill="F2F2F2"/>
          </w:tcPr>
          <w:p>
            <w:pPr>
              <w:spacing w:after="0"/>
              <w:rPr>
                <w:sz w:val="6"/>
                <w:szCs w:val="6"/>
                <w:color w:val="auto"/>
              </w:rPr>
            </w:pPr>
          </w:p>
        </w:tc>
        <w:tc>
          <w:tcPr>
            <w:tcW w:w="660" w:type="dxa"/>
            <w:vAlign w:val="bottom"/>
            <w:tcBorders>
              <w:bottom w:val="single" w:sz="8" w:color="071D49"/>
            </w:tcBorders>
          </w:tcPr>
          <w:p>
            <w:pPr>
              <w:spacing w:after="0"/>
              <w:rPr>
                <w:sz w:val="6"/>
                <w:szCs w:val="6"/>
                <w:color w:val="auto"/>
              </w:rPr>
            </w:pPr>
          </w:p>
        </w:tc>
        <w:tc>
          <w:tcPr>
            <w:tcW w:w="660" w:type="dxa"/>
            <w:vAlign w:val="bottom"/>
            <w:tcBorders>
              <w:bottom w:val="single" w:sz="8" w:color="071D49"/>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8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Accounting</w:t>
            </w:r>
          </w:p>
        </w:tc>
        <w:tc>
          <w:tcPr>
            <w:tcW w:w="580" w:type="dxa"/>
            <w:vAlign w:val="bottom"/>
            <w:shd w:val="clear" w:color="auto" w:fill="F2F2F2"/>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660" w:type="dxa"/>
            <w:vAlign w:val="bottom"/>
            <w:shd w:val="clear" w:color="auto" w:fill="F2F2F2"/>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50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480" w:type="dxa"/>
            <w:vAlign w:val="bottom"/>
            <w:shd w:val="clear" w:color="auto" w:fill="F2F2F2"/>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66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480" w:type="dxa"/>
            <w:vAlign w:val="bottom"/>
            <w:shd w:val="clear" w:color="auto" w:fill="F2F2F2"/>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680" w:type="dxa"/>
            <w:vAlign w:val="bottom"/>
            <w:shd w:val="clear" w:color="auto" w:fill="F2F2F2"/>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660" w:type="dxa"/>
            <w:vAlign w:val="bottom"/>
          </w:tcPr>
          <w:p>
            <w:pPr>
              <w:spacing w:after="0"/>
              <w:rPr>
                <w:sz w:val="7"/>
                <w:szCs w:val="7"/>
                <w:color w:val="auto"/>
              </w:rPr>
            </w:pPr>
          </w:p>
        </w:tc>
        <w:tc>
          <w:tcPr>
            <w:tcW w:w="500" w:type="dxa"/>
            <w:vAlign w:val="bottom"/>
            <w:shd w:val="clear" w:color="auto" w:fill="F2F2F2"/>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660" w:type="dxa"/>
            <w:vAlign w:val="bottom"/>
          </w:tcPr>
          <w:p>
            <w:pPr>
              <w:spacing w:after="0"/>
              <w:rPr>
                <w:sz w:val="7"/>
                <w:szCs w:val="7"/>
                <w:color w:val="auto"/>
              </w:rPr>
            </w:pPr>
          </w:p>
        </w:tc>
        <w:tc>
          <w:tcPr>
            <w:tcW w:w="660" w:type="dxa"/>
            <w:vAlign w:val="bottom"/>
            <w:shd w:val="clear" w:color="auto" w:fill="F2F2F2"/>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0" w:type="dxa"/>
            <w:vAlign w:val="bottom"/>
          </w:tcPr>
          <w:p>
            <w:pPr>
              <w:spacing w:after="0"/>
              <w:rPr>
                <w:sz w:val="1"/>
                <w:szCs w:val="1"/>
                <w:color w:val="auto"/>
              </w:rPr>
            </w:pPr>
          </w:p>
        </w:tc>
      </w:tr>
      <w:tr>
        <w:trPr>
          <w:trHeight w:val="158"/>
        </w:trPr>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Finance or</w:t>
            </w:r>
          </w:p>
        </w:tc>
        <w:tc>
          <w:tcPr>
            <w:tcW w:w="580" w:type="dxa"/>
            <w:vAlign w:val="bottom"/>
            <w:shd w:val="clear" w:color="auto" w:fill="F2F2F2"/>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shd w:val="clear" w:color="auto" w:fill="F2F2F2"/>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shd w:val="clear" w:color="auto" w:fill="F2F2F2"/>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shd w:val="clear" w:color="auto" w:fill="F2F2F2"/>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shd w:val="clear" w:color="auto" w:fill="F2F2F2"/>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shd w:val="clear" w:color="auto" w:fill="F2F2F2"/>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820" w:type="dxa"/>
            <w:vAlign w:val="bottom"/>
            <w:tcBorders>
              <w:bottom w:val="single" w:sz="8" w:color="071D49"/>
            </w:tcBorders>
          </w:tcPr>
          <w:p>
            <w:pPr>
              <w:spacing w:after="0"/>
              <w:rPr>
                <w:sz w:val="17"/>
                <w:szCs w:val="17"/>
                <w:color w:val="auto"/>
              </w:rPr>
            </w:pPr>
          </w:p>
        </w:tc>
        <w:tc>
          <w:tcPr>
            <w:tcW w:w="580" w:type="dxa"/>
            <w:vAlign w:val="bottom"/>
            <w:tcBorders>
              <w:bottom w:val="single" w:sz="8" w:color="071D49"/>
            </w:tcBorders>
            <w:shd w:val="clear" w:color="auto" w:fill="F2F2F2"/>
          </w:tcPr>
          <w:p>
            <w:pPr>
              <w:spacing w:after="0"/>
              <w:rPr>
                <w:sz w:val="17"/>
                <w:szCs w:val="17"/>
                <w:color w:val="auto"/>
              </w:rPr>
            </w:pPr>
          </w:p>
        </w:tc>
        <w:tc>
          <w:tcPr>
            <w:tcW w:w="580" w:type="dxa"/>
            <w:vAlign w:val="bottom"/>
            <w:tcBorders>
              <w:bottom w:val="single" w:sz="8" w:color="071D49"/>
            </w:tcBorders>
          </w:tcPr>
          <w:p>
            <w:pPr>
              <w:spacing w:after="0"/>
              <w:rPr>
                <w:sz w:val="17"/>
                <w:szCs w:val="17"/>
                <w:color w:val="auto"/>
              </w:rPr>
            </w:pPr>
          </w:p>
        </w:tc>
        <w:tc>
          <w:tcPr>
            <w:tcW w:w="660" w:type="dxa"/>
            <w:vAlign w:val="bottom"/>
            <w:tcBorders>
              <w:bottom w:val="single" w:sz="8" w:color="071D49"/>
            </w:tcBorders>
            <w:shd w:val="clear" w:color="auto" w:fill="F2F2F2"/>
          </w:tcPr>
          <w:p>
            <w:pPr>
              <w:spacing w:after="0"/>
              <w:rPr>
                <w:sz w:val="17"/>
                <w:szCs w:val="17"/>
                <w:color w:val="auto"/>
              </w:rPr>
            </w:pPr>
          </w:p>
        </w:tc>
        <w:tc>
          <w:tcPr>
            <w:tcW w:w="500" w:type="dxa"/>
            <w:vAlign w:val="bottom"/>
            <w:tcBorders>
              <w:bottom w:val="single" w:sz="8" w:color="071D49"/>
            </w:tcBorders>
          </w:tcPr>
          <w:p>
            <w:pPr>
              <w:spacing w:after="0"/>
              <w:rPr>
                <w:sz w:val="17"/>
                <w:szCs w:val="17"/>
                <w:color w:val="auto"/>
              </w:rPr>
            </w:pPr>
          </w:p>
        </w:tc>
        <w:tc>
          <w:tcPr>
            <w:tcW w:w="480" w:type="dxa"/>
            <w:vAlign w:val="bottom"/>
            <w:tcBorders>
              <w:bottom w:val="single" w:sz="8" w:color="071D49"/>
            </w:tcBorders>
            <w:shd w:val="clear" w:color="auto" w:fill="F2F2F2"/>
          </w:tcPr>
          <w:p>
            <w:pPr>
              <w:spacing w:after="0"/>
              <w:rPr>
                <w:sz w:val="17"/>
                <w:szCs w:val="17"/>
                <w:color w:val="auto"/>
              </w:rPr>
            </w:pPr>
          </w:p>
        </w:tc>
        <w:tc>
          <w:tcPr>
            <w:tcW w:w="660" w:type="dxa"/>
            <w:vAlign w:val="bottom"/>
            <w:tcBorders>
              <w:bottom w:val="single" w:sz="8" w:color="071D49"/>
            </w:tcBorders>
          </w:tcPr>
          <w:p>
            <w:pPr>
              <w:spacing w:after="0"/>
              <w:rPr>
                <w:sz w:val="17"/>
                <w:szCs w:val="17"/>
                <w:color w:val="auto"/>
              </w:rPr>
            </w:pPr>
          </w:p>
        </w:tc>
        <w:tc>
          <w:tcPr>
            <w:tcW w:w="480" w:type="dxa"/>
            <w:vAlign w:val="bottom"/>
            <w:tcBorders>
              <w:bottom w:val="single" w:sz="8" w:color="071D49"/>
            </w:tcBorders>
            <w:shd w:val="clear" w:color="auto" w:fill="F2F2F2"/>
          </w:tcPr>
          <w:p>
            <w:pPr>
              <w:spacing w:after="0"/>
              <w:rPr>
                <w:sz w:val="17"/>
                <w:szCs w:val="17"/>
                <w:color w:val="auto"/>
              </w:rPr>
            </w:pPr>
          </w:p>
        </w:tc>
        <w:tc>
          <w:tcPr>
            <w:tcW w:w="600" w:type="dxa"/>
            <w:vAlign w:val="bottom"/>
            <w:tcBorders>
              <w:bottom w:val="single" w:sz="8" w:color="071D49"/>
            </w:tcBorders>
          </w:tcPr>
          <w:p>
            <w:pPr>
              <w:spacing w:after="0"/>
              <w:rPr>
                <w:sz w:val="17"/>
                <w:szCs w:val="17"/>
                <w:color w:val="auto"/>
              </w:rPr>
            </w:pPr>
          </w:p>
        </w:tc>
        <w:tc>
          <w:tcPr>
            <w:tcW w:w="680" w:type="dxa"/>
            <w:vAlign w:val="bottom"/>
            <w:tcBorders>
              <w:bottom w:val="single" w:sz="8" w:color="071D49"/>
            </w:tcBorders>
            <w:shd w:val="clear" w:color="auto" w:fill="F2F2F2"/>
          </w:tcPr>
          <w:p>
            <w:pPr>
              <w:spacing w:after="0"/>
              <w:rPr>
                <w:sz w:val="17"/>
                <w:szCs w:val="17"/>
                <w:color w:val="auto"/>
              </w:rPr>
            </w:pPr>
          </w:p>
        </w:tc>
        <w:tc>
          <w:tcPr>
            <w:tcW w:w="660" w:type="dxa"/>
            <w:vAlign w:val="bottom"/>
            <w:tcBorders>
              <w:bottom w:val="single" w:sz="8" w:color="071D49"/>
            </w:tcBorders>
          </w:tcPr>
          <w:p>
            <w:pPr>
              <w:spacing w:after="0"/>
              <w:rPr>
                <w:sz w:val="17"/>
                <w:szCs w:val="17"/>
                <w:color w:val="auto"/>
              </w:rPr>
            </w:pPr>
          </w:p>
        </w:tc>
        <w:tc>
          <w:tcPr>
            <w:tcW w:w="500" w:type="dxa"/>
            <w:vAlign w:val="bottom"/>
            <w:tcBorders>
              <w:bottom w:val="single" w:sz="8" w:color="071D49"/>
            </w:tcBorders>
            <w:shd w:val="clear" w:color="auto" w:fill="F2F2F2"/>
          </w:tcPr>
          <w:p>
            <w:pPr>
              <w:spacing w:after="0"/>
              <w:rPr>
                <w:sz w:val="17"/>
                <w:szCs w:val="17"/>
                <w:color w:val="auto"/>
              </w:rPr>
            </w:pPr>
          </w:p>
        </w:tc>
        <w:tc>
          <w:tcPr>
            <w:tcW w:w="660" w:type="dxa"/>
            <w:vAlign w:val="bottom"/>
            <w:tcBorders>
              <w:bottom w:val="single" w:sz="8" w:color="071D49"/>
            </w:tcBorders>
          </w:tcPr>
          <w:p>
            <w:pPr>
              <w:spacing w:after="0"/>
              <w:rPr>
                <w:sz w:val="17"/>
                <w:szCs w:val="17"/>
                <w:color w:val="auto"/>
              </w:rPr>
            </w:pPr>
          </w:p>
        </w:tc>
        <w:tc>
          <w:tcPr>
            <w:tcW w:w="660" w:type="dxa"/>
            <w:vAlign w:val="bottom"/>
            <w:tcBorders>
              <w:bottom w:val="single" w:sz="8" w:color="071D49"/>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Government</w:t>
            </w:r>
          </w:p>
        </w:tc>
        <w:tc>
          <w:tcPr>
            <w:tcW w:w="58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8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8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8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tcPr>
          <w:p>
            <w:pPr>
              <w:spacing w:after="0"/>
              <w:rPr>
                <w:sz w:val="15"/>
                <w:szCs w:val="15"/>
                <w:color w:val="auto"/>
              </w:rPr>
            </w:pPr>
          </w:p>
        </w:tc>
        <w:tc>
          <w:tcPr>
            <w:tcW w:w="50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6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0" w:type="dxa"/>
            <w:vAlign w:val="bottom"/>
          </w:tcPr>
          <w:p>
            <w:pPr>
              <w:spacing w:after="0"/>
              <w:rPr>
                <w:sz w:val="1"/>
                <w:szCs w:val="1"/>
                <w:color w:val="auto"/>
              </w:rPr>
            </w:pPr>
          </w:p>
        </w:tc>
      </w:tr>
      <w:tr>
        <w:trPr>
          <w:trHeight w:val="135"/>
        </w:trPr>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Relations &amp;</w:t>
            </w:r>
          </w:p>
        </w:tc>
        <w:tc>
          <w:tcPr>
            <w:tcW w:w="580" w:type="dxa"/>
            <w:vAlign w:val="bottom"/>
            <w:vMerge w:val="continue"/>
            <w:shd w:val="clear" w:color="auto" w:fill="F2F2F2"/>
          </w:tcPr>
          <w:p>
            <w:pPr>
              <w:spacing w:after="0"/>
              <w:rPr>
                <w:sz w:val="11"/>
                <w:szCs w:val="11"/>
                <w:color w:val="auto"/>
              </w:rPr>
            </w:pPr>
          </w:p>
        </w:tc>
        <w:tc>
          <w:tcPr>
            <w:tcW w:w="580" w:type="dxa"/>
            <w:vAlign w:val="bottom"/>
            <w:vMerge w:val="continue"/>
          </w:tcPr>
          <w:p>
            <w:pPr>
              <w:spacing w:after="0"/>
              <w:rPr>
                <w:sz w:val="11"/>
                <w:szCs w:val="11"/>
                <w:color w:val="auto"/>
              </w:rPr>
            </w:pPr>
          </w:p>
        </w:tc>
        <w:tc>
          <w:tcPr>
            <w:tcW w:w="660" w:type="dxa"/>
            <w:vAlign w:val="bottom"/>
            <w:vMerge w:val="continue"/>
            <w:shd w:val="clear" w:color="auto" w:fill="F2F2F2"/>
          </w:tcPr>
          <w:p>
            <w:pPr>
              <w:spacing w:after="0"/>
              <w:rPr>
                <w:sz w:val="11"/>
                <w:szCs w:val="11"/>
                <w:color w:val="auto"/>
              </w:rPr>
            </w:pPr>
          </w:p>
        </w:tc>
        <w:tc>
          <w:tcPr>
            <w:tcW w:w="500" w:type="dxa"/>
            <w:vAlign w:val="bottom"/>
            <w:vMerge w:val="continue"/>
          </w:tcPr>
          <w:p>
            <w:pPr>
              <w:spacing w:after="0"/>
              <w:rPr>
                <w:sz w:val="11"/>
                <w:szCs w:val="11"/>
                <w:color w:val="auto"/>
              </w:rPr>
            </w:pPr>
          </w:p>
        </w:tc>
        <w:tc>
          <w:tcPr>
            <w:tcW w:w="480" w:type="dxa"/>
            <w:vAlign w:val="bottom"/>
            <w:vMerge w:val="continue"/>
            <w:shd w:val="clear" w:color="auto" w:fill="F2F2F2"/>
          </w:tcPr>
          <w:p>
            <w:pPr>
              <w:spacing w:after="0"/>
              <w:rPr>
                <w:sz w:val="11"/>
                <w:szCs w:val="11"/>
                <w:color w:val="auto"/>
              </w:rPr>
            </w:pPr>
          </w:p>
        </w:tc>
        <w:tc>
          <w:tcPr>
            <w:tcW w:w="660" w:type="dxa"/>
            <w:vAlign w:val="bottom"/>
            <w:vMerge w:val="continue"/>
          </w:tcPr>
          <w:p>
            <w:pPr>
              <w:spacing w:after="0"/>
              <w:rPr>
                <w:sz w:val="11"/>
                <w:szCs w:val="11"/>
                <w:color w:val="auto"/>
              </w:rPr>
            </w:pPr>
          </w:p>
        </w:tc>
        <w:tc>
          <w:tcPr>
            <w:tcW w:w="480" w:type="dxa"/>
            <w:vAlign w:val="bottom"/>
            <w:vMerge w:val="continue"/>
            <w:shd w:val="clear" w:color="auto" w:fill="F2F2F2"/>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vMerge w:val="continue"/>
            <w:shd w:val="clear" w:color="auto" w:fill="F2F2F2"/>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vMerge w:val="continue"/>
            <w:shd w:val="clear" w:color="auto" w:fill="F2F2F2"/>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Regulatory</w:t>
            </w:r>
          </w:p>
        </w:tc>
        <w:tc>
          <w:tcPr>
            <w:tcW w:w="580" w:type="dxa"/>
            <w:vAlign w:val="bottom"/>
            <w:tcBorders>
              <w:bottom w:val="single" w:sz="8" w:color="F2F2F2"/>
            </w:tcBorders>
            <w:shd w:val="clear" w:color="auto" w:fill="F2F2F2"/>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bottom w:val="single" w:sz="8" w:color="F2F2F2"/>
            </w:tcBorders>
            <w:shd w:val="clear" w:color="auto" w:fill="F2F2F2"/>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Borders>
              <w:bottom w:val="single" w:sz="8" w:color="F2F2F2"/>
            </w:tcBorders>
            <w:shd w:val="clear" w:color="auto" w:fill="F2F2F2"/>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Borders>
              <w:bottom w:val="single" w:sz="8" w:color="F2F2F2"/>
            </w:tcBorders>
            <w:shd w:val="clear" w:color="auto" w:fill="F2F2F2"/>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bottom w:val="single" w:sz="8" w:color="F2F2F2"/>
            </w:tcBorders>
            <w:shd w:val="clear" w:color="auto" w:fill="F2F2F2"/>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Borders>
              <w:bottom w:val="single" w:sz="8" w:color="F2F2F2"/>
            </w:tcBorders>
            <w:shd w:val="clear" w:color="auto" w:fill="F2F2F2"/>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820" w:type="dxa"/>
            <w:vAlign w:val="bottom"/>
            <w:tcBorders>
              <w:top w:val="single" w:sz="8" w:color="071D49"/>
            </w:tcBorders>
          </w:tcPr>
          <w:p>
            <w:pPr>
              <w:jc w:val="center"/>
              <w:spacing w:after="0" w:line="81" w:lineRule="exact"/>
              <w:rPr>
                <w:sz w:val="20"/>
                <w:szCs w:val="20"/>
                <w:color w:val="auto"/>
              </w:rPr>
            </w:pPr>
            <w:r>
              <w:rPr>
                <w:rFonts w:ascii="Arial" w:cs="Arial" w:eastAsia="Arial" w:hAnsi="Arial"/>
                <w:sz w:val="9"/>
                <w:szCs w:val="9"/>
                <w:b w:val="1"/>
                <w:bCs w:val="1"/>
                <w:color w:val="auto"/>
              </w:rPr>
              <w:t>Sales</w:t>
            </w:r>
          </w:p>
        </w:tc>
        <w:tc>
          <w:tcPr>
            <w:tcW w:w="580" w:type="dxa"/>
            <w:vAlign w:val="bottom"/>
            <w:tcBorders>
              <w:top w:val="single" w:sz="8" w:color="071D49"/>
            </w:tcBorders>
            <w:shd w:val="clear" w:color="auto" w:fill="F2F2F2"/>
          </w:tcPr>
          <w:p>
            <w:pPr>
              <w:spacing w:after="0"/>
              <w:rPr>
                <w:sz w:val="7"/>
                <w:szCs w:val="7"/>
                <w:color w:val="auto"/>
              </w:rPr>
            </w:pPr>
          </w:p>
        </w:tc>
        <w:tc>
          <w:tcPr>
            <w:tcW w:w="580" w:type="dxa"/>
            <w:vAlign w:val="bottom"/>
            <w:tcBorders>
              <w:top w:val="single" w:sz="8" w:color="071D49"/>
            </w:tcBorders>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660" w:type="dxa"/>
            <w:vAlign w:val="bottom"/>
            <w:tcBorders>
              <w:top w:val="single" w:sz="8" w:color="071D49"/>
            </w:tcBorders>
            <w:shd w:val="clear" w:color="auto" w:fill="F2F2F2"/>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500" w:type="dxa"/>
            <w:vAlign w:val="bottom"/>
            <w:tcBorders>
              <w:top w:val="single" w:sz="8" w:color="071D49"/>
            </w:tcBorders>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480" w:type="dxa"/>
            <w:vAlign w:val="bottom"/>
            <w:tcBorders>
              <w:top w:val="single" w:sz="8" w:color="071D49"/>
            </w:tcBorders>
            <w:shd w:val="clear" w:color="auto" w:fill="F2F2F2"/>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660" w:type="dxa"/>
            <w:vAlign w:val="bottom"/>
            <w:tcBorders>
              <w:top w:val="single" w:sz="8" w:color="071D49"/>
            </w:tcBorders>
          </w:tcPr>
          <w:p>
            <w:pPr>
              <w:spacing w:after="0"/>
              <w:rPr>
                <w:sz w:val="7"/>
                <w:szCs w:val="7"/>
                <w:color w:val="auto"/>
              </w:rPr>
            </w:pPr>
          </w:p>
        </w:tc>
        <w:tc>
          <w:tcPr>
            <w:tcW w:w="480" w:type="dxa"/>
            <w:vAlign w:val="bottom"/>
            <w:tcBorders>
              <w:top w:val="single" w:sz="8" w:color="071D49"/>
            </w:tcBorders>
            <w:shd w:val="clear" w:color="auto" w:fill="F2F2F2"/>
          </w:tcPr>
          <w:p>
            <w:pPr>
              <w:spacing w:after="0"/>
              <w:rPr>
                <w:sz w:val="7"/>
                <w:szCs w:val="7"/>
                <w:color w:val="auto"/>
              </w:rPr>
            </w:pPr>
          </w:p>
        </w:tc>
        <w:tc>
          <w:tcPr>
            <w:tcW w:w="600" w:type="dxa"/>
            <w:vAlign w:val="bottom"/>
            <w:tcBorders>
              <w:top w:val="single" w:sz="8" w:color="071D49"/>
            </w:tcBorders>
          </w:tcPr>
          <w:p>
            <w:pPr>
              <w:spacing w:after="0"/>
              <w:rPr>
                <w:sz w:val="7"/>
                <w:szCs w:val="7"/>
                <w:color w:val="auto"/>
              </w:rPr>
            </w:pPr>
          </w:p>
        </w:tc>
        <w:tc>
          <w:tcPr>
            <w:tcW w:w="680" w:type="dxa"/>
            <w:vAlign w:val="bottom"/>
            <w:tcBorders>
              <w:top w:val="single" w:sz="8" w:color="071D49"/>
            </w:tcBorders>
            <w:shd w:val="clear" w:color="auto" w:fill="F2F2F2"/>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660" w:type="dxa"/>
            <w:vAlign w:val="bottom"/>
            <w:tcBorders>
              <w:top w:val="single" w:sz="8" w:color="071D49"/>
            </w:tcBorders>
          </w:tcPr>
          <w:p>
            <w:pPr>
              <w:spacing w:after="0"/>
              <w:rPr>
                <w:sz w:val="7"/>
                <w:szCs w:val="7"/>
                <w:color w:val="auto"/>
              </w:rPr>
            </w:pPr>
          </w:p>
        </w:tc>
        <w:tc>
          <w:tcPr>
            <w:tcW w:w="500" w:type="dxa"/>
            <w:vAlign w:val="bottom"/>
            <w:tcBorders>
              <w:top w:val="single" w:sz="8" w:color="071D49"/>
            </w:tcBorders>
            <w:shd w:val="clear" w:color="auto" w:fill="F2F2F2"/>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660" w:type="dxa"/>
            <w:vAlign w:val="bottom"/>
            <w:tcBorders>
              <w:top w:val="single" w:sz="8" w:color="071D49"/>
            </w:tcBorders>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660" w:type="dxa"/>
            <w:vAlign w:val="bottom"/>
            <w:tcBorders>
              <w:top w:val="single" w:sz="8" w:color="071D49"/>
            </w:tcBorders>
            <w:shd w:val="clear" w:color="auto" w:fill="F2F2F2"/>
          </w:tcPr>
          <w:p>
            <w:pPr>
              <w:jc w:val="center"/>
              <w:spacing w:after="0" w:line="81" w:lineRule="exact"/>
              <w:rPr>
                <w:sz w:val="20"/>
                <w:szCs w:val="20"/>
                <w:color w:val="auto"/>
              </w:rPr>
            </w:pPr>
            <w:r>
              <w:rPr>
                <w:rFonts w:ascii="Times New Roman" w:cs="Times New Roman" w:eastAsia="Times New Roman" w:hAnsi="Times New Roman"/>
                <w:sz w:val="9"/>
                <w:szCs w:val="9"/>
                <w:color w:val="071D49"/>
              </w:rPr>
              <w:t>●</w:t>
            </w:r>
          </w:p>
        </w:tc>
        <w:tc>
          <w:tcPr>
            <w:tcW w:w="0" w:type="dxa"/>
            <w:vAlign w:val="bottom"/>
          </w:tcPr>
          <w:p>
            <w:pPr>
              <w:spacing w:after="0"/>
              <w:rPr>
                <w:sz w:val="1"/>
                <w:szCs w:val="1"/>
                <w:color w:val="auto"/>
              </w:rPr>
            </w:pPr>
          </w:p>
        </w:tc>
      </w:tr>
      <w:tr>
        <w:trPr>
          <w:trHeight w:val="158"/>
        </w:trPr>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Marketing/</w:t>
            </w:r>
          </w:p>
        </w:tc>
        <w:tc>
          <w:tcPr>
            <w:tcW w:w="580" w:type="dxa"/>
            <w:vAlign w:val="bottom"/>
            <w:shd w:val="clear" w:color="auto" w:fill="F2F2F2"/>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shd w:val="clear" w:color="auto" w:fill="F2F2F2"/>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shd w:val="clear" w:color="auto" w:fill="F2F2F2"/>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shd w:val="clear" w:color="auto" w:fill="F2F2F2"/>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shd w:val="clear" w:color="auto" w:fill="F2F2F2"/>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shd w:val="clear" w:color="auto" w:fill="F2F2F2"/>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820" w:type="dxa"/>
            <w:vAlign w:val="bottom"/>
            <w:tcBorders>
              <w:bottom w:val="single" w:sz="8" w:color="071D49"/>
            </w:tcBorders>
          </w:tcPr>
          <w:p>
            <w:pPr>
              <w:spacing w:after="0"/>
              <w:rPr>
                <w:sz w:val="17"/>
                <w:szCs w:val="17"/>
                <w:color w:val="auto"/>
              </w:rPr>
            </w:pPr>
          </w:p>
        </w:tc>
        <w:tc>
          <w:tcPr>
            <w:tcW w:w="580" w:type="dxa"/>
            <w:vAlign w:val="bottom"/>
            <w:tcBorders>
              <w:bottom w:val="single" w:sz="8" w:color="071D49"/>
            </w:tcBorders>
            <w:shd w:val="clear" w:color="auto" w:fill="F2F2F2"/>
          </w:tcPr>
          <w:p>
            <w:pPr>
              <w:spacing w:after="0"/>
              <w:rPr>
                <w:sz w:val="17"/>
                <w:szCs w:val="17"/>
                <w:color w:val="auto"/>
              </w:rPr>
            </w:pPr>
          </w:p>
        </w:tc>
        <w:tc>
          <w:tcPr>
            <w:tcW w:w="580" w:type="dxa"/>
            <w:vAlign w:val="bottom"/>
            <w:tcBorders>
              <w:bottom w:val="single" w:sz="8" w:color="071D49"/>
            </w:tcBorders>
          </w:tcPr>
          <w:p>
            <w:pPr>
              <w:spacing w:after="0"/>
              <w:rPr>
                <w:sz w:val="17"/>
                <w:szCs w:val="17"/>
                <w:color w:val="auto"/>
              </w:rPr>
            </w:pPr>
          </w:p>
        </w:tc>
        <w:tc>
          <w:tcPr>
            <w:tcW w:w="660" w:type="dxa"/>
            <w:vAlign w:val="bottom"/>
            <w:tcBorders>
              <w:bottom w:val="single" w:sz="8" w:color="071D49"/>
            </w:tcBorders>
            <w:shd w:val="clear" w:color="auto" w:fill="F2F2F2"/>
          </w:tcPr>
          <w:p>
            <w:pPr>
              <w:spacing w:after="0"/>
              <w:rPr>
                <w:sz w:val="17"/>
                <w:szCs w:val="17"/>
                <w:color w:val="auto"/>
              </w:rPr>
            </w:pPr>
          </w:p>
        </w:tc>
        <w:tc>
          <w:tcPr>
            <w:tcW w:w="500" w:type="dxa"/>
            <w:vAlign w:val="bottom"/>
            <w:tcBorders>
              <w:bottom w:val="single" w:sz="8" w:color="071D49"/>
            </w:tcBorders>
          </w:tcPr>
          <w:p>
            <w:pPr>
              <w:spacing w:after="0"/>
              <w:rPr>
                <w:sz w:val="17"/>
                <w:szCs w:val="17"/>
                <w:color w:val="auto"/>
              </w:rPr>
            </w:pPr>
          </w:p>
        </w:tc>
        <w:tc>
          <w:tcPr>
            <w:tcW w:w="480" w:type="dxa"/>
            <w:vAlign w:val="bottom"/>
            <w:tcBorders>
              <w:bottom w:val="single" w:sz="8" w:color="071D49"/>
            </w:tcBorders>
            <w:shd w:val="clear" w:color="auto" w:fill="F2F2F2"/>
          </w:tcPr>
          <w:p>
            <w:pPr>
              <w:spacing w:after="0"/>
              <w:rPr>
                <w:sz w:val="17"/>
                <w:szCs w:val="17"/>
                <w:color w:val="auto"/>
              </w:rPr>
            </w:pPr>
          </w:p>
        </w:tc>
        <w:tc>
          <w:tcPr>
            <w:tcW w:w="660" w:type="dxa"/>
            <w:vAlign w:val="bottom"/>
            <w:tcBorders>
              <w:bottom w:val="single" w:sz="8" w:color="071D49"/>
            </w:tcBorders>
          </w:tcPr>
          <w:p>
            <w:pPr>
              <w:spacing w:after="0"/>
              <w:rPr>
                <w:sz w:val="17"/>
                <w:szCs w:val="17"/>
                <w:color w:val="auto"/>
              </w:rPr>
            </w:pPr>
          </w:p>
        </w:tc>
        <w:tc>
          <w:tcPr>
            <w:tcW w:w="480" w:type="dxa"/>
            <w:vAlign w:val="bottom"/>
            <w:tcBorders>
              <w:bottom w:val="single" w:sz="8" w:color="071D49"/>
            </w:tcBorders>
            <w:shd w:val="clear" w:color="auto" w:fill="F2F2F2"/>
          </w:tcPr>
          <w:p>
            <w:pPr>
              <w:spacing w:after="0"/>
              <w:rPr>
                <w:sz w:val="17"/>
                <w:szCs w:val="17"/>
                <w:color w:val="auto"/>
              </w:rPr>
            </w:pPr>
          </w:p>
        </w:tc>
        <w:tc>
          <w:tcPr>
            <w:tcW w:w="600" w:type="dxa"/>
            <w:vAlign w:val="bottom"/>
            <w:tcBorders>
              <w:bottom w:val="single" w:sz="8" w:color="071D49"/>
            </w:tcBorders>
          </w:tcPr>
          <w:p>
            <w:pPr>
              <w:spacing w:after="0"/>
              <w:rPr>
                <w:sz w:val="17"/>
                <w:szCs w:val="17"/>
                <w:color w:val="auto"/>
              </w:rPr>
            </w:pPr>
          </w:p>
        </w:tc>
        <w:tc>
          <w:tcPr>
            <w:tcW w:w="680" w:type="dxa"/>
            <w:vAlign w:val="bottom"/>
            <w:tcBorders>
              <w:bottom w:val="single" w:sz="8" w:color="071D49"/>
            </w:tcBorders>
            <w:shd w:val="clear" w:color="auto" w:fill="F2F2F2"/>
          </w:tcPr>
          <w:p>
            <w:pPr>
              <w:spacing w:after="0"/>
              <w:rPr>
                <w:sz w:val="17"/>
                <w:szCs w:val="17"/>
                <w:color w:val="auto"/>
              </w:rPr>
            </w:pPr>
          </w:p>
        </w:tc>
        <w:tc>
          <w:tcPr>
            <w:tcW w:w="660" w:type="dxa"/>
            <w:vAlign w:val="bottom"/>
            <w:tcBorders>
              <w:bottom w:val="single" w:sz="8" w:color="071D49"/>
            </w:tcBorders>
          </w:tcPr>
          <w:p>
            <w:pPr>
              <w:spacing w:after="0"/>
              <w:rPr>
                <w:sz w:val="17"/>
                <w:szCs w:val="17"/>
                <w:color w:val="auto"/>
              </w:rPr>
            </w:pPr>
          </w:p>
        </w:tc>
        <w:tc>
          <w:tcPr>
            <w:tcW w:w="500" w:type="dxa"/>
            <w:vAlign w:val="bottom"/>
            <w:tcBorders>
              <w:bottom w:val="single" w:sz="8" w:color="071D49"/>
            </w:tcBorders>
            <w:shd w:val="clear" w:color="auto" w:fill="F2F2F2"/>
          </w:tcPr>
          <w:p>
            <w:pPr>
              <w:spacing w:after="0"/>
              <w:rPr>
                <w:sz w:val="17"/>
                <w:szCs w:val="17"/>
                <w:color w:val="auto"/>
              </w:rPr>
            </w:pPr>
          </w:p>
        </w:tc>
        <w:tc>
          <w:tcPr>
            <w:tcW w:w="660" w:type="dxa"/>
            <w:vAlign w:val="bottom"/>
            <w:tcBorders>
              <w:bottom w:val="single" w:sz="8" w:color="071D49"/>
            </w:tcBorders>
          </w:tcPr>
          <w:p>
            <w:pPr>
              <w:spacing w:after="0"/>
              <w:rPr>
                <w:sz w:val="17"/>
                <w:szCs w:val="17"/>
                <w:color w:val="auto"/>
              </w:rPr>
            </w:pPr>
          </w:p>
        </w:tc>
        <w:tc>
          <w:tcPr>
            <w:tcW w:w="660" w:type="dxa"/>
            <w:vAlign w:val="bottom"/>
            <w:tcBorders>
              <w:bottom w:val="single" w:sz="8" w:color="071D49"/>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-2727325</wp:posOffset>
            </wp:positionV>
            <wp:extent cx="31115" cy="272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115" cy="272034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30"/>
          <w:szCs w:val="30"/>
          <w:color w:val="auto"/>
        </w:rPr>
        <w:t>Board Oversight Responsibilities</w:t>
      </w:r>
    </w:p>
    <w:p>
      <w:pPr>
        <w:spacing w:after="0" w:line="131"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Board has risk oversight responsibility for AbbVie and administers this responsibility both directly and with assistance from its committees. The Board reviews enterprise risks and discusses them with our senior management on a regular basis. These risks include those the company faces over various time horizons. Among the risks are those that are specific to AbbVie’s business and circumstances (e.g., pipeline advancement and significant product loss of exclusivity), those that are specific to AbbVie’s industry (e.g., manufacturing and regulatory compliance and health care industry dynamics such as pricing and patient access), and those faced by large, complex, multinational companies generally (e.g., tax policy). Specific relevant risk topics are reviewed and escalated to the Board or relevant committee at nearly all Board meetings throughout the year. The charters of the committees provide a framework for the types of risks to be reviewed at each committee and reported on to the full Board. The focus of the Board’s oversight varies based on the type and timing of the risk being discussed. For example, for a long-term risk, the Board focuses on advance planning to mitigate the risk over time. The Board periodically invites third parties to present on a range of topics and provide outside perspectives.</w:t>
      </w:r>
    </w:p>
    <w:p>
      <w:pPr>
        <w:spacing w:after="0" w:line="64"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AbbVie has a comprehensive enterprise risk management (ERM) program with risk management embedded within the operations of the company, clear accountability at the senior leadership level, and oversight by the Board. The audit committee oversees ERM. Through risk owners and the internal disclosure committee, there is a routine assessment of material risks to the company. Updates, if any, are provided to the Board or its committees together with updated public disclosures, when relevant. All directors, including the Lead Independent Director, are tasked with ensuring the Board appropriately exercises its risk management responsibilities and facilitate further discussion of risk matters in executive session as they deem necessary. In light of the regular assessment of risk, the Board or risk owner may consult with outside advisors to evaluate the risk landscape and anticipate trends. As the company grows, relevant risk management topics may be added, such as following a large acquisition.</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-492125</wp:posOffset>
            </wp:positionV>
            <wp:extent cx="797560" cy="140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97560" cy="14097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THE BOARD OF DIRECTORS AND ITS COMMITTEES</w:t>
      </w:r>
    </w:p>
    <w:p>
      <w:pPr>
        <w:spacing w:after="0" w:line="185"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Acting with integrity is one of the foundational AbbVie Principles, and overseeing the company’s compliance program is a key activity for the Board. AbbVie’s Chief Ethics and Compliance Officer, who reports to the Executive Vice President, General Counsel and Secretary, regularly presents to the Board and committees on compliance matters.</w:t>
      </w:r>
    </w:p>
    <w:p>
      <w:pPr>
        <w:spacing w:after="0" w:line="50"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The Board oversees AbbVie’s culture, employee engagement, and overall management of human capital. This oversight ensures that AbbVie is attracting, developing, and retaining best in class employees dedicated to making a remarkable impact on patients’ lives around the world. Examples of this oversight include (1) reviewing results of the biennial all employee survey, which assesses topics like employee engagement, inclusion, agility in processes, ethical decision making, and other issues critical to the company’s culture and (2) oversight of employee health and safety data and priorities. The Board also interacts with employees at various levels of seniority, not solely on the executive leadership team, which facilitates a better understanding of the company’s culture.</w:t>
      </w:r>
    </w:p>
    <w:p>
      <w:pPr>
        <w:spacing w:after="0" w:line="6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Board is actively involved in reviewing AbbVie’s privacy, cybersecurity, artificial intelligence, and other information technology risks and opportunities and discusses these topics on a regular basis. The Board and its committees also regularly review other ESG topics. For more details about committee responsibilities and oversight, please see the committee discussion in the section titled “Committees of the Board of Directors”.</w:t>
      </w:r>
    </w:p>
    <w:p>
      <w:pPr>
        <w:spacing w:after="0" w:line="58"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Each year, the Board and its committees conduct detailed self-evaluations covering topics such as Board and committee leadership structure, composition and effectiveness, quality of Board and committee materials and discussions, priority agenda items, schedule sufficiency, and Board processes. The evaluation forms are reviewed each year to ensure they will garner robust feedback, including on topics that are of recent interest to our investors. To ensure candid feedback, the evaluations are anonymous. The full Board, led by the Lead Independent Director, discusses the evaluation reports to determine what, if any, actions or improvements should be undertaken in the near-term and long-term. The Board, committee, and CEO evaluations are discussed in executive session to allow for additional candid discussion. Committee chairs are elected annually.</w:t>
      </w:r>
    </w:p>
    <w:p>
      <w:pPr>
        <w:sectPr>
          <w:pgSz w:w="11900" w:h="16838" w:orient="portrait"/>
          <w:cols w:equalWidth="0" w:num="1">
            <w:col w:w="9260"/>
          </w:cols>
          <w:pgMar w:left="1320" w:top="480" w:right="1319" w:bottom="1440" w:gutter="0" w:footer="0" w:header="0"/>
        </w:sectPr>
      </w:pPr>
    </w:p>
    <w:p>
      <w:pPr>
        <w:spacing w:after="0" w:line="144" w:lineRule="exact"/>
        <w:rPr>
          <w:sz w:val="20"/>
          <w:szCs w:val="20"/>
          <w:color w:val="auto"/>
        </w:rPr>
      </w:pPr>
    </w:p>
    <w:p>
      <w:pPr>
        <w:spacing w:after="0"/>
        <w:rPr>
          <w:sz w:val="20"/>
          <w:szCs w:val="20"/>
          <w:color w:val="auto"/>
        </w:rPr>
      </w:pPr>
      <w:r>
        <w:rPr>
          <w:rFonts w:ascii="Arial" w:cs="Arial" w:eastAsia="Arial" w:hAnsi="Arial"/>
          <w:sz w:val="30"/>
          <w:szCs w:val="30"/>
          <w:color w:val="auto"/>
        </w:rPr>
        <w:t>Board Diversity</w:t>
      </w:r>
    </w:p>
    <w:p>
      <w:pPr>
        <w:spacing w:after="0" w:line="14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AbbVie is committed to maintaining a Board of Directors with the skill sets, experience, and leadership necessary to provide effective oversight of AbbVie’s business. AbbVie serves patients in more than 180 countries and territories across many different diseases. As discussed in our governance guidelines, offering and representing diverse perspectives is an integral part of effective board oversight.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76"/>
        </w:trPr>
        <w:tc>
          <w:tcPr>
            <w:tcW w:w="1480" w:type="dxa"/>
            <w:vAlign w:val="bottom"/>
            <w:tcBorders>
              <w:right w:val="single" w:sz="8" w:color="071D49"/>
            </w:tcBorders>
            <w:shd w:val="clear" w:color="auto" w:fill="F2F2F2"/>
          </w:tcPr>
          <w:p>
            <w:pPr>
              <w:jc w:val="center"/>
              <w:spacing w:after="0"/>
              <w:rPr>
                <w:sz w:val="20"/>
                <w:szCs w:val="20"/>
                <w:color w:val="auto"/>
              </w:rPr>
            </w:pPr>
            <w:r>
              <w:rPr>
                <w:rFonts w:ascii="Arial" w:cs="Arial" w:eastAsia="Arial" w:hAnsi="Arial"/>
                <w:sz w:val="36"/>
                <w:szCs w:val="36"/>
                <w:color w:val="071D49"/>
                <w:w w:val="99"/>
              </w:rPr>
              <w:t>38%</w:t>
            </w:r>
          </w:p>
        </w:tc>
        <w:tc>
          <w:tcPr>
            <w:tcW w:w="1500" w:type="dxa"/>
            <w:vAlign w:val="bottom"/>
            <w:shd w:val="clear" w:color="auto" w:fill="F2F2F2"/>
          </w:tcPr>
          <w:p>
            <w:pPr>
              <w:jc w:val="center"/>
              <w:spacing w:after="0"/>
              <w:rPr>
                <w:sz w:val="20"/>
                <w:szCs w:val="20"/>
                <w:color w:val="auto"/>
              </w:rPr>
            </w:pPr>
            <w:r>
              <w:rPr>
                <w:rFonts w:ascii="Arial" w:cs="Arial" w:eastAsia="Arial" w:hAnsi="Arial"/>
                <w:sz w:val="36"/>
                <w:szCs w:val="36"/>
                <w:color w:val="071D49"/>
                <w:w w:val="99"/>
              </w:rPr>
              <w:t>15%</w:t>
            </w:r>
          </w:p>
        </w:tc>
      </w:tr>
      <w:tr>
        <w:trPr>
          <w:trHeight w:val="185"/>
        </w:trPr>
        <w:tc>
          <w:tcPr>
            <w:tcW w:w="1480" w:type="dxa"/>
            <w:vAlign w:val="bottom"/>
            <w:tcBorders>
              <w:right w:val="single" w:sz="8" w:color="071D49"/>
            </w:tcBorders>
            <w:shd w:val="clear" w:color="auto" w:fill="F2F2F2"/>
          </w:tcPr>
          <w:p>
            <w:pPr>
              <w:jc w:val="center"/>
              <w:spacing w:after="0"/>
              <w:rPr>
                <w:sz w:val="20"/>
                <w:szCs w:val="20"/>
                <w:color w:val="auto"/>
              </w:rPr>
            </w:pPr>
            <w:r>
              <w:rPr>
                <w:rFonts w:ascii="Arial" w:cs="Arial" w:eastAsia="Arial" w:hAnsi="Arial"/>
                <w:sz w:val="16"/>
                <w:szCs w:val="16"/>
                <w:b w:val="1"/>
                <w:bCs w:val="1"/>
                <w:color w:val="071D49"/>
              </w:rPr>
              <w:t>female Board</w:t>
            </w:r>
          </w:p>
        </w:tc>
        <w:tc>
          <w:tcPr>
            <w:tcW w:w="150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071D49"/>
              </w:rPr>
              <w:t>ethnically or</w:t>
            </w:r>
          </w:p>
        </w:tc>
      </w:tr>
      <w:tr>
        <w:trPr>
          <w:trHeight w:val="185"/>
        </w:trPr>
        <w:tc>
          <w:tcPr>
            <w:tcW w:w="1480" w:type="dxa"/>
            <w:vAlign w:val="bottom"/>
            <w:tcBorders>
              <w:right w:val="single" w:sz="8" w:color="071D49"/>
            </w:tcBorders>
            <w:shd w:val="clear" w:color="auto" w:fill="F2F2F2"/>
          </w:tcPr>
          <w:p>
            <w:pPr>
              <w:jc w:val="center"/>
              <w:spacing w:after="0"/>
              <w:rPr>
                <w:sz w:val="20"/>
                <w:szCs w:val="20"/>
                <w:color w:val="auto"/>
              </w:rPr>
            </w:pPr>
            <w:r>
              <w:rPr>
                <w:rFonts w:ascii="Arial" w:cs="Arial" w:eastAsia="Arial" w:hAnsi="Arial"/>
                <w:sz w:val="16"/>
                <w:szCs w:val="16"/>
                <w:b w:val="1"/>
                <w:bCs w:val="1"/>
                <w:color w:val="071D49"/>
              </w:rPr>
              <w:t>members</w:t>
            </w:r>
          </w:p>
        </w:tc>
        <w:tc>
          <w:tcPr>
            <w:tcW w:w="150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071D49"/>
              </w:rPr>
              <w:t>racially diverse</w:t>
            </w:r>
          </w:p>
        </w:tc>
      </w:tr>
      <w:tr>
        <w:trPr>
          <w:trHeight w:val="189"/>
        </w:trPr>
        <w:tc>
          <w:tcPr>
            <w:tcW w:w="1480" w:type="dxa"/>
            <w:vAlign w:val="bottom"/>
            <w:tcBorders>
              <w:right w:val="single" w:sz="8" w:color="071D49"/>
            </w:tcBorders>
            <w:shd w:val="clear" w:color="auto" w:fill="F2F2F2"/>
          </w:tcPr>
          <w:p>
            <w:pPr>
              <w:spacing w:after="0"/>
              <w:rPr>
                <w:sz w:val="16"/>
                <w:szCs w:val="16"/>
                <w:color w:val="auto"/>
              </w:rPr>
            </w:pPr>
          </w:p>
        </w:tc>
        <w:tc>
          <w:tcPr>
            <w:tcW w:w="150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071D49"/>
              </w:rPr>
              <w:t>Board members</w:t>
            </w:r>
          </w:p>
        </w:tc>
      </w:tr>
    </w:tbl>
    <w:p>
      <w:pPr>
        <w:spacing w:after="0" w:line="32" w:lineRule="exact"/>
        <w:rPr>
          <w:sz w:val="20"/>
          <w:szCs w:val="20"/>
          <w:color w:val="auto"/>
        </w:rPr>
      </w:pPr>
    </w:p>
    <w:p>
      <w:pPr>
        <w:sectPr>
          <w:pgSz w:w="11900" w:h="16838" w:orient="portrait"/>
          <w:cols w:equalWidth="0" w:num="2">
            <w:col w:w="5980" w:space="300"/>
            <w:col w:w="2980"/>
          </w:cols>
          <w:pgMar w:left="1320" w:top="480" w:right="1319" w:bottom="1440" w:gutter="0" w:footer="0" w:header="0"/>
          <w:type w:val="continuous"/>
        </w:sectPr>
      </w:pPr>
    </w:p>
    <w:p>
      <w:pPr>
        <w:jc w:val="both"/>
        <w:ind w:right="440"/>
        <w:spacing w:after="0" w:line="262" w:lineRule="auto"/>
        <w:rPr>
          <w:sz w:val="20"/>
          <w:szCs w:val="20"/>
          <w:color w:val="auto"/>
        </w:rPr>
      </w:pPr>
      <w:r>
        <w:rPr>
          <w:rFonts w:ascii="Arial" w:cs="Arial" w:eastAsia="Arial" w:hAnsi="Arial"/>
          <w:sz w:val="16"/>
          <w:szCs w:val="16"/>
          <w:color w:val="auto"/>
        </w:rPr>
        <w:t>These perspectives can result from diverse backgrounds, including varied professional skills, education, geography, or life experiences. As part of its comprehensive assessment of potential director nominees, the Board considers how a specific nominee would contribute to the board’s overall diversity.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22</w:t>
      </w:r>
      <w:r>
        <w:rPr>
          <w:sz w:val="20"/>
          <w:szCs w:val="20"/>
          <w:color w:val="auto"/>
        </w:rPr>
        <w:tab/>
      </w:r>
      <w:r>
        <w:rPr>
          <w:sz w:val="1"/>
          <w:szCs w:val="1"/>
          <w:color w:val="auto"/>
        </w:rPr>
        <w:drawing>
          <wp:inline distT="0" distB="0" distL="0" distR="0">
            <wp:extent cx="797560" cy="14097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97560" cy="14097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234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type w:val="continuous"/>
        </w:sectPr>
      </w:pPr>
    </w:p>
    <w:bookmarkStart w:id="25" w:name="page26"/>
    <w:bookmarkEnd w:id="25"/>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THE BOARD OF DIRECTORS AND ITS COMMITTEES</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30"/>
          <w:szCs w:val="30"/>
          <w:color w:val="auto"/>
        </w:rPr>
        <w:t>Committees of the Board of Directors</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71D49"/>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836295" cy="2000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36295" cy="2000885"/>
                    </a:xfrm>
                    <a:prstGeom prst="rect">
                      <a:avLst/>
                    </a:prstGeom>
                    <a:noFill/>
                  </pic:spPr>
                </pic:pic>
              </a:graphicData>
            </a:graphic>
          </wp:anchor>
        </w:drawing>
      </w:r>
    </w:p>
    <w:p>
      <w:pPr>
        <w:spacing w:after="0" w:line="194" w:lineRule="exact"/>
        <w:rPr>
          <w:sz w:val="20"/>
          <w:szCs w:val="20"/>
          <w:color w:val="auto"/>
        </w:rPr>
      </w:pPr>
    </w:p>
    <w:tbl>
      <w:tblPr>
        <w:tblLayout w:type="fixed"/>
        <w:tblInd w:w="9" w:type="dxa"/>
        <w:tblCellMar>
          <w:top w:w="0" w:type="dxa"/>
          <w:left w:w="0" w:type="dxa"/>
          <w:bottom w:w="0" w:type="dxa"/>
          <w:right w:w="0" w:type="dxa"/>
        </w:tblCellMar>
      </w:tblPr>
      <w:tr>
        <w:trPr>
          <w:trHeight w:val="202"/>
        </w:trPr>
        <w:tc>
          <w:tcPr>
            <w:tcW w:w="1220" w:type="dxa"/>
            <w:vAlign w:val="bottom"/>
          </w:tcPr>
          <w:p>
            <w:pPr>
              <w:ind w:left="20"/>
              <w:spacing w:after="0"/>
              <w:rPr>
                <w:sz w:val="20"/>
                <w:szCs w:val="20"/>
                <w:color w:val="auto"/>
              </w:rPr>
            </w:pPr>
            <w:r>
              <w:rPr>
                <w:rFonts w:ascii="Arial" w:cs="Arial" w:eastAsia="Arial" w:hAnsi="Arial"/>
                <w:sz w:val="15"/>
                <w:szCs w:val="15"/>
                <w:b w:val="1"/>
                <w:bCs w:val="1"/>
                <w:color w:val="auto"/>
              </w:rPr>
              <w:t>Members</w:t>
            </w:r>
          </w:p>
        </w:tc>
        <w:tc>
          <w:tcPr>
            <w:tcW w:w="4680" w:type="dxa"/>
            <w:vAlign w:val="bottom"/>
          </w:tcPr>
          <w:p>
            <w:pPr>
              <w:ind w:left="300"/>
              <w:spacing w:after="0"/>
              <w:rPr>
                <w:sz w:val="20"/>
                <w:szCs w:val="20"/>
                <w:color w:val="auto"/>
              </w:rPr>
            </w:pPr>
            <w:r>
              <w:rPr>
                <w:rFonts w:ascii="Arial" w:cs="Arial" w:eastAsia="Arial" w:hAnsi="Arial"/>
                <w:sz w:val="15"/>
                <w:szCs w:val="15"/>
                <w:b w:val="1"/>
                <w:bCs w:val="1"/>
                <w:color w:val="auto"/>
              </w:rPr>
              <w:t>Key Characteristics and Responsibilities</w:t>
            </w:r>
          </w:p>
        </w:tc>
        <w:tc>
          <w:tcPr>
            <w:tcW w:w="3360" w:type="dxa"/>
            <w:vAlign w:val="bottom"/>
          </w:tcPr>
          <w:p>
            <w:pPr>
              <w:ind w:left="1540"/>
              <w:spacing w:after="0"/>
              <w:rPr>
                <w:sz w:val="20"/>
                <w:szCs w:val="20"/>
                <w:color w:val="auto"/>
              </w:rPr>
            </w:pPr>
            <w:r>
              <w:rPr>
                <w:rFonts w:ascii="Arial" w:cs="Arial" w:eastAsia="Arial" w:hAnsi="Arial"/>
                <w:sz w:val="15"/>
                <w:szCs w:val="15"/>
                <w:b w:val="1"/>
                <w:bCs w:val="1"/>
                <w:color w:val="auto"/>
              </w:rPr>
              <w:t>Meetings in 2025: 6</w:t>
            </w:r>
          </w:p>
        </w:tc>
        <w:tc>
          <w:tcPr>
            <w:tcW w:w="0" w:type="dxa"/>
            <w:vAlign w:val="bottom"/>
          </w:tcPr>
          <w:p>
            <w:pPr>
              <w:spacing w:after="0"/>
              <w:rPr>
                <w:sz w:val="1"/>
                <w:szCs w:val="1"/>
                <w:color w:val="auto"/>
              </w:rPr>
            </w:pPr>
          </w:p>
        </w:tc>
      </w:tr>
      <w:tr>
        <w:trPr>
          <w:trHeight w:val="49"/>
        </w:trPr>
        <w:tc>
          <w:tcPr>
            <w:tcW w:w="1220" w:type="dxa"/>
            <w:vAlign w:val="bottom"/>
            <w:tcBorders>
              <w:bottom w:val="single" w:sz="8" w:color="071D49"/>
            </w:tcBorders>
          </w:tcPr>
          <w:p>
            <w:pPr>
              <w:spacing w:after="0"/>
              <w:rPr>
                <w:sz w:val="4"/>
                <w:szCs w:val="4"/>
                <w:color w:val="auto"/>
              </w:rPr>
            </w:pPr>
          </w:p>
        </w:tc>
        <w:tc>
          <w:tcPr>
            <w:tcW w:w="8040" w:type="dxa"/>
            <w:vAlign w:val="bottom"/>
            <w:tcBorders>
              <w:bottom w:val="single" w:sz="8" w:color="071D49"/>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220" w:type="dxa"/>
            <w:vAlign w:val="bottom"/>
          </w:tcPr>
          <w:p>
            <w:pPr>
              <w:spacing w:after="0"/>
              <w:rPr>
                <w:sz w:val="14"/>
                <w:szCs w:val="14"/>
                <w:color w:val="auto"/>
              </w:rPr>
            </w:pPr>
          </w:p>
        </w:tc>
        <w:tc>
          <w:tcPr>
            <w:tcW w:w="8040" w:type="dxa"/>
            <w:vAlign w:val="bottom"/>
            <w:gridSpan w:val="2"/>
          </w:tcPr>
          <w:p>
            <w:pPr>
              <w:ind w:left="300"/>
              <w:spacing w:after="0" w:line="173" w:lineRule="exact"/>
              <w:rPr>
                <w:sz w:val="20"/>
                <w:szCs w:val="20"/>
                <w:color w:val="auto"/>
              </w:rPr>
            </w:pPr>
            <w:r>
              <w:rPr>
                <w:rFonts w:ascii="MS PGothic" w:cs="MS PGothic" w:eastAsia="MS PGothic" w:hAnsi="MS PGothic"/>
                <w:sz w:val="15"/>
                <w:szCs w:val="15"/>
                <w:color w:val="071D49"/>
              </w:rPr>
              <w:t>✓</w:t>
            </w:r>
            <w:r>
              <w:rPr>
                <w:rFonts w:ascii="Arial" w:cs="Arial" w:eastAsia="Arial" w:hAnsi="Arial"/>
                <w:sz w:val="15"/>
                <w:szCs w:val="15"/>
                <w:color w:val="auto"/>
              </w:rPr>
              <w:t xml:space="preserve"> ​The​ audit committee is governed by a written charter. The charter sets forth the purposes of the audit committee,</w:t>
            </w:r>
          </w:p>
        </w:tc>
        <w:tc>
          <w:tcPr>
            <w:tcW w:w="0" w:type="dxa"/>
            <w:vAlign w:val="bottom"/>
          </w:tcPr>
          <w:p>
            <w:pPr>
              <w:spacing w:after="0"/>
              <w:rPr>
                <w:sz w:val="1"/>
                <w:szCs w:val="1"/>
                <w:color w:val="auto"/>
              </w:rPr>
            </w:pPr>
          </w:p>
        </w:tc>
      </w:tr>
      <w:tr>
        <w:trPr>
          <w:trHeight w:val="172"/>
        </w:trPr>
        <w:tc>
          <w:tcPr>
            <w:tcW w:w="1220" w:type="dxa"/>
            <w:vAlign w:val="bottom"/>
            <w:vMerge w:val="restart"/>
          </w:tcPr>
          <w:p>
            <w:pPr>
              <w:spacing w:after="0"/>
              <w:rPr>
                <w:sz w:val="20"/>
                <w:szCs w:val="20"/>
                <w:color w:val="auto"/>
              </w:rPr>
            </w:pPr>
            <w:r>
              <w:rPr>
                <w:rFonts w:ascii="Arial" w:cs="Arial" w:eastAsia="Arial" w:hAnsi="Arial"/>
                <w:sz w:val="16"/>
                <w:szCs w:val="16"/>
                <w:b w:val="1"/>
                <w:bCs w:val="1"/>
                <w:color w:val="auto"/>
              </w:rPr>
              <w:t>F. Waddell</w:t>
            </w:r>
          </w:p>
        </w:tc>
        <w:tc>
          <w:tcPr>
            <w:tcW w:w="8040" w:type="dxa"/>
            <w:vAlign w:val="bottom"/>
            <w:gridSpan w:val="2"/>
          </w:tcPr>
          <w:p>
            <w:pPr>
              <w:ind w:left="540"/>
              <w:spacing w:after="0"/>
              <w:rPr>
                <w:sz w:val="20"/>
                <w:szCs w:val="20"/>
                <w:color w:val="auto"/>
              </w:rPr>
            </w:pPr>
            <w:r>
              <w:rPr>
                <w:rFonts w:ascii="Arial" w:cs="Arial" w:eastAsia="Arial" w:hAnsi="Arial"/>
                <w:sz w:val="15"/>
                <w:szCs w:val="15"/>
                <w:color w:val="auto"/>
              </w:rPr>
              <w:t>identifies qualifications required for the audit committee members, and describes the committee’s authority and</w:t>
            </w:r>
          </w:p>
        </w:tc>
        <w:tc>
          <w:tcPr>
            <w:tcW w:w="0" w:type="dxa"/>
            <w:vAlign w:val="bottom"/>
          </w:tcPr>
          <w:p>
            <w:pPr>
              <w:spacing w:after="0"/>
              <w:rPr>
                <w:sz w:val="1"/>
                <w:szCs w:val="1"/>
                <w:color w:val="auto"/>
              </w:rPr>
            </w:pPr>
          </w:p>
        </w:tc>
      </w:tr>
      <w:tr>
        <w:trPr>
          <w:trHeight w:val="134"/>
        </w:trPr>
        <w:tc>
          <w:tcPr>
            <w:tcW w:w="1220" w:type="dxa"/>
            <w:vAlign w:val="bottom"/>
            <w:vMerge w:val="continue"/>
          </w:tcPr>
          <w:p>
            <w:pPr>
              <w:spacing w:after="0"/>
              <w:rPr>
                <w:sz w:val="11"/>
                <w:szCs w:val="11"/>
                <w:color w:val="auto"/>
              </w:rPr>
            </w:pPr>
          </w:p>
        </w:tc>
        <w:tc>
          <w:tcPr>
            <w:tcW w:w="4680" w:type="dxa"/>
            <w:vAlign w:val="bottom"/>
            <w:vMerge w:val="restart"/>
          </w:tcPr>
          <w:p>
            <w:pPr>
              <w:ind w:left="540"/>
              <w:spacing w:after="0"/>
              <w:rPr>
                <w:sz w:val="20"/>
                <w:szCs w:val="20"/>
                <w:color w:val="auto"/>
              </w:rPr>
            </w:pPr>
            <w:r>
              <w:rPr>
                <w:rFonts w:ascii="Arial" w:cs="Arial" w:eastAsia="Arial" w:hAnsi="Arial"/>
                <w:sz w:val="15"/>
                <w:szCs w:val="15"/>
                <w:color w:val="auto"/>
              </w:rPr>
              <w:t>responsibilities.</w:t>
            </w: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220" w:type="dxa"/>
            <w:vAlign w:val="bottom"/>
          </w:tcPr>
          <w:p>
            <w:pPr>
              <w:spacing w:after="0"/>
              <w:rPr>
                <w:sz w:val="3"/>
                <w:szCs w:val="3"/>
                <w:color w:val="auto"/>
              </w:rPr>
            </w:pPr>
          </w:p>
        </w:tc>
        <w:tc>
          <w:tcPr>
            <w:tcW w:w="4680" w:type="dxa"/>
            <w:vAlign w:val="bottom"/>
            <w:vMerge w:val="continue"/>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220" w:type="dxa"/>
            <w:vAlign w:val="bottom"/>
          </w:tcPr>
          <w:p>
            <w:pPr>
              <w:ind w:left="100"/>
              <w:spacing w:after="0"/>
              <w:rPr>
                <w:sz w:val="20"/>
                <w:szCs w:val="20"/>
                <w:color w:val="auto"/>
              </w:rPr>
            </w:pPr>
            <w:r>
              <w:rPr>
                <w:rFonts w:ascii="Arial" w:cs="Arial" w:eastAsia="Arial" w:hAnsi="Arial"/>
                <w:sz w:val="16"/>
                <w:szCs w:val="16"/>
                <w:b w:val="1"/>
                <w:bCs w:val="1"/>
                <w:color w:val="071D49"/>
              </w:rPr>
              <w:t>(Chair)</w:t>
            </w:r>
          </w:p>
        </w:tc>
        <w:tc>
          <w:tcPr>
            <w:tcW w:w="8040" w:type="dxa"/>
            <w:vAlign w:val="bottom"/>
            <w:gridSpan w:val="2"/>
          </w:tcPr>
          <w:p>
            <w:pPr>
              <w:ind w:left="300"/>
              <w:spacing w:after="0" w:line="173" w:lineRule="exact"/>
              <w:rPr>
                <w:sz w:val="20"/>
                <w:szCs w:val="20"/>
                <w:color w:val="auto"/>
              </w:rPr>
            </w:pPr>
            <w:r>
              <w:rPr>
                <w:rFonts w:ascii="MS PGothic" w:cs="MS PGothic" w:eastAsia="MS PGothic" w:hAnsi="MS PGothic"/>
                <w:sz w:val="15"/>
                <w:szCs w:val="15"/>
                <w:color w:val="071D49"/>
              </w:rPr>
              <w:t>✓</w:t>
            </w:r>
            <w:r>
              <w:rPr>
                <w:rFonts w:ascii="Arial" w:cs="Arial" w:eastAsia="Arial" w:hAnsi="Arial"/>
                <w:sz w:val="15"/>
                <w:szCs w:val="15"/>
                <w:color w:val="auto"/>
              </w:rPr>
              <w:t xml:space="preserve"> ​The​ audit committee assists the Board of Directors in fulfilling its oversight responsibility with respect to AbbVie’s</w:t>
            </w:r>
          </w:p>
        </w:tc>
        <w:tc>
          <w:tcPr>
            <w:tcW w:w="0" w:type="dxa"/>
            <w:vAlign w:val="bottom"/>
          </w:tcPr>
          <w:p>
            <w:pPr>
              <w:spacing w:after="0"/>
              <w:rPr>
                <w:sz w:val="1"/>
                <w:szCs w:val="1"/>
                <w:color w:val="auto"/>
              </w:rPr>
            </w:pPr>
          </w:p>
        </w:tc>
      </w:tr>
      <w:tr>
        <w:trPr>
          <w:trHeight w:val="172"/>
        </w:trPr>
        <w:tc>
          <w:tcPr>
            <w:tcW w:w="1220" w:type="dxa"/>
            <w:vAlign w:val="bottom"/>
            <w:vMerge w:val="restart"/>
          </w:tcPr>
          <w:p>
            <w:pPr>
              <w:spacing w:after="0"/>
              <w:rPr>
                <w:sz w:val="20"/>
                <w:szCs w:val="20"/>
                <w:color w:val="auto"/>
              </w:rPr>
            </w:pPr>
            <w:r>
              <w:rPr>
                <w:rFonts w:ascii="Arial" w:cs="Arial" w:eastAsia="Arial" w:hAnsi="Arial"/>
                <w:sz w:val="16"/>
                <w:szCs w:val="16"/>
                <w:b w:val="1"/>
                <w:bCs w:val="1"/>
                <w:color w:val="auto"/>
              </w:rPr>
              <w:t>R. Austin</w:t>
            </w:r>
          </w:p>
        </w:tc>
        <w:tc>
          <w:tcPr>
            <w:tcW w:w="8040" w:type="dxa"/>
            <w:vAlign w:val="bottom"/>
            <w:gridSpan w:val="2"/>
          </w:tcPr>
          <w:p>
            <w:pPr>
              <w:ind w:left="540"/>
              <w:spacing w:after="0"/>
              <w:rPr>
                <w:sz w:val="20"/>
                <w:szCs w:val="20"/>
                <w:color w:val="auto"/>
              </w:rPr>
            </w:pPr>
            <w:r>
              <w:rPr>
                <w:rFonts w:ascii="Arial" w:cs="Arial" w:eastAsia="Arial" w:hAnsi="Arial"/>
                <w:sz w:val="15"/>
                <w:szCs w:val="15"/>
                <w:color w:val="auto"/>
              </w:rPr>
              <w:t>accounting and financial reporting practices and the audit process, the quality and integrity of AbbVie’s financial</w:t>
            </w:r>
          </w:p>
        </w:tc>
        <w:tc>
          <w:tcPr>
            <w:tcW w:w="0" w:type="dxa"/>
            <w:vAlign w:val="bottom"/>
          </w:tcPr>
          <w:p>
            <w:pPr>
              <w:spacing w:after="0"/>
              <w:rPr>
                <w:sz w:val="1"/>
                <w:szCs w:val="1"/>
                <w:color w:val="auto"/>
              </w:rPr>
            </w:pPr>
          </w:p>
        </w:tc>
      </w:tr>
      <w:tr>
        <w:trPr>
          <w:trHeight w:val="134"/>
        </w:trPr>
        <w:tc>
          <w:tcPr>
            <w:tcW w:w="1220" w:type="dxa"/>
            <w:vAlign w:val="bottom"/>
            <w:vMerge w:val="continue"/>
          </w:tcPr>
          <w:p>
            <w:pPr>
              <w:spacing w:after="0"/>
              <w:rPr>
                <w:sz w:val="11"/>
                <w:szCs w:val="11"/>
                <w:color w:val="auto"/>
              </w:rPr>
            </w:pPr>
          </w:p>
        </w:tc>
        <w:tc>
          <w:tcPr>
            <w:tcW w:w="8040" w:type="dxa"/>
            <w:vAlign w:val="bottom"/>
            <w:gridSpan w:val="2"/>
            <w:vMerge w:val="restart"/>
          </w:tcPr>
          <w:p>
            <w:pPr>
              <w:ind w:left="540"/>
              <w:spacing w:after="0"/>
              <w:rPr>
                <w:sz w:val="20"/>
                <w:szCs w:val="20"/>
                <w:color w:val="auto"/>
              </w:rPr>
            </w:pPr>
            <w:r>
              <w:rPr>
                <w:rFonts w:ascii="Arial" w:cs="Arial" w:eastAsia="Arial" w:hAnsi="Arial"/>
                <w:sz w:val="15"/>
                <w:szCs w:val="15"/>
                <w:color w:val="auto"/>
              </w:rPr>
              <w:t>statements, including a review of significant accounting policies, the independent auditors’ qualifications,</w:t>
            </w:r>
          </w:p>
        </w:tc>
        <w:tc>
          <w:tcPr>
            <w:tcW w:w="0" w:type="dxa"/>
            <w:vAlign w:val="bottom"/>
          </w:tcPr>
          <w:p>
            <w:pPr>
              <w:spacing w:after="0"/>
              <w:rPr>
                <w:sz w:val="1"/>
                <w:szCs w:val="1"/>
                <w:color w:val="auto"/>
              </w:rPr>
            </w:pPr>
          </w:p>
        </w:tc>
      </w:tr>
      <w:tr>
        <w:trPr>
          <w:trHeight w:val="39"/>
        </w:trPr>
        <w:tc>
          <w:tcPr>
            <w:tcW w:w="1220" w:type="dxa"/>
            <w:vAlign w:val="bottom"/>
          </w:tcPr>
          <w:p>
            <w:pPr>
              <w:spacing w:after="0"/>
              <w:rPr>
                <w:sz w:val="3"/>
                <w:szCs w:val="3"/>
                <w:color w:val="auto"/>
              </w:rPr>
            </w:pPr>
          </w:p>
        </w:tc>
        <w:tc>
          <w:tcPr>
            <w:tcW w:w="8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220" w:type="dxa"/>
            <w:vAlign w:val="bottom"/>
          </w:tcPr>
          <w:p>
            <w:pPr>
              <w:spacing w:after="0"/>
              <w:rPr>
                <w:sz w:val="20"/>
                <w:szCs w:val="20"/>
                <w:color w:val="auto"/>
              </w:rPr>
            </w:pPr>
            <w:r>
              <w:rPr>
                <w:rFonts w:ascii="Arial" w:cs="Arial" w:eastAsia="Arial" w:hAnsi="Arial"/>
                <w:sz w:val="16"/>
                <w:szCs w:val="16"/>
                <w:b w:val="1"/>
                <w:bCs w:val="1"/>
                <w:color w:val="auto"/>
              </w:rPr>
              <w:t>W. Burnside</w:t>
            </w:r>
          </w:p>
        </w:tc>
        <w:tc>
          <w:tcPr>
            <w:tcW w:w="8040" w:type="dxa"/>
            <w:vAlign w:val="bottom"/>
            <w:gridSpan w:val="2"/>
          </w:tcPr>
          <w:p>
            <w:pPr>
              <w:ind w:left="540"/>
              <w:spacing w:after="0"/>
              <w:rPr>
                <w:sz w:val="20"/>
                <w:szCs w:val="20"/>
                <w:color w:val="auto"/>
              </w:rPr>
            </w:pPr>
            <w:r>
              <w:rPr>
                <w:rFonts w:ascii="Arial" w:cs="Arial" w:eastAsia="Arial" w:hAnsi="Arial"/>
                <w:sz w:val="15"/>
                <w:szCs w:val="15"/>
                <w:color w:val="auto"/>
                <w:w w:val="99"/>
              </w:rPr>
              <w:t>independence, and performance, the performance of AbbVie’s internal audit function and internal auditors, certain</w:t>
            </w:r>
          </w:p>
        </w:tc>
        <w:tc>
          <w:tcPr>
            <w:tcW w:w="0" w:type="dxa"/>
            <w:vAlign w:val="bottom"/>
          </w:tcPr>
          <w:p>
            <w:pPr>
              <w:spacing w:after="0"/>
              <w:rPr>
                <w:sz w:val="1"/>
                <w:szCs w:val="1"/>
                <w:color w:val="auto"/>
              </w:rPr>
            </w:pPr>
          </w:p>
        </w:tc>
      </w:tr>
      <w:tr>
        <w:trPr>
          <w:trHeight w:val="160"/>
        </w:trPr>
        <w:tc>
          <w:tcPr>
            <w:tcW w:w="1220" w:type="dxa"/>
            <w:vAlign w:val="bottom"/>
            <w:vMerge w:val="restart"/>
          </w:tcPr>
          <w:p>
            <w:pPr>
              <w:spacing w:after="0"/>
              <w:rPr>
                <w:sz w:val="20"/>
                <w:szCs w:val="20"/>
                <w:color w:val="auto"/>
              </w:rPr>
            </w:pPr>
            <w:r>
              <w:rPr>
                <w:rFonts w:ascii="Arial" w:cs="Arial" w:eastAsia="Arial" w:hAnsi="Arial"/>
                <w:sz w:val="16"/>
                <w:szCs w:val="16"/>
                <w:b w:val="1"/>
                <w:bCs w:val="1"/>
                <w:color w:val="auto"/>
              </w:rPr>
              <w:t>T. Falk</w:t>
            </w:r>
          </w:p>
        </w:tc>
        <w:tc>
          <w:tcPr>
            <w:tcW w:w="8040" w:type="dxa"/>
            <w:vAlign w:val="bottom"/>
            <w:gridSpan w:val="2"/>
          </w:tcPr>
          <w:p>
            <w:pPr>
              <w:ind w:left="540"/>
              <w:spacing w:after="0" w:line="160" w:lineRule="exact"/>
              <w:rPr>
                <w:sz w:val="20"/>
                <w:szCs w:val="20"/>
                <w:color w:val="auto"/>
              </w:rPr>
            </w:pPr>
            <w:r>
              <w:rPr>
                <w:rFonts w:ascii="Arial" w:cs="Arial" w:eastAsia="Arial" w:hAnsi="Arial"/>
                <w:sz w:val="15"/>
                <w:szCs w:val="15"/>
                <w:color w:val="auto"/>
              </w:rPr>
              <w:t>areas of legal and regulatory compliance, and enterprise risk management. The audit committee is directly</w:t>
            </w:r>
          </w:p>
        </w:tc>
        <w:tc>
          <w:tcPr>
            <w:tcW w:w="0" w:type="dxa"/>
            <w:vAlign w:val="bottom"/>
          </w:tcPr>
          <w:p>
            <w:pPr>
              <w:spacing w:after="0"/>
              <w:rPr>
                <w:sz w:val="1"/>
                <w:szCs w:val="1"/>
                <w:color w:val="auto"/>
              </w:rPr>
            </w:pPr>
          </w:p>
        </w:tc>
      </w:tr>
      <w:tr>
        <w:trPr>
          <w:trHeight w:val="176"/>
        </w:trPr>
        <w:tc>
          <w:tcPr>
            <w:tcW w:w="1220" w:type="dxa"/>
            <w:vAlign w:val="bottom"/>
            <w:vMerge w:val="continue"/>
          </w:tcPr>
          <w:p>
            <w:pPr>
              <w:spacing w:after="0"/>
              <w:rPr>
                <w:sz w:val="15"/>
                <w:szCs w:val="15"/>
                <w:color w:val="auto"/>
              </w:rPr>
            </w:pPr>
          </w:p>
        </w:tc>
        <w:tc>
          <w:tcPr>
            <w:tcW w:w="8040" w:type="dxa"/>
            <w:vAlign w:val="bottom"/>
            <w:gridSpan w:val="2"/>
          </w:tcPr>
          <w:p>
            <w:pPr>
              <w:ind w:left="540"/>
              <w:spacing w:after="0"/>
              <w:rPr>
                <w:sz w:val="20"/>
                <w:szCs w:val="20"/>
                <w:color w:val="auto"/>
              </w:rPr>
            </w:pPr>
            <w:r>
              <w:rPr>
                <w:rFonts w:ascii="Arial" w:cs="Arial" w:eastAsia="Arial" w:hAnsi="Arial"/>
                <w:sz w:val="15"/>
                <w:szCs w:val="15"/>
                <w:color w:val="auto"/>
              </w:rPr>
              <w:t>responsible for the appointment, fees, retention, and oversight of the work of AbbVie’s independent auditors.</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6"/>
                <w:szCs w:val="16"/>
                <w:b w:val="1"/>
                <w:bCs w:val="1"/>
                <w:color w:val="auto"/>
              </w:rPr>
              <w:t>M. Meyer</w:t>
            </w:r>
          </w:p>
        </w:tc>
        <w:tc>
          <w:tcPr>
            <w:tcW w:w="8040" w:type="dxa"/>
            <w:vAlign w:val="bottom"/>
            <w:gridSpan w:val="2"/>
          </w:tcPr>
          <w:p>
            <w:pPr>
              <w:ind w:left="3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​The​ audit committee also reviews information security and technology risks, including cybersecurity.</w:t>
            </w:r>
          </w:p>
        </w:tc>
        <w:tc>
          <w:tcPr>
            <w:tcW w:w="0" w:type="dxa"/>
            <w:vAlign w:val="bottom"/>
          </w:tcPr>
          <w:p>
            <w:pPr>
              <w:spacing w:after="0"/>
              <w:rPr>
                <w:sz w:val="1"/>
                <w:szCs w:val="1"/>
                <w:color w:val="auto"/>
              </w:rPr>
            </w:pPr>
          </w:p>
        </w:tc>
      </w:tr>
      <w:tr>
        <w:trPr>
          <w:trHeight w:val="197"/>
        </w:trPr>
        <w:tc>
          <w:tcPr>
            <w:tcW w:w="1220" w:type="dxa"/>
            <w:vAlign w:val="bottom"/>
            <w:vMerge w:val="restart"/>
          </w:tcPr>
          <w:p>
            <w:pPr>
              <w:spacing w:after="0"/>
              <w:rPr>
                <w:sz w:val="20"/>
                <w:szCs w:val="20"/>
                <w:color w:val="auto"/>
              </w:rPr>
            </w:pPr>
            <w:r>
              <w:rPr>
                <w:rFonts w:ascii="Arial" w:cs="Arial" w:eastAsia="Arial" w:hAnsi="Arial"/>
                <w:sz w:val="16"/>
                <w:szCs w:val="16"/>
                <w:b w:val="1"/>
                <w:bCs w:val="1"/>
                <w:color w:val="auto"/>
              </w:rPr>
              <w:t>E. Rapp</w:t>
            </w:r>
          </w:p>
        </w:tc>
        <w:tc>
          <w:tcPr>
            <w:tcW w:w="8040" w:type="dxa"/>
            <w:vAlign w:val="bottom"/>
            <w:gridSpan w:val="2"/>
          </w:tcPr>
          <w:p>
            <w:pPr>
              <w:ind w:left="3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​Each​ of the members of the audit committee is financially literate, as required of audit committee members by the</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8040" w:type="dxa"/>
            <w:vAlign w:val="bottom"/>
            <w:gridSpan w:val="2"/>
          </w:tcPr>
          <w:p>
            <w:pPr>
              <w:ind w:left="540"/>
              <w:spacing w:after="0"/>
              <w:rPr>
                <w:sz w:val="20"/>
                <w:szCs w:val="20"/>
                <w:color w:val="auto"/>
              </w:rPr>
            </w:pPr>
            <w:r>
              <w:rPr>
                <w:rFonts w:ascii="Arial" w:cs="Arial" w:eastAsia="Arial" w:hAnsi="Arial"/>
                <w:sz w:val="15"/>
                <w:szCs w:val="15"/>
                <w:color w:val="auto"/>
                <w:w w:val="98"/>
              </w:rPr>
              <w:t>NYSE, and the independence requirements set forth in Section 10A(m)(3) of the Securities Exchange Act of 1934,</w:t>
            </w:r>
          </w:p>
        </w:tc>
        <w:tc>
          <w:tcPr>
            <w:tcW w:w="0" w:type="dxa"/>
            <w:vAlign w:val="bottom"/>
          </w:tcPr>
          <w:p>
            <w:pPr>
              <w:spacing w:after="0"/>
              <w:rPr>
                <w:sz w:val="1"/>
                <w:szCs w:val="1"/>
                <w:color w:val="auto"/>
              </w:rPr>
            </w:pPr>
          </w:p>
        </w:tc>
      </w:tr>
    </w:tbl>
    <w:p>
      <w:pPr>
        <w:ind w:left="1769"/>
        <w:spacing w:after="0"/>
        <w:rPr>
          <w:sz w:val="20"/>
          <w:szCs w:val="20"/>
          <w:color w:val="auto"/>
        </w:rPr>
      </w:pPr>
      <w:r>
        <w:rPr>
          <w:rFonts w:ascii="Arial" w:cs="Arial" w:eastAsia="Arial" w:hAnsi="Arial"/>
          <w:sz w:val="15"/>
          <w:szCs w:val="15"/>
          <w:color w:val="auto"/>
        </w:rPr>
        <w:t>as amended (the ‘‘Exchange Act’’).</w:t>
      </w:r>
    </w:p>
    <w:p>
      <w:pPr>
        <w:spacing w:after="0" w:line="7" w:lineRule="exact"/>
        <w:rPr>
          <w:sz w:val="20"/>
          <w:szCs w:val="20"/>
          <w:color w:val="auto"/>
        </w:rPr>
      </w:pPr>
    </w:p>
    <w:p>
      <w:pPr>
        <w:ind w:left="1769" w:right="100" w:hanging="235"/>
        <w:spacing w:after="0" w:line="197" w:lineRule="exact"/>
        <w:rPr>
          <w:sz w:val="20"/>
          <w:szCs w:val="20"/>
          <w:color w:val="auto"/>
        </w:rPr>
      </w:pPr>
      <w:r>
        <w:rPr>
          <w:rFonts w:ascii="MS PGothic" w:cs="MS PGothic" w:eastAsia="MS PGothic" w:hAnsi="MS PGothic"/>
          <w:sz w:val="15"/>
          <w:szCs w:val="15"/>
          <w:color w:val="071D49"/>
        </w:rPr>
        <w:t>✓</w:t>
      </w:r>
      <w:r>
        <w:rPr>
          <w:rFonts w:ascii="Arial" w:cs="Arial" w:eastAsia="Arial" w:hAnsi="Arial"/>
          <w:sz w:val="15"/>
          <w:szCs w:val="15"/>
          <w:color w:val="auto"/>
        </w:rPr>
        <w:t xml:space="preserve"> ​The​ Board of Directors has determined that Ms. Austin, Mr. Falk, Mr. Rapp, and Mr. Waddell are each individually, an ‘‘audit committee financial expert.’’</w:t>
      </w:r>
    </w:p>
    <w:p>
      <w:pPr>
        <w:spacing w:after="0" w:line="97"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71D49"/>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878195" cy="28060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78195" cy="2806065"/>
                    </a:xfrm>
                    <a:prstGeom prst="rect">
                      <a:avLst/>
                    </a:prstGeom>
                    <a:noFill/>
                  </pic:spPr>
                </pic:pic>
              </a:graphicData>
            </a:graphic>
          </wp:anchor>
        </w:drawing>
      </w:r>
    </w:p>
    <w:p>
      <w:pPr>
        <w:spacing w:after="0" w:line="170" w:lineRule="exact"/>
        <w:rPr>
          <w:sz w:val="20"/>
          <w:szCs w:val="20"/>
          <w:color w:val="auto"/>
        </w:rPr>
      </w:pPr>
    </w:p>
    <w:p>
      <w:pPr>
        <w:ind w:left="29"/>
        <w:spacing w:after="0"/>
        <w:tabs>
          <w:tab w:leader="none" w:pos="1509" w:val="left"/>
          <w:tab w:leader="none" w:pos="7429" w:val="left"/>
        </w:tabs>
        <w:rPr>
          <w:sz w:val="20"/>
          <w:szCs w:val="20"/>
          <w:color w:val="auto"/>
        </w:rPr>
      </w:pPr>
      <w:r>
        <w:rPr>
          <w:rFonts w:ascii="Arial" w:cs="Arial" w:eastAsia="Arial" w:hAnsi="Arial"/>
          <w:sz w:val="15"/>
          <w:szCs w:val="15"/>
          <w:b w:val="1"/>
          <w:bCs w:val="1"/>
          <w:color w:val="auto"/>
        </w:rPr>
        <w:t>Members</w:t>
      </w:r>
      <w:r>
        <w:rPr>
          <w:sz w:val="20"/>
          <w:szCs w:val="20"/>
          <w:color w:val="auto"/>
        </w:rPr>
        <w:tab/>
      </w:r>
      <w:r>
        <w:rPr>
          <w:rFonts w:ascii="Arial" w:cs="Arial" w:eastAsia="Arial" w:hAnsi="Arial"/>
          <w:sz w:val="15"/>
          <w:szCs w:val="15"/>
          <w:b w:val="1"/>
          <w:bCs w:val="1"/>
          <w:color w:val="auto"/>
        </w:rPr>
        <w:t>Key Characteristics and Responsibilities</w:t>
      </w:r>
      <w:r>
        <w:rPr>
          <w:sz w:val="20"/>
          <w:szCs w:val="20"/>
          <w:color w:val="auto"/>
        </w:rPr>
        <w:tab/>
      </w:r>
      <w:r>
        <w:rPr>
          <w:rFonts w:ascii="Arial" w:cs="Arial" w:eastAsia="Arial" w:hAnsi="Arial"/>
          <w:sz w:val="14"/>
          <w:szCs w:val="14"/>
          <w:b w:val="1"/>
          <w:bCs w:val="1"/>
          <w:color w:val="auto"/>
        </w:rPr>
        <w:t>Meetings in 2025: 4</w:t>
      </w:r>
    </w:p>
    <w:p>
      <w:pPr>
        <w:sectPr>
          <w:pgSz w:w="11900" w:h="16838" w:orient="portrait"/>
          <w:cols w:equalWidth="0" w:num="1">
            <w:col w:w="9269"/>
          </w:cols>
          <w:pgMar w:left="1311" w:top="48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9" w:right="200" w:hanging="109"/>
        <w:spacing w:after="0" w:line="369" w:lineRule="auto"/>
        <w:tabs>
          <w:tab w:leader="none" w:pos="201"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Hart </w:t>
      </w:r>
      <w:r>
        <w:rPr>
          <w:rFonts w:ascii="Arial" w:cs="Arial" w:eastAsia="Arial" w:hAnsi="Arial"/>
          <w:sz w:val="16"/>
          <w:szCs w:val="16"/>
          <w:b w:val="1"/>
          <w:bCs w:val="1"/>
          <w:color w:val="071D49"/>
        </w:rPr>
        <w:t>(Chair)</w:t>
      </w:r>
    </w:p>
    <w:p>
      <w:pPr>
        <w:jc w:val="both"/>
        <w:ind w:left="9" w:hanging="9"/>
        <w:spacing w:after="0" w:line="418" w:lineRule="auto"/>
        <w:tabs>
          <w:tab w:leader="none" w:pos="219"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color w:val="auto"/>
        </w:rPr>
        <w:t>Alpern R. Austin T. Freyman F. Waddell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43" w:right="600" w:hanging="243"/>
        <w:spacing w:after="0" w:line="255" w:lineRule="auto"/>
        <w:tabs>
          <w:tab w:leader="none" w:pos="212" w:val="left"/>
        </w:tabs>
        <w:numPr>
          <w:ilvl w:val="0"/>
          <w:numId w:val="41"/>
        </w:numPr>
        <w:rPr>
          <w:rFonts w:ascii="MS PGothic" w:cs="MS PGothic" w:eastAsia="MS PGothic" w:hAnsi="MS PGothic"/>
          <w:sz w:val="15"/>
          <w:szCs w:val="15"/>
          <w:color w:val="071D49"/>
        </w:rPr>
      </w:pPr>
      <w:r>
        <w:rPr>
          <w:rFonts w:ascii="Arial" w:cs="Arial" w:eastAsia="Arial" w:hAnsi="Arial"/>
          <w:sz w:val="15"/>
          <w:szCs w:val="15"/>
          <w:color w:val="auto"/>
        </w:rPr>
        <w:t>​The​ compensation committee is governed by a written charter. The charter sets forth the purposes of the compensation committee, identifies qualifications required for the compensation committee members, and describes the committee’s authority and responsibilities.</w:t>
      </w:r>
    </w:p>
    <w:p>
      <w:pPr>
        <w:spacing w:after="0" w:line="16" w:lineRule="exact"/>
        <w:rPr>
          <w:rFonts w:ascii="MS PGothic" w:cs="MS PGothic" w:eastAsia="MS PGothic" w:hAnsi="MS PGothic"/>
          <w:sz w:val="15"/>
          <w:szCs w:val="15"/>
          <w:color w:val="071D49"/>
        </w:rPr>
      </w:pPr>
    </w:p>
    <w:p>
      <w:pPr>
        <w:ind w:left="243" w:right="140" w:hanging="243"/>
        <w:spacing w:after="0" w:line="249" w:lineRule="auto"/>
        <w:tabs>
          <w:tab w:leader="none" w:pos="212" w:val="left"/>
        </w:tabs>
        <w:numPr>
          <w:ilvl w:val="0"/>
          <w:numId w:val="41"/>
        </w:numPr>
        <w:rPr>
          <w:rFonts w:ascii="MS PGothic" w:cs="MS PGothic" w:eastAsia="MS PGothic" w:hAnsi="MS PGothic"/>
          <w:sz w:val="15"/>
          <w:szCs w:val="15"/>
          <w:color w:val="071D49"/>
        </w:rPr>
      </w:pPr>
      <w:r>
        <w:rPr>
          <w:rFonts w:ascii="Arial" w:cs="Arial" w:eastAsia="Arial" w:hAnsi="Arial"/>
          <w:sz w:val="15"/>
          <w:szCs w:val="15"/>
          <w:color w:val="auto"/>
        </w:rPr>
        <w:t>​This​ committee assists the Board of Directors in carrying out the Board’s responsibilities relating to the compensation of AbbVie’s executive officers and directors. The compensation committee annually reviews the compensation paid to the directors and gives its recommendations to the full Board regarding both the amount of director compensation that should be paid and the allocation of that compensation between equity-based awards and cash.</w:t>
      </w:r>
    </w:p>
    <w:p>
      <w:pPr>
        <w:spacing w:after="0" w:line="16" w:lineRule="exact"/>
        <w:rPr>
          <w:rFonts w:ascii="MS PGothic" w:cs="MS PGothic" w:eastAsia="MS PGothic" w:hAnsi="MS PGothic"/>
          <w:sz w:val="15"/>
          <w:szCs w:val="15"/>
          <w:color w:val="071D49"/>
        </w:rPr>
      </w:pPr>
    </w:p>
    <w:p>
      <w:pPr>
        <w:ind w:left="243" w:right="140" w:hanging="243"/>
        <w:spacing w:after="0" w:line="274" w:lineRule="auto"/>
        <w:tabs>
          <w:tab w:leader="none" w:pos="212" w:val="left"/>
        </w:tabs>
        <w:numPr>
          <w:ilvl w:val="0"/>
          <w:numId w:val="41"/>
        </w:numPr>
        <w:rPr>
          <w:rFonts w:ascii="MS PGothic" w:cs="MS PGothic" w:eastAsia="MS PGothic" w:hAnsi="MS PGothic"/>
          <w:sz w:val="14"/>
          <w:szCs w:val="14"/>
          <w:color w:val="071D49"/>
        </w:rPr>
      </w:pPr>
      <w:r>
        <w:rPr>
          <w:rFonts w:ascii="Arial" w:cs="Arial" w:eastAsia="Arial" w:hAnsi="Arial"/>
          <w:sz w:val="14"/>
          <w:szCs w:val="14"/>
          <w:color w:val="auto"/>
        </w:rPr>
        <w:t>​In​ recommending director compensation, the compensation committee takes into account director fees paid by companies in AbbVie’s Health Care Peer Group and reviews any arrangement that could be viewed as indirect director compensation. The processes and procedures used for the consideration and determination of executive compensation are described in the ‘‘Compensation Discussion and Analysis’’ section of this proxy statement.</w:t>
      </w:r>
    </w:p>
    <w:p>
      <w:pPr>
        <w:spacing w:after="0" w:line="3" w:lineRule="exact"/>
        <w:rPr>
          <w:rFonts w:ascii="MS PGothic" w:cs="MS PGothic" w:eastAsia="MS PGothic" w:hAnsi="MS PGothic"/>
          <w:sz w:val="14"/>
          <w:szCs w:val="14"/>
          <w:color w:val="071D49"/>
        </w:rPr>
      </w:pPr>
    </w:p>
    <w:p>
      <w:pPr>
        <w:ind w:left="243" w:right="40" w:hanging="243"/>
        <w:spacing w:after="0" w:line="251" w:lineRule="auto"/>
        <w:tabs>
          <w:tab w:leader="none" w:pos="212" w:val="left"/>
        </w:tabs>
        <w:numPr>
          <w:ilvl w:val="0"/>
          <w:numId w:val="41"/>
        </w:numPr>
        <w:rPr>
          <w:rFonts w:ascii="MS PGothic" w:cs="MS PGothic" w:eastAsia="MS PGothic" w:hAnsi="MS PGothic"/>
          <w:sz w:val="15"/>
          <w:szCs w:val="15"/>
          <w:color w:val="071D49"/>
        </w:rPr>
      </w:pPr>
      <w:r>
        <w:rPr>
          <w:rFonts w:ascii="Arial" w:cs="Arial" w:eastAsia="Arial" w:hAnsi="Arial"/>
          <w:sz w:val="15"/>
          <w:szCs w:val="15"/>
          <w:color w:val="auto"/>
        </w:rPr>
        <w:t>​The​ committee also reviews, approves, and administers the incentive compensation plans in which the AbbVie executive officers participate and all of AbbVie’s equity-based plans. It may delegate the responsibility to administer and make grants under these plans to management, except to the extent that such delegation would be inconsistent with applicable law or regulations or with the listing rules of the NYSE.</w:t>
      </w:r>
    </w:p>
    <w:p>
      <w:pPr>
        <w:spacing w:after="0" w:line="17" w:lineRule="exact"/>
        <w:rPr>
          <w:rFonts w:ascii="MS PGothic" w:cs="MS PGothic" w:eastAsia="MS PGothic" w:hAnsi="MS PGothic"/>
          <w:sz w:val="15"/>
          <w:szCs w:val="15"/>
          <w:color w:val="071D49"/>
        </w:rPr>
      </w:pPr>
    </w:p>
    <w:p>
      <w:pPr>
        <w:ind w:left="243" w:right="780" w:hanging="243"/>
        <w:spacing w:after="0" w:line="263" w:lineRule="auto"/>
        <w:tabs>
          <w:tab w:leader="none" w:pos="212" w:val="left"/>
        </w:tabs>
        <w:numPr>
          <w:ilvl w:val="0"/>
          <w:numId w:val="41"/>
        </w:numPr>
        <w:rPr>
          <w:rFonts w:ascii="MS PGothic" w:cs="MS PGothic" w:eastAsia="MS PGothic" w:hAnsi="MS PGothic"/>
          <w:sz w:val="15"/>
          <w:szCs w:val="15"/>
          <w:color w:val="071D49"/>
        </w:rPr>
      </w:pPr>
      <w:r>
        <w:rPr>
          <w:rFonts w:ascii="Arial" w:cs="Arial" w:eastAsia="Arial" w:hAnsi="Arial"/>
          <w:sz w:val="15"/>
          <w:szCs w:val="15"/>
          <w:color w:val="auto"/>
        </w:rPr>
        <w:t>​The​ compensation committee has the sole authority, under its charter, to select, retain and/or terminate independent advisors who may assist the committee in carrying out its responsibilities.</w:t>
      </w:r>
    </w:p>
    <w:p>
      <w:pPr>
        <w:spacing w:after="0" w:line="15" w:lineRule="exact"/>
        <w:rPr>
          <w:rFonts w:ascii="MS PGothic" w:cs="MS PGothic" w:eastAsia="MS PGothic" w:hAnsi="MS PGothic"/>
          <w:sz w:val="15"/>
          <w:szCs w:val="15"/>
          <w:color w:val="071D49"/>
        </w:rPr>
      </w:pPr>
    </w:p>
    <w:p>
      <w:pPr>
        <w:ind w:left="243" w:right="180" w:hanging="243"/>
        <w:spacing w:after="0" w:line="255" w:lineRule="auto"/>
        <w:tabs>
          <w:tab w:leader="none" w:pos="212" w:val="left"/>
        </w:tabs>
        <w:numPr>
          <w:ilvl w:val="0"/>
          <w:numId w:val="41"/>
        </w:numPr>
        <w:rPr>
          <w:rFonts w:ascii="MS PGothic" w:cs="MS PGothic" w:eastAsia="MS PGothic" w:hAnsi="MS PGothic"/>
          <w:sz w:val="15"/>
          <w:szCs w:val="15"/>
          <w:color w:val="071D49"/>
        </w:rPr>
      </w:pPr>
      <w:r>
        <w:rPr>
          <w:rFonts w:ascii="Arial" w:cs="Arial" w:eastAsia="Arial" w:hAnsi="Arial"/>
          <w:sz w:val="15"/>
          <w:szCs w:val="15"/>
          <w:color w:val="auto"/>
        </w:rPr>
        <w:t>​The​ compensation committee reviews and discusses with management and its independent compensation consultant potential risks associated with AbbVie’s compensation policies and practices as discussed in the ‘‘Compensation Risk Assessment’’ section of this proxy statement. Each member of the committee qualifies as a ‘‘non-employee director’’ for purposes of Rule 16b-3 under the Exchange Act.</w:t>
      </w:r>
    </w:p>
    <w:p>
      <w:pPr>
        <w:spacing w:after="0" w:line="200" w:lineRule="exact"/>
        <w:rPr>
          <w:sz w:val="20"/>
          <w:szCs w:val="20"/>
          <w:color w:val="auto"/>
        </w:rPr>
      </w:pPr>
    </w:p>
    <w:p>
      <w:pPr>
        <w:sectPr>
          <w:pgSz w:w="11900" w:h="16838" w:orient="portrait"/>
          <w:cols w:equalWidth="0" w:num="2">
            <w:col w:w="849" w:space="677"/>
            <w:col w:w="7743"/>
          </w:cols>
          <w:pgMar w:left="1311" w:top="480" w:right="1319" w:bottom="1440" w:gutter="0" w:footer="0" w:header="0"/>
          <w:type w:val="continuous"/>
        </w:sectPr>
      </w:pP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-492125</wp:posOffset>
            </wp:positionV>
            <wp:extent cx="797560" cy="140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97560" cy="14097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type w:val="continuous"/>
        </w:sectPr>
      </w:pPr>
    </w:p>
    <w:bookmarkStart w:id="26" w:name="page27"/>
    <w:bookmarkEnd w:id="26"/>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THE BOARD OF DIRECTORS AND ITS COMMITTEES</w:t>
      </w:r>
    </w:p>
    <w:p>
      <w:pPr>
        <w:spacing w:after="0" w:line="185" w:lineRule="exact"/>
        <w:rPr>
          <w:sz w:val="20"/>
          <w:szCs w:val="20"/>
          <w:color w:val="auto"/>
        </w:rPr>
      </w:pPr>
    </w:p>
    <w:p>
      <w:pPr>
        <w:ind w:left="9" w:right="40"/>
        <w:spacing w:after="0" w:line="246" w:lineRule="auto"/>
        <w:rPr>
          <w:sz w:val="20"/>
          <w:szCs w:val="20"/>
          <w:color w:val="auto"/>
        </w:rPr>
      </w:pPr>
      <w:r>
        <w:rPr>
          <w:rFonts w:ascii="Arial" w:cs="Arial" w:eastAsia="Arial" w:hAnsi="Arial"/>
          <w:sz w:val="16"/>
          <w:szCs w:val="16"/>
          <w:color w:val="auto"/>
        </w:rPr>
        <w:t>The compensation committee has engaged Semler Brossy as its independent compensation consultant. The independent compensation consultant provides counsel and advice to the committee on executive and non-employee director compensation matters. Semler Brossy, and its principal, report directly to the chair of the committee. The principal meets regularly, and as needed, with the committee in executive sessions, and has direct access to the committee chair during and between meetings. In partnership with the consultant, the committee determines what variables it will consider, including: peer groups against which performance and pay should be examined, metrics to be used in incentive plans to assess AbbVie’s performance, competitive short- and long-term incentive practices in the marketplace, and compensation levels relative to market benchmarks. The committee negotiates and approves all fees paid to Semler Brossy for these services. AbbVie did not engage Semler Brossy to perform any other services during 2025.</w:t>
      </w:r>
    </w:p>
    <w:p>
      <w:pPr>
        <w:spacing w:after="0" w:line="63" w:lineRule="exact"/>
        <w:rPr>
          <w:sz w:val="20"/>
          <w:szCs w:val="20"/>
          <w:color w:val="auto"/>
        </w:rPr>
      </w:pPr>
    </w:p>
    <w:p>
      <w:pPr>
        <w:ind w:left="9" w:right="280"/>
        <w:spacing w:after="0" w:line="262" w:lineRule="auto"/>
        <w:rPr>
          <w:sz w:val="20"/>
          <w:szCs w:val="20"/>
          <w:color w:val="auto"/>
        </w:rPr>
      </w:pPr>
      <w:r>
        <w:rPr>
          <w:rFonts w:ascii="Arial" w:cs="Arial" w:eastAsia="Arial" w:hAnsi="Arial"/>
          <w:sz w:val="16"/>
          <w:szCs w:val="16"/>
          <w:color w:val="auto"/>
        </w:rPr>
        <w:t>Based on an assessment of internally developed information and information provided by Semler Brossy, the committee has determined that its independent compensation consultant does not have a conflict of interest. A copy of the compensation committee report is included in the ‘‘Compensation Committee Report’’ section of this proxy statement.</w:t>
      </w:r>
    </w:p>
    <w:p>
      <w:pPr>
        <w:spacing w:after="0" w:line="296"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71D49"/>
        </w:rPr>
        <w:t>Nominations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5878195" cy="18605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78195" cy="1860550"/>
                    </a:xfrm>
                    <a:prstGeom prst="rect">
                      <a:avLst/>
                    </a:prstGeom>
                    <a:noFill/>
                  </pic:spPr>
                </pic:pic>
              </a:graphicData>
            </a:graphic>
          </wp:anchor>
        </w:drawing>
      </w:r>
    </w:p>
    <w:p>
      <w:pPr>
        <w:spacing w:after="0" w:line="158" w:lineRule="exact"/>
        <w:rPr>
          <w:sz w:val="20"/>
          <w:szCs w:val="20"/>
          <w:color w:val="auto"/>
        </w:rPr>
      </w:pPr>
    </w:p>
    <w:p>
      <w:pPr>
        <w:ind w:left="29"/>
        <w:spacing w:after="0"/>
        <w:tabs>
          <w:tab w:leader="none" w:pos="1509" w:val="left"/>
          <w:tab w:leader="none" w:pos="7409" w:val="left"/>
        </w:tabs>
        <w:rPr>
          <w:sz w:val="20"/>
          <w:szCs w:val="20"/>
          <w:color w:val="auto"/>
        </w:rPr>
      </w:pPr>
      <w:r>
        <w:rPr>
          <w:rFonts w:ascii="Arial" w:cs="Arial" w:eastAsia="Arial" w:hAnsi="Arial"/>
          <w:sz w:val="15"/>
          <w:szCs w:val="15"/>
          <w:b w:val="1"/>
          <w:bCs w:val="1"/>
          <w:color w:val="auto"/>
        </w:rPr>
        <w:t>Members</w:t>
      </w:r>
      <w:r>
        <w:rPr>
          <w:sz w:val="20"/>
          <w:szCs w:val="20"/>
          <w:color w:val="auto"/>
        </w:rPr>
        <w:tab/>
      </w:r>
      <w:r>
        <w:rPr>
          <w:rFonts w:ascii="Arial" w:cs="Arial" w:eastAsia="Arial" w:hAnsi="Arial"/>
          <w:sz w:val="15"/>
          <w:szCs w:val="15"/>
          <w:b w:val="1"/>
          <w:bCs w:val="1"/>
          <w:color w:val="auto"/>
        </w:rPr>
        <w:t>Key Characteristics and Responsibilities</w:t>
      </w:r>
      <w:r>
        <w:rPr>
          <w:sz w:val="20"/>
          <w:szCs w:val="20"/>
          <w:color w:val="auto"/>
        </w:rPr>
        <w:tab/>
      </w:r>
      <w:r>
        <w:rPr>
          <w:rFonts w:ascii="Arial" w:cs="Arial" w:eastAsia="Arial" w:hAnsi="Arial"/>
          <w:sz w:val="14"/>
          <w:szCs w:val="14"/>
          <w:b w:val="1"/>
          <w:bCs w:val="1"/>
          <w:color w:val="auto"/>
        </w:rPr>
        <w:t>Meetings in 2025: 4</w:t>
      </w:r>
    </w:p>
    <w:p>
      <w:pPr>
        <w:sectPr>
          <w:pgSz w:w="11900" w:h="16838" w:orient="portrait"/>
          <w:cols w:equalWidth="0" w:num="1">
            <w:col w:w="9269"/>
          </w:cols>
          <w:pgMar w:left="1311" w:top="480" w:right="1319" w:bottom="1440" w:gutter="0" w:footer="0" w:header="0"/>
        </w:sectPr>
      </w:pPr>
    </w:p>
    <w:p>
      <w:pPr>
        <w:spacing w:after="0" w:line="254" w:lineRule="exact"/>
        <w:rPr>
          <w:sz w:val="20"/>
          <w:szCs w:val="20"/>
          <w:color w:val="auto"/>
        </w:rPr>
      </w:pPr>
    </w:p>
    <w:p>
      <w:pPr>
        <w:ind w:left="109" w:hanging="109"/>
        <w:spacing w:after="0" w:line="369" w:lineRule="auto"/>
        <w:tabs>
          <w:tab w:leader="none" w:pos="164"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Freyman </w:t>
      </w:r>
      <w:r>
        <w:rPr>
          <w:rFonts w:ascii="Arial" w:cs="Arial" w:eastAsia="Arial" w:hAnsi="Arial"/>
          <w:sz w:val="16"/>
          <w:szCs w:val="16"/>
          <w:b w:val="1"/>
          <w:bCs w:val="1"/>
          <w:color w:val="071D49"/>
        </w:rPr>
        <w:t>(Chair)</w:t>
      </w:r>
    </w:p>
    <w:p>
      <w:pPr>
        <w:ind w:left="9" w:right="20" w:hanging="9"/>
        <w:spacing w:after="0" w:line="382" w:lineRule="auto"/>
        <w:tabs>
          <w:tab w:leader="none" w:pos="219"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Austin J. Davis B. Hart E. Rapp R. Roberts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43" w:right="100" w:hanging="243"/>
        <w:spacing w:after="0" w:line="255" w:lineRule="auto"/>
        <w:tabs>
          <w:tab w:leader="none" w:pos="212" w:val="left"/>
        </w:tabs>
        <w:numPr>
          <w:ilvl w:val="0"/>
          <w:numId w:val="44"/>
        </w:numPr>
        <w:rPr>
          <w:rFonts w:ascii="MS PGothic" w:cs="MS PGothic" w:eastAsia="MS PGothic" w:hAnsi="MS PGothic"/>
          <w:sz w:val="15"/>
          <w:szCs w:val="15"/>
          <w:color w:val="071D49"/>
        </w:rPr>
      </w:pPr>
      <w:r>
        <w:rPr>
          <w:rFonts w:ascii="Arial" w:cs="Arial" w:eastAsia="Arial" w:hAnsi="Arial"/>
          <w:sz w:val="15"/>
          <w:szCs w:val="15"/>
          <w:color w:val="auto"/>
        </w:rPr>
        <w:t>​The​ nominations and governance committee is governed by a written charter. The charter sets forth the purposes of the nominations and governance committee, identifies qualifications required for the nominations and governance committee members, and describes the committee’s authority and responsibilities.</w:t>
      </w:r>
    </w:p>
    <w:p>
      <w:pPr>
        <w:spacing w:after="0" w:line="16" w:lineRule="exact"/>
        <w:rPr>
          <w:rFonts w:ascii="MS PGothic" w:cs="MS PGothic" w:eastAsia="MS PGothic" w:hAnsi="MS PGothic"/>
          <w:sz w:val="15"/>
          <w:szCs w:val="15"/>
          <w:color w:val="071D49"/>
        </w:rPr>
      </w:pPr>
    </w:p>
    <w:p>
      <w:pPr>
        <w:ind w:left="243" w:right="20" w:hanging="243"/>
        <w:spacing w:after="0" w:line="246" w:lineRule="auto"/>
        <w:tabs>
          <w:tab w:leader="none" w:pos="212" w:val="left"/>
        </w:tabs>
        <w:numPr>
          <w:ilvl w:val="0"/>
          <w:numId w:val="44"/>
        </w:numPr>
        <w:rPr>
          <w:rFonts w:ascii="MS PGothic" w:cs="MS PGothic" w:eastAsia="MS PGothic" w:hAnsi="MS PGothic"/>
          <w:sz w:val="15"/>
          <w:szCs w:val="15"/>
          <w:color w:val="071D49"/>
        </w:rPr>
      </w:pPr>
      <w:r>
        <w:rPr>
          <w:rFonts w:ascii="Arial" w:cs="Arial" w:eastAsia="Arial" w:hAnsi="Arial"/>
          <w:sz w:val="15"/>
          <w:szCs w:val="15"/>
          <w:color w:val="auto"/>
        </w:rPr>
        <w:t>​This​ committee assists the Board of Directors in identifying individuals qualified to become Board members and recommends to the Board the nominees for election as directors at the next annual meeting of stockholders, recommends to the Board the persons to be elected as executive officers of AbbVie, recommends to the Board the corporate governance guidelines applicable to AbbVie, oversees the evaluation of the Board and management, and serves in an advisory capacity to the Board and the Chairman of the Board on matters of organization, management succession plans, major changes in the organizational structure of AbbVie, and the conduct of Board activities.</w:t>
      </w:r>
    </w:p>
    <w:p>
      <w:pPr>
        <w:spacing w:after="0" w:line="5" w:lineRule="exact"/>
        <w:rPr>
          <w:rFonts w:ascii="MS PGothic" w:cs="MS PGothic" w:eastAsia="MS PGothic" w:hAnsi="MS PGothic"/>
          <w:sz w:val="15"/>
          <w:szCs w:val="15"/>
          <w:color w:val="071D49"/>
        </w:rPr>
      </w:pPr>
    </w:p>
    <w:p>
      <w:pPr>
        <w:ind w:left="243" w:right="620" w:hanging="243"/>
        <w:spacing w:after="0" w:line="263" w:lineRule="auto"/>
        <w:tabs>
          <w:tab w:leader="none" w:pos="212" w:val="left"/>
        </w:tabs>
        <w:numPr>
          <w:ilvl w:val="0"/>
          <w:numId w:val="44"/>
        </w:numPr>
        <w:rPr>
          <w:rFonts w:ascii="MS PGothic" w:cs="MS PGothic" w:eastAsia="MS PGothic" w:hAnsi="MS PGothic"/>
          <w:sz w:val="15"/>
          <w:szCs w:val="15"/>
          <w:color w:val="071D49"/>
        </w:rPr>
      </w:pPr>
      <w:r>
        <w:rPr>
          <w:rFonts w:ascii="Arial" w:cs="Arial" w:eastAsia="Arial" w:hAnsi="Arial"/>
          <w:sz w:val="15"/>
          <w:szCs w:val="15"/>
          <w:color w:val="auto"/>
        </w:rPr>
        <w:t>​The​ process used by this committee to identify a nominee to serve as a member of the Board of Directors depends on the qualities being sought, as described in the skills chart shown in this section.</w:t>
      </w:r>
    </w:p>
    <w:p>
      <w:pPr>
        <w:spacing w:after="0" w:line="15" w:lineRule="exact"/>
        <w:rPr>
          <w:rFonts w:ascii="MS PGothic" w:cs="MS PGothic" w:eastAsia="MS PGothic" w:hAnsi="MS PGothic"/>
          <w:sz w:val="15"/>
          <w:szCs w:val="15"/>
          <w:color w:val="071D49"/>
        </w:rPr>
      </w:pPr>
    </w:p>
    <w:p>
      <w:pPr>
        <w:ind w:left="243" w:right="400" w:hanging="243"/>
        <w:spacing w:after="0" w:line="286" w:lineRule="auto"/>
        <w:tabs>
          <w:tab w:leader="none" w:pos="212" w:val="left"/>
        </w:tabs>
        <w:numPr>
          <w:ilvl w:val="0"/>
          <w:numId w:val="44"/>
        </w:numPr>
        <w:rPr>
          <w:rFonts w:ascii="MS PGothic" w:cs="MS PGothic" w:eastAsia="MS PGothic" w:hAnsi="MS PGothic"/>
          <w:sz w:val="15"/>
          <w:szCs w:val="15"/>
          <w:color w:val="071D49"/>
        </w:rPr>
      </w:pPr>
      <w:r>
        <w:rPr>
          <w:rFonts w:ascii="Arial" w:cs="Arial" w:eastAsia="Arial" w:hAnsi="Arial"/>
          <w:sz w:val="15"/>
          <w:szCs w:val="15"/>
          <w:color w:val="auto"/>
        </w:rPr>
        <w:t>​From​ time to time, AbbVie engages an executive search firm to assist the committee in identifying individuals qualified to be Board members.</w:t>
      </w:r>
    </w:p>
    <w:p>
      <w:pPr>
        <w:spacing w:after="0" w:line="200" w:lineRule="exact"/>
        <w:rPr>
          <w:sz w:val="20"/>
          <w:szCs w:val="20"/>
          <w:color w:val="auto"/>
        </w:rPr>
      </w:pPr>
    </w:p>
    <w:p>
      <w:pPr>
        <w:sectPr>
          <w:pgSz w:w="11900" w:h="16838" w:orient="portrait"/>
          <w:cols w:equalWidth="0" w:num="2">
            <w:col w:w="849" w:space="677"/>
            <w:col w:w="7743"/>
          </w:cols>
          <w:pgMar w:left="1311" w:top="480" w:right="1319" w:bottom="1440" w:gutter="0" w:footer="0" w:header="0"/>
          <w:type w:val="continuous"/>
        </w:sectPr>
      </w:pPr>
    </w:p>
    <w:p>
      <w:pPr>
        <w:spacing w:after="0" w:line="25"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71D49"/>
        </w:rPr>
        <w:t>Public Policy and 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836295" cy="14776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36295" cy="1477645"/>
                    </a:xfrm>
                    <a:prstGeom prst="rect">
                      <a:avLst/>
                    </a:prstGeom>
                    <a:noFill/>
                  </pic:spPr>
                </pic:pic>
              </a:graphicData>
            </a:graphic>
          </wp:anchor>
        </w:drawing>
      </w:r>
    </w:p>
    <w:p>
      <w:pPr>
        <w:spacing w:after="0" w:line="170" w:lineRule="exact"/>
        <w:rPr>
          <w:sz w:val="20"/>
          <w:szCs w:val="20"/>
          <w:color w:val="auto"/>
        </w:rPr>
      </w:pPr>
    </w:p>
    <w:tbl>
      <w:tblPr>
        <w:tblLayout w:type="fixed"/>
        <w:tblInd w:w="9"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5"/>
                <w:szCs w:val="15"/>
                <w:b w:val="1"/>
                <w:bCs w:val="1"/>
                <w:color w:val="auto"/>
              </w:rPr>
              <w:t>Members</w:t>
            </w:r>
          </w:p>
        </w:tc>
        <w:tc>
          <w:tcPr>
            <w:tcW w:w="4680" w:type="dxa"/>
            <w:vAlign w:val="bottom"/>
          </w:tcPr>
          <w:p>
            <w:pPr>
              <w:ind w:left="300"/>
              <w:spacing w:after="0"/>
              <w:rPr>
                <w:sz w:val="20"/>
                <w:szCs w:val="20"/>
                <w:color w:val="auto"/>
              </w:rPr>
            </w:pPr>
            <w:r>
              <w:rPr>
                <w:rFonts w:ascii="Arial" w:cs="Arial" w:eastAsia="Arial" w:hAnsi="Arial"/>
                <w:sz w:val="15"/>
                <w:szCs w:val="15"/>
                <w:b w:val="1"/>
                <w:bCs w:val="1"/>
                <w:color w:val="auto"/>
              </w:rPr>
              <w:t>Key Characteristics and Responsibilities</w:t>
            </w:r>
          </w:p>
        </w:tc>
        <w:tc>
          <w:tcPr>
            <w:tcW w:w="3360" w:type="dxa"/>
            <w:vAlign w:val="bottom"/>
          </w:tcPr>
          <w:p>
            <w:pPr>
              <w:ind w:left="1540"/>
              <w:spacing w:after="0"/>
              <w:rPr>
                <w:sz w:val="20"/>
                <w:szCs w:val="20"/>
                <w:color w:val="auto"/>
              </w:rPr>
            </w:pPr>
            <w:r>
              <w:rPr>
                <w:rFonts w:ascii="Arial" w:cs="Arial" w:eastAsia="Arial" w:hAnsi="Arial"/>
                <w:sz w:val="15"/>
                <w:szCs w:val="15"/>
                <w:b w:val="1"/>
                <w:bCs w:val="1"/>
                <w:color w:val="auto"/>
              </w:rPr>
              <w:t>Meetings in 2025: 4</w:t>
            </w:r>
          </w:p>
        </w:tc>
        <w:tc>
          <w:tcPr>
            <w:tcW w:w="0" w:type="dxa"/>
            <w:vAlign w:val="bottom"/>
          </w:tcPr>
          <w:p>
            <w:pPr>
              <w:spacing w:after="0"/>
              <w:rPr>
                <w:sz w:val="1"/>
                <w:szCs w:val="1"/>
                <w:color w:val="auto"/>
              </w:rPr>
            </w:pPr>
          </w:p>
        </w:tc>
      </w:tr>
      <w:tr>
        <w:trPr>
          <w:trHeight w:val="49"/>
        </w:trPr>
        <w:tc>
          <w:tcPr>
            <w:tcW w:w="1220" w:type="dxa"/>
            <w:vAlign w:val="bottom"/>
            <w:gridSpan w:val="2"/>
          </w:tcPr>
          <w:p>
            <w:pPr>
              <w:spacing w:after="0"/>
              <w:rPr>
                <w:sz w:val="4"/>
                <w:szCs w:val="4"/>
                <w:color w:val="auto"/>
              </w:rPr>
            </w:pPr>
          </w:p>
        </w:tc>
        <w:tc>
          <w:tcPr>
            <w:tcW w:w="80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Borders>
              <w:top w:val="single" w:sz="8" w:color="071D49"/>
            </w:tcBorders>
          </w:tcPr>
          <w:p>
            <w:pPr>
              <w:spacing w:after="0" w:line="172" w:lineRule="exact"/>
              <w:rPr>
                <w:sz w:val="20"/>
                <w:szCs w:val="20"/>
                <w:color w:val="auto"/>
              </w:rPr>
            </w:pPr>
            <w:r>
              <w:rPr>
                <w:rFonts w:ascii="Arial" w:cs="Arial" w:eastAsia="Arial" w:hAnsi="Arial"/>
                <w:sz w:val="16"/>
                <w:szCs w:val="16"/>
                <w:b w:val="1"/>
                <w:bCs w:val="1"/>
                <w:color w:val="auto"/>
              </w:rPr>
              <w:t>M. Meyer</w:t>
            </w:r>
          </w:p>
        </w:tc>
        <w:tc>
          <w:tcPr>
            <w:tcW w:w="8040" w:type="dxa"/>
            <w:vAlign w:val="bottom"/>
            <w:tcBorders>
              <w:top w:val="single" w:sz="8" w:color="071D49"/>
            </w:tcBorders>
            <w:gridSpan w:val="2"/>
          </w:tcPr>
          <w:p>
            <w:pPr>
              <w:ind w:left="300"/>
              <w:spacing w:after="0" w:line="173" w:lineRule="exact"/>
              <w:rPr>
                <w:sz w:val="20"/>
                <w:szCs w:val="20"/>
                <w:color w:val="auto"/>
              </w:rPr>
            </w:pPr>
            <w:r>
              <w:rPr>
                <w:rFonts w:ascii="MS PGothic" w:cs="MS PGothic" w:eastAsia="MS PGothic" w:hAnsi="MS PGothic"/>
                <w:sz w:val="15"/>
                <w:szCs w:val="15"/>
                <w:color w:val="071D49"/>
                <w:w w:val="99"/>
              </w:rPr>
              <w:t>✓</w:t>
            </w:r>
            <w:r>
              <w:rPr>
                <w:rFonts w:ascii="Arial" w:cs="Arial" w:eastAsia="Arial" w:hAnsi="Arial"/>
                <w:sz w:val="15"/>
                <w:szCs w:val="15"/>
                <w:color w:val="auto"/>
                <w:w w:val="99"/>
              </w:rPr>
              <w:t xml:space="preserve"> ​The​ public policy and sustainability committee is governed by a written charter. The charter sets forth the purposes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vMerge w:val="restart"/>
          </w:tcPr>
          <w:p>
            <w:pPr>
              <w:ind w:left="80"/>
              <w:spacing w:after="0"/>
              <w:rPr>
                <w:sz w:val="20"/>
                <w:szCs w:val="20"/>
                <w:color w:val="auto"/>
              </w:rPr>
            </w:pPr>
            <w:r>
              <w:rPr>
                <w:rFonts w:ascii="Arial" w:cs="Arial" w:eastAsia="Arial" w:hAnsi="Arial"/>
                <w:sz w:val="16"/>
                <w:szCs w:val="16"/>
                <w:b w:val="1"/>
                <w:bCs w:val="1"/>
                <w:color w:val="071D49"/>
              </w:rPr>
              <w:t>(Chair)</w:t>
            </w:r>
          </w:p>
        </w:tc>
        <w:tc>
          <w:tcPr>
            <w:tcW w:w="8040" w:type="dxa"/>
            <w:vAlign w:val="bottom"/>
            <w:gridSpan w:val="2"/>
          </w:tcPr>
          <w:p>
            <w:pPr>
              <w:ind w:left="540"/>
              <w:spacing w:after="0"/>
              <w:rPr>
                <w:sz w:val="20"/>
                <w:szCs w:val="20"/>
                <w:color w:val="auto"/>
              </w:rPr>
            </w:pPr>
            <w:r>
              <w:rPr>
                <w:rFonts w:ascii="Arial" w:cs="Arial" w:eastAsia="Arial" w:hAnsi="Arial"/>
                <w:sz w:val="15"/>
                <w:szCs w:val="15"/>
                <w:color w:val="auto"/>
              </w:rPr>
              <w:t>of the public policy and sustainability committee, identifies qualifications required for the public policy and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40" w:type="dxa"/>
            <w:vAlign w:val="bottom"/>
            <w:gridSpan w:val="2"/>
          </w:tcPr>
          <w:p>
            <w:pPr>
              <w:ind w:left="540"/>
              <w:spacing w:after="0"/>
              <w:rPr>
                <w:sz w:val="20"/>
                <w:szCs w:val="20"/>
                <w:color w:val="auto"/>
              </w:rPr>
            </w:pPr>
            <w:r>
              <w:rPr>
                <w:rFonts w:ascii="Arial" w:cs="Arial" w:eastAsia="Arial" w:hAnsi="Arial"/>
                <w:sz w:val="15"/>
                <w:szCs w:val="15"/>
                <w:color w:val="auto"/>
              </w:rPr>
              <w:t>sustainability committee members, and describes the committee’s authority and responsibilities.</w:t>
            </w:r>
          </w:p>
        </w:tc>
        <w:tc>
          <w:tcPr>
            <w:tcW w:w="0" w:type="dxa"/>
            <w:vAlign w:val="bottom"/>
          </w:tcPr>
          <w:p>
            <w:pPr>
              <w:spacing w:after="0"/>
              <w:rPr>
                <w:sz w:val="1"/>
                <w:szCs w:val="1"/>
                <w:color w:val="auto"/>
              </w:rPr>
            </w:pPr>
          </w:p>
        </w:tc>
      </w:tr>
      <w:tr>
        <w:trPr>
          <w:trHeight w:val="218"/>
        </w:trPr>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R. Alpern</w:t>
            </w:r>
          </w:p>
        </w:tc>
        <w:tc>
          <w:tcPr>
            <w:tcW w:w="8040" w:type="dxa"/>
            <w:vAlign w:val="bottom"/>
            <w:gridSpan w:val="2"/>
          </w:tcPr>
          <w:p>
            <w:pPr>
              <w:ind w:left="300"/>
              <w:spacing w:after="0" w:line="173" w:lineRule="exact"/>
              <w:rPr>
                <w:sz w:val="20"/>
                <w:szCs w:val="20"/>
                <w:color w:val="auto"/>
              </w:rPr>
            </w:pPr>
            <w:r>
              <w:rPr>
                <w:rFonts w:ascii="MS PGothic" w:cs="MS PGothic" w:eastAsia="MS PGothic" w:hAnsi="MS PGothic"/>
                <w:sz w:val="15"/>
                <w:szCs w:val="15"/>
                <w:color w:val="071D49"/>
                <w:w w:val="99"/>
              </w:rPr>
              <w:t>✓</w:t>
            </w:r>
            <w:r>
              <w:rPr>
                <w:rFonts w:ascii="Arial" w:cs="Arial" w:eastAsia="Arial" w:hAnsi="Arial"/>
                <w:sz w:val="15"/>
                <w:szCs w:val="15"/>
                <w:color w:val="auto"/>
                <w:w w:val="99"/>
              </w:rPr>
              <w:t xml:space="preserve"> ​This​ committee assists the Board of Directors in fulfilling its oversight responsibility with respect to AbbVie’s public</w:t>
            </w:r>
          </w:p>
        </w:tc>
        <w:tc>
          <w:tcPr>
            <w:tcW w:w="0" w:type="dxa"/>
            <w:vAlign w:val="bottom"/>
          </w:tcPr>
          <w:p>
            <w:pPr>
              <w:spacing w:after="0"/>
              <w:rPr>
                <w:sz w:val="1"/>
                <w:szCs w:val="1"/>
                <w:color w:val="auto"/>
              </w:rPr>
            </w:pPr>
          </w:p>
        </w:tc>
      </w:tr>
      <w:tr>
        <w:trPr>
          <w:trHeight w:val="172"/>
        </w:trPr>
        <w:tc>
          <w:tcPr>
            <w:tcW w:w="1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 Austin</w:t>
            </w:r>
          </w:p>
        </w:tc>
        <w:tc>
          <w:tcPr>
            <w:tcW w:w="8040" w:type="dxa"/>
            <w:vAlign w:val="bottom"/>
            <w:gridSpan w:val="2"/>
          </w:tcPr>
          <w:p>
            <w:pPr>
              <w:ind w:left="540"/>
              <w:spacing w:after="0"/>
              <w:rPr>
                <w:sz w:val="20"/>
                <w:szCs w:val="20"/>
                <w:color w:val="auto"/>
              </w:rPr>
            </w:pPr>
            <w:r>
              <w:rPr>
                <w:rFonts w:ascii="Arial" w:cs="Arial" w:eastAsia="Arial" w:hAnsi="Arial"/>
                <w:sz w:val="15"/>
                <w:szCs w:val="15"/>
                <w:color w:val="auto"/>
              </w:rPr>
              <w:t>policy, certain areas of legal and regulatory compliance, governmental affairs, health care compliance, social</w:t>
            </w:r>
          </w:p>
        </w:tc>
        <w:tc>
          <w:tcPr>
            <w:tcW w:w="0" w:type="dxa"/>
            <w:vAlign w:val="bottom"/>
          </w:tcPr>
          <w:p>
            <w:pPr>
              <w:spacing w:after="0"/>
              <w:rPr>
                <w:sz w:val="1"/>
                <w:szCs w:val="1"/>
                <w:color w:val="auto"/>
              </w:rPr>
            </w:pPr>
          </w:p>
        </w:tc>
      </w:tr>
      <w:tr>
        <w:trPr>
          <w:trHeight w:val="176"/>
        </w:trPr>
        <w:tc>
          <w:tcPr>
            <w:tcW w:w="1220" w:type="dxa"/>
            <w:vAlign w:val="bottom"/>
            <w:gridSpan w:val="2"/>
            <w:vMerge w:val="continue"/>
          </w:tcPr>
          <w:p>
            <w:pPr>
              <w:spacing w:after="0"/>
              <w:rPr>
                <w:sz w:val="15"/>
                <w:szCs w:val="15"/>
                <w:color w:val="auto"/>
              </w:rPr>
            </w:pPr>
          </w:p>
        </w:tc>
        <w:tc>
          <w:tcPr>
            <w:tcW w:w="8040" w:type="dxa"/>
            <w:vAlign w:val="bottom"/>
            <w:gridSpan w:val="2"/>
          </w:tcPr>
          <w:p>
            <w:pPr>
              <w:ind w:left="540"/>
              <w:spacing w:after="0"/>
              <w:rPr>
                <w:sz w:val="20"/>
                <w:szCs w:val="20"/>
                <w:color w:val="auto"/>
              </w:rPr>
            </w:pPr>
            <w:r>
              <w:rPr>
                <w:rFonts w:ascii="Arial" w:cs="Arial" w:eastAsia="Arial" w:hAnsi="Arial"/>
                <w:sz w:val="15"/>
                <w:szCs w:val="15"/>
                <w:color w:val="auto"/>
              </w:rPr>
              <w:t>responsibility, and sustainability and environmental matters that affect or could affect AbbVie.</w:t>
            </w:r>
          </w:p>
        </w:tc>
        <w:tc>
          <w:tcPr>
            <w:tcW w:w="0" w:type="dxa"/>
            <w:vAlign w:val="bottom"/>
          </w:tcPr>
          <w:p>
            <w:pPr>
              <w:spacing w:after="0"/>
              <w:rPr>
                <w:sz w:val="1"/>
                <w:szCs w:val="1"/>
                <w:color w:val="auto"/>
              </w:rPr>
            </w:pPr>
          </w:p>
        </w:tc>
      </w:tr>
      <w:tr>
        <w:trPr>
          <w:trHeight w:val="218"/>
        </w:trPr>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W. Burnside</w:t>
            </w:r>
          </w:p>
        </w:tc>
        <w:tc>
          <w:tcPr>
            <w:tcW w:w="8040" w:type="dxa"/>
            <w:vAlign w:val="bottom"/>
            <w:gridSpan w:val="2"/>
          </w:tcPr>
          <w:p>
            <w:pPr>
              <w:ind w:left="300"/>
              <w:spacing w:after="0" w:line="173" w:lineRule="exact"/>
              <w:rPr>
                <w:sz w:val="20"/>
                <w:szCs w:val="20"/>
                <w:color w:val="auto"/>
              </w:rPr>
            </w:pPr>
            <w:r>
              <w:rPr>
                <w:rFonts w:ascii="MS PGothic" w:cs="MS PGothic" w:eastAsia="MS PGothic" w:hAnsi="MS PGothic"/>
                <w:sz w:val="15"/>
                <w:szCs w:val="15"/>
                <w:color w:val="071D49"/>
              </w:rPr>
              <w:t>✓</w:t>
            </w:r>
            <w:r>
              <w:rPr>
                <w:rFonts w:ascii="Arial" w:cs="Arial" w:eastAsia="Arial" w:hAnsi="Arial"/>
                <w:sz w:val="15"/>
                <w:szCs w:val="15"/>
                <w:color w:val="auto"/>
              </w:rPr>
              <w:t xml:space="preserve"> ​Other​ topics within the committee’s purview include but are not limited to ethics and compliance matters,</w:t>
            </w:r>
          </w:p>
        </w:tc>
        <w:tc>
          <w:tcPr>
            <w:tcW w:w="0" w:type="dxa"/>
            <w:vAlign w:val="bottom"/>
          </w:tcPr>
          <w:p>
            <w:pPr>
              <w:spacing w:after="0"/>
              <w:rPr>
                <w:sz w:val="1"/>
                <w:szCs w:val="1"/>
                <w:color w:val="auto"/>
              </w:rPr>
            </w:pPr>
          </w:p>
        </w:tc>
      </w:tr>
      <w:tr>
        <w:trPr>
          <w:trHeight w:val="172"/>
        </w:trPr>
        <w:tc>
          <w:tcPr>
            <w:tcW w:w="1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 Quaggin</w:t>
            </w:r>
          </w:p>
        </w:tc>
        <w:tc>
          <w:tcPr>
            <w:tcW w:w="8040" w:type="dxa"/>
            <w:vAlign w:val="bottom"/>
            <w:gridSpan w:val="2"/>
          </w:tcPr>
          <w:p>
            <w:pPr>
              <w:ind w:left="540"/>
              <w:spacing w:after="0"/>
              <w:rPr>
                <w:sz w:val="20"/>
                <w:szCs w:val="20"/>
                <w:color w:val="auto"/>
              </w:rPr>
            </w:pPr>
            <w:r>
              <w:rPr>
                <w:rFonts w:ascii="Arial" w:cs="Arial" w:eastAsia="Arial" w:hAnsi="Arial"/>
                <w:sz w:val="15"/>
                <w:szCs w:val="15"/>
                <w:color w:val="auto"/>
              </w:rPr>
              <w:t>government and regulatory trends relevant to AbbVie’s business, political contributions, and corporate</w:t>
            </w:r>
          </w:p>
        </w:tc>
        <w:tc>
          <w:tcPr>
            <w:tcW w:w="0" w:type="dxa"/>
            <w:vAlign w:val="bottom"/>
          </w:tcPr>
          <w:p>
            <w:pPr>
              <w:spacing w:after="0"/>
              <w:rPr>
                <w:sz w:val="1"/>
                <w:szCs w:val="1"/>
                <w:color w:val="auto"/>
              </w:rPr>
            </w:pPr>
          </w:p>
        </w:tc>
      </w:tr>
      <w:tr>
        <w:trPr>
          <w:trHeight w:val="194"/>
        </w:trPr>
        <w:tc>
          <w:tcPr>
            <w:tcW w:w="1220" w:type="dxa"/>
            <w:vAlign w:val="bottom"/>
            <w:gridSpan w:val="2"/>
            <w:vMerge w:val="continue"/>
          </w:tcPr>
          <w:p>
            <w:pPr>
              <w:spacing w:after="0"/>
              <w:rPr>
                <w:sz w:val="16"/>
                <w:szCs w:val="16"/>
                <w:color w:val="auto"/>
              </w:rPr>
            </w:pPr>
          </w:p>
        </w:tc>
        <w:tc>
          <w:tcPr>
            <w:tcW w:w="4680" w:type="dxa"/>
            <w:vAlign w:val="bottom"/>
          </w:tcPr>
          <w:p>
            <w:pPr>
              <w:ind w:left="540"/>
              <w:spacing w:after="0"/>
              <w:rPr>
                <w:sz w:val="20"/>
                <w:szCs w:val="20"/>
                <w:color w:val="auto"/>
              </w:rPr>
            </w:pPr>
            <w:r>
              <w:rPr>
                <w:rFonts w:ascii="Arial" w:cs="Arial" w:eastAsia="Arial" w:hAnsi="Arial"/>
                <w:sz w:val="15"/>
                <w:szCs w:val="15"/>
                <w:color w:val="auto"/>
              </w:rPr>
              <w:t>philanthropy.</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R. Roberts</w:t>
      </w:r>
    </w:p>
    <w:p>
      <w:pPr>
        <w:spacing w:after="0" w:line="284"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71D49"/>
        </w:rPr>
        <w:t>Executive Committee</w:t>
      </w:r>
    </w:p>
    <w:p>
      <w:pPr>
        <w:spacing w:after="0" w:line="99" w:lineRule="exact"/>
        <w:rPr>
          <w:sz w:val="20"/>
          <w:szCs w:val="20"/>
          <w:color w:val="auto"/>
        </w:rPr>
      </w:pPr>
    </w:p>
    <w:p>
      <w:pPr>
        <w:ind w:left="9" w:right="40"/>
        <w:spacing w:after="0" w:line="262" w:lineRule="auto"/>
        <w:rPr>
          <w:sz w:val="20"/>
          <w:szCs w:val="20"/>
          <w:color w:val="auto"/>
        </w:rPr>
      </w:pPr>
      <w:r>
        <w:rPr>
          <w:rFonts w:ascii="Arial" w:cs="Arial" w:eastAsia="Arial" w:hAnsi="Arial"/>
          <w:sz w:val="16"/>
          <w:szCs w:val="16"/>
          <w:color w:val="auto"/>
        </w:rPr>
        <w:t>The executive committee members are Mr. Michael, chair, Ms. Austin, Mr. Freyman, Mr. Hart, Ms. Meyer, and Mr. Waddell. This committee may exercise all of the authority of the Board in the management of AbbVie, except for matters expressly reserved by law for Board action.</w:t>
      </w:r>
    </w:p>
    <w:p>
      <w:pPr>
        <w:spacing w:after="0" w:line="376"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24</w:t>
      </w:r>
      <w:r>
        <w:rPr>
          <w:sz w:val="20"/>
          <w:szCs w:val="20"/>
          <w:color w:val="auto"/>
        </w:rPr>
        <w:tab/>
      </w:r>
      <w:r>
        <w:rPr>
          <w:sz w:val="1"/>
          <w:szCs w:val="1"/>
          <w:color w:val="auto"/>
        </w:rPr>
        <w:drawing>
          <wp:inline distT="0" distB="0" distL="0" distR="0">
            <wp:extent cx="797560" cy="14097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97560" cy="14097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23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30"/>
          <w:szCs w:val="30"/>
          <w:color w:val="071D49"/>
        </w:rPr>
        <w:t>COMMUNICATING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587819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pacing w:after="0" w:line="221"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Stockholders and other interested parties may communicate with the Board of Directors by writing a letter to the Chairman of the Board, to the Lead Independent Director, or to the independent directors c/o AbbVie Inc., 1 North Waukegan Road, AP34, North Chicago, Illinois 60064, Attention: corporate secretary. The corporate secretary regularly forwards to the addressee all letters other than mass mailings, advertisements, and other materials not relevant to AbbVie’s business. In addition, directors regularly receive a log of all correspondence received by the company that is addressed to a member of the Board and may request any correspondence on that log.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797560" cy="148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28" w:name="page29"/>
    <w:bookmarkEnd w:id="28"/>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9"/>
        <w:spacing w:after="0"/>
        <w:rPr>
          <w:sz w:val="20"/>
          <w:szCs w:val="20"/>
          <w:color w:val="auto"/>
        </w:rPr>
      </w:pPr>
      <w:r>
        <w:rPr>
          <w:rFonts w:ascii="Arial" w:cs="Arial" w:eastAsia="Arial" w:hAnsi="Arial"/>
          <w:sz w:val="33"/>
          <w:szCs w:val="33"/>
          <w:color w:val="071D49"/>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587819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pacing w:after="0" w:line="233" w:lineRule="exact"/>
        <w:rPr>
          <w:sz w:val="20"/>
          <w:szCs w:val="20"/>
          <w:color w:val="auto"/>
        </w:rPr>
      </w:pPr>
    </w:p>
    <w:p>
      <w:pPr>
        <w:ind w:left="9" w:right="60"/>
        <w:spacing w:after="0" w:line="249" w:lineRule="auto"/>
        <w:rPr>
          <w:sz w:val="20"/>
          <w:szCs w:val="20"/>
          <w:color w:val="auto"/>
        </w:rPr>
      </w:pPr>
      <w:r>
        <w:rPr>
          <w:rFonts w:ascii="Arial" w:cs="Arial" w:eastAsia="Arial" w:hAnsi="Arial"/>
          <w:sz w:val="16"/>
          <w:szCs w:val="16"/>
          <w:color w:val="auto"/>
        </w:rPr>
        <w:t>AbbVie employees are not compensated for serving on the Board or Board committees. AbbVie’s non-employee directors are compensated for their service under the AbbVie Non-Employee Directors’ Fee Plan and the AbbVie Amended and Restated 2013 Incentive Stock Program. As described in “Committees of the Board of Directors—Compensation Committee,” director compensation is reviewed annually by the compensation committee with the independent compensation consultant, including a review of director compensation against AbbVie’s Health Care Peer Group, and a recommendation is then provided to the full Board.</w:t>
      </w:r>
    </w:p>
    <w:p>
      <w:pPr>
        <w:spacing w:after="0" w:line="98" w:lineRule="exact"/>
        <w:rPr>
          <w:sz w:val="20"/>
          <w:szCs w:val="20"/>
          <w:color w:val="auto"/>
        </w:rPr>
      </w:pPr>
    </w:p>
    <w:p>
      <w:pPr>
        <w:ind w:left="9" w:right="140"/>
        <w:spacing w:after="0" w:line="262" w:lineRule="auto"/>
        <w:rPr>
          <w:sz w:val="20"/>
          <w:szCs w:val="20"/>
          <w:color w:val="auto"/>
        </w:rPr>
      </w:pPr>
      <w:r>
        <w:rPr>
          <w:rFonts w:ascii="Arial" w:cs="Arial" w:eastAsia="Arial" w:hAnsi="Arial"/>
          <w:sz w:val="16"/>
          <w:szCs w:val="16"/>
          <w:color w:val="auto"/>
        </w:rPr>
        <w:t>The following table sets forth the non-employee directors’ 2025 compensation, and Mr. Gonzalez’s 2025 employee compensation as Executive Chairman of the Board until his retirement on July 1, 2025. The process for setting Mr. Gonzalez’s Executive Chairman pay package is detailed in our 2025 proxy statement.</w:t>
      </w:r>
    </w:p>
    <w:p>
      <w:pPr>
        <w:spacing w:after="0" w:line="106" w:lineRule="exact"/>
        <w:rPr>
          <w:sz w:val="20"/>
          <w:szCs w:val="20"/>
          <w:color w:val="auto"/>
        </w:rPr>
      </w:pPr>
    </w:p>
    <w:tbl>
      <w:tblPr>
        <w:tblLayout w:type="fixed"/>
        <w:tblInd w:w="9"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00" w:type="dxa"/>
            <w:vAlign w:val="bottom"/>
          </w:tcPr>
          <w:p>
            <w:pPr>
              <w:jc w:val="right"/>
              <w:ind w:right="244"/>
              <w:spacing w:after="0"/>
              <w:rPr>
                <w:sz w:val="20"/>
                <w:szCs w:val="20"/>
                <w:color w:val="auto"/>
              </w:rPr>
            </w:pPr>
            <w:r>
              <w:rPr>
                <w:rFonts w:ascii="Arial" w:cs="Arial" w:eastAsia="Arial" w:hAnsi="Arial"/>
                <w:sz w:val="13"/>
                <w:szCs w:val="13"/>
                <w:b w:val="1"/>
                <w:bCs w:val="1"/>
                <w:color w:val="454968"/>
              </w:rPr>
              <w:t>Change in</w:t>
            </w:r>
          </w:p>
        </w:tc>
        <w:tc>
          <w:tcPr>
            <w:tcW w:w="13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jc w:val="right"/>
              <w:ind w:right="244"/>
              <w:spacing w:after="0" w:line="148" w:lineRule="exact"/>
              <w:rPr>
                <w:sz w:val="20"/>
                <w:szCs w:val="20"/>
                <w:color w:val="auto"/>
              </w:rPr>
            </w:pPr>
            <w:r>
              <w:rPr>
                <w:rFonts w:ascii="Arial" w:cs="Arial" w:eastAsia="Arial" w:hAnsi="Arial"/>
                <w:sz w:val="13"/>
                <w:szCs w:val="13"/>
                <w:b w:val="1"/>
                <w:bCs w:val="1"/>
                <w:color w:val="454968"/>
              </w:rPr>
              <w:t>Pension Value</w:t>
            </w: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jc w:val="right"/>
              <w:ind w:right="244"/>
              <w:spacing w:after="0" w:line="148" w:lineRule="exact"/>
              <w:rPr>
                <w:sz w:val="20"/>
                <w:szCs w:val="20"/>
                <w:color w:val="auto"/>
              </w:rPr>
            </w:pPr>
            <w:r>
              <w:rPr>
                <w:rFonts w:ascii="Arial" w:cs="Arial" w:eastAsia="Arial" w:hAnsi="Arial"/>
                <w:sz w:val="13"/>
                <w:szCs w:val="13"/>
                <w:b w:val="1"/>
                <w:bCs w:val="1"/>
                <w:color w:val="454968"/>
              </w:rPr>
              <w:t>and</w:t>
            </w: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jc w:val="right"/>
              <w:ind w:right="244"/>
              <w:spacing w:after="0" w:line="148" w:lineRule="exact"/>
              <w:rPr>
                <w:sz w:val="20"/>
                <w:szCs w:val="20"/>
                <w:color w:val="auto"/>
              </w:rPr>
            </w:pPr>
            <w:r>
              <w:rPr>
                <w:rFonts w:ascii="Arial" w:cs="Arial" w:eastAsia="Arial" w:hAnsi="Arial"/>
                <w:sz w:val="13"/>
                <w:szCs w:val="13"/>
                <w:b w:val="1"/>
                <w:bCs w:val="1"/>
                <w:color w:val="454968"/>
              </w:rPr>
              <w:t>Nonqualified</w:t>
            </w: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jc w:val="right"/>
              <w:ind w:right="302"/>
              <w:spacing w:after="0" w:line="148" w:lineRule="exact"/>
              <w:rPr>
                <w:sz w:val="20"/>
                <w:szCs w:val="20"/>
                <w:color w:val="auto"/>
              </w:rPr>
            </w:pPr>
            <w:r>
              <w:rPr>
                <w:rFonts w:ascii="Arial" w:cs="Arial" w:eastAsia="Arial" w:hAnsi="Arial"/>
                <w:sz w:val="13"/>
                <w:szCs w:val="13"/>
                <w:b w:val="1"/>
                <w:bCs w:val="1"/>
                <w:color w:val="454968"/>
              </w:rPr>
              <w:t>Fees</w:t>
            </w:r>
          </w:p>
        </w:tc>
        <w:tc>
          <w:tcPr>
            <w:tcW w:w="1340" w:type="dxa"/>
            <w:vAlign w:val="bottom"/>
          </w:tcPr>
          <w:p>
            <w:pPr>
              <w:jc w:val="right"/>
              <w:ind w:right="282"/>
              <w:spacing w:after="0" w:line="148" w:lineRule="exact"/>
              <w:rPr>
                <w:sz w:val="20"/>
                <w:szCs w:val="20"/>
                <w:color w:val="auto"/>
              </w:rPr>
            </w:pPr>
            <w:r>
              <w:rPr>
                <w:rFonts w:ascii="Arial" w:cs="Arial" w:eastAsia="Arial" w:hAnsi="Arial"/>
                <w:sz w:val="13"/>
                <w:szCs w:val="13"/>
                <w:b w:val="1"/>
                <w:bCs w:val="1"/>
                <w:color w:val="454968"/>
              </w:rPr>
              <w:t>Restricted</w:t>
            </w:r>
          </w:p>
        </w:tc>
        <w:tc>
          <w:tcPr>
            <w:tcW w:w="1180" w:type="dxa"/>
            <w:vAlign w:val="bottom"/>
          </w:tcPr>
          <w:p>
            <w:pPr>
              <w:spacing w:after="0"/>
              <w:rPr>
                <w:sz w:val="12"/>
                <w:szCs w:val="12"/>
                <w:color w:val="auto"/>
              </w:rPr>
            </w:pPr>
          </w:p>
        </w:tc>
        <w:tc>
          <w:tcPr>
            <w:tcW w:w="1300" w:type="dxa"/>
            <w:vAlign w:val="bottom"/>
          </w:tcPr>
          <w:p>
            <w:pPr>
              <w:jc w:val="right"/>
              <w:ind w:right="244"/>
              <w:spacing w:after="0" w:line="148" w:lineRule="exact"/>
              <w:rPr>
                <w:sz w:val="20"/>
                <w:szCs w:val="20"/>
                <w:color w:val="auto"/>
              </w:rPr>
            </w:pPr>
            <w:r>
              <w:rPr>
                <w:rFonts w:ascii="Arial" w:cs="Arial" w:eastAsia="Arial" w:hAnsi="Arial"/>
                <w:sz w:val="13"/>
                <w:szCs w:val="13"/>
                <w:b w:val="1"/>
                <w:bCs w:val="1"/>
                <w:color w:val="454968"/>
              </w:rPr>
              <w:t>Deferred</w:t>
            </w: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jc w:val="right"/>
              <w:ind w:right="302"/>
              <w:spacing w:after="0" w:line="148" w:lineRule="exact"/>
              <w:rPr>
                <w:sz w:val="20"/>
                <w:szCs w:val="20"/>
                <w:color w:val="auto"/>
              </w:rPr>
            </w:pPr>
            <w:r>
              <w:rPr>
                <w:rFonts w:ascii="Arial" w:cs="Arial" w:eastAsia="Arial" w:hAnsi="Arial"/>
                <w:sz w:val="13"/>
                <w:szCs w:val="13"/>
                <w:b w:val="1"/>
                <w:bCs w:val="1"/>
                <w:color w:val="454968"/>
              </w:rPr>
              <w:t>Earned or</w:t>
            </w:r>
          </w:p>
        </w:tc>
        <w:tc>
          <w:tcPr>
            <w:tcW w:w="1340" w:type="dxa"/>
            <w:vAlign w:val="bottom"/>
          </w:tcPr>
          <w:p>
            <w:pPr>
              <w:jc w:val="right"/>
              <w:ind w:right="282"/>
              <w:spacing w:after="0" w:line="148" w:lineRule="exact"/>
              <w:rPr>
                <w:sz w:val="20"/>
                <w:szCs w:val="20"/>
                <w:color w:val="auto"/>
              </w:rPr>
            </w:pPr>
            <w:r>
              <w:rPr>
                <w:rFonts w:ascii="Arial" w:cs="Arial" w:eastAsia="Arial" w:hAnsi="Arial"/>
                <w:sz w:val="13"/>
                <w:szCs w:val="13"/>
                <w:b w:val="1"/>
                <w:bCs w:val="1"/>
                <w:color w:val="454968"/>
              </w:rPr>
              <w:t>Stock Unit</w:t>
            </w:r>
          </w:p>
        </w:tc>
        <w:tc>
          <w:tcPr>
            <w:tcW w:w="1180" w:type="dxa"/>
            <w:vAlign w:val="bottom"/>
          </w:tcPr>
          <w:p>
            <w:pPr>
              <w:jc w:val="right"/>
              <w:ind w:right="221"/>
              <w:spacing w:after="0" w:line="148" w:lineRule="exact"/>
              <w:rPr>
                <w:sz w:val="20"/>
                <w:szCs w:val="20"/>
                <w:color w:val="auto"/>
              </w:rPr>
            </w:pPr>
            <w:r>
              <w:rPr>
                <w:rFonts w:ascii="Arial" w:cs="Arial" w:eastAsia="Arial" w:hAnsi="Arial"/>
                <w:sz w:val="13"/>
                <w:szCs w:val="13"/>
                <w:b w:val="1"/>
                <w:bCs w:val="1"/>
                <w:color w:val="454968"/>
              </w:rPr>
              <w:t>Option</w:t>
            </w:r>
          </w:p>
        </w:tc>
        <w:tc>
          <w:tcPr>
            <w:tcW w:w="1300" w:type="dxa"/>
            <w:vAlign w:val="bottom"/>
          </w:tcPr>
          <w:p>
            <w:pPr>
              <w:jc w:val="right"/>
              <w:ind w:right="244"/>
              <w:spacing w:after="0" w:line="148" w:lineRule="exact"/>
              <w:rPr>
                <w:sz w:val="20"/>
                <w:szCs w:val="20"/>
                <w:color w:val="auto"/>
              </w:rPr>
            </w:pPr>
            <w:r>
              <w:rPr>
                <w:rFonts w:ascii="Arial" w:cs="Arial" w:eastAsia="Arial" w:hAnsi="Arial"/>
                <w:sz w:val="13"/>
                <w:szCs w:val="13"/>
                <w:b w:val="1"/>
                <w:bCs w:val="1"/>
                <w:color w:val="454968"/>
              </w:rPr>
              <w:t>Compensation</w:t>
            </w:r>
          </w:p>
        </w:tc>
        <w:tc>
          <w:tcPr>
            <w:tcW w:w="1360" w:type="dxa"/>
            <w:vAlign w:val="bottom"/>
          </w:tcPr>
          <w:p>
            <w:pPr>
              <w:jc w:val="right"/>
              <w:ind w:right="281"/>
              <w:spacing w:after="0" w:line="148" w:lineRule="exact"/>
              <w:rPr>
                <w:sz w:val="20"/>
                <w:szCs w:val="20"/>
                <w:color w:val="auto"/>
              </w:rPr>
            </w:pPr>
            <w:r>
              <w:rPr>
                <w:rFonts w:ascii="Arial" w:cs="Arial" w:eastAsia="Arial" w:hAnsi="Arial"/>
                <w:sz w:val="13"/>
                <w:szCs w:val="13"/>
                <w:b w:val="1"/>
                <w:bCs w:val="1"/>
                <w:color w:val="454968"/>
              </w:rPr>
              <w:t>All Other</w:t>
            </w:r>
          </w:p>
        </w:tc>
        <w:tc>
          <w:tcPr>
            <w:tcW w:w="1020" w:type="dxa"/>
            <w:vAlign w:val="bottom"/>
          </w:tcPr>
          <w:p>
            <w:pPr>
              <w:spacing w:after="0"/>
              <w:rPr>
                <w:sz w:val="12"/>
                <w:szCs w:val="12"/>
                <w:color w:val="auto"/>
              </w:rPr>
            </w:pPr>
          </w:p>
        </w:tc>
      </w:tr>
      <w:tr>
        <w:trPr>
          <w:trHeight w:val="148"/>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jc w:val="right"/>
              <w:ind w:right="302"/>
              <w:spacing w:after="0" w:line="148" w:lineRule="exact"/>
              <w:rPr>
                <w:sz w:val="20"/>
                <w:szCs w:val="20"/>
                <w:color w:val="auto"/>
              </w:rPr>
            </w:pPr>
            <w:r>
              <w:rPr>
                <w:rFonts w:ascii="Arial" w:cs="Arial" w:eastAsia="Arial" w:hAnsi="Arial"/>
                <w:sz w:val="13"/>
                <w:szCs w:val="13"/>
                <w:b w:val="1"/>
                <w:bCs w:val="1"/>
                <w:color w:val="454968"/>
              </w:rPr>
              <w:t>Paid in Cash</w:t>
            </w:r>
          </w:p>
        </w:tc>
        <w:tc>
          <w:tcPr>
            <w:tcW w:w="1340" w:type="dxa"/>
            <w:vAlign w:val="bottom"/>
          </w:tcPr>
          <w:p>
            <w:pPr>
              <w:jc w:val="right"/>
              <w:ind w:right="282"/>
              <w:spacing w:after="0" w:line="148" w:lineRule="exact"/>
              <w:rPr>
                <w:sz w:val="20"/>
                <w:szCs w:val="20"/>
                <w:color w:val="auto"/>
              </w:rPr>
            </w:pPr>
            <w:r>
              <w:rPr>
                <w:rFonts w:ascii="Arial" w:cs="Arial" w:eastAsia="Arial" w:hAnsi="Arial"/>
                <w:sz w:val="13"/>
                <w:szCs w:val="13"/>
                <w:b w:val="1"/>
                <w:bCs w:val="1"/>
                <w:color w:val="454968"/>
              </w:rPr>
              <w:t>Awards</w:t>
            </w:r>
          </w:p>
        </w:tc>
        <w:tc>
          <w:tcPr>
            <w:tcW w:w="1180" w:type="dxa"/>
            <w:vAlign w:val="bottom"/>
          </w:tcPr>
          <w:p>
            <w:pPr>
              <w:jc w:val="right"/>
              <w:ind w:right="221"/>
              <w:spacing w:after="0" w:line="148" w:lineRule="exact"/>
              <w:rPr>
                <w:sz w:val="20"/>
                <w:szCs w:val="20"/>
                <w:color w:val="auto"/>
              </w:rPr>
            </w:pPr>
            <w:r>
              <w:rPr>
                <w:rFonts w:ascii="Arial" w:cs="Arial" w:eastAsia="Arial" w:hAnsi="Arial"/>
                <w:sz w:val="13"/>
                <w:szCs w:val="13"/>
                <w:b w:val="1"/>
                <w:bCs w:val="1"/>
                <w:color w:val="454968"/>
              </w:rPr>
              <w:t>Awards</w:t>
            </w:r>
          </w:p>
        </w:tc>
        <w:tc>
          <w:tcPr>
            <w:tcW w:w="1300" w:type="dxa"/>
            <w:vAlign w:val="bottom"/>
          </w:tcPr>
          <w:p>
            <w:pPr>
              <w:jc w:val="right"/>
              <w:ind w:right="244"/>
              <w:spacing w:after="0" w:line="148" w:lineRule="exact"/>
              <w:rPr>
                <w:sz w:val="20"/>
                <w:szCs w:val="20"/>
                <w:color w:val="auto"/>
              </w:rPr>
            </w:pPr>
            <w:r>
              <w:rPr>
                <w:rFonts w:ascii="Arial" w:cs="Arial" w:eastAsia="Arial" w:hAnsi="Arial"/>
                <w:sz w:val="13"/>
                <w:szCs w:val="13"/>
                <w:b w:val="1"/>
                <w:bCs w:val="1"/>
                <w:color w:val="454968"/>
              </w:rPr>
              <w:t>Earnings</w:t>
            </w:r>
          </w:p>
        </w:tc>
        <w:tc>
          <w:tcPr>
            <w:tcW w:w="1360" w:type="dxa"/>
            <w:vAlign w:val="bottom"/>
          </w:tcPr>
          <w:p>
            <w:pPr>
              <w:jc w:val="right"/>
              <w:ind w:right="281"/>
              <w:spacing w:after="0" w:line="148" w:lineRule="exact"/>
              <w:rPr>
                <w:sz w:val="20"/>
                <w:szCs w:val="20"/>
                <w:color w:val="auto"/>
              </w:rPr>
            </w:pPr>
            <w:r>
              <w:rPr>
                <w:rFonts w:ascii="Arial" w:cs="Arial" w:eastAsia="Arial" w:hAnsi="Arial"/>
                <w:sz w:val="13"/>
                <w:szCs w:val="13"/>
                <w:b w:val="1"/>
                <w:bCs w:val="1"/>
                <w:color w:val="454968"/>
              </w:rPr>
              <w:t>Compensation</w:t>
            </w:r>
          </w:p>
        </w:tc>
        <w:tc>
          <w:tcPr>
            <w:tcW w:w="1020" w:type="dxa"/>
            <w:vAlign w:val="bottom"/>
          </w:tcPr>
          <w:p>
            <w:pPr>
              <w:jc w:val="right"/>
              <w:spacing w:after="0" w:line="148" w:lineRule="exact"/>
              <w:rPr>
                <w:sz w:val="20"/>
                <w:szCs w:val="20"/>
                <w:color w:val="auto"/>
              </w:rPr>
            </w:pPr>
            <w:r>
              <w:rPr>
                <w:rFonts w:ascii="Arial" w:cs="Arial" w:eastAsia="Arial" w:hAnsi="Arial"/>
                <w:sz w:val="13"/>
                <w:szCs w:val="13"/>
                <w:b w:val="1"/>
                <w:bCs w:val="1"/>
                <w:color w:val="454968"/>
              </w:rPr>
              <w:t>Total</w:t>
            </w:r>
          </w:p>
        </w:tc>
      </w:tr>
      <w:tr>
        <w:trPr>
          <w:trHeight w:val="155"/>
        </w:trPr>
        <w:tc>
          <w:tcPr>
            <w:tcW w:w="1280" w:type="dxa"/>
            <w:vAlign w:val="bottom"/>
            <w:tcBorders>
              <w:bottom w:val="single" w:sz="8" w:color="071D49"/>
            </w:tcBorders>
          </w:tcPr>
          <w:p>
            <w:pPr>
              <w:spacing w:after="0"/>
              <w:rPr>
                <w:sz w:val="20"/>
                <w:szCs w:val="20"/>
                <w:color w:val="auto"/>
              </w:rPr>
            </w:pPr>
            <w:r>
              <w:rPr>
                <w:rFonts w:ascii="Arial" w:cs="Arial" w:eastAsia="Arial" w:hAnsi="Arial"/>
                <w:sz w:val="13"/>
                <w:szCs w:val="13"/>
                <w:b w:val="1"/>
                <w:bCs w:val="1"/>
                <w:color w:val="454968"/>
              </w:rPr>
              <w:t>Name</w:t>
            </w:r>
          </w:p>
        </w:tc>
        <w:tc>
          <w:tcPr>
            <w:tcW w:w="560" w:type="dxa"/>
            <w:vAlign w:val="bottom"/>
            <w:tcBorders>
              <w:bottom w:val="single" w:sz="8" w:color="071D49"/>
            </w:tcBorders>
          </w:tcPr>
          <w:p>
            <w:pPr>
              <w:ind w:left="380"/>
              <w:spacing w:after="0"/>
              <w:rPr>
                <w:sz w:val="20"/>
                <w:szCs w:val="20"/>
                <w:color w:val="auto"/>
              </w:rPr>
            </w:pPr>
            <w:r>
              <w:rPr>
                <w:rFonts w:ascii="Arial" w:cs="Arial" w:eastAsia="Arial" w:hAnsi="Arial"/>
                <w:sz w:val="13"/>
                <w:szCs w:val="13"/>
                <w:b w:val="1"/>
                <w:bCs w:val="1"/>
                <w:color w:val="454968"/>
              </w:rPr>
              <w:t>​​​</w:t>
            </w:r>
          </w:p>
        </w:tc>
        <w:tc>
          <w:tcPr>
            <w:tcW w:w="1220" w:type="dxa"/>
            <w:vAlign w:val="bottom"/>
            <w:tcBorders>
              <w:bottom w:val="single" w:sz="8" w:color="071D49"/>
            </w:tcBorders>
          </w:tcPr>
          <w:p>
            <w:pPr>
              <w:jc w:val="right"/>
              <w:ind w:right="62"/>
              <w:spacing w:after="0"/>
              <w:rPr>
                <w:sz w:val="20"/>
                <w:szCs w:val="20"/>
                <w:color w:val="auto"/>
              </w:rPr>
            </w:pPr>
            <w:r>
              <w:rPr>
                <w:rFonts w:ascii="Arial" w:cs="Arial" w:eastAsia="Arial" w:hAnsi="Arial"/>
                <w:sz w:val="13"/>
                <w:szCs w:val="13"/>
                <w:b w:val="1"/>
                <w:bCs w:val="1"/>
                <w:color w:val="454968"/>
              </w:rPr>
              <w:t>($)(1) ​​​</w:t>
            </w:r>
          </w:p>
        </w:tc>
        <w:tc>
          <w:tcPr>
            <w:tcW w:w="1340" w:type="dxa"/>
            <w:vAlign w:val="bottom"/>
            <w:tcBorders>
              <w:bottom w:val="single" w:sz="8" w:color="071D49"/>
            </w:tcBorders>
          </w:tcPr>
          <w:p>
            <w:pPr>
              <w:jc w:val="right"/>
              <w:ind w:right="42"/>
              <w:spacing w:after="0"/>
              <w:rPr>
                <w:sz w:val="20"/>
                <w:szCs w:val="20"/>
                <w:color w:val="auto"/>
              </w:rPr>
            </w:pPr>
            <w:r>
              <w:rPr>
                <w:rFonts w:ascii="Arial" w:cs="Arial" w:eastAsia="Arial" w:hAnsi="Arial"/>
                <w:sz w:val="13"/>
                <w:szCs w:val="13"/>
                <w:b w:val="1"/>
                <w:bCs w:val="1"/>
                <w:color w:val="454968"/>
              </w:rPr>
              <w:t>($)(2) ​​​</w:t>
            </w:r>
          </w:p>
        </w:tc>
        <w:tc>
          <w:tcPr>
            <w:tcW w:w="118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454968"/>
              </w:rPr>
              <w:t>($)(3) ​​​</w:t>
            </w:r>
          </w:p>
        </w:tc>
        <w:tc>
          <w:tcPr>
            <w:tcW w:w="1300" w:type="dxa"/>
            <w:vAlign w:val="bottom"/>
            <w:tcBorders>
              <w:bottom w:val="single" w:sz="8" w:color="071D49"/>
            </w:tcBorders>
          </w:tcPr>
          <w:p>
            <w:pPr>
              <w:jc w:val="right"/>
              <w:ind w:right="4"/>
              <w:spacing w:after="0"/>
              <w:rPr>
                <w:sz w:val="20"/>
                <w:szCs w:val="20"/>
                <w:color w:val="auto"/>
              </w:rPr>
            </w:pPr>
            <w:r>
              <w:rPr>
                <w:rFonts w:ascii="Arial" w:cs="Arial" w:eastAsia="Arial" w:hAnsi="Arial"/>
                <w:sz w:val="13"/>
                <w:szCs w:val="13"/>
                <w:b w:val="1"/>
                <w:bCs w:val="1"/>
                <w:color w:val="454968"/>
              </w:rPr>
              <w:t>($)(4) ​​​</w:t>
            </w:r>
          </w:p>
        </w:tc>
        <w:tc>
          <w:tcPr>
            <w:tcW w:w="1360" w:type="dxa"/>
            <w:vAlign w:val="bottom"/>
            <w:tcBorders>
              <w:bottom w:val="single" w:sz="8" w:color="071D49"/>
            </w:tcBorders>
          </w:tcPr>
          <w:p>
            <w:pPr>
              <w:jc w:val="right"/>
              <w:ind w:right="41"/>
              <w:spacing w:after="0"/>
              <w:rPr>
                <w:sz w:val="20"/>
                <w:szCs w:val="20"/>
                <w:color w:val="auto"/>
              </w:rPr>
            </w:pPr>
            <w:r>
              <w:rPr>
                <w:rFonts w:ascii="Arial" w:cs="Arial" w:eastAsia="Arial" w:hAnsi="Arial"/>
                <w:sz w:val="13"/>
                <w:szCs w:val="13"/>
                <w:b w:val="1"/>
                <w:bCs w:val="1"/>
                <w:color w:val="454968"/>
              </w:rPr>
              <w:t>($)(5) ​​​</w:t>
            </w:r>
          </w:p>
        </w:tc>
        <w:tc>
          <w:tcPr>
            <w:tcW w:w="102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454968"/>
              </w:rPr>
              <w:t>($)</w:t>
            </w:r>
          </w:p>
        </w:tc>
      </w:tr>
      <w:tr>
        <w:trPr>
          <w:trHeight w:val="177"/>
        </w:trPr>
        <w:tc>
          <w:tcPr>
            <w:tcW w:w="1280" w:type="dxa"/>
            <w:vAlign w:val="bottom"/>
            <w:shd w:val="clear" w:color="auto" w:fill="D9D9D9"/>
          </w:tcPr>
          <w:p>
            <w:pPr>
              <w:spacing w:after="0" w:line="177" w:lineRule="exact"/>
              <w:rPr>
                <w:sz w:val="20"/>
                <w:szCs w:val="20"/>
                <w:color w:val="auto"/>
              </w:rPr>
            </w:pPr>
            <w:r>
              <w:rPr>
                <w:rFonts w:ascii="Arial" w:cs="Arial" w:eastAsia="Arial" w:hAnsi="Arial"/>
                <w:sz w:val="16"/>
                <w:szCs w:val="16"/>
                <w:color w:val="auto"/>
              </w:rPr>
              <w:t>R. Alpern</w:t>
            </w:r>
          </w:p>
        </w:tc>
        <w:tc>
          <w:tcPr>
            <w:tcW w:w="560" w:type="dxa"/>
            <w:vAlign w:val="bottom"/>
            <w:shd w:val="clear" w:color="auto" w:fill="D9D9D9"/>
          </w:tcPr>
          <w:p>
            <w:pPr>
              <w:spacing w:after="0"/>
              <w:rPr>
                <w:sz w:val="15"/>
                <w:szCs w:val="15"/>
                <w:color w:val="auto"/>
              </w:rPr>
            </w:pPr>
          </w:p>
        </w:tc>
        <w:tc>
          <w:tcPr>
            <w:tcW w:w="1220" w:type="dxa"/>
            <w:vAlign w:val="bottom"/>
            <w:shd w:val="clear" w:color="auto" w:fill="D9D9D9"/>
          </w:tcPr>
          <w:p>
            <w:pPr>
              <w:jc w:val="right"/>
              <w:ind w:right="322"/>
              <w:spacing w:after="0" w:line="177" w:lineRule="exact"/>
              <w:rPr>
                <w:sz w:val="20"/>
                <w:szCs w:val="20"/>
                <w:color w:val="auto"/>
              </w:rPr>
            </w:pPr>
            <w:r>
              <w:rPr>
                <w:rFonts w:ascii="Arial" w:cs="Arial" w:eastAsia="Arial" w:hAnsi="Arial"/>
                <w:sz w:val="16"/>
                <w:szCs w:val="16"/>
                <w:color w:val="auto"/>
              </w:rPr>
              <w:t>122,917</w:t>
            </w:r>
          </w:p>
        </w:tc>
        <w:tc>
          <w:tcPr>
            <w:tcW w:w="1340" w:type="dxa"/>
            <w:vAlign w:val="bottom"/>
            <w:shd w:val="clear" w:color="auto" w:fill="D9D9D9"/>
          </w:tcPr>
          <w:p>
            <w:pPr>
              <w:jc w:val="right"/>
              <w:ind w:right="302"/>
              <w:spacing w:after="0" w:line="177" w:lineRule="exact"/>
              <w:rPr>
                <w:sz w:val="20"/>
                <w:szCs w:val="20"/>
                <w:color w:val="auto"/>
              </w:rPr>
            </w:pPr>
            <w:r>
              <w:rPr>
                <w:rFonts w:ascii="Arial" w:cs="Arial" w:eastAsia="Arial" w:hAnsi="Arial"/>
                <w:sz w:val="16"/>
                <w:szCs w:val="16"/>
                <w:color w:val="auto"/>
              </w:rPr>
              <w:t>224,961</w:t>
            </w:r>
          </w:p>
        </w:tc>
        <w:tc>
          <w:tcPr>
            <w:tcW w:w="1180" w:type="dxa"/>
            <w:vAlign w:val="bottom"/>
            <w:shd w:val="clear" w:color="auto" w:fill="D9D9D9"/>
          </w:tcPr>
          <w:p>
            <w:pPr>
              <w:jc w:val="right"/>
              <w:ind w:right="241"/>
              <w:spacing w:after="0" w:line="177" w:lineRule="exact"/>
              <w:rPr>
                <w:sz w:val="20"/>
                <w:szCs w:val="20"/>
                <w:color w:val="auto"/>
              </w:rPr>
            </w:pPr>
            <w:r>
              <w:rPr>
                <w:rFonts w:ascii="Arial" w:cs="Arial" w:eastAsia="Arial" w:hAnsi="Arial"/>
                <w:sz w:val="16"/>
                <w:szCs w:val="16"/>
                <w:color w:val="auto"/>
              </w:rPr>
              <w:t>0</w:t>
            </w:r>
          </w:p>
        </w:tc>
        <w:tc>
          <w:tcPr>
            <w:tcW w:w="1300" w:type="dxa"/>
            <w:vAlign w:val="bottom"/>
            <w:shd w:val="clear" w:color="auto" w:fill="D9D9D9"/>
          </w:tcPr>
          <w:p>
            <w:pPr>
              <w:jc w:val="right"/>
              <w:ind w:right="264"/>
              <w:spacing w:after="0" w:line="177" w:lineRule="exact"/>
              <w:rPr>
                <w:sz w:val="20"/>
                <w:szCs w:val="20"/>
                <w:color w:val="auto"/>
              </w:rPr>
            </w:pPr>
            <w:r>
              <w:rPr>
                <w:rFonts w:ascii="Arial" w:cs="Arial" w:eastAsia="Arial" w:hAnsi="Arial"/>
                <w:sz w:val="16"/>
                <w:szCs w:val="16"/>
                <w:color w:val="auto"/>
              </w:rPr>
              <w:t>125,616</w:t>
            </w:r>
          </w:p>
        </w:tc>
        <w:tc>
          <w:tcPr>
            <w:tcW w:w="1360" w:type="dxa"/>
            <w:vAlign w:val="bottom"/>
            <w:shd w:val="clear" w:color="auto" w:fill="D9D9D9"/>
          </w:tcPr>
          <w:p>
            <w:pPr>
              <w:jc w:val="right"/>
              <w:ind w:right="301"/>
              <w:spacing w:after="0" w:line="177" w:lineRule="exact"/>
              <w:rPr>
                <w:sz w:val="20"/>
                <w:szCs w:val="20"/>
                <w:color w:val="auto"/>
              </w:rPr>
            </w:pPr>
            <w:r>
              <w:rPr>
                <w:rFonts w:ascii="Arial" w:cs="Arial" w:eastAsia="Arial" w:hAnsi="Arial"/>
                <w:sz w:val="16"/>
                <w:szCs w:val="16"/>
                <w:color w:val="auto"/>
              </w:rPr>
              <w:t>25,000</w:t>
            </w:r>
          </w:p>
        </w:tc>
        <w:tc>
          <w:tcPr>
            <w:tcW w:w="1020" w:type="dxa"/>
            <w:vAlign w:val="bottom"/>
            <w:shd w:val="clear" w:color="auto" w:fill="D9D9D9"/>
          </w:tcPr>
          <w:p>
            <w:pPr>
              <w:jc w:val="right"/>
              <w:spacing w:after="0" w:line="177" w:lineRule="exact"/>
              <w:rPr>
                <w:sz w:val="20"/>
                <w:szCs w:val="20"/>
                <w:color w:val="auto"/>
              </w:rPr>
            </w:pPr>
            <w:r>
              <w:rPr>
                <w:rFonts w:ascii="Arial" w:cs="Arial" w:eastAsia="Arial" w:hAnsi="Arial"/>
                <w:sz w:val="16"/>
                <w:szCs w:val="16"/>
                <w:color w:val="auto"/>
              </w:rPr>
              <w:t>498,494</w:t>
            </w:r>
          </w:p>
        </w:tc>
      </w:tr>
      <w:tr>
        <w:trPr>
          <w:trHeight w:val="185"/>
        </w:trPr>
        <w:tc>
          <w:tcPr>
            <w:tcW w:w="1280" w:type="dxa"/>
            <w:vAlign w:val="bottom"/>
          </w:tcPr>
          <w:p>
            <w:pPr>
              <w:spacing w:after="0"/>
              <w:rPr>
                <w:sz w:val="20"/>
                <w:szCs w:val="20"/>
                <w:color w:val="auto"/>
              </w:rPr>
            </w:pPr>
            <w:r>
              <w:rPr>
                <w:rFonts w:ascii="Arial" w:cs="Arial" w:eastAsia="Arial" w:hAnsi="Arial"/>
                <w:sz w:val="16"/>
                <w:szCs w:val="16"/>
                <w:color w:val="auto"/>
              </w:rPr>
              <w:t>R. Austin</w:t>
            </w:r>
          </w:p>
        </w:tc>
        <w:tc>
          <w:tcPr>
            <w:tcW w:w="560" w:type="dxa"/>
            <w:vAlign w:val="bottom"/>
          </w:tcPr>
          <w:p>
            <w:pPr>
              <w:spacing w:after="0"/>
              <w:rPr>
                <w:sz w:val="16"/>
                <w:szCs w:val="16"/>
                <w:color w:val="auto"/>
              </w:rPr>
            </w:pPr>
          </w:p>
        </w:tc>
        <w:tc>
          <w:tcPr>
            <w:tcW w:w="1220" w:type="dxa"/>
            <w:vAlign w:val="bottom"/>
          </w:tcPr>
          <w:p>
            <w:pPr>
              <w:jc w:val="right"/>
              <w:ind w:right="322"/>
              <w:spacing w:after="0"/>
              <w:rPr>
                <w:sz w:val="20"/>
                <w:szCs w:val="20"/>
                <w:color w:val="auto"/>
              </w:rPr>
            </w:pPr>
            <w:r>
              <w:rPr>
                <w:rFonts w:ascii="Arial" w:cs="Arial" w:eastAsia="Arial" w:hAnsi="Arial"/>
                <w:sz w:val="16"/>
                <w:szCs w:val="16"/>
                <w:color w:val="auto"/>
              </w:rPr>
              <w:t>182,917</w:t>
            </w:r>
          </w:p>
        </w:tc>
        <w:tc>
          <w:tcPr>
            <w:tcW w:w="1340" w:type="dxa"/>
            <w:vAlign w:val="bottom"/>
          </w:tcPr>
          <w:p>
            <w:pPr>
              <w:jc w:val="right"/>
              <w:ind w:right="302"/>
              <w:spacing w:after="0"/>
              <w:rPr>
                <w:sz w:val="20"/>
                <w:szCs w:val="20"/>
                <w:color w:val="auto"/>
              </w:rPr>
            </w:pPr>
            <w:r>
              <w:rPr>
                <w:rFonts w:ascii="Arial" w:cs="Arial" w:eastAsia="Arial" w:hAnsi="Arial"/>
                <w:sz w:val="16"/>
                <w:szCs w:val="16"/>
                <w:color w:val="auto"/>
              </w:rPr>
              <w:t>224,961</w:t>
            </w:r>
          </w:p>
        </w:tc>
        <w:tc>
          <w:tcPr>
            <w:tcW w:w="1180" w:type="dxa"/>
            <w:vAlign w:val="bottom"/>
          </w:tcPr>
          <w:p>
            <w:pPr>
              <w:jc w:val="right"/>
              <w:ind w:right="241"/>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264"/>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301"/>
              <w:spacing w:after="0"/>
              <w:rPr>
                <w:sz w:val="20"/>
                <w:szCs w:val="20"/>
                <w:color w:val="auto"/>
              </w:rPr>
            </w:pPr>
            <w:r>
              <w:rPr>
                <w:rFonts w:ascii="Arial" w:cs="Arial" w:eastAsia="Arial" w:hAnsi="Arial"/>
                <w:sz w:val="16"/>
                <w:szCs w:val="16"/>
                <w:color w:val="auto"/>
              </w:rPr>
              <w:t>25,000</w:t>
            </w:r>
          </w:p>
        </w:tc>
        <w:tc>
          <w:tcPr>
            <w:tcW w:w="1020" w:type="dxa"/>
            <w:vAlign w:val="bottom"/>
          </w:tcPr>
          <w:p>
            <w:pPr>
              <w:jc w:val="right"/>
              <w:spacing w:after="0"/>
              <w:rPr>
                <w:sz w:val="20"/>
                <w:szCs w:val="20"/>
                <w:color w:val="auto"/>
              </w:rPr>
            </w:pPr>
            <w:r>
              <w:rPr>
                <w:rFonts w:ascii="Arial" w:cs="Arial" w:eastAsia="Arial" w:hAnsi="Arial"/>
                <w:sz w:val="16"/>
                <w:szCs w:val="16"/>
                <w:color w:val="auto"/>
              </w:rPr>
              <w:t>432,878</w:t>
            </w:r>
          </w:p>
        </w:tc>
      </w:tr>
      <w:tr>
        <w:trPr>
          <w:trHeight w:val="185"/>
        </w:trPr>
        <w:tc>
          <w:tcPr>
            <w:tcW w:w="1280" w:type="dxa"/>
            <w:vAlign w:val="bottom"/>
            <w:shd w:val="clear" w:color="auto" w:fill="D9D9D9"/>
          </w:tcPr>
          <w:p>
            <w:pPr>
              <w:spacing w:after="0"/>
              <w:rPr>
                <w:sz w:val="20"/>
                <w:szCs w:val="20"/>
                <w:color w:val="auto"/>
              </w:rPr>
            </w:pPr>
            <w:r>
              <w:rPr>
                <w:rFonts w:ascii="Arial" w:cs="Arial" w:eastAsia="Arial" w:hAnsi="Arial"/>
                <w:sz w:val="16"/>
                <w:szCs w:val="16"/>
                <w:color w:val="auto"/>
              </w:rPr>
              <w:t>W. Burnside</w:t>
            </w:r>
          </w:p>
        </w:tc>
        <w:tc>
          <w:tcPr>
            <w:tcW w:w="56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22"/>
              <w:spacing w:after="0"/>
              <w:rPr>
                <w:sz w:val="20"/>
                <w:szCs w:val="20"/>
                <w:color w:val="auto"/>
              </w:rPr>
            </w:pPr>
            <w:r>
              <w:rPr>
                <w:rFonts w:ascii="Arial" w:cs="Arial" w:eastAsia="Arial" w:hAnsi="Arial"/>
                <w:sz w:val="16"/>
                <w:szCs w:val="16"/>
                <w:color w:val="auto"/>
              </w:rPr>
              <w:t>132,917</w:t>
            </w:r>
          </w:p>
        </w:tc>
        <w:tc>
          <w:tcPr>
            <w:tcW w:w="1340" w:type="dxa"/>
            <w:vAlign w:val="bottom"/>
            <w:shd w:val="clear" w:color="auto" w:fill="D9D9D9"/>
          </w:tcPr>
          <w:p>
            <w:pPr>
              <w:jc w:val="right"/>
              <w:ind w:right="302"/>
              <w:spacing w:after="0"/>
              <w:rPr>
                <w:sz w:val="20"/>
                <w:szCs w:val="20"/>
                <w:color w:val="auto"/>
              </w:rPr>
            </w:pPr>
            <w:r>
              <w:rPr>
                <w:rFonts w:ascii="Arial" w:cs="Arial" w:eastAsia="Arial" w:hAnsi="Arial"/>
                <w:sz w:val="16"/>
                <w:szCs w:val="16"/>
                <w:color w:val="auto"/>
              </w:rPr>
              <w:t>224,961</w:t>
            </w:r>
          </w:p>
        </w:tc>
        <w:tc>
          <w:tcPr>
            <w:tcW w:w="1180" w:type="dxa"/>
            <w:vAlign w:val="bottom"/>
            <w:shd w:val="clear" w:color="auto" w:fill="D9D9D9"/>
          </w:tcPr>
          <w:p>
            <w:pPr>
              <w:jc w:val="right"/>
              <w:ind w:right="241"/>
              <w:spacing w:after="0"/>
              <w:rPr>
                <w:sz w:val="20"/>
                <w:szCs w:val="20"/>
                <w:color w:val="auto"/>
              </w:rPr>
            </w:pPr>
            <w:r>
              <w:rPr>
                <w:rFonts w:ascii="Arial" w:cs="Arial" w:eastAsia="Arial" w:hAnsi="Arial"/>
                <w:sz w:val="16"/>
                <w:szCs w:val="16"/>
                <w:color w:val="auto"/>
              </w:rPr>
              <w:t>0</w:t>
            </w:r>
          </w:p>
        </w:tc>
        <w:tc>
          <w:tcPr>
            <w:tcW w:w="130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0</w:t>
            </w:r>
          </w:p>
        </w:tc>
        <w:tc>
          <w:tcPr>
            <w:tcW w:w="1360" w:type="dxa"/>
            <w:vAlign w:val="bottom"/>
            <w:shd w:val="clear" w:color="auto" w:fill="D9D9D9"/>
          </w:tcPr>
          <w:p>
            <w:pPr>
              <w:jc w:val="right"/>
              <w:ind w:right="301"/>
              <w:spacing w:after="0"/>
              <w:rPr>
                <w:sz w:val="20"/>
                <w:szCs w:val="20"/>
                <w:color w:val="auto"/>
              </w:rPr>
            </w:pPr>
            <w:r>
              <w:rPr>
                <w:rFonts w:ascii="Arial" w:cs="Arial" w:eastAsia="Arial" w:hAnsi="Arial"/>
                <w:sz w:val="16"/>
                <w:szCs w:val="16"/>
                <w:color w:val="auto"/>
              </w:rPr>
              <w:t>25,000</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382,878</w:t>
            </w:r>
          </w:p>
        </w:tc>
      </w:tr>
      <w:tr>
        <w:trPr>
          <w:trHeight w:val="185"/>
        </w:trPr>
        <w:tc>
          <w:tcPr>
            <w:tcW w:w="1280" w:type="dxa"/>
            <w:vAlign w:val="bottom"/>
          </w:tcPr>
          <w:p>
            <w:pPr>
              <w:spacing w:after="0"/>
              <w:rPr>
                <w:sz w:val="20"/>
                <w:szCs w:val="20"/>
                <w:color w:val="auto"/>
              </w:rPr>
            </w:pPr>
            <w:r>
              <w:rPr>
                <w:rFonts w:ascii="Arial" w:cs="Arial" w:eastAsia="Arial" w:hAnsi="Arial"/>
                <w:sz w:val="16"/>
                <w:szCs w:val="16"/>
                <w:color w:val="auto"/>
              </w:rPr>
              <w:t>J. Davis</w:t>
            </w:r>
          </w:p>
        </w:tc>
        <w:tc>
          <w:tcPr>
            <w:tcW w:w="560" w:type="dxa"/>
            <w:vAlign w:val="bottom"/>
          </w:tcPr>
          <w:p>
            <w:pPr>
              <w:spacing w:after="0"/>
              <w:rPr>
                <w:sz w:val="16"/>
                <w:szCs w:val="16"/>
                <w:color w:val="auto"/>
              </w:rPr>
            </w:pPr>
          </w:p>
        </w:tc>
        <w:tc>
          <w:tcPr>
            <w:tcW w:w="1220" w:type="dxa"/>
            <w:vAlign w:val="bottom"/>
          </w:tcPr>
          <w:p>
            <w:pPr>
              <w:jc w:val="right"/>
              <w:ind w:right="322"/>
              <w:spacing w:after="0"/>
              <w:rPr>
                <w:sz w:val="20"/>
                <w:szCs w:val="20"/>
                <w:color w:val="auto"/>
              </w:rPr>
            </w:pPr>
            <w:r>
              <w:rPr>
                <w:rFonts w:ascii="Arial" w:cs="Arial" w:eastAsia="Arial" w:hAnsi="Arial"/>
                <w:sz w:val="16"/>
                <w:szCs w:val="16"/>
                <w:color w:val="auto"/>
              </w:rPr>
              <w:t>122,917</w:t>
            </w:r>
          </w:p>
        </w:tc>
        <w:tc>
          <w:tcPr>
            <w:tcW w:w="1340" w:type="dxa"/>
            <w:vAlign w:val="bottom"/>
          </w:tcPr>
          <w:p>
            <w:pPr>
              <w:jc w:val="right"/>
              <w:ind w:right="302"/>
              <w:spacing w:after="0"/>
              <w:rPr>
                <w:sz w:val="20"/>
                <w:szCs w:val="20"/>
                <w:color w:val="auto"/>
              </w:rPr>
            </w:pPr>
            <w:r>
              <w:rPr>
                <w:rFonts w:ascii="Arial" w:cs="Arial" w:eastAsia="Arial" w:hAnsi="Arial"/>
                <w:sz w:val="16"/>
                <w:szCs w:val="16"/>
                <w:color w:val="auto"/>
              </w:rPr>
              <w:t>224,961</w:t>
            </w:r>
          </w:p>
        </w:tc>
        <w:tc>
          <w:tcPr>
            <w:tcW w:w="1180" w:type="dxa"/>
            <w:vAlign w:val="bottom"/>
          </w:tcPr>
          <w:p>
            <w:pPr>
              <w:jc w:val="right"/>
              <w:ind w:right="241"/>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264"/>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301"/>
              <w:spacing w:after="0"/>
              <w:rPr>
                <w:sz w:val="20"/>
                <w:szCs w:val="20"/>
                <w:color w:val="auto"/>
              </w:rPr>
            </w:pPr>
            <w:r>
              <w:rPr>
                <w:rFonts w:ascii="Arial" w:cs="Arial" w:eastAsia="Arial" w:hAnsi="Arial"/>
                <w:sz w:val="16"/>
                <w:szCs w:val="16"/>
                <w:color w:val="auto"/>
              </w:rPr>
              <w:t>25,000</w:t>
            </w:r>
          </w:p>
        </w:tc>
        <w:tc>
          <w:tcPr>
            <w:tcW w:w="1020" w:type="dxa"/>
            <w:vAlign w:val="bottom"/>
          </w:tcPr>
          <w:p>
            <w:pPr>
              <w:jc w:val="right"/>
              <w:spacing w:after="0"/>
              <w:rPr>
                <w:sz w:val="20"/>
                <w:szCs w:val="20"/>
                <w:color w:val="auto"/>
              </w:rPr>
            </w:pPr>
            <w:r>
              <w:rPr>
                <w:rFonts w:ascii="Arial" w:cs="Arial" w:eastAsia="Arial" w:hAnsi="Arial"/>
                <w:sz w:val="16"/>
                <w:szCs w:val="16"/>
                <w:color w:val="auto"/>
              </w:rPr>
              <w:t>372,878</w:t>
            </w:r>
          </w:p>
        </w:tc>
      </w:tr>
      <w:tr>
        <w:trPr>
          <w:trHeight w:val="185"/>
        </w:trPr>
        <w:tc>
          <w:tcPr>
            <w:tcW w:w="1280" w:type="dxa"/>
            <w:vAlign w:val="bottom"/>
            <w:shd w:val="clear" w:color="auto" w:fill="D9D9D9"/>
          </w:tcPr>
          <w:p>
            <w:pPr>
              <w:spacing w:after="0" w:line="185" w:lineRule="exact"/>
              <w:rPr>
                <w:sz w:val="20"/>
                <w:szCs w:val="20"/>
                <w:color w:val="auto"/>
              </w:rPr>
            </w:pPr>
            <w:r>
              <w:rPr>
                <w:rFonts w:ascii="Arial" w:cs="Arial" w:eastAsia="Arial" w:hAnsi="Arial"/>
                <w:sz w:val="15"/>
                <w:szCs w:val="15"/>
                <w:color w:val="auto"/>
              </w:rPr>
              <w:t>T. Falk</w:t>
            </w:r>
            <w:r>
              <w:rPr>
                <w:rFonts w:ascii="Arial" w:cs="Arial" w:eastAsia="Arial" w:hAnsi="Arial"/>
                <w:sz w:val="21"/>
                <w:szCs w:val="21"/>
                <w:color w:val="auto"/>
                <w:vertAlign w:val="superscript"/>
              </w:rPr>
              <w:t>(6)</w:t>
            </w:r>
          </w:p>
        </w:tc>
        <w:tc>
          <w:tcPr>
            <w:tcW w:w="56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22"/>
              <w:spacing w:after="0"/>
              <w:rPr>
                <w:sz w:val="20"/>
                <w:szCs w:val="20"/>
                <w:color w:val="auto"/>
              </w:rPr>
            </w:pPr>
            <w:r>
              <w:rPr>
                <w:rFonts w:ascii="Arial" w:cs="Arial" w:eastAsia="Arial" w:hAnsi="Arial"/>
                <w:sz w:val="16"/>
                <w:szCs w:val="16"/>
                <w:color w:val="auto"/>
              </w:rPr>
              <w:t>78,750</w:t>
            </w:r>
          </w:p>
        </w:tc>
        <w:tc>
          <w:tcPr>
            <w:tcW w:w="1340" w:type="dxa"/>
            <w:vAlign w:val="bottom"/>
            <w:shd w:val="clear" w:color="auto" w:fill="D9D9D9"/>
          </w:tcPr>
          <w:p>
            <w:pPr>
              <w:jc w:val="right"/>
              <w:ind w:right="302"/>
              <w:spacing w:after="0"/>
              <w:rPr>
                <w:sz w:val="20"/>
                <w:szCs w:val="20"/>
                <w:color w:val="auto"/>
              </w:rPr>
            </w:pPr>
            <w:r>
              <w:rPr>
                <w:rFonts w:ascii="Arial" w:cs="Arial" w:eastAsia="Arial" w:hAnsi="Arial"/>
                <w:sz w:val="16"/>
                <w:szCs w:val="16"/>
                <w:color w:val="auto"/>
              </w:rPr>
              <w:t>224,961</w:t>
            </w:r>
          </w:p>
        </w:tc>
        <w:tc>
          <w:tcPr>
            <w:tcW w:w="1180" w:type="dxa"/>
            <w:vAlign w:val="bottom"/>
            <w:shd w:val="clear" w:color="auto" w:fill="D9D9D9"/>
          </w:tcPr>
          <w:p>
            <w:pPr>
              <w:jc w:val="right"/>
              <w:ind w:right="241"/>
              <w:spacing w:after="0"/>
              <w:rPr>
                <w:sz w:val="20"/>
                <w:szCs w:val="20"/>
                <w:color w:val="auto"/>
              </w:rPr>
            </w:pPr>
            <w:r>
              <w:rPr>
                <w:rFonts w:ascii="Arial" w:cs="Arial" w:eastAsia="Arial" w:hAnsi="Arial"/>
                <w:sz w:val="16"/>
                <w:szCs w:val="16"/>
                <w:color w:val="auto"/>
              </w:rPr>
              <w:t>0</w:t>
            </w:r>
          </w:p>
        </w:tc>
        <w:tc>
          <w:tcPr>
            <w:tcW w:w="130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0</w:t>
            </w:r>
          </w:p>
        </w:tc>
        <w:tc>
          <w:tcPr>
            <w:tcW w:w="1360" w:type="dxa"/>
            <w:vAlign w:val="bottom"/>
            <w:shd w:val="clear" w:color="auto" w:fill="D9D9D9"/>
          </w:tcPr>
          <w:p>
            <w:pPr>
              <w:jc w:val="right"/>
              <w:ind w:right="301"/>
              <w:spacing w:after="0"/>
              <w:rPr>
                <w:sz w:val="20"/>
                <w:szCs w:val="20"/>
                <w:color w:val="auto"/>
              </w:rPr>
            </w:pPr>
            <w:r>
              <w:rPr>
                <w:rFonts w:ascii="Arial" w:cs="Arial" w:eastAsia="Arial" w:hAnsi="Arial"/>
                <w:sz w:val="16"/>
                <w:szCs w:val="16"/>
                <w:color w:val="auto"/>
              </w:rPr>
              <w:t>25,000</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328,711</w:t>
            </w:r>
          </w:p>
        </w:tc>
      </w:tr>
      <w:tr>
        <w:trPr>
          <w:trHeight w:val="185"/>
        </w:trPr>
        <w:tc>
          <w:tcPr>
            <w:tcW w:w="1280" w:type="dxa"/>
            <w:vAlign w:val="bottom"/>
          </w:tcPr>
          <w:p>
            <w:pPr>
              <w:spacing w:after="0"/>
              <w:rPr>
                <w:sz w:val="20"/>
                <w:szCs w:val="20"/>
                <w:color w:val="auto"/>
              </w:rPr>
            </w:pPr>
            <w:r>
              <w:rPr>
                <w:rFonts w:ascii="Arial" w:cs="Arial" w:eastAsia="Arial" w:hAnsi="Arial"/>
                <w:sz w:val="16"/>
                <w:szCs w:val="16"/>
                <w:color w:val="auto"/>
              </w:rPr>
              <w:t>T. Freyman</w:t>
            </w:r>
          </w:p>
        </w:tc>
        <w:tc>
          <w:tcPr>
            <w:tcW w:w="560" w:type="dxa"/>
            <w:vAlign w:val="bottom"/>
          </w:tcPr>
          <w:p>
            <w:pPr>
              <w:spacing w:after="0"/>
              <w:rPr>
                <w:sz w:val="16"/>
                <w:szCs w:val="16"/>
                <w:color w:val="auto"/>
              </w:rPr>
            </w:pPr>
          </w:p>
        </w:tc>
        <w:tc>
          <w:tcPr>
            <w:tcW w:w="1220" w:type="dxa"/>
            <w:vAlign w:val="bottom"/>
          </w:tcPr>
          <w:p>
            <w:pPr>
              <w:jc w:val="right"/>
              <w:ind w:right="322"/>
              <w:spacing w:after="0"/>
              <w:rPr>
                <w:sz w:val="20"/>
                <w:szCs w:val="20"/>
                <w:color w:val="auto"/>
              </w:rPr>
            </w:pPr>
            <w:r>
              <w:rPr>
                <w:rFonts w:ascii="Arial" w:cs="Arial" w:eastAsia="Arial" w:hAnsi="Arial"/>
                <w:sz w:val="16"/>
                <w:szCs w:val="16"/>
                <w:color w:val="auto"/>
              </w:rPr>
              <w:t>147,917</w:t>
            </w:r>
          </w:p>
        </w:tc>
        <w:tc>
          <w:tcPr>
            <w:tcW w:w="1340" w:type="dxa"/>
            <w:vAlign w:val="bottom"/>
          </w:tcPr>
          <w:p>
            <w:pPr>
              <w:jc w:val="right"/>
              <w:ind w:right="302"/>
              <w:spacing w:after="0"/>
              <w:rPr>
                <w:sz w:val="20"/>
                <w:szCs w:val="20"/>
                <w:color w:val="auto"/>
              </w:rPr>
            </w:pPr>
            <w:r>
              <w:rPr>
                <w:rFonts w:ascii="Arial" w:cs="Arial" w:eastAsia="Arial" w:hAnsi="Arial"/>
                <w:sz w:val="16"/>
                <w:szCs w:val="16"/>
                <w:color w:val="auto"/>
              </w:rPr>
              <w:t>224,961</w:t>
            </w:r>
          </w:p>
        </w:tc>
        <w:tc>
          <w:tcPr>
            <w:tcW w:w="1180" w:type="dxa"/>
            <w:vAlign w:val="bottom"/>
          </w:tcPr>
          <w:p>
            <w:pPr>
              <w:jc w:val="right"/>
              <w:ind w:right="241"/>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264"/>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301"/>
              <w:spacing w:after="0"/>
              <w:rPr>
                <w:sz w:val="20"/>
                <w:szCs w:val="20"/>
                <w:color w:val="auto"/>
              </w:rPr>
            </w:pPr>
            <w:r>
              <w:rPr>
                <w:rFonts w:ascii="Arial" w:cs="Arial" w:eastAsia="Arial" w:hAnsi="Arial"/>
                <w:sz w:val="16"/>
                <w:szCs w:val="16"/>
                <w:color w:val="auto"/>
              </w:rPr>
              <w:t>25,000</w:t>
            </w:r>
          </w:p>
        </w:tc>
        <w:tc>
          <w:tcPr>
            <w:tcW w:w="1020" w:type="dxa"/>
            <w:vAlign w:val="bottom"/>
          </w:tcPr>
          <w:p>
            <w:pPr>
              <w:jc w:val="right"/>
              <w:spacing w:after="0"/>
              <w:rPr>
                <w:sz w:val="20"/>
                <w:szCs w:val="20"/>
                <w:color w:val="auto"/>
              </w:rPr>
            </w:pPr>
            <w:r>
              <w:rPr>
                <w:rFonts w:ascii="Arial" w:cs="Arial" w:eastAsia="Arial" w:hAnsi="Arial"/>
                <w:sz w:val="16"/>
                <w:szCs w:val="16"/>
                <w:color w:val="auto"/>
              </w:rPr>
              <w:t>397,878</w:t>
            </w:r>
          </w:p>
        </w:tc>
      </w:tr>
      <w:tr>
        <w:trPr>
          <w:trHeight w:val="185"/>
        </w:trPr>
        <w:tc>
          <w:tcPr>
            <w:tcW w:w="1280" w:type="dxa"/>
            <w:vAlign w:val="bottom"/>
            <w:shd w:val="clear" w:color="auto" w:fill="D9D9D9"/>
          </w:tcPr>
          <w:p>
            <w:pPr>
              <w:spacing w:after="0"/>
              <w:rPr>
                <w:sz w:val="20"/>
                <w:szCs w:val="20"/>
                <w:color w:val="auto"/>
              </w:rPr>
            </w:pPr>
            <w:r>
              <w:rPr>
                <w:rFonts w:ascii="Arial" w:cs="Arial" w:eastAsia="Arial" w:hAnsi="Arial"/>
                <w:sz w:val="16"/>
                <w:szCs w:val="16"/>
                <w:color w:val="auto"/>
              </w:rPr>
              <w:t>B. Hart</w:t>
            </w:r>
          </w:p>
        </w:tc>
        <w:tc>
          <w:tcPr>
            <w:tcW w:w="56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22"/>
              <w:spacing w:after="0"/>
              <w:rPr>
                <w:sz w:val="20"/>
                <w:szCs w:val="20"/>
                <w:color w:val="auto"/>
              </w:rPr>
            </w:pPr>
            <w:r>
              <w:rPr>
                <w:rFonts w:ascii="Arial" w:cs="Arial" w:eastAsia="Arial" w:hAnsi="Arial"/>
                <w:sz w:val="16"/>
                <w:szCs w:val="16"/>
                <w:color w:val="auto"/>
              </w:rPr>
              <w:t>147,917</w:t>
            </w:r>
          </w:p>
        </w:tc>
        <w:tc>
          <w:tcPr>
            <w:tcW w:w="1340" w:type="dxa"/>
            <w:vAlign w:val="bottom"/>
            <w:shd w:val="clear" w:color="auto" w:fill="D9D9D9"/>
          </w:tcPr>
          <w:p>
            <w:pPr>
              <w:jc w:val="right"/>
              <w:ind w:right="302"/>
              <w:spacing w:after="0"/>
              <w:rPr>
                <w:sz w:val="20"/>
                <w:szCs w:val="20"/>
                <w:color w:val="auto"/>
              </w:rPr>
            </w:pPr>
            <w:r>
              <w:rPr>
                <w:rFonts w:ascii="Arial" w:cs="Arial" w:eastAsia="Arial" w:hAnsi="Arial"/>
                <w:sz w:val="16"/>
                <w:szCs w:val="16"/>
                <w:color w:val="auto"/>
              </w:rPr>
              <w:t>224,961</w:t>
            </w:r>
          </w:p>
        </w:tc>
        <w:tc>
          <w:tcPr>
            <w:tcW w:w="1180" w:type="dxa"/>
            <w:vAlign w:val="bottom"/>
            <w:shd w:val="clear" w:color="auto" w:fill="D9D9D9"/>
          </w:tcPr>
          <w:p>
            <w:pPr>
              <w:jc w:val="right"/>
              <w:ind w:right="241"/>
              <w:spacing w:after="0"/>
              <w:rPr>
                <w:sz w:val="20"/>
                <w:szCs w:val="20"/>
                <w:color w:val="auto"/>
              </w:rPr>
            </w:pPr>
            <w:r>
              <w:rPr>
                <w:rFonts w:ascii="Arial" w:cs="Arial" w:eastAsia="Arial" w:hAnsi="Arial"/>
                <w:sz w:val="16"/>
                <w:szCs w:val="16"/>
                <w:color w:val="auto"/>
              </w:rPr>
              <w:t>0</w:t>
            </w:r>
          </w:p>
        </w:tc>
        <w:tc>
          <w:tcPr>
            <w:tcW w:w="130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0</w:t>
            </w:r>
          </w:p>
        </w:tc>
        <w:tc>
          <w:tcPr>
            <w:tcW w:w="1360" w:type="dxa"/>
            <w:vAlign w:val="bottom"/>
            <w:shd w:val="clear" w:color="auto" w:fill="D9D9D9"/>
          </w:tcPr>
          <w:p>
            <w:pPr>
              <w:jc w:val="right"/>
              <w:ind w:right="301"/>
              <w:spacing w:after="0"/>
              <w:rPr>
                <w:sz w:val="20"/>
                <w:szCs w:val="20"/>
                <w:color w:val="auto"/>
              </w:rPr>
            </w:pPr>
            <w:r>
              <w:rPr>
                <w:rFonts w:ascii="Arial" w:cs="Arial" w:eastAsia="Arial" w:hAnsi="Arial"/>
                <w:sz w:val="16"/>
                <w:szCs w:val="16"/>
                <w:color w:val="auto"/>
              </w:rPr>
              <w:t>25,000</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397,878</w:t>
            </w:r>
          </w:p>
        </w:tc>
      </w:tr>
      <w:tr>
        <w:trPr>
          <w:trHeight w:val="185"/>
        </w:trPr>
        <w:tc>
          <w:tcPr>
            <w:tcW w:w="1280" w:type="dxa"/>
            <w:vAlign w:val="bottom"/>
          </w:tcPr>
          <w:p>
            <w:pPr>
              <w:spacing w:after="0"/>
              <w:rPr>
                <w:sz w:val="20"/>
                <w:szCs w:val="20"/>
                <w:color w:val="auto"/>
              </w:rPr>
            </w:pPr>
            <w:r>
              <w:rPr>
                <w:rFonts w:ascii="Arial" w:cs="Arial" w:eastAsia="Arial" w:hAnsi="Arial"/>
                <w:sz w:val="16"/>
                <w:szCs w:val="16"/>
                <w:color w:val="auto"/>
              </w:rPr>
              <w:t>M. Meyer</w:t>
            </w:r>
          </w:p>
        </w:tc>
        <w:tc>
          <w:tcPr>
            <w:tcW w:w="560" w:type="dxa"/>
            <w:vAlign w:val="bottom"/>
          </w:tcPr>
          <w:p>
            <w:pPr>
              <w:spacing w:after="0"/>
              <w:rPr>
                <w:sz w:val="16"/>
                <w:szCs w:val="16"/>
                <w:color w:val="auto"/>
              </w:rPr>
            </w:pPr>
          </w:p>
        </w:tc>
        <w:tc>
          <w:tcPr>
            <w:tcW w:w="1220" w:type="dxa"/>
            <w:vAlign w:val="bottom"/>
          </w:tcPr>
          <w:p>
            <w:pPr>
              <w:jc w:val="right"/>
              <w:ind w:right="322"/>
              <w:spacing w:after="0"/>
              <w:rPr>
                <w:sz w:val="20"/>
                <w:szCs w:val="20"/>
                <w:color w:val="auto"/>
              </w:rPr>
            </w:pPr>
            <w:r>
              <w:rPr>
                <w:rFonts w:ascii="Arial" w:cs="Arial" w:eastAsia="Arial" w:hAnsi="Arial"/>
                <w:sz w:val="16"/>
                <w:szCs w:val="16"/>
                <w:color w:val="auto"/>
              </w:rPr>
              <w:t>157,917</w:t>
            </w:r>
          </w:p>
        </w:tc>
        <w:tc>
          <w:tcPr>
            <w:tcW w:w="1340" w:type="dxa"/>
            <w:vAlign w:val="bottom"/>
          </w:tcPr>
          <w:p>
            <w:pPr>
              <w:jc w:val="right"/>
              <w:ind w:right="302"/>
              <w:spacing w:after="0"/>
              <w:rPr>
                <w:sz w:val="20"/>
                <w:szCs w:val="20"/>
                <w:color w:val="auto"/>
              </w:rPr>
            </w:pPr>
            <w:r>
              <w:rPr>
                <w:rFonts w:ascii="Arial" w:cs="Arial" w:eastAsia="Arial" w:hAnsi="Arial"/>
                <w:sz w:val="16"/>
                <w:szCs w:val="16"/>
                <w:color w:val="auto"/>
              </w:rPr>
              <w:t>224,961</w:t>
            </w:r>
          </w:p>
        </w:tc>
        <w:tc>
          <w:tcPr>
            <w:tcW w:w="1180" w:type="dxa"/>
            <w:vAlign w:val="bottom"/>
          </w:tcPr>
          <w:p>
            <w:pPr>
              <w:jc w:val="right"/>
              <w:ind w:right="241"/>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264"/>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301"/>
              <w:spacing w:after="0"/>
              <w:rPr>
                <w:sz w:val="20"/>
                <w:szCs w:val="20"/>
                <w:color w:val="auto"/>
              </w:rPr>
            </w:pPr>
            <w:r>
              <w:rPr>
                <w:rFonts w:ascii="Arial" w:cs="Arial" w:eastAsia="Arial" w:hAnsi="Arial"/>
                <w:sz w:val="16"/>
                <w:szCs w:val="16"/>
                <w:color w:val="auto"/>
              </w:rPr>
              <w:t>25,000</w:t>
            </w:r>
          </w:p>
        </w:tc>
        <w:tc>
          <w:tcPr>
            <w:tcW w:w="1020" w:type="dxa"/>
            <w:vAlign w:val="bottom"/>
          </w:tcPr>
          <w:p>
            <w:pPr>
              <w:jc w:val="right"/>
              <w:spacing w:after="0"/>
              <w:rPr>
                <w:sz w:val="20"/>
                <w:szCs w:val="20"/>
                <w:color w:val="auto"/>
              </w:rPr>
            </w:pPr>
            <w:r>
              <w:rPr>
                <w:rFonts w:ascii="Arial" w:cs="Arial" w:eastAsia="Arial" w:hAnsi="Arial"/>
                <w:sz w:val="16"/>
                <w:szCs w:val="16"/>
                <w:color w:val="auto"/>
              </w:rPr>
              <w:t>407,878</w:t>
            </w:r>
          </w:p>
        </w:tc>
      </w:tr>
      <w:tr>
        <w:trPr>
          <w:trHeight w:val="185"/>
        </w:trPr>
        <w:tc>
          <w:tcPr>
            <w:tcW w:w="1280" w:type="dxa"/>
            <w:vAlign w:val="bottom"/>
            <w:shd w:val="clear" w:color="auto" w:fill="D9D9D9"/>
          </w:tcPr>
          <w:p>
            <w:pPr>
              <w:spacing w:after="0"/>
              <w:rPr>
                <w:sz w:val="20"/>
                <w:szCs w:val="20"/>
                <w:color w:val="auto"/>
              </w:rPr>
            </w:pPr>
            <w:r>
              <w:rPr>
                <w:rFonts w:ascii="Arial" w:cs="Arial" w:eastAsia="Arial" w:hAnsi="Arial"/>
                <w:sz w:val="16"/>
                <w:szCs w:val="16"/>
                <w:color w:val="auto"/>
              </w:rPr>
              <w:t>S. Quaggin</w:t>
            </w:r>
          </w:p>
        </w:tc>
        <w:tc>
          <w:tcPr>
            <w:tcW w:w="56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22"/>
              <w:spacing w:after="0"/>
              <w:rPr>
                <w:sz w:val="20"/>
                <w:szCs w:val="20"/>
                <w:color w:val="auto"/>
              </w:rPr>
            </w:pPr>
            <w:r>
              <w:rPr>
                <w:rFonts w:ascii="Arial" w:cs="Arial" w:eastAsia="Arial" w:hAnsi="Arial"/>
                <w:sz w:val="16"/>
                <w:szCs w:val="16"/>
                <w:color w:val="auto"/>
              </w:rPr>
              <w:t>122,917</w:t>
            </w:r>
          </w:p>
        </w:tc>
        <w:tc>
          <w:tcPr>
            <w:tcW w:w="1340" w:type="dxa"/>
            <w:vAlign w:val="bottom"/>
            <w:shd w:val="clear" w:color="auto" w:fill="D9D9D9"/>
          </w:tcPr>
          <w:p>
            <w:pPr>
              <w:jc w:val="right"/>
              <w:ind w:right="302"/>
              <w:spacing w:after="0"/>
              <w:rPr>
                <w:sz w:val="20"/>
                <w:szCs w:val="20"/>
                <w:color w:val="auto"/>
              </w:rPr>
            </w:pPr>
            <w:r>
              <w:rPr>
                <w:rFonts w:ascii="Arial" w:cs="Arial" w:eastAsia="Arial" w:hAnsi="Arial"/>
                <w:sz w:val="16"/>
                <w:szCs w:val="16"/>
                <w:color w:val="auto"/>
              </w:rPr>
              <w:t>224,961</w:t>
            </w:r>
          </w:p>
        </w:tc>
        <w:tc>
          <w:tcPr>
            <w:tcW w:w="1180" w:type="dxa"/>
            <w:vAlign w:val="bottom"/>
            <w:shd w:val="clear" w:color="auto" w:fill="D9D9D9"/>
          </w:tcPr>
          <w:p>
            <w:pPr>
              <w:jc w:val="right"/>
              <w:ind w:right="241"/>
              <w:spacing w:after="0"/>
              <w:rPr>
                <w:sz w:val="20"/>
                <w:szCs w:val="20"/>
                <w:color w:val="auto"/>
              </w:rPr>
            </w:pPr>
            <w:r>
              <w:rPr>
                <w:rFonts w:ascii="Arial" w:cs="Arial" w:eastAsia="Arial" w:hAnsi="Arial"/>
                <w:sz w:val="16"/>
                <w:szCs w:val="16"/>
                <w:color w:val="auto"/>
              </w:rPr>
              <w:t>0</w:t>
            </w:r>
          </w:p>
        </w:tc>
        <w:tc>
          <w:tcPr>
            <w:tcW w:w="130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3,970</w:t>
            </w:r>
          </w:p>
        </w:tc>
        <w:tc>
          <w:tcPr>
            <w:tcW w:w="1360" w:type="dxa"/>
            <w:vAlign w:val="bottom"/>
            <w:shd w:val="clear" w:color="auto" w:fill="D9D9D9"/>
          </w:tcPr>
          <w:p>
            <w:pPr>
              <w:jc w:val="right"/>
              <w:ind w:right="301"/>
              <w:spacing w:after="0"/>
              <w:rPr>
                <w:sz w:val="20"/>
                <w:szCs w:val="20"/>
                <w:color w:val="auto"/>
              </w:rPr>
            </w:pPr>
            <w:r>
              <w:rPr>
                <w:rFonts w:ascii="Arial" w:cs="Arial" w:eastAsia="Arial" w:hAnsi="Arial"/>
                <w:sz w:val="16"/>
                <w:szCs w:val="16"/>
                <w:color w:val="auto"/>
              </w:rPr>
              <w:t>7,663</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359,511</w:t>
            </w:r>
          </w:p>
        </w:tc>
      </w:tr>
      <w:tr>
        <w:trPr>
          <w:trHeight w:val="185"/>
        </w:trPr>
        <w:tc>
          <w:tcPr>
            <w:tcW w:w="1280" w:type="dxa"/>
            <w:vAlign w:val="bottom"/>
          </w:tcPr>
          <w:p>
            <w:pPr>
              <w:spacing w:after="0"/>
              <w:rPr>
                <w:sz w:val="20"/>
                <w:szCs w:val="20"/>
                <w:color w:val="auto"/>
              </w:rPr>
            </w:pPr>
            <w:r>
              <w:rPr>
                <w:rFonts w:ascii="Arial" w:cs="Arial" w:eastAsia="Arial" w:hAnsi="Arial"/>
                <w:sz w:val="16"/>
                <w:szCs w:val="16"/>
                <w:color w:val="auto"/>
              </w:rPr>
              <w:t>E. Rapp</w:t>
            </w:r>
          </w:p>
        </w:tc>
        <w:tc>
          <w:tcPr>
            <w:tcW w:w="560" w:type="dxa"/>
            <w:vAlign w:val="bottom"/>
          </w:tcPr>
          <w:p>
            <w:pPr>
              <w:spacing w:after="0"/>
              <w:rPr>
                <w:sz w:val="16"/>
                <w:szCs w:val="16"/>
                <w:color w:val="auto"/>
              </w:rPr>
            </w:pPr>
          </w:p>
        </w:tc>
        <w:tc>
          <w:tcPr>
            <w:tcW w:w="1220" w:type="dxa"/>
            <w:vAlign w:val="bottom"/>
          </w:tcPr>
          <w:p>
            <w:pPr>
              <w:jc w:val="right"/>
              <w:ind w:right="322"/>
              <w:spacing w:after="0"/>
              <w:rPr>
                <w:sz w:val="20"/>
                <w:szCs w:val="20"/>
                <w:color w:val="auto"/>
              </w:rPr>
            </w:pPr>
            <w:r>
              <w:rPr>
                <w:rFonts w:ascii="Arial" w:cs="Arial" w:eastAsia="Arial" w:hAnsi="Arial"/>
                <w:sz w:val="16"/>
                <w:szCs w:val="16"/>
                <w:color w:val="auto"/>
              </w:rPr>
              <w:t>132,917</w:t>
            </w:r>
          </w:p>
        </w:tc>
        <w:tc>
          <w:tcPr>
            <w:tcW w:w="1340" w:type="dxa"/>
            <w:vAlign w:val="bottom"/>
          </w:tcPr>
          <w:p>
            <w:pPr>
              <w:jc w:val="right"/>
              <w:ind w:right="302"/>
              <w:spacing w:after="0"/>
              <w:rPr>
                <w:sz w:val="20"/>
                <w:szCs w:val="20"/>
                <w:color w:val="auto"/>
              </w:rPr>
            </w:pPr>
            <w:r>
              <w:rPr>
                <w:rFonts w:ascii="Arial" w:cs="Arial" w:eastAsia="Arial" w:hAnsi="Arial"/>
                <w:sz w:val="16"/>
                <w:szCs w:val="16"/>
                <w:color w:val="auto"/>
              </w:rPr>
              <w:t>224,961</w:t>
            </w:r>
          </w:p>
        </w:tc>
        <w:tc>
          <w:tcPr>
            <w:tcW w:w="1180" w:type="dxa"/>
            <w:vAlign w:val="bottom"/>
          </w:tcPr>
          <w:p>
            <w:pPr>
              <w:jc w:val="right"/>
              <w:ind w:right="241"/>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264"/>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301"/>
              <w:spacing w:after="0"/>
              <w:rPr>
                <w:sz w:val="20"/>
                <w:szCs w:val="20"/>
                <w:color w:val="auto"/>
              </w:rPr>
            </w:pPr>
            <w:r>
              <w:rPr>
                <w:rFonts w:ascii="Arial" w:cs="Arial" w:eastAsia="Arial" w:hAnsi="Arial"/>
                <w:sz w:val="16"/>
                <w:szCs w:val="16"/>
                <w:color w:val="auto"/>
              </w:rPr>
              <w:t>25,560</w:t>
            </w:r>
          </w:p>
        </w:tc>
        <w:tc>
          <w:tcPr>
            <w:tcW w:w="1020" w:type="dxa"/>
            <w:vAlign w:val="bottom"/>
          </w:tcPr>
          <w:p>
            <w:pPr>
              <w:jc w:val="right"/>
              <w:spacing w:after="0"/>
              <w:rPr>
                <w:sz w:val="20"/>
                <w:szCs w:val="20"/>
                <w:color w:val="auto"/>
              </w:rPr>
            </w:pPr>
            <w:r>
              <w:rPr>
                <w:rFonts w:ascii="Arial" w:cs="Arial" w:eastAsia="Arial" w:hAnsi="Arial"/>
                <w:sz w:val="16"/>
                <w:szCs w:val="16"/>
                <w:color w:val="auto"/>
              </w:rPr>
              <w:t>383,438</w:t>
            </w:r>
          </w:p>
        </w:tc>
      </w:tr>
      <w:tr>
        <w:trPr>
          <w:trHeight w:val="185"/>
        </w:trPr>
        <w:tc>
          <w:tcPr>
            <w:tcW w:w="1280" w:type="dxa"/>
            <w:vAlign w:val="bottom"/>
            <w:shd w:val="clear" w:color="auto" w:fill="D9D9D9"/>
          </w:tcPr>
          <w:p>
            <w:pPr>
              <w:spacing w:after="0"/>
              <w:rPr>
                <w:sz w:val="20"/>
                <w:szCs w:val="20"/>
                <w:color w:val="auto"/>
              </w:rPr>
            </w:pPr>
            <w:r>
              <w:rPr>
                <w:rFonts w:ascii="Arial" w:cs="Arial" w:eastAsia="Arial" w:hAnsi="Arial"/>
                <w:sz w:val="16"/>
                <w:szCs w:val="16"/>
                <w:color w:val="auto"/>
              </w:rPr>
              <w:t>R. Roberts</w:t>
            </w:r>
          </w:p>
        </w:tc>
        <w:tc>
          <w:tcPr>
            <w:tcW w:w="56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22"/>
              <w:spacing w:after="0"/>
              <w:rPr>
                <w:sz w:val="20"/>
                <w:szCs w:val="20"/>
                <w:color w:val="auto"/>
              </w:rPr>
            </w:pPr>
            <w:r>
              <w:rPr>
                <w:rFonts w:ascii="Arial" w:cs="Arial" w:eastAsia="Arial" w:hAnsi="Arial"/>
                <w:sz w:val="16"/>
                <w:szCs w:val="16"/>
                <w:color w:val="auto"/>
              </w:rPr>
              <w:t>122,917</w:t>
            </w:r>
          </w:p>
        </w:tc>
        <w:tc>
          <w:tcPr>
            <w:tcW w:w="1340" w:type="dxa"/>
            <w:vAlign w:val="bottom"/>
            <w:shd w:val="clear" w:color="auto" w:fill="D9D9D9"/>
          </w:tcPr>
          <w:p>
            <w:pPr>
              <w:jc w:val="right"/>
              <w:ind w:right="302"/>
              <w:spacing w:after="0"/>
              <w:rPr>
                <w:sz w:val="20"/>
                <w:szCs w:val="20"/>
                <w:color w:val="auto"/>
              </w:rPr>
            </w:pPr>
            <w:r>
              <w:rPr>
                <w:rFonts w:ascii="Arial" w:cs="Arial" w:eastAsia="Arial" w:hAnsi="Arial"/>
                <w:sz w:val="16"/>
                <w:szCs w:val="16"/>
                <w:color w:val="auto"/>
              </w:rPr>
              <w:t>224,961</w:t>
            </w:r>
          </w:p>
        </w:tc>
        <w:tc>
          <w:tcPr>
            <w:tcW w:w="1180" w:type="dxa"/>
            <w:vAlign w:val="bottom"/>
            <w:shd w:val="clear" w:color="auto" w:fill="D9D9D9"/>
          </w:tcPr>
          <w:p>
            <w:pPr>
              <w:jc w:val="right"/>
              <w:ind w:right="241"/>
              <w:spacing w:after="0"/>
              <w:rPr>
                <w:sz w:val="20"/>
                <w:szCs w:val="20"/>
                <w:color w:val="auto"/>
              </w:rPr>
            </w:pPr>
            <w:r>
              <w:rPr>
                <w:rFonts w:ascii="Arial" w:cs="Arial" w:eastAsia="Arial" w:hAnsi="Arial"/>
                <w:sz w:val="16"/>
                <w:szCs w:val="16"/>
                <w:color w:val="auto"/>
              </w:rPr>
              <w:t>0</w:t>
            </w:r>
          </w:p>
        </w:tc>
        <w:tc>
          <w:tcPr>
            <w:tcW w:w="130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0</w:t>
            </w:r>
          </w:p>
        </w:tc>
        <w:tc>
          <w:tcPr>
            <w:tcW w:w="1360" w:type="dxa"/>
            <w:vAlign w:val="bottom"/>
            <w:shd w:val="clear" w:color="auto" w:fill="D9D9D9"/>
          </w:tcPr>
          <w:p>
            <w:pPr>
              <w:jc w:val="right"/>
              <w:ind w:right="301"/>
              <w:spacing w:after="0"/>
              <w:rPr>
                <w:sz w:val="20"/>
                <w:szCs w:val="20"/>
                <w:color w:val="auto"/>
              </w:rPr>
            </w:pPr>
            <w:r>
              <w:rPr>
                <w:rFonts w:ascii="Arial" w:cs="Arial" w:eastAsia="Arial" w:hAnsi="Arial"/>
                <w:sz w:val="16"/>
                <w:szCs w:val="16"/>
                <w:color w:val="auto"/>
              </w:rPr>
              <w:t>25,000</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372,878</w:t>
            </w:r>
          </w:p>
        </w:tc>
      </w:tr>
      <w:tr>
        <w:trPr>
          <w:trHeight w:val="185"/>
        </w:trPr>
        <w:tc>
          <w:tcPr>
            <w:tcW w:w="1280" w:type="dxa"/>
            <w:vAlign w:val="bottom"/>
          </w:tcPr>
          <w:p>
            <w:pPr>
              <w:spacing w:after="0" w:line="185" w:lineRule="exact"/>
              <w:rPr>
                <w:sz w:val="20"/>
                <w:szCs w:val="20"/>
                <w:color w:val="auto"/>
              </w:rPr>
            </w:pPr>
            <w:r>
              <w:rPr>
                <w:rFonts w:ascii="Arial" w:cs="Arial" w:eastAsia="Arial" w:hAnsi="Arial"/>
                <w:sz w:val="15"/>
                <w:szCs w:val="15"/>
                <w:color w:val="auto"/>
              </w:rPr>
              <w:t>G. Tilton</w:t>
            </w:r>
            <w:r>
              <w:rPr>
                <w:rFonts w:ascii="Arial" w:cs="Arial" w:eastAsia="Arial" w:hAnsi="Arial"/>
                <w:sz w:val="21"/>
                <w:szCs w:val="21"/>
                <w:color w:val="auto"/>
                <w:vertAlign w:val="superscript"/>
              </w:rPr>
              <w:t>(7)</w:t>
            </w:r>
          </w:p>
        </w:tc>
        <w:tc>
          <w:tcPr>
            <w:tcW w:w="560" w:type="dxa"/>
            <w:vAlign w:val="bottom"/>
          </w:tcPr>
          <w:p>
            <w:pPr>
              <w:spacing w:after="0"/>
              <w:rPr>
                <w:sz w:val="16"/>
                <w:szCs w:val="16"/>
                <w:color w:val="auto"/>
              </w:rPr>
            </w:pPr>
          </w:p>
        </w:tc>
        <w:tc>
          <w:tcPr>
            <w:tcW w:w="1220" w:type="dxa"/>
            <w:vAlign w:val="bottom"/>
          </w:tcPr>
          <w:p>
            <w:pPr>
              <w:jc w:val="right"/>
              <w:ind w:right="322"/>
              <w:spacing w:after="0"/>
              <w:rPr>
                <w:sz w:val="20"/>
                <w:szCs w:val="20"/>
                <w:color w:val="auto"/>
              </w:rPr>
            </w:pPr>
            <w:r>
              <w:rPr>
                <w:rFonts w:ascii="Arial" w:cs="Arial" w:eastAsia="Arial" w:hAnsi="Arial"/>
                <w:sz w:val="16"/>
                <w:szCs w:val="16"/>
                <w:color w:val="auto"/>
              </w:rPr>
              <w:t>65,417</w:t>
            </w:r>
          </w:p>
        </w:tc>
        <w:tc>
          <w:tcPr>
            <w:tcW w:w="1340" w:type="dxa"/>
            <w:vAlign w:val="bottom"/>
          </w:tcPr>
          <w:p>
            <w:pPr>
              <w:jc w:val="right"/>
              <w:ind w:right="302"/>
              <w:spacing w:after="0"/>
              <w:rPr>
                <w:sz w:val="20"/>
                <w:szCs w:val="20"/>
                <w:color w:val="auto"/>
              </w:rPr>
            </w:pPr>
            <w:r>
              <w:rPr>
                <w:rFonts w:ascii="Arial" w:cs="Arial" w:eastAsia="Arial" w:hAnsi="Arial"/>
                <w:sz w:val="16"/>
                <w:szCs w:val="16"/>
                <w:color w:val="auto"/>
              </w:rPr>
              <w:t>224,961</w:t>
            </w:r>
          </w:p>
        </w:tc>
        <w:tc>
          <w:tcPr>
            <w:tcW w:w="1180" w:type="dxa"/>
            <w:vAlign w:val="bottom"/>
          </w:tcPr>
          <w:p>
            <w:pPr>
              <w:jc w:val="right"/>
              <w:ind w:right="241"/>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264"/>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301"/>
              <w:spacing w:after="0"/>
              <w:rPr>
                <w:sz w:val="20"/>
                <w:szCs w:val="20"/>
                <w:color w:val="auto"/>
              </w:rPr>
            </w:pPr>
            <w:r>
              <w:rPr>
                <w:rFonts w:ascii="Arial" w:cs="Arial" w:eastAsia="Arial" w:hAnsi="Arial"/>
                <w:sz w:val="16"/>
                <w:szCs w:val="16"/>
                <w:color w:val="auto"/>
              </w:rPr>
              <w:t>26,996</w:t>
            </w:r>
          </w:p>
        </w:tc>
        <w:tc>
          <w:tcPr>
            <w:tcW w:w="1020" w:type="dxa"/>
            <w:vAlign w:val="bottom"/>
          </w:tcPr>
          <w:p>
            <w:pPr>
              <w:jc w:val="right"/>
              <w:spacing w:after="0"/>
              <w:rPr>
                <w:sz w:val="20"/>
                <w:szCs w:val="20"/>
                <w:color w:val="auto"/>
              </w:rPr>
            </w:pPr>
            <w:r>
              <w:rPr>
                <w:rFonts w:ascii="Arial" w:cs="Arial" w:eastAsia="Arial" w:hAnsi="Arial"/>
                <w:sz w:val="16"/>
                <w:szCs w:val="16"/>
                <w:color w:val="auto"/>
              </w:rPr>
              <w:t>317,374</w:t>
            </w:r>
          </w:p>
        </w:tc>
      </w:tr>
      <w:tr>
        <w:trPr>
          <w:trHeight w:val="185"/>
        </w:trPr>
        <w:tc>
          <w:tcPr>
            <w:tcW w:w="1280" w:type="dxa"/>
            <w:vAlign w:val="bottom"/>
            <w:shd w:val="clear" w:color="auto" w:fill="D9D9D9"/>
          </w:tcPr>
          <w:p>
            <w:pPr>
              <w:spacing w:after="0"/>
              <w:rPr>
                <w:sz w:val="20"/>
                <w:szCs w:val="20"/>
                <w:color w:val="auto"/>
              </w:rPr>
            </w:pPr>
            <w:r>
              <w:rPr>
                <w:rFonts w:ascii="Arial" w:cs="Arial" w:eastAsia="Arial" w:hAnsi="Arial"/>
                <w:sz w:val="16"/>
                <w:szCs w:val="16"/>
                <w:color w:val="auto"/>
              </w:rPr>
              <w:t>F. Waddell</w:t>
            </w:r>
          </w:p>
        </w:tc>
        <w:tc>
          <w:tcPr>
            <w:tcW w:w="56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22"/>
              <w:spacing w:after="0"/>
              <w:rPr>
                <w:sz w:val="20"/>
                <w:szCs w:val="20"/>
                <w:color w:val="auto"/>
              </w:rPr>
            </w:pPr>
            <w:r>
              <w:rPr>
                <w:rFonts w:ascii="Arial" w:cs="Arial" w:eastAsia="Arial" w:hAnsi="Arial"/>
                <w:sz w:val="16"/>
                <w:szCs w:val="16"/>
                <w:color w:val="auto"/>
              </w:rPr>
              <w:t>152,917</w:t>
            </w:r>
          </w:p>
        </w:tc>
        <w:tc>
          <w:tcPr>
            <w:tcW w:w="1340" w:type="dxa"/>
            <w:vAlign w:val="bottom"/>
            <w:shd w:val="clear" w:color="auto" w:fill="D9D9D9"/>
          </w:tcPr>
          <w:p>
            <w:pPr>
              <w:jc w:val="right"/>
              <w:ind w:right="302"/>
              <w:spacing w:after="0"/>
              <w:rPr>
                <w:sz w:val="20"/>
                <w:szCs w:val="20"/>
                <w:color w:val="auto"/>
              </w:rPr>
            </w:pPr>
            <w:r>
              <w:rPr>
                <w:rFonts w:ascii="Arial" w:cs="Arial" w:eastAsia="Arial" w:hAnsi="Arial"/>
                <w:sz w:val="16"/>
                <w:szCs w:val="16"/>
                <w:color w:val="auto"/>
              </w:rPr>
              <w:t>224,961</w:t>
            </w:r>
          </w:p>
        </w:tc>
        <w:tc>
          <w:tcPr>
            <w:tcW w:w="1180" w:type="dxa"/>
            <w:vAlign w:val="bottom"/>
            <w:shd w:val="clear" w:color="auto" w:fill="D9D9D9"/>
          </w:tcPr>
          <w:p>
            <w:pPr>
              <w:jc w:val="right"/>
              <w:ind w:right="241"/>
              <w:spacing w:after="0"/>
              <w:rPr>
                <w:sz w:val="20"/>
                <w:szCs w:val="20"/>
                <w:color w:val="auto"/>
              </w:rPr>
            </w:pPr>
            <w:r>
              <w:rPr>
                <w:rFonts w:ascii="Arial" w:cs="Arial" w:eastAsia="Arial" w:hAnsi="Arial"/>
                <w:sz w:val="16"/>
                <w:szCs w:val="16"/>
                <w:color w:val="auto"/>
              </w:rPr>
              <w:t>0</w:t>
            </w:r>
          </w:p>
        </w:tc>
        <w:tc>
          <w:tcPr>
            <w:tcW w:w="130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0</w:t>
            </w:r>
          </w:p>
        </w:tc>
        <w:tc>
          <w:tcPr>
            <w:tcW w:w="1360" w:type="dxa"/>
            <w:vAlign w:val="bottom"/>
            <w:shd w:val="clear" w:color="auto" w:fill="D9D9D9"/>
          </w:tcPr>
          <w:p>
            <w:pPr>
              <w:jc w:val="right"/>
              <w:ind w:right="301"/>
              <w:spacing w:after="0"/>
              <w:rPr>
                <w:sz w:val="20"/>
                <w:szCs w:val="20"/>
                <w:color w:val="auto"/>
              </w:rPr>
            </w:pPr>
            <w:r>
              <w:rPr>
                <w:rFonts w:ascii="Arial" w:cs="Arial" w:eastAsia="Arial" w:hAnsi="Arial"/>
                <w:sz w:val="16"/>
                <w:szCs w:val="16"/>
                <w:color w:val="auto"/>
              </w:rPr>
              <w:t>25,000</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402,878</w:t>
            </w:r>
          </w:p>
        </w:tc>
      </w:tr>
      <w:tr>
        <w:trPr>
          <w:trHeight w:val="216"/>
        </w:trPr>
        <w:tc>
          <w:tcPr>
            <w:tcW w:w="1280" w:type="dxa"/>
            <w:vAlign w:val="bottom"/>
          </w:tcPr>
          <w:p>
            <w:pPr>
              <w:spacing w:after="0"/>
              <w:rPr>
                <w:sz w:val="20"/>
                <w:szCs w:val="20"/>
                <w:color w:val="auto"/>
              </w:rPr>
            </w:pPr>
            <w:r>
              <w:rPr>
                <w:rFonts w:ascii="Arial" w:cs="Arial" w:eastAsia="Arial" w:hAnsi="Arial"/>
                <w:sz w:val="16"/>
                <w:szCs w:val="16"/>
                <w:color w:val="auto"/>
              </w:rPr>
              <w:t>R. Gonzalez</w:t>
            </w:r>
          </w:p>
        </w:tc>
        <w:tc>
          <w:tcPr>
            <w:tcW w:w="560" w:type="dxa"/>
            <w:vAlign w:val="bottom"/>
          </w:tcPr>
          <w:p>
            <w:pPr>
              <w:spacing w:after="0"/>
              <w:rPr>
                <w:sz w:val="18"/>
                <w:szCs w:val="18"/>
                <w:color w:val="auto"/>
              </w:rPr>
            </w:pPr>
          </w:p>
        </w:tc>
        <w:tc>
          <w:tcPr>
            <w:tcW w:w="1220" w:type="dxa"/>
            <w:vAlign w:val="bottom"/>
          </w:tcPr>
          <w:p>
            <w:pPr>
              <w:jc w:val="right"/>
              <w:ind w:right="322"/>
              <w:spacing w:after="0"/>
              <w:rPr>
                <w:sz w:val="20"/>
                <w:szCs w:val="20"/>
                <w:color w:val="auto"/>
              </w:rPr>
            </w:pPr>
            <w:r>
              <w:rPr>
                <w:rFonts w:ascii="Arial" w:cs="Arial" w:eastAsia="Arial" w:hAnsi="Arial"/>
                <w:sz w:val="16"/>
                <w:szCs w:val="16"/>
                <w:color w:val="auto"/>
              </w:rPr>
              <w:t>0</w:t>
            </w:r>
          </w:p>
        </w:tc>
        <w:tc>
          <w:tcPr>
            <w:tcW w:w="1340" w:type="dxa"/>
            <w:vAlign w:val="bottom"/>
          </w:tcPr>
          <w:p>
            <w:pPr>
              <w:jc w:val="right"/>
              <w:ind w:right="302"/>
              <w:spacing w:after="0"/>
              <w:rPr>
                <w:sz w:val="20"/>
                <w:szCs w:val="20"/>
                <w:color w:val="auto"/>
              </w:rPr>
            </w:pPr>
            <w:r>
              <w:rPr>
                <w:rFonts w:ascii="Arial" w:cs="Arial" w:eastAsia="Arial" w:hAnsi="Arial"/>
                <w:sz w:val="16"/>
                <w:szCs w:val="16"/>
                <w:color w:val="auto"/>
              </w:rPr>
              <w:t>10,365,982</w:t>
            </w:r>
          </w:p>
        </w:tc>
        <w:tc>
          <w:tcPr>
            <w:tcW w:w="1180" w:type="dxa"/>
            <w:vAlign w:val="bottom"/>
          </w:tcPr>
          <w:p>
            <w:pPr>
              <w:jc w:val="right"/>
              <w:ind w:right="241"/>
              <w:spacing w:after="0"/>
              <w:rPr>
                <w:sz w:val="20"/>
                <w:szCs w:val="20"/>
                <w:color w:val="auto"/>
              </w:rPr>
            </w:pPr>
            <w:r>
              <w:rPr>
                <w:rFonts w:ascii="Arial" w:cs="Arial" w:eastAsia="Arial" w:hAnsi="Arial"/>
                <w:sz w:val="16"/>
                <w:szCs w:val="16"/>
                <w:color w:val="auto"/>
              </w:rPr>
              <w:t>2,499,343</w:t>
            </w:r>
          </w:p>
        </w:tc>
        <w:tc>
          <w:tcPr>
            <w:tcW w:w="1300" w:type="dxa"/>
            <w:vAlign w:val="bottom"/>
          </w:tcPr>
          <w:p>
            <w:pPr>
              <w:jc w:val="right"/>
              <w:ind w:right="264"/>
              <w:spacing w:after="0"/>
              <w:rPr>
                <w:sz w:val="20"/>
                <w:szCs w:val="20"/>
                <w:color w:val="auto"/>
              </w:rPr>
            </w:pPr>
            <w:r>
              <w:rPr>
                <w:rFonts w:ascii="Arial" w:cs="Arial" w:eastAsia="Arial" w:hAnsi="Arial"/>
                <w:sz w:val="16"/>
                <w:szCs w:val="16"/>
                <w:color w:val="auto"/>
              </w:rPr>
              <w:t>1,721,855</w:t>
            </w:r>
          </w:p>
        </w:tc>
        <w:tc>
          <w:tcPr>
            <w:tcW w:w="1360" w:type="dxa"/>
            <w:vAlign w:val="bottom"/>
          </w:tcPr>
          <w:p>
            <w:pPr>
              <w:jc w:val="right"/>
              <w:ind w:right="301"/>
              <w:spacing w:after="0"/>
              <w:rPr>
                <w:sz w:val="20"/>
                <w:szCs w:val="20"/>
                <w:color w:val="auto"/>
              </w:rPr>
            </w:pPr>
            <w:r>
              <w:rPr>
                <w:rFonts w:ascii="Arial" w:cs="Arial" w:eastAsia="Arial" w:hAnsi="Arial"/>
                <w:sz w:val="16"/>
                <w:szCs w:val="16"/>
                <w:color w:val="auto"/>
              </w:rPr>
              <w:t>2,484,243</w:t>
            </w:r>
          </w:p>
        </w:tc>
        <w:tc>
          <w:tcPr>
            <w:tcW w:w="1020" w:type="dxa"/>
            <w:vAlign w:val="bottom"/>
          </w:tcPr>
          <w:p>
            <w:pPr>
              <w:jc w:val="right"/>
              <w:spacing w:after="0"/>
              <w:rPr>
                <w:sz w:val="20"/>
                <w:szCs w:val="20"/>
                <w:color w:val="auto"/>
              </w:rPr>
            </w:pPr>
            <w:r>
              <w:rPr>
                <w:rFonts w:ascii="Arial" w:cs="Arial" w:eastAsia="Arial" w:hAnsi="Arial"/>
                <w:sz w:val="16"/>
                <w:szCs w:val="16"/>
                <w:color w:val="auto"/>
              </w:rPr>
              <w:t>17,071,423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146939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9390" cy="7620"/>
                    </a:xfrm>
                    <a:prstGeom prst="rect">
                      <a:avLst/>
                    </a:prstGeom>
                    <a:noFill/>
                  </pic:spPr>
                </pic:pic>
              </a:graphicData>
            </a:graphic>
          </wp:anchor>
        </w:drawing>
      </w:r>
    </w:p>
    <w:p>
      <w:pPr>
        <w:spacing w:after="0" w:line="116" w:lineRule="exact"/>
        <w:rPr>
          <w:sz w:val="20"/>
          <w:szCs w:val="20"/>
          <w:color w:val="auto"/>
        </w:rPr>
      </w:pPr>
    </w:p>
    <w:p>
      <w:pPr>
        <w:ind w:left="289" w:hanging="289"/>
        <w:spacing w:after="0"/>
        <w:tabs>
          <w:tab w:leader="none" w:pos="289"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Under the AbbVie Non-Employee Directors’ Fee Plan as in effect as of May 9, 2025, non-employee directors earned</w:t>
      </w:r>
    </w:p>
    <w:p>
      <w:pPr>
        <w:spacing w:after="0" w:line="16" w:lineRule="exact"/>
        <w:rPr>
          <w:rFonts w:ascii="Arial" w:cs="Arial" w:eastAsia="Arial" w:hAnsi="Arial"/>
          <w:sz w:val="16"/>
          <w:szCs w:val="16"/>
          <w:color w:val="auto"/>
        </w:rPr>
      </w:pPr>
    </w:p>
    <w:p>
      <w:pPr>
        <w:ind w:left="289" w:right="20"/>
        <w:spacing w:after="0" w:line="245" w:lineRule="auto"/>
        <w:rPr>
          <w:rFonts w:ascii="Arial" w:cs="Arial" w:eastAsia="Arial" w:hAnsi="Arial"/>
          <w:sz w:val="16"/>
          <w:szCs w:val="16"/>
          <w:color w:val="auto"/>
        </w:rPr>
      </w:pPr>
      <w:r>
        <w:rPr>
          <w:rFonts w:ascii="Arial" w:cs="Arial" w:eastAsia="Arial" w:hAnsi="Arial"/>
          <w:sz w:val="16"/>
          <w:szCs w:val="16"/>
          <w:color w:val="auto"/>
        </w:rPr>
        <w:t>$125,000 per year for service as a director and $25,000 per year for service as a chair of a Board committee, other than the chair of the audit committee. The chair of the audit committee received $30,000 per year for service as chair of that committee and the other members of the audit committee received $10,000 per year as a committee member. The Lead Independent Director received $50,000 in 2025 for service in that role. The non-employee director and committee fees are earned monthly for each calendar month or portion thereof that the director holds the position, excluding the month in which the director is first elected to the position.</w:t>
      </w:r>
    </w:p>
    <w:p>
      <w:pPr>
        <w:spacing w:after="0" w:line="100" w:lineRule="exact"/>
        <w:rPr>
          <w:rFonts w:ascii="Arial" w:cs="Arial" w:eastAsia="Arial" w:hAnsi="Arial"/>
          <w:sz w:val="16"/>
          <w:szCs w:val="16"/>
          <w:color w:val="auto"/>
        </w:rPr>
      </w:pPr>
    </w:p>
    <w:p>
      <w:pPr>
        <w:ind w:left="289" w:right="80"/>
        <w:spacing w:after="0" w:line="246" w:lineRule="auto"/>
        <w:rPr>
          <w:rFonts w:ascii="Arial" w:cs="Arial" w:eastAsia="Arial" w:hAnsi="Arial"/>
          <w:sz w:val="16"/>
          <w:szCs w:val="16"/>
          <w:color w:val="auto"/>
        </w:rPr>
      </w:pPr>
      <w:r>
        <w:rPr>
          <w:rFonts w:ascii="Arial" w:cs="Arial" w:eastAsia="Arial" w:hAnsi="Arial"/>
          <w:sz w:val="16"/>
          <w:szCs w:val="16"/>
          <w:color w:val="auto"/>
        </w:rPr>
        <w:t>Fees earned under the AbbVie Non-Employee Directors’ Fee Plan are, at the director’s election, paid currently in cash, delivered in the form of vested non-qualified stock options (based on an independent appraisal of their fair value), deferred (as an unfunded AbbVie obligation), or paid currently into an individual grantor trust established by an eligible director. The distribution of deferred fees and amounts held in a director’s grantor trust generally commences at the later of when the director reaches age 65 or upon retirement from the Board of Directors. Deferred fees and fees deposited in a trust may be credited to a stock equivalent account that earns the same return as if the fees were invested in AbbVie stock or to a guaranteed interest account. If necessary, AbbVie contributes funds to a director’s trust so that as of year-end the stock equivalent account balance (net of taxes) is not less than seventy-five percent of the market value of the related AbbVie common stock at year end.</w:t>
      </w:r>
    </w:p>
    <w:p>
      <w:pPr>
        <w:spacing w:after="0" w:line="200" w:lineRule="exact"/>
        <w:rPr>
          <w:sz w:val="20"/>
          <w:szCs w:val="20"/>
          <w:color w:val="auto"/>
        </w:rPr>
      </w:pPr>
    </w:p>
    <w:p>
      <w:pPr>
        <w:spacing w:after="0" w:line="287"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26</w:t>
      </w:r>
      <w:r>
        <w:rPr>
          <w:sz w:val="20"/>
          <w:szCs w:val="20"/>
          <w:color w:val="auto"/>
        </w:rPr>
        <w:tab/>
      </w:r>
      <w:r>
        <w:rPr>
          <w:sz w:val="1"/>
          <w:szCs w:val="1"/>
          <w:color w:val="auto"/>
        </w:rPr>
        <w:drawing>
          <wp:inline distT="0" distB="0" distL="0" distR="0">
            <wp:extent cx="797560" cy="14859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29" w:name="page30"/>
    <w:bookmarkEnd w:id="29"/>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DIRECTOR COMPENSATION</w:t>
      </w:r>
    </w:p>
    <w:p>
      <w:pPr>
        <w:spacing w:after="0" w:line="185" w:lineRule="exact"/>
        <w:rPr>
          <w:sz w:val="20"/>
          <w:szCs w:val="20"/>
          <w:color w:val="auto"/>
        </w:rPr>
      </w:pPr>
    </w:p>
    <w:p>
      <w:pPr>
        <w:ind w:left="289" w:right="80" w:hanging="289"/>
        <w:spacing w:after="0" w:line="254" w:lineRule="auto"/>
        <w:tabs>
          <w:tab w:leader="none" w:pos="289"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of the restricted stock unit awards granted during 2025, determined in accordance with Financial Accounting Standards Board (FASB) Accounting Standards Codification (ASC) Topic 718. AbbVie generally determines the grant date fair value of the awards by multiplying the number of units granted by the average of the high and low market prices of one share of AbbVie common stock on the award grant date.</w:t>
      </w:r>
    </w:p>
    <w:p>
      <w:pPr>
        <w:spacing w:after="0" w:line="82" w:lineRule="exact"/>
        <w:rPr>
          <w:rFonts w:ascii="Arial" w:cs="Arial" w:eastAsia="Arial" w:hAnsi="Arial"/>
          <w:sz w:val="16"/>
          <w:szCs w:val="16"/>
          <w:color w:val="auto"/>
        </w:rPr>
      </w:pPr>
    </w:p>
    <w:p>
      <w:pPr>
        <w:ind w:left="289" w:right="20"/>
        <w:spacing w:after="0" w:line="246" w:lineRule="auto"/>
        <w:rPr>
          <w:rFonts w:ascii="Arial" w:cs="Arial" w:eastAsia="Arial" w:hAnsi="Arial"/>
          <w:sz w:val="16"/>
          <w:szCs w:val="16"/>
          <w:color w:val="auto"/>
        </w:rPr>
      </w:pPr>
      <w:r>
        <w:rPr>
          <w:rFonts w:ascii="Arial" w:cs="Arial" w:eastAsia="Arial" w:hAnsi="Arial"/>
          <w:sz w:val="16"/>
          <w:szCs w:val="16"/>
          <w:color w:val="auto"/>
        </w:rPr>
        <w:t>In addition to the fees described in footnote (1), each non-employee director elected to or serving on the Board of Directors on the day of the 2025 annual stockholder meeting received under the AbbVie Amended and Restated 2013 Incentive Stock Program vested restricted stock units with a target grant date value of $225,000. In 2025, this equated to 1,203 restricted stock units (after rounding the award down to the nearest whole unit), with a reportable value of $224,961. The non-employee directors receive cash payments equal to the dividends paid on the shares covered by the units at the same rate as other stockholders, but do not otherwise have access to the restricted stock units during their Board service. Upon termination or retirement from the Board, death, or a change in control of the company, a non-employee director will receive one common share for each restricted stock unit outstanding.</w:t>
      </w:r>
    </w:p>
    <w:p>
      <w:pPr>
        <w:spacing w:after="0" w:line="103" w:lineRule="exact"/>
        <w:rPr>
          <w:rFonts w:ascii="Arial" w:cs="Arial" w:eastAsia="Arial" w:hAnsi="Arial"/>
          <w:sz w:val="16"/>
          <w:szCs w:val="16"/>
          <w:color w:val="auto"/>
        </w:rPr>
      </w:pPr>
    </w:p>
    <w:p>
      <w:pPr>
        <w:ind w:left="289" w:right="180"/>
        <w:spacing w:after="0" w:line="251" w:lineRule="auto"/>
        <w:rPr>
          <w:rFonts w:ascii="Arial" w:cs="Arial" w:eastAsia="Arial" w:hAnsi="Arial"/>
          <w:sz w:val="16"/>
          <w:szCs w:val="16"/>
          <w:color w:val="auto"/>
        </w:rPr>
      </w:pPr>
      <w:r>
        <w:rPr>
          <w:rFonts w:ascii="Arial" w:cs="Arial" w:eastAsia="Arial" w:hAnsi="Arial"/>
          <w:sz w:val="16"/>
          <w:szCs w:val="16"/>
          <w:color w:val="auto"/>
        </w:rPr>
        <w:t>The following AbbVie non-employee director restricted stock units were outstanding as of December 31, 2025: R. Alpern, 35,517; R. Austin, 26,958; W. Burnside, 26,958; J. Davis, 2,525; T. Falk, 1,203; T. Freyman, 9,410; B. Hart, 19,472;</w:t>
      </w:r>
    </w:p>
    <w:p>
      <w:pPr>
        <w:ind w:left="289"/>
        <w:spacing w:after="0"/>
        <w:rPr>
          <w:rFonts w:ascii="Arial" w:cs="Arial" w:eastAsia="Arial" w:hAnsi="Arial"/>
          <w:sz w:val="16"/>
          <w:szCs w:val="16"/>
          <w:color w:val="auto"/>
        </w:rPr>
      </w:pPr>
      <w:r>
        <w:rPr>
          <w:rFonts w:ascii="Arial" w:cs="Arial" w:eastAsia="Arial" w:hAnsi="Arial"/>
          <w:sz w:val="16"/>
          <w:szCs w:val="16"/>
          <w:color w:val="auto"/>
        </w:rPr>
        <w:t>M. Meyer, 16,498; S. Quaggin, 2,525; E. Rapp, 26,958; R. Roberts, 13,728; and F. Waddell, 26,958.</w:t>
      </w:r>
    </w:p>
    <w:p>
      <w:pPr>
        <w:spacing w:after="0" w:line="120" w:lineRule="exact"/>
        <w:rPr>
          <w:sz w:val="20"/>
          <w:szCs w:val="20"/>
          <w:color w:val="auto"/>
        </w:rPr>
      </w:pPr>
    </w:p>
    <w:p>
      <w:pPr>
        <w:ind w:left="289" w:right="20"/>
        <w:spacing w:after="0" w:line="249" w:lineRule="auto"/>
        <w:rPr>
          <w:sz w:val="20"/>
          <w:szCs w:val="20"/>
          <w:color w:val="auto"/>
        </w:rPr>
      </w:pPr>
      <w:r>
        <w:rPr>
          <w:rFonts w:ascii="Arial" w:cs="Arial" w:eastAsia="Arial" w:hAnsi="Arial"/>
          <w:sz w:val="16"/>
          <w:szCs w:val="16"/>
          <w:color w:val="auto"/>
        </w:rPr>
        <w:t>For Mr. Gonzalez, the amount in this column represents the total grant date fair value of performance awards granted to him on February 13, 2025. Mr. Gonzalez’s award terms and assumptions are consistent with our NEOs, as described in the “Executive Compensation” section of this proxy statement. The number of performance shares and performance-vested restricted stock units held by Mr. Gonzalez as of December 31, 2025, was 112,450 and 68,458, respectively. Mr. Gonzalez met the age and service conditions for retirement eligibility under the performance award agreements; therefore, his awards will continue to vest over the three-year performance period subject to award terms.</w:t>
      </w:r>
    </w:p>
    <w:p>
      <w:pPr>
        <w:spacing w:after="0" w:line="86" w:lineRule="exact"/>
        <w:rPr>
          <w:sz w:val="20"/>
          <w:szCs w:val="20"/>
          <w:color w:val="auto"/>
        </w:rPr>
      </w:pPr>
    </w:p>
    <w:p>
      <w:pPr>
        <w:ind w:left="289" w:right="40" w:hanging="289"/>
        <w:spacing w:after="0" w:line="249" w:lineRule="auto"/>
        <w:tabs>
          <w:tab w:leader="none" w:pos="289"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non-employee directors, no AbbVie stock options were outstanding as of December 31, 2025. For Mr. Gonzalez, the amount in this column represents the grant date fair value of stock options granted to him on February 13, 2025. Mr. Gonzalez’s award terms and assumptions are consistent with our NEOs, as described in the “Executive Compensation” section of this proxy statement. The aggregate number of stock options held by Mr. Gonzalez as of December 31, 2025, was 450,981. Mr. Gonzalez met the age and service conditions for retirement eligibility under the option award agreements; therefore, his unvested options will continue to vest and vested options will remain exercisable subject to award terms.</w:t>
      </w:r>
    </w:p>
    <w:p>
      <w:pPr>
        <w:spacing w:after="0" w:line="97" w:lineRule="exact"/>
        <w:rPr>
          <w:rFonts w:ascii="Arial" w:cs="Arial" w:eastAsia="Arial" w:hAnsi="Arial"/>
          <w:sz w:val="16"/>
          <w:szCs w:val="16"/>
          <w:color w:val="auto"/>
        </w:rPr>
      </w:pPr>
    </w:p>
    <w:p>
      <w:pPr>
        <w:ind w:left="289" w:right="160" w:hanging="289"/>
        <w:spacing w:after="0" w:line="252" w:lineRule="auto"/>
        <w:tabs>
          <w:tab w:leader="none" w:pos="289"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non-employee directors, the totals in this column include reportable interest credited under the AbbVie Non-Employee Directors’ Fee Plan during 2025. For Mr. Gonzalez, the totals in this column include reportable interest of $1,721,855 credited under his AbbVie Performance Incentive Plan and the AbbVie Supplemental Savings Plan grantor trusts, consistent with those established by eligible NEOs as described in the “Executive Compensation” section of this proxy statement.</w:t>
      </w:r>
    </w:p>
    <w:p>
      <w:pPr>
        <w:spacing w:after="0" w:line="285" w:lineRule="exact"/>
        <w:rPr>
          <w:rFonts w:ascii="Arial" w:cs="Arial" w:eastAsia="Arial" w:hAnsi="Arial"/>
          <w:sz w:val="16"/>
          <w:szCs w:val="16"/>
          <w:color w:val="auto"/>
        </w:rPr>
      </w:pPr>
    </w:p>
    <w:p>
      <w:pPr>
        <w:ind w:left="289" w:right="120"/>
        <w:spacing w:after="0" w:line="254" w:lineRule="auto"/>
        <w:rPr>
          <w:rFonts w:ascii="Arial" w:cs="Arial" w:eastAsia="Arial" w:hAnsi="Arial"/>
          <w:sz w:val="16"/>
          <w:szCs w:val="16"/>
          <w:color w:val="auto"/>
        </w:rPr>
      </w:pPr>
      <w:r>
        <w:rPr>
          <w:rFonts w:ascii="Arial" w:cs="Arial" w:eastAsia="Arial" w:hAnsi="Arial"/>
          <w:sz w:val="16"/>
          <w:szCs w:val="16"/>
          <w:color w:val="auto"/>
        </w:rPr>
        <w:t>Mr. Gonzalez’s change in pension value during 2025 under the AbbVie Pension Plan was $(54,397) and under the AbbVie Supplemental Pension Plan was $(945,535), in each case, which is excluded from this column in accordance with SEC rules since the aggregate is negative. The terms and assumptions related to the plan amounts are consistent with our NEOs as described in the “Executive Compensation” section of this proxy statement.</w:t>
      </w:r>
    </w:p>
    <w:p>
      <w:pPr>
        <w:spacing w:after="0" w:line="82" w:lineRule="exact"/>
        <w:rPr>
          <w:rFonts w:ascii="Arial" w:cs="Arial" w:eastAsia="Arial" w:hAnsi="Arial"/>
          <w:sz w:val="16"/>
          <w:szCs w:val="16"/>
          <w:color w:val="auto"/>
        </w:rPr>
      </w:pPr>
    </w:p>
    <w:p>
      <w:pPr>
        <w:jc w:val="both"/>
        <w:ind w:left="289" w:right="880" w:hanging="289"/>
        <w:spacing w:after="0" w:line="251" w:lineRule="auto"/>
        <w:tabs>
          <w:tab w:leader="none" w:pos="289"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Charitable contributions made by AbbVie’s non-employee directors and Mr. Gonzalez are eligible for a matching contribution (up to $25,000 annually). For 2025 contributions, the AbbVie Foundation made charitable matching</w:t>
      </w:r>
    </w:p>
    <w:p>
      <w:pPr>
        <w:ind w:left="289"/>
        <w:spacing w:after="0"/>
        <w:rPr>
          <w:sz w:val="20"/>
          <w:szCs w:val="20"/>
          <w:color w:val="auto"/>
        </w:rPr>
      </w:pPr>
      <w:r>
        <w:rPr>
          <w:rFonts w:ascii="Arial" w:cs="Arial" w:eastAsia="Arial" w:hAnsi="Arial"/>
          <w:sz w:val="16"/>
          <w:szCs w:val="16"/>
          <w:color w:val="auto"/>
        </w:rPr>
        <w:t>contributions on behalf of the following AbbVie directors: R. Alpern, $25,000; R. Austin, $25,000; W. Burnside, $25,000;</w:t>
      </w:r>
    </w:p>
    <w:p>
      <w:pPr>
        <w:spacing w:after="0" w:line="1" w:lineRule="exact"/>
        <w:rPr>
          <w:sz w:val="20"/>
          <w:szCs w:val="20"/>
          <w:color w:val="auto"/>
        </w:rPr>
      </w:pPr>
    </w:p>
    <w:p>
      <w:pPr>
        <w:ind w:left="289" w:right="560" w:firstLine="6"/>
        <w:spacing w:after="0" w:line="262" w:lineRule="auto"/>
        <w:tabs>
          <w:tab w:leader="none" w:pos="462" w:val="left"/>
        </w:tabs>
        <w:numPr>
          <w:ilvl w:val="0"/>
          <w:numId w:val="48"/>
        </w:numPr>
        <w:rPr>
          <w:rFonts w:ascii="Arial" w:cs="Arial" w:eastAsia="Arial" w:hAnsi="Arial"/>
          <w:sz w:val="16"/>
          <w:szCs w:val="16"/>
          <w:color w:val="auto"/>
        </w:rPr>
      </w:pPr>
      <w:r>
        <w:rPr>
          <w:rFonts w:ascii="Arial" w:cs="Arial" w:eastAsia="Arial" w:hAnsi="Arial"/>
          <w:sz w:val="16"/>
          <w:szCs w:val="16"/>
          <w:color w:val="auto"/>
        </w:rPr>
        <w:t>Davis, $25,000; T. Falk, $25,000; T. Freyman, $25,000; B. Hart, $25,000; M. Meyer, $25,000; S. Quaggin, $7,663; E. Rapp, $25,000; R. Roberts, $25,000; G. Tilton, $25,000; F. Waddell, $25,000; and R. Gonzalez, $20,000.</w:t>
      </w:r>
    </w:p>
    <w:p>
      <w:pPr>
        <w:spacing w:after="0" w:line="200" w:lineRule="exact"/>
        <w:rPr>
          <w:sz w:val="20"/>
          <w:szCs w:val="20"/>
          <w:color w:val="auto"/>
        </w:rPr>
      </w:pPr>
    </w:p>
    <w:p>
      <w:pPr>
        <w:spacing w:after="0" w:line="322"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-499745</wp:posOffset>
            </wp:positionV>
            <wp:extent cx="797560" cy="148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30" w:name="page31"/>
    <w:bookmarkEnd w:id="30"/>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DIRECTOR COMPENSATION</w:t>
      </w:r>
    </w:p>
    <w:p>
      <w:pPr>
        <w:spacing w:after="0" w:line="185" w:lineRule="exact"/>
        <w:rPr>
          <w:sz w:val="20"/>
          <w:szCs w:val="20"/>
          <w:color w:val="auto"/>
        </w:rPr>
      </w:pPr>
    </w:p>
    <w:p>
      <w:pPr>
        <w:ind w:left="289" w:right="80"/>
        <w:spacing w:after="0" w:line="262" w:lineRule="auto"/>
        <w:rPr>
          <w:sz w:val="20"/>
          <w:szCs w:val="20"/>
          <w:color w:val="auto"/>
        </w:rPr>
      </w:pPr>
      <w:r>
        <w:rPr>
          <w:rFonts w:ascii="Arial" w:cs="Arial" w:eastAsia="Arial" w:hAnsi="Arial"/>
          <w:sz w:val="16"/>
          <w:szCs w:val="16"/>
          <w:color w:val="auto"/>
        </w:rPr>
        <w:t>This column also includes reimbursement for certain taxes related to spousal air and other travel, and Mr. Gonzalez’s post-retirement use of an AbbVie office and administrative assistant (see below), as follows: E. Rapp, $560; G. Tilton, $1,996; and R. Gonzalez, $116,884.</w:t>
      </w:r>
    </w:p>
    <w:p>
      <w:pPr>
        <w:spacing w:after="0" w:line="74" w:lineRule="exact"/>
        <w:rPr>
          <w:sz w:val="20"/>
          <w:szCs w:val="20"/>
          <w:color w:val="auto"/>
        </w:rPr>
      </w:pPr>
    </w:p>
    <w:p>
      <w:pPr>
        <w:ind w:left="289"/>
        <w:spacing w:after="0" w:line="249" w:lineRule="auto"/>
        <w:rPr>
          <w:sz w:val="20"/>
          <w:szCs w:val="20"/>
          <w:color w:val="auto"/>
        </w:rPr>
      </w:pPr>
      <w:r>
        <w:rPr>
          <w:rFonts w:ascii="Arial" w:cs="Arial" w:eastAsia="Arial" w:hAnsi="Arial"/>
          <w:sz w:val="16"/>
          <w:szCs w:val="16"/>
          <w:color w:val="auto"/>
        </w:rPr>
        <w:t>For Mr. Gonzalez, this column includes $1,022,959 attributable to earnings under the AbbVie Performance Incentive Plan grantor trust and $289,270 attributable to earnings under the AbbVie Supplemental Savings Plan grantor trust, in each case, net of the reportable interest previously included in the 2025 proxy statement. It also includes $784,615 in base salary he earned in 2025 through his retirement. The 2025 proxy statement details the decisions regarding his base salary as Executive Chairman, which was not adjusted through his retirement date. Mr. Gonzalez was not eligible for a 2025 bonus due to his retirement.</w:t>
      </w:r>
    </w:p>
    <w:p>
      <w:pPr>
        <w:spacing w:after="0" w:line="147" w:lineRule="exact"/>
        <w:rPr>
          <w:sz w:val="20"/>
          <w:szCs w:val="20"/>
          <w:color w:val="auto"/>
        </w:rPr>
      </w:pPr>
    </w:p>
    <w:p>
      <w:pPr>
        <w:ind w:left="289" w:right="20"/>
        <w:spacing w:after="0" w:line="245" w:lineRule="auto"/>
        <w:rPr>
          <w:sz w:val="20"/>
          <w:szCs w:val="20"/>
          <w:color w:val="auto"/>
        </w:rPr>
      </w:pPr>
      <w:r>
        <w:rPr>
          <w:rFonts w:ascii="Arial" w:cs="Arial" w:eastAsia="Arial" w:hAnsi="Arial"/>
          <w:sz w:val="16"/>
          <w:szCs w:val="16"/>
          <w:color w:val="auto"/>
        </w:rPr>
        <w:t>As Executive Chairman, Mr. Gonzalez was entitled to the same benefits as our NEOs, as described in the “Executive Compensation” section of this proxy statement. The amount in this column includes the following benefits: AbbVie contributions to the AbbVie Savings Plan and the AbbVie Supplemental Savings Plan, as applicable, in the amount of $39,231; the cost of providing a corporate automobile (less the amount reimbursed by Mr. Gonzalez) in the amount of $21,132; a financial planning services allowance in the amount of $10,000; and the cost of non-business-related air and other travel and services (less the amount reimbursed by Mr. Gonzalez) in the amount of $ 1,726. Mr. Gonzalez was also eligible to participate in the same executive disability benefit as our NEOs described in the “Executive Compensation – Potential Payments upon Termination or Change in Control” section of this proxy statement. Following his retirement as Executive Chairman, Mr. Gonzalez continued to have access to an AbbVie office and administrative assistant support for a period of transition. This is valued at approximately $178,426 from July 1, 2025 (the date of his retirement) to December 31, 2025.</w:t>
      </w:r>
    </w:p>
    <w:p>
      <w:pPr>
        <w:spacing w:after="0" w:line="288" w:lineRule="exact"/>
        <w:rPr>
          <w:sz w:val="20"/>
          <w:szCs w:val="20"/>
          <w:color w:val="auto"/>
        </w:rPr>
      </w:pPr>
    </w:p>
    <w:p>
      <w:pPr>
        <w:ind w:left="289" w:hanging="289"/>
        <w:spacing w:after="0"/>
        <w:tabs>
          <w:tab w:leader="none" w:pos="289"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Falk was appointed to the Board effective May 9, 2025.</w:t>
      </w:r>
    </w:p>
    <w:p>
      <w:pPr>
        <w:spacing w:after="0" w:line="185" w:lineRule="exact"/>
        <w:rPr>
          <w:rFonts w:ascii="Arial" w:cs="Arial" w:eastAsia="Arial" w:hAnsi="Arial"/>
          <w:sz w:val="16"/>
          <w:szCs w:val="16"/>
          <w:color w:val="auto"/>
        </w:rPr>
      </w:pPr>
    </w:p>
    <w:p>
      <w:pPr>
        <w:ind w:left="289" w:hanging="289"/>
        <w:spacing w:after="0"/>
        <w:tabs>
          <w:tab w:leader="none" w:pos="289"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Tilton retired from the Board effective July 1, 2025.</w:t>
      </w:r>
    </w:p>
    <w:p>
      <w:pPr>
        <w:spacing w:after="0" w:line="200" w:lineRule="exact"/>
        <w:rPr>
          <w:sz w:val="20"/>
          <w:szCs w:val="20"/>
          <w:color w:val="auto"/>
        </w:rPr>
      </w:pPr>
    </w:p>
    <w:p>
      <w:pPr>
        <w:spacing w:after="0" w:line="373"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28</w:t>
      </w:r>
      <w:r>
        <w:rPr>
          <w:sz w:val="20"/>
          <w:szCs w:val="20"/>
          <w:color w:val="auto"/>
        </w:rPr>
        <w:tab/>
      </w:r>
      <w:r>
        <w:rPr>
          <w:sz w:val="1"/>
          <w:szCs w:val="1"/>
          <w:color w:val="auto"/>
        </w:rPr>
        <w:drawing>
          <wp:inline distT="0" distB="0" distL="0" distR="0">
            <wp:extent cx="797560" cy="14859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234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31" w:name="page32"/>
    <w:bookmarkEnd w:id="31"/>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9"/>
        <w:spacing w:after="0"/>
        <w:rPr>
          <w:sz w:val="20"/>
          <w:szCs w:val="20"/>
          <w:color w:val="auto"/>
        </w:rPr>
      </w:pPr>
      <w:r>
        <w:rPr>
          <w:rFonts w:ascii="Arial" w:cs="Arial" w:eastAsia="Arial" w:hAnsi="Arial"/>
          <w:sz w:val="33"/>
          <w:szCs w:val="33"/>
          <w:color w:val="071D49"/>
        </w:rPr>
        <w:t>SECURITIES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587819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pacing w:after="0" w:line="200" w:lineRule="exact"/>
        <w:rPr>
          <w:sz w:val="20"/>
          <w:szCs w:val="20"/>
          <w:color w:val="auto"/>
        </w:rPr>
      </w:pPr>
    </w:p>
    <w:p>
      <w:pPr>
        <w:ind w:left="9"/>
        <w:spacing w:after="0"/>
        <w:rPr>
          <w:sz w:val="20"/>
          <w:szCs w:val="20"/>
          <w:color w:val="auto"/>
        </w:rPr>
      </w:pPr>
      <w:r>
        <w:rPr>
          <w:rFonts w:ascii="Arial" w:cs="Arial" w:eastAsia="Arial" w:hAnsi="Arial"/>
          <w:sz w:val="30"/>
          <w:szCs w:val="30"/>
          <w:color w:val="auto"/>
        </w:rPr>
        <w:t>Securities Ownership of Executive Officers and Directors</w:t>
      </w:r>
    </w:p>
    <w:p>
      <w:pPr>
        <w:spacing w:after="0" w:line="229" w:lineRule="exact"/>
        <w:rPr>
          <w:sz w:val="20"/>
          <w:szCs w:val="20"/>
          <w:color w:val="auto"/>
        </w:rPr>
      </w:pPr>
    </w:p>
    <w:p>
      <w:pPr>
        <w:ind w:left="9" w:right="80"/>
        <w:spacing w:after="0" w:line="254" w:lineRule="auto"/>
        <w:rPr>
          <w:sz w:val="20"/>
          <w:szCs w:val="20"/>
          <w:color w:val="auto"/>
        </w:rPr>
      </w:pPr>
      <w:r>
        <w:rPr>
          <w:rFonts w:ascii="Arial" w:cs="Arial" w:eastAsia="Arial" w:hAnsi="Arial"/>
          <w:sz w:val="16"/>
          <w:szCs w:val="16"/>
          <w:color w:val="auto"/>
        </w:rPr>
        <w:t>The table below reflects the number of shares of AbbVie common stock beneficially owned as of March 6, 2026, by each director and director nominee, the Chief Executive Officer, the Chief Financial Officer, and the three other most highly paid executive officers (NEOs), and by all directors and executive officers of AbbVie as a group. It also reflects the number of restricted stock units held by non-employee directors under the AbbVie Amended and Restated 2013 Incentive Stock Program.</w:t>
      </w:r>
    </w:p>
    <w:p>
      <w:pPr>
        <w:spacing w:after="0" w:line="164" w:lineRule="exact"/>
        <w:rPr>
          <w:sz w:val="20"/>
          <w:szCs w:val="20"/>
          <w:color w:val="auto"/>
        </w:rPr>
      </w:pPr>
    </w:p>
    <w:tbl>
      <w:tblPr>
        <w:tblLayout w:type="fixed"/>
        <w:tblInd w:w="9"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jc w:val="right"/>
              <w:ind w:right="161"/>
              <w:spacing w:after="0"/>
              <w:rPr>
                <w:sz w:val="20"/>
                <w:szCs w:val="20"/>
                <w:color w:val="auto"/>
              </w:rPr>
            </w:pPr>
            <w:r>
              <w:rPr>
                <w:rFonts w:ascii="Arial" w:cs="Arial" w:eastAsia="Arial" w:hAnsi="Arial"/>
                <w:sz w:val="13"/>
                <w:szCs w:val="13"/>
                <w:b w:val="1"/>
                <w:bCs w:val="1"/>
                <w:color w:val="071D49"/>
              </w:rPr>
              <w:t>Stock Options</w:t>
            </w:r>
          </w:p>
        </w:tc>
      </w:tr>
      <w:tr>
        <w:trPr>
          <w:trHeight w:val="148"/>
        </w:trPr>
        <w:tc>
          <w:tcPr>
            <w:tcW w:w="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0" w:type="dxa"/>
            <w:vAlign w:val="bottom"/>
          </w:tcPr>
          <w:p>
            <w:pPr>
              <w:jc w:val="right"/>
              <w:ind w:right="281"/>
              <w:spacing w:after="0" w:line="148" w:lineRule="exact"/>
              <w:rPr>
                <w:sz w:val="20"/>
                <w:szCs w:val="20"/>
                <w:color w:val="auto"/>
              </w:rPr>
            </w:pPr>
            <w:r>
              <w:rPr>
                <w:rFonts w:ascii="Arial" w:cs="Arial" w:eastAsia="Arial" w:hAnsi="Arial"/>
                <w:sz w:val="13"/>
                <w:szCs w:val="13"/>
                <w:b w:val="1"/>
                <w:bCs w:val="1"/>
                <w:color w:val="071D49"/>
              </w:rPr>
              <w:t>Shares</w:t>
            </w:r>
          </w:p>
        </w:tc>
        <w:tc>
          <w:tcPr>
            <w:tcW w:w="1380" w:type="dxa"/>
            <w:vAlign w:val="bottom"/>
          </w:tcPr>
          <w:p>
            <w:pPr>
              <w:jc w:val="right"/>
              <w:ind w:right="161"/>
              <w:spacing w:after="0" w:line="148" w:lineRule="exact"/>
              <w:rPr>
                <w:sz w:val="20"/>
                <w:szCs w:val="20"/>
                <w:color w:val="auto"/>
              </w:rPr>
            </w:pPr>
            <w:r>
              <w:rPr>
                <w:rFonts w:ascii="Arial" w:cs="Arial" w:eastAsia="Arial" w:hAnsi="Arial"/>
                <w:sz w:val="13"/>
                <w:szCs w:val="13"/>
                <w:b w:val="1"/>
                <w:bCs w:val="1"/>
                <w:color w:val="071D49"/>
              </w:rPr>
              <w:t>Exercisable</w:t>
            </w:r>
          </w:p>
        </w:tc>
      </w:tr>
      <w:tr>
        <w:trPr>
          <w:trHeight w:val="131"/>
        </w:trPr>
        <w:tc>
          <w:tcPr>
            <w:tcW w:w="2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0" w:type="dxa"/>
            <w:vAlign w:val="bottom"/>
          </w:tcPr>
          <w:p>
            <w:pPr>
              <w:jc w:val="right"/>
              <w:ind w:right="281"/>
              <w:spacing w:after="0" w:line="131" w:lineRule="exact"/>
              <w:rPr>
                <w:sz w:val="20"/>
                <w:szCs w:val="20"/>
                <w:color w:val="auto"/>
              </w:rPr>
            </w:pPr>
            <w:r>
              <w:rPr>
                <w:rFonts w:ascii="Arial" w:cs="Arial" w:eastAsia="Arial" w:hAnsi="Arial"/>
                <w:sz w:val="13"/>
                <w:szCs w:val="13"/>
                <w:b w:val="1"/>
                <w:bCs w:val="1"/>
                <w:color w:val="071D49"/>
              </w:rPr>
              <w:t>Beneficially</w:t>
            </w:r>
          </w:p>
        </w:tc>
        <w:tc>
          <w:tcPr>
            <w:tcW w:w="1380" w:type="dxa"/>
            <w:vAlign w:val="bottom"/>
          </w:tcPr>
          <w:p>
            <w:pPr>
              <w:jc w:val="right"/>
              <w:ind w:right="161"/>
              <w:spacing w:after="0" w:line="131" w:lineRule="exact"/>
              <w:rPr>
                <w:sz w:val="20"/>
                <w:szCs w:val="20"/>
                <w:color w:val="auto"/>
              </w:rPr>
            </w:pPr>
            <w:r>
              <w:rPr>
                <w:rFonts w:ascii="Arial" w:cs="Arial" w:eastAsia="Arial" w:hAnsi="Arial"/>
                <w:sz w:val="13"/>
                <w:szCs w:val="13"/>
                <w:b w:val="1"/>
                <w:bCs w:val="1"/>
                <w:color w:val="071D49"/>
              </w:rPr>
              <w:t>within 60 days</w:t>
            </w:r>
          </w:p>
        </w:tc>
      </w:tr>
      <w:tr>
        <w:trPr>
          <w:trHeight w:val="172"/>
        </w:trPr>
        <w:tc>
          <w:tcPr>
            <w:tcW w:w="44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071D49"/>
              </w:rPr>
              <w:t>Name</w:t>
            </w:r>
          </w:p>
        </w:tc>
        <w:tc>
          <w:tcPr>
            <w:tcW w:w="126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071D49"/>
              </w:rPr>
              <w:t>​​</w:t>
            </w:r>
          </w:p>
        </w:tc>
        <w:tc>
          <w:tcPr>
            <w:tcW w:w="1400" w:type="dxa"/>
            <w:vAlign w:val="bottom"/>
            <w:tcBorders>
              <w:bottom w:val="single" w:sz="8" w:color="auto"/>
            </w:tcBorders>
          </w:tcPr>
          <w:p>
            <w:pPr>
              <w:jc w:val="right"/>
              <w:ind w:right="61"/>
              <w:spacing w:after="0" w:line="173" w:lineRule="exact"/>
              <w:rPr>
                <w:sz w:val="20"/>
                <w:szCs w:val="20"/>
                <w:color w:val="auto"/>
              </w:rPr>
            </w:pPr>
            <w:r>
              <w:rPr>
                <w:rFonts w:ascii="Arial" w:cs="Arial" w:eastAsia="Arial" w:hAnsi="Arial"/>
                <w:sz w:val="19"/>
                <w:szCs w:val="19"/>
                <w:b w:val="1"/>
                <w:bCs w:val="1"/>
                <w:color w:val="071D49"/>
                <w:vertAlign w:val="subscript"/>
              </w:rPr>
              <w:t>Owned</w:t>
            </w:r>
            <w:r>
              <w:rPr>
                <w:rFonts w:ascii="Arial" w:cs="Arial" w:eastAsia="Arial" w:hAnsi="Arial"/>
                <w:sz w:val="8"/>
                <w:szCs w:val="8"/>
                <w:b w:val="1"/>
                <w:bCs w:val="1"/>
                <w:color w:val="071D49"/>
              </w:rPr>
              <w:t xml:space="preserve"> (1)(2)(3)   </w:t>
            </w:r>
            <w:r>
              <w:rPr>
                <w:rFonts w:ascii="Arial" w:cs="Arial" w:eastAsia="Arial" w:hAnsi="Arial"/>
                <w:sz w:val="19"/>
                <w:szCs w:val="19"/>
                <w:b w:val="1"/>
                <w:bCs w:val="1"/>
                <w:color w:val="071D49"/>
                <w:vertAlign w:val="subscript"/>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071D49"/>
              </w:rPr>
              <w:t>of March 6, 2026  ​​</w:t>
            </w:r>
          </w:p>
        </w:tc>
      </w:tr>
      <w:tr>
        <w:trPr>
          <w:trHeight w:val="177"/>
        </w:trPr>
        <w:tc>
          <w:tcPr>
            <w:tcW w:w="4440" w:type="dxa"/>
            <w:vAlign w:val="bottom"/>
            <w:gridSpan w:val="3"/>
            <w:shd w:val="clear" w:color="auto" w:fill="D9D9D9"/>
          </w:tcPr>
          <w:p>
            <w:pPr>
              <w:spacing w:after="0" w:line="177" w:lineRule="exact"/>
              <w:rPr>
                <w:sz w:val="20"/>
                <w:szCs w:val="20"/>
                <w:color w:val="auto"/>
              </w:rPr>
            </w:pPr>
            <w:r>
              <w:rPr>
                <w:rFonts w:ascii="Arial" w:cs="Arial" w:eastAsia="Arial" w:hAnsi="Arial"/>
                <w:sz w:val="16"/>
                <w:szCs w:val="16"/>
                <w:color w:val="auto"/>
              </w:rPr>
              <w:t>R. Michael</w:t>
            </w:r>
          </w:p>
        </w:tc>
        <w:tc>
          <w:tcPr>
            <w:tcW w:w="1260" w:type="dxa"/>
            <w:vAlign w:val="bottom"/>
            <w:shd w:val="clear" w:color="auto" w:fill="D9D9D9"/>
          </w:tcPr>
          <w:p>
            <w:pPr>
              <w:spacing w:after="0"/>
              <w:rPr>
                <w:sz w:val="15"/>
                <w:szCs w:val="15"/>
                <w:color w:val="auto"/>
              </w:rPr>
            </w:pPr>
          </w:p>
        </w:tc>
        <w:tc>
          <w:tcPr>
            <w:tcW w:w="1400" w:type="dxa"/>
            <w:vAlign w:val="bottom"/>
            <w:shd w:val="clear" w:color="auto" w:fill="D9D9D9"/>
          </w:tcPr>
          <w:p>
            <w:pPr>
              <w:jc w:val="right"/>
              <w:ind w:right="301"/>
              <w:spacing w:after="0" w:line="177" w:lineRule="exact"/>
              <w:rPr>
                <w:sz w:val="20"/>
                <w:szCs w:val="20"/>
                <w:color w:val="auto"/>
              </w:rPr>
            </w:pPr>
            <w:r>
              <w:rPr>
                <w:rFonts w:ascii="Arial" w:cs="Arial" w:eastAsia="Arial" w:hAnsi="Arial"/>
                <w:sz w:val="16"/>
                <w:szCs w:val="16"/>
                <w:color w:val="auto"/>
              </w:rPr>
              <w:t>178,737</w:t>
            </w:r>
          </w:p>
        </w:tc>
        <w:tc>
          <w:tcPr>
            <w:tcW w:w="1380" w:type="dxa"/>
            <w:vAlign w:val="bottom"/>
            <w:shd w:val="clear" w:color="auto" w:fill="D9D9D9"/>
          </w:tcPr>
          <w:p>
            <w:pPr>
              <w:jc w:val="right"/>
              <w:ind w:right="181"/>
              <w:spacing w:after="0" w:line="177" w:lineRule="exact"/>
              <w:rPr>
                <w:sz w:val="20"/>
                <w:szCs w:val="20"/>
                <w:color w:val="auto"/>
              </w:rPr>
            </w:pPr>
            <w:r>
              <w:rPr>
                <w:rFonts w:ascii="Arial" w:cs="Arial" w:eastAsia="Arial" w:hAnsi="Arial"/>
                <w:sz w:val="16"/>
                <w:szCs w:val="16"/>
                <w:color w:val="auto"/>
              </w:rPr>
              <w:t>395,588</w:t>
            </w:r>
          </w:p>
        </w:tc>
      </w:tr>
      <w:tr>
        <w:trPr>
          <w:trHeight w:val="185"/>
        </w:trPr>
        <w:tc>
          <w:tcPr>
            <w:tcW w:w="4440" w:type="dxa"/>
            <w:vAlign w:val="bottom"/>
            <w:gridSpan w:val="3"/>
          </w:tcPr>
          <w:p>
            <w:pPr>
              <w:spacing w:after="0"/>
              <w:rPr>
                <w:sz w:val="20"/>
                <w:szCs w:val="20"/>
                <w:color w:val="auto"/>
              </w:rPr>
            </w:pPr>
            <w:r>
              <w:rPr>
                <w:rFonts w:ascii="Arial" w:cs="Arial" w:eastAsia="Arial" w:hAnsi="Arial"/>
                <w:sz w:val="16"/>
                <w:szCs w:val="16"/>
                <w:color w:val="auto"/>
              </w:rPr>
              <w:t>R. Alpern</w:t>
            </w:r>
          </w:p>
        </w:tc>
        <w:tc>
          <w:tcPr>
            <w:tcW w:w="1260" w:type="dxa"/>
            <w:vAlign w:val="bottom"/>
          </w:tcPr>
          <w:p>
            <w:pPr>
              <w:spacing w:after="0"/>
              <w:rPr>
                <w:sz w:val="16"/>
                <w:szCs w:val="16"/>
                <w:color w:val="auto"/>
              </w:rPr>
            </w:pPr>
          </w:p>
        </w:tc>
        <w:tc>
          <w:tcPr>
            <w:tcW w:w="1400" w:type="dxa"/>
            <w:vAlign w:val="bottom"/>
          </w:tcPr>
          <w:p>
            <w:pPr>
              <w:jc w:val="right"/>
              <w:ind w:right="301"/>
              <w:spacing w:after="0"/>
              <w:rPr>
                <w:sz w:val="20"/>
                <w:szCs w:val="20"/>
                <w:color w:val="auto"/>
              </w:rPr>
            </w:pPr>
            <w:r>
              <w:rPr>
                <w:rFonts w:ascii="Arial" w:cs="Arial" w:eastAsia="Arial" w:hAnsi="Arial"/>
                <w:sz w:val="16"/>
                <w:szCs w:val="16"/>
                <w:color w:val="auto"/>
              </w:rPr>
              <w:t>35,646</w:t>
            </w:r>
          </w:p>
        </w:tc>
        <w:tc>
          <w:tcPr>
            <w:tcW w:w="1380" w:type="dxa"/>
            <w:vAlign w:val="bottom"/>
          </w:tcPr>
          <w:p>
            <w:pPr>
              <w:jc w:val="right"/>
              <w:ind w:right="181"/>
              <w:spacing w:after="0"/>
              <w:rPr>
                <w:sz w:val="20"/>
                <w:szCs w:val="20"/>
                <w:color w:val="auto"/>
              </w:rPr>
            </w:pPr>
            <w:r>
              <w:rPr>
                <w:rFonts w:ascii="Arial" w:cs="Arial" w:eastAsia="Arial" w:hAnsi="Arial"/>
                <w:sz w:val="16"/>
                <w:szCs w:val="16"/>
                <w:color w:val="auto"/>
              </w:rPr>
              <w:t>0</w:t>
            </w:r>
          </w:p>
        </w:tc>
      </w:tr>
      <w:tr>
        <w:trPr>
          <w:trHeight w:val="185"/>
        </w:trPr>
        <w:tc>
          <w:tcPr>
            <w:tcW w:w="4440" w:type="dxa"/>
            <w:vAlign w:val="bottom"/>
            <w:gridSpan w:val="3"/>
            <w:shd w:val="clear" w:color="auto" w:fill="D9D9D9"/>
          </w:tcPr>
          <w:p>
            <w:pPr>
              <w:spacing w:after="0"/>
              <w:rPr>
                <w:sz w:val="20"/>
                <w:szCs w:val="20"/>
                <w:color w:val="auto"/>
              </w:rPr>
            </w:pPr>
            <w:r>
              <w:rPr>
                <w:rFonts w:ascii="Arial" w:cs="Arial" w:eastAsia="Arial" w:hAnsi="Arial"/>
                <w:sz w:val="16"/>
                <w:szCs w:val="16"/>
                <w:color w:val="auto"/>
              </w:rPr>
              <w:t>R. Austin</w:t>
            </w:r>
          </w:p>
        </w:tc>
        <w:tc>
          <w:tcPr>
            <w:tcW w:w="1260" w:type="dxa"/>
            <w:vAlign w:val="bottom"/>
            <w:shd w:val="clear" w:color="auto" w:fill="D9D9D9"/>
          </w:tcPr>
          <w:p>
            <w:pPr>
              <w:spacing w:after="0"/>
              <w:rPr>
                <w:sz w:val="16"/>
                <w:szCs w:val="16"/>
                <w:color w:val="auto"/>
              </w:rPr>
            </w:pPr>
          </w:p>
        </w:tc>
        <w:tc>
          <w:tcPr>
            <w:tcW w:w="1400" w:type="dxa"/>
            <w:vAlign w:val="bottom"/>
            <w:shd w:val="clear" w:color="auto" w:fill="D9D9D9"/>
          </w:tcPr>
          <w:p>
            <w:pPr>
              <w:jc w:val="right"/>
              <w:ind w:right="301"/>
              <w:spacing w:after="0"/>
              <w:rPr>
                <w:sz w:val="20"/>
                <w:szCs w:val="20"/>
                <w:color w:val="auto"/>
              </w:rPr>
            </w:pPr>
            <w:r>
              <w:rPr>
                <w:rFonts w:ascii="Arial" w:cs="Arial" w:eastAsia="Arial" w:hAnsi="Arial"/>
                <w:sz w:val="16"/>
                <w:szCs w:val="16"/>
                <w:color w:val="auto"/>
              </w:rPr>
              <w:t>38,458</w:t>
            </w:r>
          </w:p>
        </w:tc>
        <w:tc>
          <w:tcPr>
            <w:tcW w:w="1380" w:type="dxa"/>
            <w:vAlign w:val="bottom"/>
            <w:shd w:val="clear" w:color="auto" w:fill="D9D9D9"/>
          </w:tcPr>
          <w:p>
            <w:pPr>
              <w:jc w:val="right"/>
              <w:ind w:right="181"/>
              <w:spacing w:after="0"/>
              <w:rPr>
                <w:sz w:val="20"/>
                <w:szCs w:val="20"/>
                <w:color w:val="auto"/>
              </w:rPr>
            </w:pPr>
            <w:r>
              <w:rPr>
                <w:rFonts w:ascii="Arial" w:cs="Arial" w:eastAsia="Arial" w:hAnsi="Arial"/>
                <w:sz w:val="16"/>
                <w:szCs w:val="16"/>
                <w:color w:val="auto"/>
              </w:rPr>
              <w:t>0</w:t>
            </w:r>
          </w:p>
        </w:tc>
      </w:tr>
      <w:tr>
        <w:trPr>
          <w:trHeight w:val="185"/>
        </w:trPr>
        <w:tc>
          <w:tcPr>
            <w:tcW w:w="4440" w:type="dxa"/>
            <w:vAlign w:val="bottom"/>
            <w:gridSpan w:val="3"/>
          </w:tcPr>
          <w:p>
            <w:pPr>
              <w:spacing w:after="0"/>
              <w:rPr>
                <w:sz w:val="20"/>
                <w:szCs w:val="20"/>
                <w:color w:val="auto"/>
              </w:rPr>
            </w:pPr>
            <w:r>
              <w:rPr>
                <w:rFonts w:ascii="Arial" w:cs="Arial" w:eastAsia="Arial" w:hAnsi="Arial"/>
                <w:sz w:val="16"/>
                <w:szCs w:val="16"/>
                <w:color w:val="auto"/>
              </w:rPr>
              <w:t>W. Burnside</w:t>
            </w:r>
          </w:p>
        </w:tc>
        <w:tc>
          <w:tcPr>
            <w:tcW w:w="1260" w:type="dxa"/>
            <w:vAlign w:val="bottom"/>
          </w:tcPr>
          <w:p>
            <w:pPr>
              <w:spacing w:after="0"/>
              <w:rPr>
                <w:sz w:val="16"/>
                <w:szCs w:val="16"/>
                <w:color w:val="auto"/>
              </w:rPr>
            </w:pPr>
          </w:p>
        </w:tc>
        <w:tc>
          <w:tcPr>
            <w:tcW w:w="1400" w:type="dxa"/>
            <w:vAlign w:val="bottom"/>
          </w:tcPr>
          <w:p>
            <w:pPr>
              <w:jc w:val="right"/>
              <w:ind w:right="301"/>
              <w:spacing w:after="0"/>
              <w:rPr>
                <w:sz w:val="20"/>
                <w:szCs w:val="20"/>
                <w:color w:val="auto"/>
              </w:rPr>
            </w:pPr>
            <w:r>
              <w:rPr>
                <w:rFonts w:ascii="Arial" w:cs="Arial" w:eastAsia="Arial" w:hAnsi="Arial"/>
                <w:sz w:val="16"/>
                <w:szCs w:val="16"/>
                <w:color w:val="auto"/>
              </w:rPr>
              <w:t>26,958</w:t>
            </w:r>
          </w:p>
        </w:tc>
        <w:tc>
          <w:tcPr>
            <w:tcW w:w="1380" w:type="dxa"/>
            <w:vAlign w:val="bottom"/>
          </w:tcPr>
          <w:p>
            <w:pPr>
              <w:jc w:val="right"/>
              <w:ind w:right="181"/>
              <w:spacing w:after="0"/>
              <w:rPr>
                <w:sz w:val="20"/>
                <w:szCs w:val="20"/>
                <w:color w:val="auto"/>
              </w:rPr>
            </w:pPr>
            <w:r>
              <w:rPr>
                <w:rFonts w:ascii="Arial" w:cs="Arial" w:eastAsia="Arial" w:hAnsi="Arial"/>
                <w:sz w:val="16"/>
                <w:szCs w:val="16"/>
                <w:color w:val="auto"/>
              </w:rPr>
              <w:t>0</w:t>
            </w:r>
          </w:p>
        </w:tc>
      </w:tr>
      <w:tr>
        <w:trPr>
          <w:trHeight w:val="185"/>
        </w:trPr>
        <w:tc>
          <w:tcPr>
            <w:tcW w:w="4440" w:type="dxa"/>
            <w:vAlign w:val="bottom"/>
            <w:gridSpan w:val="3"/>
            <w:shd w:val="clear" w:color="auto" w:fill="D9D9D9"/>
          </w:tcPr>
          <w:p>
            <w:pPr>
              <w:spacing w:after="0"/>
              <w:rPr>
                <w:sz w:val="20"/>
                <w:szCs w:val="20"/>
                <w:color w:val="auto"/>
              </w:rPr>
            </w:pPr>
            <w:r>
              <w:rPr>
                <w:rFonts w:ascii="Arial" w:cs="Arial" w:eastAsia="Arial" w:hAnsi="Arial"/>
                <w:sz w:val="16"/>
                <w:szCs w:val="16"/>
                <w:color w:val="auto"/>
              </w:rPr>
              <w:t>J. Davis</w:t>
            </w:r>
          </w:p>
        </w:tc>
        <w:tc>
          <w:tcPr>
            <w:tcW w:w="1260" w:type="dxa"/>
            <w:vAlign w:val="bottom"/>
            <w:shd w:val="clear" w:color="auto" w:fill="D9D9D9"/>
          </w:tcPr>
          <w:p>
            <w:pPr>
              <w:spacing w:after="0"/>
              <w:rPr>
                <w:sz w:val="16"/>
                <w:szCs w:val="16"/>
                <w:color w:val="auto"/>
              </w:rPr>
            </w:pPr>
          </w:p>
        </w:tc>
        <w:tc>
          <w:tcPr>
            <w:tcW w:w="1400" w:type="dxa"/>
            <w:vAlign w:val="bottom"/>
            <w:shd w:val="clear" w:color="auto" w:fill="D9D9D9"/>
          </w:tcPr>
          <w:p>
            <w:pPr>
              <w:jc w:val="right"/>
              <w:ind w:right="301"/>
              <w:spacing w:after="0"/>
              <w:rPr>
                <w:sz w:val="20"/>
                <w:szCs w:val="20"/>
                <w:color w:val="auto"/>
              </w:rPr>
            </w:pPr>
            <w:r>
              <w:rPr>
                <w:rFonts w:ascii="Arial" w:cs="Arial" w:eastAsia="Arial" w:hAnsi="Arial"/>
                <w:sz w:val="16"/>
                <w:szCs w:val="16"/>
                <w:color w:val="auto"/>
              </w:rPr>
              <w:t>2,525</w:t>
            </w:r>
          </w:p>
        </w:tc>
        <w:tc>
          <w:tcPr>
            <w:tcW w:w="1380" w:type="dxa"/>
            <w:vAlign w:val="bottom"/>
            <w:shd w:val="clear" w:color="auto" w:fill="D9D9D9"/>
          </w:tcPr>
          <w:p>
            <w:pPr>
              <w:jc w:val="right"/>
              <w:ind w:right="181"/>
              <w:spacing w:after="0"/>
              <w:rPr>
                <w:sz w:val="20"/>
                <w:szCs w:val="20"/>
                <w:color w:val="auto"/>
              </w:rPr>
            </w:pPr>
            <w:r>
              <w:rPr>
                <w:rFonts w:ascii="Arial" w:cs="Arial" w:eastAsia="Arial" w:hAnsi="Arial"/>
                <w:sz w:val="16"/>
                <w:szCs w:val="16"/>
                <w:color w:val="auto"/>
              </w:rPr>
              <w:t>0</w:t>
            </w:r>
          </w:p>
        </w:tc>
      </w:tr>
      <w:tr>
        <w:trPr>
          <w:trHeight w:val="185"/>
        </w:trPr>
        <w:tc>
          <w:tcPr>
            <w:tcW w:w="4440" w:type="dxa"/>
            <w:vAlign w:val="bottom"/>
            <w:gridSpan w:val="3"/>
          </w:tcPr>
          <w:p>
            <w:pPr>
              <w:spacing w:after="0"/>
              <w:rPr>
                <w:sz w:val="20"/>
                <w:szCs w:val="20"/>
                <w:color w:val="auto"/>
              </w:rPr>
            </w:pPr>
            <w:r>
              <w:rPr>
                <w:rFonts w:ascii="Arial" w:cs="Arial" w:eastAsia="Arial" w:hAnsi="Arial"/>
                <w:sz w:val="16"/>
                <w:szCs w:val="16"/>
                <w:color w:val="auto"/>
              </w:rPr>
              <w:t>T. Falk</w:t>
            </w:r>
          </w:p>
        </w:tc>
        <w:tc>
          <w:tcPr>
            <w:tcW w:w="1260" w:type="dxa"/>
            <w:vAlign w:val="bottom"/>
          </w:tcPr>
          <w:p>
            <w:pPr>
              <w:spacing w:after="0"/>
              <w:rPr>
                <w:sz w:val="16"/>
                <w:szCs w:val="16"/>
                <w:color w:val="auto"/>
              </w:rPr>
            </w:pPr>
          </w:p>
        </w:tc>
        <w:tc>
          <w:tcPr>
            <w:tcW w:w="1400" w:type="dxa"/>
            <w:vAlign w:val="bottom"/>
          </w:tcPr>
          <w:p>
            <w:pPr>
              <w:jc w:val="right"/>
              <w:ind w:right="301"/>
              <w:spacing w:after="0"/>
              <w:rPr>
                <w:sz w:val="20"/>
                <w:szCs w:val="20"/>
                <w:color w:val="auto"/>
              </w:rPr>
            </w:pPr>
            <w:r>
              <w:rPr>
                <w:rFonts w:ascii="Arial" w:cs="Arial" w:eastAsia="Arial" w:hAnsi="Arial"/>
                <w:sz w:val="16"/>
                <w:szCs w:val="16"/>
                <w:color w:val="auto"/>
              </w:rPr>
              <w:t>4,203</w:t>
            </w:r>
          </w:p>
        </w:tc>
        <w:tc>
          <w:tcPr>
            <w:tcW w:w="1380" w:type="dxa"/>
            <w:vAlign w:val="bottom"/>
          </w:tcPr>
          <w:p>
            <w:pPr>
              <w:jc w:val="right"/>
              <w:ind w:right="181"/>
              <w:spacing w:after="0"/>
              <w:rPr>
                <w:sz w:val="20"/>
                <w:szCs w:val="20"/>
                <w:color w:val="auto"/>
              </w:rPr>
            </w:pPr>
            <w:r>
              <w:rPr>
                <w:rFonts w:ascii="Arial" w:cs="Arial" w:eastAsia="Arial" w:hAnsi="Arial"/>
                <w:sz w:val="16"/>
                <w:szCs w:val="16"/>
                <w:color w:val="auto"/>
              </w:rPr>
              <w:t>0</w:t>
            </w:r>
          </w:p>
        </w:tc>
      </w:tr>
      <w:tr>
        <w:trPr>
          <w:trHeight w:val="185"/>
        </w:trPr>
        <w:tc>
          <w:tcPr>
            <w:tcW w:w="4440" w:type="dxa"/>
            <w:vAlign w:val="bottom"/>
            <w:gridSpan w:val="3"/>
            <w:shd w:val="clear" w:color="auto" w:fill="D9D9D9"/>
          </w:tcPr>
          <w:p>
            <w:pPr>
              <w:spacing w:after="0"/>
              <w:rPr>
                <w:sz w:val="20"/>
                <w:szCs w:val="20"/>
                <w:color w:val="auto"/>
              </w:rPr>
            </w:pPr>
            <w:r>
              <w:rPr>
                <w:rFonts w:ascii="Arial" w:cs="Arial" w:eastAsia="Arial" w:hAnsi="Arial"/>
                <w:sz w:val="16"/>
                <w:szCs w:val="16"/>
                <w:color w:val="auto"/>
              </w:rPr>
              <w:t>T. Freyman</w:t>
            </w:r>
          </w:p>
        </w:tc>
        <w:tc>
          <w:tcPr>
            <w:tcW w:w="1260" w:type="dxa"/>
            <w:vAlign w:val="bottom"/>
            <w:shd w:val="clear" w:color="auto" w:fill="D9D9D9"/>
          </w:tcPr>
          <w:p>
            <w:pPr>
              <w:spacing w:after="0"/>
              <w:rPr>
                <w:sz w:val="16"/>
                <w:szCs w:val="16"/>
                <w:color w:val="auto"/>
              </w:rPr>
            </w:pPr>
          </w:p>
        </w:tc>
        <w:tc>
          <w:tcPr>
            <w:tcW w:w="1400" w:type="dxa"/>
            <w:vAlign w:val="bottom"/>
            <w:shd w:val="clear" w:color="auto" w:fill="D9D9D9"/>
          </w:tcPr>
          <w:p>
            <w:pPr>
              <w:jc w:val="right"/>
              <w:ind w:right="301"/>
              <w:spacing w:after="0"/>
              <w:rPr>
                <w:sz w:val="20"/>
                <w:szCs w:val="20"/>
                <w:color w:val="auto"/>
              </w:rPr>
            </w:pPr>
            <w:r>
              <w:rPr>
                <w:rFonts w:ascii="Arial" w:cs="Arial" w:eastAsia="Arial" w:hAnsi="Arial"/>
                <w:sz w:val="16"/>
                <w:szCs w:val="16"/>
                <w:color w:val="auto"/>
              </w:rPr>
              <w:t>134,633</w:t>
            </w:r>
          </w:p>
        </w:tc>
        <w:tc>
          <w:tcPr>
            <w:tcW w:w="1380" w:type="dxa"/>
            <w:vAlign w:val="bottom"/>
            <w:shd w:val="clear" w:color="auto" w:fill="D9D9D9"/>
          </w:tcPr>
          <w:p>
            <w:pPr>
              <w:jc w:val="right"/>
              <w:ind w:right="181"/>
              <w:spacing w:after="0"/>
              <w:rPr>
                <w:sz w:val="20"/>
                <w:szCs w:val="20"/>
                <w:color w:val="auto"/>
              </w:rPr>
            </w:pPr>
            <w:r>
              <w:rPr>
                <w:rFonts w:ascii="Arial" w:cs="Arial" w:eastAsia="Arial" w:hAnsi="Arial"/>
                <w:sz w:val="16"/>
                <w:szCs w:val="16"/>
                <w:color w:val="auto"/>
              </w:rPr>
              <w:t>0</w:t>
            </w:r>
          </w:p>
        </w:tc>
      </w:tr>
      <w:tr>
        <w:trPr>
          <w:trHeight w:val="185"/>
        </w:trPr>
        <w:tc>
          <w:tcPr>
            <w:tcW w:w="4440" w:type="dxa"/>
            <w:vAlign w:val="bottom"/>
            <w:gridSpan w:val="3"/>
          </w:tcPr>
          <w:p>
            <w:pPr>
              <w:spacing w:after="0"/>
              <w:rPr>
                <w:sz w:val="20"/>
                <w:szCs w:val="20"/>
                <w:color w:val="auto"/>
              </w:rPr>
            </w:pPr>
            <w:r>
              <w:rPr>
                <w:rFonts w:ascii="Arial" w:cs="Arial" w:eastAsia="Arial" w:hAnsi="Arial"/>
                <w:sz w:val="16"/>
                <w:szCs w:val="16"/>
                <w:color w:val="auto"/>
              </w:rPr>
              <w:t>B. Hart</w:t>
            </w:r>
          </w:p>
        </w:tc>
        <w:tc>
          <w:tcPr>
            <w:tcW w:w="1260" w:type="dxa"/>
            <w:vAlign w:val="bottom"/>
          </w:tcPr>
          <w:p>
            <w:pPr>
              <w:spacing w:after="0"/>
              <w:rPr>
                <w:sz w:val="16"/>
                <w:szCs w:val="16"/>
                <w:color w:val="auto"/>
              </w:rPr>
            </w:pPr>
          </w:p>
        </w:tc>
        <w:tc>
          <w:tcPr>
            <w:tcW w:w="1400" w:type="dxa"/>
            <w:vAlign w:val="bottom"/>
          </w:tcPr>
          <w:p>
            <w:pPr>
              <w:jc w:val="right"/>
              <w:ind w:right="301"/>
              <w:spacing w:after="0"/>
              <w:rPr>
                <w:sz w:val="20"/>
                <w:szCs w:val="20"/>
                <w:color w:val="auto"/>
              </w:rPr>
            </w:pPr>
            <w:r>
              <w:rPr>
                <w:rFonts w:ascii="Arial" w:cs="Arial" w:eastAsia="Arial" w:hAnsi="Arial"/>
                <w:sz w:val="16"/>
                <w:szCs w:val="16"/>
                <w:color w:val="auto"/>
              </w:rPr>
              <w:t>19,472</w:t>
            </w:r>
          </w:p>
        </w:tc>
        <w:tc>
          <w:tcPr>
            <w:tcW w:w="1380" w:type="dxa"/>
            <w:vAlign w:val="bottom"/>
          </w:tcPr>
          <w:p>
            <w:pPr>
              <w:jc w:val="right"/>
              <w:ind w:right="181"/>
              <w:spacing w:after="0"/>
              <w:rPr>
                <w:sz w:val="20"/>
                <w:szCs w:val="20"/>
                <w:color w:val="auto"/>
              </w:rPr>
            </w:pPr>
            <w:r>
              <w:rPr>
                <w:rFonts w:ascii="Arial" w:cs="Arial" w:eastAsia="Arial" w:hAnsi="Arial"/>
                <w:sz w:val="16"/>
                <w:szCs w:val="16"/>
                <w:color w:val="auto"/>
              </w:rPr>
              <w:t>0</w:t>
            </w:r>
          </w:p>
        </w:tc>
      </w:tr>
      <w:tr>
        <w:trPr>
          <w:trHeight w:val="185"/>
        </w:trPr>
        <w:tc>
          <w:tcPr>
            <w:tcW w:w="4440" w:type="dxa"/>
            <w:vAlign w:val="bottom"/>
            <w:gridSpan w:val="3"/>
            <w:shd w:val="clear" w:color="auto" w:fill="D9D9D9"/>
          </w:tcPr>
          <w:p>
            <w:pPr>
              <w:spacing w:after="0"/>
              <w:rPr>
                <w:sz w:val="20"/>
                <w:szCs w:val="20"/>
                <w:color w:val="auto"/>
              </w:rPr>
            </w:pPr>
            <w:r>
              <w:rPr>
                <w:rFonts w:ascii="Arial" w:cs="Arial" w:eastAsia="Arial" w:hAnsi="Arial"/>
                <w:sz w:val="16"/>
                <w:szCs w:val="16"/>
                <w:color w:val="auto"/>
              </w:rPr>
              <w:t>M. Meyer</w:t>
            </w:r>
          </w:p>
        </w:tc>
        <w:tc>
          <w:tcPr>
            <w:tcW w:w="1260" w:type="dxa"/>
            <w:vAlign w:val="bottom"/>
            <w:shd w:val="clear" w:color="auto" w:fill="D9D9D9"/>
          </w:tcPr>
          <w:p>
            <w:pPr>
              <w:spacing w:after="0"/>
              <w:rPr>
                <w:sz w:val="16"/>
                <w:szCs w:val="16"/>
                <w:color w:val="auto"/>
              </w:rPr>
            </w:pPr>
          </w:p>
        </w:tc>
        <w:tc>
          <w:tcPr>
            <w:tcW w:w="1400" w:type="dxa"/>
            <w:vAlign w:val="bottom"/>
            <w:shd w:val="clear" w:color="auto" w:fill="D9D9D9"/>
          </w:tcPr>
          <w:p>
            <w:pPr>
              <w:jc w:val="right"/>
              <w:ind w:right="301"/>
              <w:spacing w:after="0"/>
              <w:rPr>
                <w:sz w:val="20"/>
                <w:szCs w:val="20"/>
                <w:color w:val="auto"/>
              </w:rPr>
            </w:pPr>
            <w:r>
              <w:rPr>
                <w:rFonts w:ascii="Arial" w:cs="Arial" w:eastAsia="Arial" w:hAnsi="Arial"/>
                <w:sz w:val="16"/>
                <w:szCs w:val="16"/>
                <w:color w:val="auto"/>
              </w:rPr>
              <w:t>16,498</w:t>
            </w:r>
          </w:p>
        </w:tc>
        <w:tc>
          <w:tcPr>
            <w:tcW w:w="1380" w:type="dxa"/>
            <w:vAlign w:val="bottom"/>
            <w:shd w:val="clear" w:color="auto" w:fill="D9D9D9"/>
          </w:tcPr>
          <w:p>
            <w:pPr>
              <w:jc w:val="right"/>
              <w:ind w:right="181"/>
              <w:spacing w:after="0"/>
              <w:rPr>
                <w:sz w:val="20"/>
                <w:szCs w:val="20"/>
                <w:color w:val="auto"/>
              </w:rPr>
            </w:pPr>
            <w:r>
              <w:rPr>
                <w:rFonts w:ascii="Arial" w:cs="Arial" w:eastAsia="Arial" w:hAnsi="Arial"/>
                <w:sz w:val="16"/>
                <w:szCs w:val="16"/>
                <w:color w:val="auto"/>
              </w:rPr>
              <w:t>0</w:t>
            </w:r>
          </w:p>
        </w:tc>
      </w:tr>
      <w:tr>
        <w:trPr>
          <w:trHeight w:val="185"/>
        </w:trPr>
        <w:tc>
          <w:tcPr>
            <w:tcW w:w="4440" w:type="dxa"/>
            <w:vAlign w:val="bottom"/>
            <w:gridSpan w:val="3"/>
          </w:tcPr>
          <w:p>
            <w:pPr>
              <w:spacing w:after="0"/>
              <w:rPr>
                <w:sz w:val="20"/>
                <w:szCs w:val="20"/>
                <w:color w:val="auto"/>
              </w:rPr>
            </w:pPr>
            <w:r>
              <w:rPr>
                <w:rFonts w:ascii="Arial" w:cs="Arial" w:eastAsia="Arial" w:hAnsi="Arial"/>
                <w:sz w:val="16"/>
                <w:szCs w:val="16"/>
                <w:color w:val="auto"/>
              </w:rPr>
              <w:t>S. Quaggin</w:t>
            </w:r>
          </w:p>
        </w:tc>
        <w:tc>
          <w:tcPr>
            <w:tcW w:w="1260" w:type="dxa"/>
            <w:vAlign w:val="bottom"/>
          </w:tcPr>
          <w:p>
            <w:pPr>
              <w:spacing w:after="0"/>
              <w:rPr>
                <w:sz w:val="16"/>
                <w:szCs w:val="16"/>
                <w:color w:val="auto"/>
              </w:rPr>
            </w:pPr>
          </w:p>
        </w:tc>
        <w:tc>
          <w:tcPr>
            <w:tcW w:w="1400" w:type="dxa"/>
            <w:vAlign w:val="bottom"/>
          </w:tcPr>
          <w:p>
            <w:pPr>
              <w:jc w:val="right"/>
              <w:ind w:right="301"/>
              <w:spacing w:after="0"/>
              <w:rPr>
                <w:sz w:val="20"/>
                <w:szCs w:val="20"/>
                <w:color w:val="auto"/>
              </w:rPr>
            </w:pPr>
            <w:r>
              <w:rPr>
                <w:rFonts w:ascii="Arial" w:cs="Arial" w:eastAsia="Arial" w:hAnsi="Arial"/>
                <w:sz w:val="16"/>
                <w:szCs w:val="16"/>
                <w:color w:val="auto"/>
              </w:rPr>
              <w:t>2,525</w:t>
            </w:r>
          </w:p>
        </w:tc>
        <w:tc>
          <w:tcPr>
            <w:tcW w:w="1380" w:type="dxa"/>
            <w:vAlign w:val="bottom"/>
          </w:tcPr>
          <w:p>
            <w:pPr>
              <w:jc w:val="right"/>
              <w:ind w:right="181"/>
              <w:spacing w:after="0"/>
              <w:rPr>
                <w:sz w:val="20"/>
                <w:szCs w:val="20"/>
                <w:color w:val="auto"/>
              </w:rPr>
            </w:pPr>
            <w:r>
              <w:rPr>
                <w:rFonts w:ascii="Arial" w:cs="Arial" w:eastAsia="Arial" w:hAnsi="Arial"/>
                <w:sz w:val="16"/>
                <w:szCs w:val="16"/>
                <w:color w:val="auto"/>
              </w:rPr>
              <w:t>0</w:t>
            </w:r>
          </w:p>
        </w:tc>
      </w:tr>
      <w:tr>
        <w:trPr>
          <w:trHeight w:val="185"/>
        </w:trPr>
        <w:tc>
          <w:tcPr>
            <w:tcW w:w="4440" w:type="dxa"/>
            <w:vAlign w:val="bottom"/>
            <w:gridSpan w:val="3"/>
            <w:shd w:val="clear" w:color="auto" w:fill="D9D9D9"/>
          </w:tcPr>
          <w:p>
            <w:pPr>
              <w:spacing w:after="0"/>
              <w:rPr>
                <w:sz w:val="20"/>
                <w:szCs w:val="20"/>
                <w:color w:val="auto"/>
              </w:rPr>
            </w:pPr>
            <w:r>
              <w:rPr>
                <w:rFonts w:ascii="Arial" w:cs="Arial" w:eastAsia="Arial" w:hAnsi="Arial"/>
                <w:sz w:val="16"/>
                <w:szCs w:val="16"/>
                <w:color w:val="auto"/>
              </w:rPr>
              <w:t>E. Rapp</w:t>
            </w:r>
          </w:p>
        </w:tc>
        <w:tc>
          <w:tcPr>
            <w:tcW w:w="1260" w:type="dxa"/>
            <w:vAlign w:val="bottom"/>
            <w:shd w:val="clear" w:color="auto" w:fill="D9D9D9"/>
          </w:tcPr>
          <w:p>
            <w:pPr>
              <w:spacing w:after="0"/>
              <w:rPr>
                <w:sz w:val="16"/>
                <w:szCs w:val="16"/>
                <w:color w:val="auto"/>
              </w:rPr>
            </w:pPr>
          </w:p>
        </w:tc>
        <w:tc>
          <w:tcPr>
            <w:tcW w:w="1400" w:type="dxa"/>
            <w:vAlign w:val="bottom"/>
            <w:shd w:val="clear" w:color="auto" w:fill="D9D9D9"/>
          </w:tcPr>
          <w:p>
            <w:pPr>
              <w:jc w:val="right"/>
              <w:ind w:right="301"/>
              <w:spacing w:after="0"/>
              <w:rPr>
                <w:sz w:val="20"/>
                <w:szCs w:val="20"/>
                <w:color w:val="auto"/>
              </w:rPr>
            </w:pPr>
            <w:r>
              <w:rPr>
                <w:rFonts w:ascii="Arial" w:cs="Arial" w:eastAsia="Arial" w:hAnsi="Arial"/>
                <w:sz w:val="16"/>
                <w:szCs w:val="16"/>
                <w:color w:val="auto"/>
              </w:rPr>
              <w:t>44,846</w:t>
            </w:r>
          </w:p>
        </w:tc>
        <w:tc>
          <w:tcPr>
            <w:tcW w:w="1380" w:type="dxa"/>
            <w:vAlign w:val="bottom"/>
            <w:shd w:val="clear" w:color="auto" w:fill="D9D9D9"/>
          </w:tcPr>
          <w:p>
            <w:pPr>
              <w:jc w:val="right"/>
              <w:ind w:right="181"/>
              <w:spacing w:after="0"/>
              <w:rPr>
                <w:sz w:val="20"/>
                <w:szCs w:val="20"/>
                <w:color w:val="auto"/>
              </w:rPr>
            </w:pPr>
            <w:r>
              <w:rPr>
                <w:rFonts w:ascii="Arial" w:cs="Arial" w:eastAsia="Arial" w:hAnsi="Arial"/>
                <w:sz w:val="16"/>
                <w:szCs w:val="16"/>
                <w:color w:val="auto"/>
              </w:rPr>
              <w:t>0</w:t>
            </w:r>
          </w:p>
        </w:tc>
      </w:tr>
      <w:tr>
        <w:trPr>
          <w:trHeight w:val="185"/>
        </w:trPr>
        <w:tc>
          <w:tcPr>
            <w:tcW w:w="4440" w:type="dxa"/>
            <w:vAlign w:val="bottom"/>
            <w:gridSpan w:val="3"/>
          </w:tcPr>
          <w:p>
            <w:pPr>
              <w:spacing w:after="0"/>
              <w:rPr>
                <w:sz w:val="20"/>
                <w:szCs w:val="20"/>
                <w:color w:val="auto"/>
              </w:rPr>
            </w:pPr>
            <w:r>
              <w:rPr>
                <w:rFonts w:ascii="Arial" w:cs="Arial" w:eastAsia="Arial" w:hAnsi="Arial"/>
                <w:sz w:val="16"/>
                <w:szCs w:val="16"/>
                <w:color w:val="auto"/>
              </w:rPr>
              <w:t>R. Roberts</w:t>
            </w:r>
          </w:p>
        </w:tc>
        <w:tc>
          <w:tcPr>
            <w:tcW w:w="1260" w:type="dxa"/>
            <w:vAlign w:val="bottom"/>
          </w:tcPr>
          <w:p>
            <w:pPr>
              <w:spacing w:after="0"/>
              <w:rPr>
                <w:sz w:val="16"/>
                <w:szCs w:val="16"/>
                <w:color w:val="auto"/>
              </w:rPr>
            </w:pPr>
          </w:p>
        </w:tc>
        <w:tc>
          <w:tcPr>
            <w:tcW w:w="1400" w:type="dxa"/>
            <w:vAlign w:val="bottom"/>
          </w:tcPr>
          <w:p>
            <w:pPr>
              <w:jc w:val="right"/>
              <w:ind w:right="301"/>
              <w:spacing w:after="0"/>
              <w:rPr>
                <w:sz w:val="20"/>
                <w:szCs w:val="20"/>
                <w:color w:val="auto"/>
              </w:rPr>
            </w:pPr>
            <w:r>
              <w:rPr>
                <w:rFonts w:ascii="Arial" w:cs="Arial" w:eastAsia="Arial" w:hAnsi="Arial"/>
                <w:sz w:val="16"/>
                <w:szCs w:val="16"/>
                <w:color w:val="auto"/>
              </w:rPr>
              <w:t>13,728</w:t>
            </w:r>
          </w:p>
        </w:tc>
        <w:tc>
          <w:tcPr>
            <w:tcW w:w="1380" w:type="dxa"/>
            <w:vAlign w:val="bottom"/>
          </w:tcPr>
          <w:p>
            <w:pPr>
              <w:jc w:val="right"/>
              <w:ind w:right="181"/>
              <w:spacing w:after="0"/>
              <w:rPr>
                <w:sz w:val="20"/>
                <w:szCs w:val="20"/>
                <w:color w:val="auto"/>
              </w:rPr>
            </w:pPr>
            <w:r>
              <w:rPr>
                <w:rFonts w:ascii="Arial" w:cs="Arial" w:eastAsia="Arial" w:hAnsi="Arial"/>
                <w:sz w:val="16"/>
                <w:szCs w:val="16"/>
                <w:color w:val="auto"/>
              </w:rPr>
              <w:t>0</w:t>
            </w:r>
          </w:p>
        </w:tc>
      </w:tr>
      <w:tr>
        <w:trPr>
          <w:trHeight w:val="185"/>
        </w:trPr>
        <w:tc>
          <w:tcPr>
            <w:tcW w:w="4440" w:type="dxa"/>
            <w:vAlign w:val="bottom"/>
            <w:gridSpan w:val="3"/>
            <w:shd w:val="clear" w:color="auto" w:fill="D9D9D9"/>
          </w:tcPr>
          <w:p>
            <w:pPr>
              <w:spacing w:after="0"/>
              <w:rPr>
                <w:sz w:val="20"/>
                <w:szCs w:val="20"/>
                <w:color w:val="auto"/>
              </w:rPr>
            </w:pPr>
            <w:r>
              <w:rPr>
                <w:rFonts w:ascii="Arial" w:cs="Arial" w:eastAsia="Arial" w:hAnsi="Arial"/>
                <w:sz w:val="16"/>
                <w:szCs w:val="16"/>
                <w:color w:val="auto"/>
              </w:rPr>
              <w:t>F. Waddell</w:t>
            </w:r>
          </w:p>
        </w:tc>
        <w:tc>
          <w:tcPr>
            <w:tcW w:w="1260" w:type="dxa"/>
            <w:vAlign w:val="bottom"/>
            <w:shd w:val="clear" w:color="auto" w:fill="D9D9D9"/>
          </w:tcPr>
          <w:p>
            <w:pPr>
              <w:spacing w:after="0"/>
              <w:rPr>
                <w:sz w:val="16"/>
                <w:szCs w:val="16"/>
                <w:color w:val="auto"/>
              </w:rPr>
            </w:pPr>
          </w:p>
        </w:tc>
        <w:tc>
          <w:tcPr>
            <w:tcW w:w="1400" w:type="dxa"/>
            <w:vAlign w:val="bottom"/>
            <w:shd w:val="clear" w:color="auto" w:fill="D9D9D9"/>
          </w:tcPr>
          <w:p>
            <w:pPr>
              <w:jc w:val="right"/>
              <w:ind w:right="301"/>
              <w:spacing w:after="0"/>
              <w:rPr>
                <w:sz w:val="20"/>
                <w:szCs w:val="20"/>
                <w:color w:val="auto"/>
              </w:rPr>
            </w:pPr>
            <w:r>
              <w:rPr>
                <w:rFonts w:ascii="Arial" w:cs="Arial" w:eastAsia="Arial" w:hAnsi="Arial"/>
                <w:sz w:val="16"/>
                <w:szCs w:val="16"/>
                <w:color w:val="auto"/>
              </w:rPr>
              <w:t>28,958</w:t>
            </w:r>
          </w:p>
        </w:tc>
        <w:tc>
          <w:tcPr>
            <w:tcW w:w="1380" w:type="dxa"/>
            <w:vAlign w:val="bottom"/>
            <w:shd w:val="clear" w:color="auto" w:fill="D9D9D9"/>
          </w:tcPr>
          <w:p>
            <w:pPr>
              <w:jc w:val="right"/>
              <w:ind w:right="181"/>
              <w:spacing w:after="0"/>
              <w:rPr>
                <w:sz w:val="20"/>
                <w:szCs w:val="20"/>
                <w:color w:val="auto"/>
              </w:rPr>
            </w:pPr>
            <w:r>
              <w:rPr>
                <w:rFonts w:ascii="Arial" w:cs="Arial" w:eastAsia="Arial" w:hAnsi="Arial"/>
                <w:sz w:val="16"/>
                <w:szCs w:val="16"/>
                <w:color w:val="auto"/>
              </w:rPr>
              <w:t>0</w:t>
            </w:r>
          </w:p>
        </w:tc>
      </w:tr>
      <w:tr>
        <w:trPr>
          <w:trHeight w:val="185"/>
        </w:trPr>
        <w:tc>
          <w:tcPr>
            <w:tcW w:w="4440" w:type="dxa"/>
            <w:vAlign w:val="bottom"/>
            <w:gridSpan w:val="3"/>
          </w:tcPr>
          <w:p>
            <w:pPr>
              <w:spacing w:after="0"/>
              <w:rPr>
                <w:sz w:val="20"/>
                <w:szCs w:val="20"/>
                <w:color w:val="auto"/>
              </w:rPr>
            </w:pPr>
            <w:r>
              <w:rPr>
                <w:rFonts w:ascii="Arial" w:cs="Arial" w:eastAsia="Arial" w:hAnsi="Arial"/>
                <w:sz w:val="16"/>
                <w:szCs w:val="16"/>
                <w:color w:val="auto"/>
              </w:rPr>
              <w:t>S. Reents</w:t>
            </w:r>
          </w:p>
        </w:tc>
        <w:tc>
          <w:tcPr>
            <w:tcW w:w="1260" w:type="dxa"/>
            <w:vAlign w:val="bottom"/>
          </w:tcPr>
          <w:p>
            <w:pPr>
              <w:spacing w:after="0"/>
              <w:rPr>
                <w:sz w:val="16"/>
                <w:szCs w:val="16"/>
                <w:color w:val="auto"/>
              </w:rPr>
            </w:pPr>
          </w:p>
        </w:tc>
        <w:tc>
          <w:tcPr>
            <w:tcW w:w="1400" w:type="dxa"/>
            <w:vAlign w:val="bottom"/>
          </w:tcPr>
          <w:p>
            <w:pPr>
              <w:jc w:val="right"/>
              <w:ind w:right="301"/>
              <w:spacing w:after="0"/>
              <w:rPr>
                <w:sz w:val="20"/>
                <w:szCs w:val="20"/>
                <w:color w:val="auto"/>
              </w:rPr>
            </w:pPr>
            <w:r>
              <w:rPr>
                <w:rFonts w:ascii="Arial" w:cs="Arial" w:eastAsia="Arial" w:hAnsi="Arial"/>
                <w:sz w:val="16"/>
                <w:szCs w:val="16"/>
                <w:color w:val="auto"/>
              </w:rPr>
              <w:t>38,777</w:t>
            </w:r>
          </w:p>
        </w:tc>
        <w:tc>
          <w:tcPr>
            <w:tcW w:w="1380" w:type="dxa"/>
            <w:vAlign w:val="bottom"/>
          </w:tcPr>
          <w:p>
            <w:pPr>
              <w:jc w:val="right"/>
              <w:ind w:right="181"/>
              <w:spacing w:after="0"/>
              <w:rPr>
                <w:sz w:val="20"/>
                <w:szCs w:val="20"/>
                <w:color w:val="auto"/>
              </w:rPr>
            </w:pPr>
            <w:r>
              <w:rPr>
                <w:rFonts w:ascii="Arial" w:cs="Arial" w:eastAsia="Arial" w:hAnsi="Arial"/>
                <w:sz w:val="16"/>
                <w:szCs w:val="16"/>
                <w:color w:val="auto"/>
              </w:rPr>
              <w:t>150,720</w:t>
            </w:r>
          </w:p>
        </w:tc>
      </w:tr>
      <w:tr>
        <w:trPr>
          <w:trHeight w:val="185"/>
        </w:trPr>
        <w:tc>
          <w:tcPr>
            <w:tcW w:w="4440" w:type="dxa"/>
            <w:vAlign w:val="bottom"/>
            <w:gridSpan w:val="3"/>
            <w:shd w:val="clear" w:color="auto" w:fill="D9D9D9"/>
          </w:tcPr>
          <w:p>
            <w:pPr>
              <w:spacing w:after="0"/>
              <w:rPr>
                <w:sz w:val="20"/>
                <w:szCs w:val="20"/>
                <w:color w:val="auto"/>
              </w:rPr>
            </w:pPr>
            <w:r>
              <w:rPr>
                <w:rFonts w:ascii="Arial" w:cs="Arial" w:eastAsia="Arial" w:hAnsi="Arial"/>
                <w:sz w:val="16"/>
                <w:szCs w:val="16"/>
                <w:color w:val="auto"/>
              </w:rPr>
              <w:t>A. Saleki-Gerhardt</w:t>
            </w:r>
          </w:p>
        </w:tc>
        <w:tc>
          <w:tcPr>
            <w:tcW w:w="1260" w:type="dxa"/>
            <w:vAlign w:val="bottom"/>
            <w:shd w:val="clear" w:color="auto" w:fill="D9D9D9"/>
          </w:tcPr>
          <w:p>
            <w:pPr>
              <w:spacing w:after="0"/>
              <w:rPr>
                <w:sz w:val="16"/>
                <w:szCs w:val="16"/>
                <w:color w:val="auto"/>
              </w:rPr>
            </w:pPr>
          </w:p>
        </w:tc>
        <w:tc>
          <w:tcPr>
            <w:tcW w:w="1400" w:type="dxa"/>
            <w:vAlign w:val="bottom"/>
            <w:shd w:val="clear" w:color="auto" w:fill="D9D9D9"/>
          </w:tcPr>
          <w:p>
            <w:pPr>
              <w:jc w:val="right"/>
              <w:ind w:right="301"/>
              <w:spacing w:after="0"/>
              <w:rPr>
                <w:sz w:val="20"/>
                <w:szCs w:val="20"/>
                <w:color w:val="auto"/>
              </w:rPr>
            </w:pPr>
            <w:r>
              <w:rPr>
                <w:rFonts w:ascii="Arial" w:cs="Arial" w:eastAsia="Arial" w:hAnsi="Arial"/>
                <w:sz w:val="16"/>
                <w:szCs w:val="16"/>
                <w:color w:val="auto"/>
              </w:rPr>
              <w:t>204,373</w:t>
            </w:r>
          </w:p>
        </w:tc>
        <w:tc>
          <w:tcPr>
            <w:tcW w:w="1380" w:type="dxa"/>
            <w:vAlign w:val="bottom"/>
            <w:shd w:val="clear" w:color="auto" w:fill="D9D9D9"/>
          </w:tcPr>
          <w:p>
            <w:pPr>
              <w:jc w:val="right"/>
              <w:ind w:right="181"/>
              <w:spacing w:after="0"/>
              <w:rPr>
                <w:sz w:val="20"/>
                <w:szCs w:val="20"/>
                <w:color w:val="auto"/>
              </w:rPr>
            </w:pPr>
            <w:r>
              <w:rPr>
                <w:rFonts w:ascii="Arial" w:cs="Arial" w:eastAsia="Arial" w:hAnsi="Arial"/>
                <w:sz w:val="16"/>
                <w:szCs w:val="16"/>
                <w:color w:val="auto"/>
              </w:rPr>
              <w:t>307,041</w:t>
            </w:r>
          </w:p>
        </w:tc>
      </w:tr>
      <w:tr>
        <w:trPr>
          <w:trHeight w:val="185"/>
        </w:trPr>
        <w:tc>
          <w:tcPr>
            <w:tcW w:w="4440" w:type="dxa"/>
            <w:vAlign w:val="bottom"/>
            <w:gridSpan w:val="3"/>
          </w:tcPr>
          <w:p>
            <w:pPr>
              <w:spacing w:after="0"/>
              <w:rPr>
                <w:sz w:val="20"/>
                <w:szCs w:val="20"/>
                <w:color w:val="auto"/>
              </w:rPr>
            </w:pPr>
            <w:r>
              <w:rPr>
                <w:rFonts w:ascii="Arial" w:cs="Arial" w:eastAsia="Arial" w:hAnsi="Arial"/>
                <w:sz w:val="16"/>
                <w:szCs w:val="16"/>
                <w:color w:val="auto"/>
              </w:rPr>
              <w:t>J. Stewart</w:t>
            </w:r>
          </w:p>
        </w:tc>
        <w:tc>
          <w:tcPr>
            <w:tcW w:w="1260" w:type="dxa"/>
            <w:vAlign w:val="bottom"/>
          </w:tcPr>
          <w:p>
            <w:pPr>
              <w:spacing w:after="0"/>
              <w:rPr>
                <w:sz w:val="16"/>
                <w:szCs w:val="16"/>
                <w:color w:val="auto"/>
              </w:rPr>
            </w:pPr>
          </w:p>
        </w:tc>
        <w:tc>
          <w:tcPr>
            <w:tcW w:w="1400" w:type="dxa"/>
            <w:vAlign w:val="bottom"/>
          </w:tcPr>
          <w:p>
            <w:pPr>
              <w:jc w:val="right"/>
              <w:ind w:right="301"/>
              <w:spacing w:after="0"/>
              <w:rPr>
                <w:sz w:val="20"/>
                <w:szCs w:val="20"/>
                <w:color w:val="auto"/>
              </w:rPr>
            </w:pPr>
            <w:r>
              <w:rPr>
                <w:rFonts w:ascii="Arial" w:cs="Arial" w:eastAsia="Arial" w:hAnsi="Arial"/>
                <w:sz w:val="16"/>
                <w:szCs w:val="16"/>
                <w:color w:val="auto"/>
              </w:rPr>
              <w:t>84,509</w:t>
            </w:r>
          </w:p>
        </w:tc>
        <w:tc>
          <w:tcPr>
            <w:tcW w:w="1380" w:type="dxa"/>
            <w:vAlign w:val="bottom"/>
          </w:tcPr>
          <w:p>
            <w:pPr>
              <w:jc w:val="right"/>
              <w:ind w:right="181"/>
              <w:spacing w:after="0"/>
              <w:rPr>
                <w:sz w:val="20"/>
                <w:szCs w:val="20"/>
                <w:color w:val="auto"/>
              </w:rPr>
            </w:pPr>
            <w:r>
              <w:rPr>
                <w:rFonts w:ascii="Arial" w:cs="Arial" w:eastAsia="Arial" w:hAnsi="Arial"/>
                <w:sz w:val="16"/>
                <w:szCs w:val="16"/>
                <w:color w:val="auto"/>
              </w:rPr>
              <w:t>218,315</w:t>
            </w:r>
          </w:p>
        </w:tc>
      </w:tr>
      <w:tr>
        <w:trPr>
          <w:trHeight w:val="185"/>
        </w:trPr>
        <w:tc>
          <w:tcPr>
            <w:tcW w:w="4440" w:type="dxa"/>
            <w:vAlign w:val="bottom"/>
            <w:gridSpan w:val="3"/>
            <w:shd w:val="clear" w:color="auto" w:fill="D9D9D9"/>
          </w:tcPr>
          <w:p>
            <w:pPr>
              <w:spacing w:after="0"/>
              <w:rPr>
                <w:sz w:val="20"/>
                <w:szCs w:val="20"/>
                <w:color w:val="auto"/>
              </w:rPr>
            </w:pPr>
            <w:r>
              <w:rPr>
                <w:rFonts w:ascii="Arial" w:cs="Arial" w:eastAsia="Arial" w:hAnsi="Arial"/>
                <w:sz w:val="16"/>
                <w:szCs w:val="16"/>
                <w:color w:val="auto"/>
              </w:rPr>
              <w:t>R. Thakkar</w:t>
            </w:r>
          </w:p>
        </w:tc>
        <w:tc>
          <w:tcPr>
            <w:tcW w:w="1260" w:type="dxa"/>
            <w:vAlign w:val="bottom"/>
            <w:shd w:val="clear" w:color="auto" w:fill="D9D9D9"/>
          </w:tcPr>
          <w:p>
            <w:pPr>
              <w:spacing w:after="0"/>
              <w:rPr>
                <w:sz w:val="16"/>
                <w:szCs w:val="16"/>
                <w:color w:val="auto"/>
              </w:rPr>
            </w:pPr>
          </w:p>
        </w:tc>
        <w:tc>
          <w:tcPr>
            <w:tcW w:w="1400" w:type="dxa"/>
            <w:vAlign w:val="bottom"/>
            <w:shd w:val="clear" w:color="auto" w:fill="D9D9D9"/>
          </w:tcPr>
          <w:p>
            <w:pPr>
              <w:jc w:val="right"/>
              <w:ind w:right="301"/>
              <w:spacing w:after="0"/>
              <w:rPr>
                <w:sz w:val="20"/>
                <w:szCs w:val="20"/>
                <w:color w:val="auto"/>
              </w:rPr>
            </w:pPr>
            <w:r>
              <w:rPr>
                <w:rFonts w:ascii="Arial" w:cs="Arial" w:eastAsia="Arial" w:hAnsi="Arial"/>
                <w:sz w:val="16"/>
                <w:szCs w:val="16"/>
                <w:color w:val="auto"/>
              </w:rPr>
              <w:t>55,374</w:t>
            </w:r>
          </w:p>
        </w:tc>
        <w:tc>
          <w:tcPr>
            <w:tcW w:w="1380" w:type="dxa"/>
            <w:vAlign w:val="bottom"/>
            <w:shd w:val="clear" w:color="auto" w:fill="D9D9D9"/>
          </w:tcPr>
          <w:p>
            <w:pPr>
              <w:jc w:val="right"/>
              <w:ind w:right="181"/>
              <w:spacing w:after="0"/>
              <w:rPr>
                <w:sz w:val="20"/>
                <w:szCs w:val="20"/>
                <w:color w:val="auto"/>
              </w:rPr>
            </w:pPr>
            <w:r>
              <w:rPr>
                <w:rFonts w:ascii="Arial" w:cs="Arial" w:eastAsia="Arial" w:hAnsi="Arial"/>
                <w:sz w:val="16"/>
                <w:szCs w:val="16"/>
                <w:color w:val="auto"/>
              </w:rPr>
              <w:t>58,453</w:t>
            </w:r>
          </w:p>
        </w:tc>
      </w:tr>
      <w:tr>
        <w:trPr>
          <w:trHeight w:val="246"/>
        </w:trPr>
        <w:tc>
          <w:tcPr>
            <w:tcW w:w="4440" w:type="dxa"/>
            <w:vAlign w:val="bottom"/>
            <w:gridSpan w:val="3"/>
          </w:tcPr>
          <w:p>
            <w:pPr>
              <w:spacing w:after="0" w:line="247" w:lineRule="exact"/>
              <w:rPr>
                <w:sz w:val="20"/>
                <w:szCs w:val="20"/>
                <w:color w:val="auto"/>
              </w:rPr>
            </w:pPr>
            <w:r>
              <w:rPr>
                <w:rFonts w:ascii="Arial" w:cs="Arial" w:eastAsia="Arial" w:hAnsi="Arial"/>
                <w:sz w:val="16"/>
                <w:szCs w:val="16"/>
                <w:b w:val="1"/>
                <w:bCs w:val="1"/>
                <w:color w:val="auto"/>
              </w:rPr>
              <w:t xml:space="preserve">All </w:t>
            </w:r>
            <w:r>
              <w:rPr>
                <w:rFonts w:ascii="Arial" w:cs="Arial" w:eastAsia="Arial" w:hAnsi="Arial"/>
                <w:sz w:val="16"/>
                <w:szCs w:val="16"/>
                <w:color w:val="auto"/>
              </w:rPr>
              <w:t>directors and executive officers as a group</w:t>
            </w:r>
            <w:r>
              <w:rPr>
                <w:rFonts w:ascii="Arial" w:cs="Arial" w:eastAsia="Arial" w:hAnsi="Arial"/>
                <w:sz w:val="24"/>
                <w:szCs w:val="24"/>
                <w:color w:val="auto"/>
                <w:vertAlign w:val="superscript"/>
              </w:rPr>
              <w:t>(4)</w:t>
            </w:r>
          </w:p>
        </w:tc>
        <w:tc>
          <w:tcPr>
            <w:tcW w:w="1260" w:type="dxa"/>
            <w:vAlign w:val="bottom"/>
          </w:tcPr>
          <w:p>
            <w:pPr>
              <w:spacing w:after="0"/>
              <w:rPr>
                <w:sz w:val="21"/>
                <w:szCs w:val="21"/>
                <w:color w:val="auto"/>
              </w:rPr>
            </w:pPr>
          </w:p>
        </w:tc>
        <w:tc>
          <w:tcPr>
            <w:tcW w:w="1400" w:type="dxa"/>
            <w:vAlign w:val="bottom"/>
          </w:tcPr>
          <w:p>
            <w:pPr>
              <w:jc w:val="right"/>
              <w:ind w:right="301"/>
              <w:spacing w:after="0"/>
              <w:rPr>
                <w:sz w:val="20"/>
                <w:szCs w:val="20"/>
                <w:color w:val="auto"/>
              </w:rPr>
            </w:pPr>
            <w:r>
              <w:rPr>
                <w:rFonts w:ascii="Arial" w:cs="Arial" w:eastAsia="Arial" w:hAnsi="Arial"/>
                <w:sz w:val="16"/>
                <w:szCs w:val="16"/>
                <w:color w:val="auto"/>
              </w:rPr>
              <w:t>1,020,964</w:t>
            </w:r>
          </w:p>
        </w:tc>
        <w:tc>
          <w:tcPr>
            <w:tcW w:w="1380" w:type="dxa"/>
            <w:vAlign w:val="bottom"/>
          </w:tcPr>
          <w:p>
            <w:pPr>
              <w:jc w:val="right"/>
              <w:ind w:right="181"/>
              <w:spacing w:after="0"/>
              <w:rPr>
                <w:sz w:val="20"/>
                <w:szCs w:val="20"/>
                <w:color w:val="auto"/>
              </w:rPr>
            </w:pPr>
            <w:r>
              <w:rPr>
                <w:rFonts w:ascii="Arial" w:cs="Arial" w:eastAsia="Arial" w:hAnsi="Arial"/>
                <w:sz w:val="16"/>
                <w:szCs w:val="16"/>
                <w:color w:val="auto"/>
              </w:rPr>
              <w:t>1,339,372</w:t>
            </w:r>
          </w:p>
        </w:tc>
      </w:tr>
      <w:tr>
        <w:trPr>
          <w:trHeight w:val="108"/>
        </w:trPr>
        <w:tc>
          <w:tcPr>
            <w:tcW w:w="200" w:type="dxa"/>
            <w:vAlign w:val="bottom"/>
            <w:tcBorders>
              <w:top w:val="single" w:sz="8" w:color="auto"/>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80" w:type="dxa"/>
            <w:vAlign w:val="bottom"/>
          </w:tcPr>
          <w:p>
            <w:pPr>
              <w:spacing w:after="0"/>
              <w:rPr>
                <w:sz w:val="9"/>
                <w:szCs w:val="9"/>
                <w:color w:val="auto"/>
              </w:rPr>
            </w:pPr>
          </w:p>
        </w:tc>
      </w:tr>
    </w:tbl>
    <w:p>
      <w:pPr>
        <w:spacing w:after="0" w:line="57" w:lineRule="exact"/>
        <w:rPr>
          <w:sz w:val="20"/>
          <w:szCs w:val="20"/>
          <w:color w:val="auto"/>
        </w:rPr>
      </w:pPr>
    </w:p>
    <w:p>
      <w:pPr>
        <w:ind w:left="289" w:right="220" w:hanging="289"/>
        <w:spacing w:after="0" w:line="262" w:lineRule="auto"/>
        <w:tabs>
          <w:tab w:leader="none" w:pos="28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table includes shares held in the executive officers’ accounts in the AbbVie Savings Plan as follows: all executive officers as a group, 6,247. Each executive officer has shared voting power and sole investment power with respect to the shares held in his or her account.</w:t>
      </w:r>
    </w:p>
    <w:p>
      <w:pPr>
        <w:spacing w:after="0" w:line="136" w:lineRule="exact"/>
        <w:rPr>
          <w:rFonts w:ascii="Arial" w:cs="Arial" w:eastAsia="Arial" w:hAnsi="Arial"/>
          <w:sz w:val="16"/>
          <w:szCs w:val="16"/>
          <w:color w:val="auto"/>
        </w:rPr>
      </w:pPr>
    </w:p>
    <w:p>
      <w:pPr>
        <w:ind w:left="289" w:right="300" w:hanging="289"/>
        <w:spacing w:after="0" w:line="283" w:lineRule="auto"/>
        <w:tabs>
          <w:tab w:leader="none" w:pos="28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table includes restricted stock units held by the non-employee directors. The directors’ units are payable in stock as described in footnote (2) to the Director Compensation table.</w:t>
      </w:r>
    </w:p>
    <w:p>
      <w:pPr>
        <w:spacing w:after="0" w:line="132" w:lineRule="exact"/>
        <w:rPr>
          <w:rFonts w:ascii="Arial" w:cs="Arial" w:eastAsia="Arial" w:hAnsi="Arial"/>
          <w:sz w:val="16"/>
          <w:szCs w:val="16"/>
          <w:color w:val="auto"/>
        </w:rPr>
      </w:pPr>
    </w:p>
    <w:p>
      <w:pPr>
        <w:jc w:val="both"/>
        <w:ind w:left="289" w:right="300" w:hanging="289"/>
        <w:spacing w:after="0" w:line="283" w:lineRule="auto"/>
        <w:tabs>
          <w:tab w:leader="none" w:pos="28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table includes shared voting and/or investment power over shares as follows: A. Saleki-Gerhardt, 6,579; J. Stewart, 1,338; R. Thakkar, 2,998; T. Falk, 3,000; T. Freyman, 7,882; and all directors and executive officers as a group, 22,340.</w:t>
      </w:r>
    </w:p>
    <w:p>
      <w:pPr>
        <w:spacing w:after="0" w:line="132" w:lineRule="exact"/>
        <w:rPr>
          <w:rFonts w:ascii="Arial" w:cs="Arial" w:eastAsia="Arial" w:hAnsi="Arial"/>
          <w:sz w:val="16"/>
          <w:szCs w:val="16"/>
          <w:color w:val="auto"/>
        </w:rPr>
      </w:pPr>
    </w:p>
    <w:p>
      <w:pPr>
        <w:ind w:left="289" w:hanging="289"/>
        <w:spacing w:after="0"/>
        <w:tabs>
          <w:tab w:leader="none" w:pos="28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directors and executive officers as a group own less than one percent of the outstanding shares of AbbVie.</w:t>
      </w:r>
    </w:p>
    <w:p>
      <w:pPr>
        <w:spacing w:after="0" w:line="165" w:lineRule="exact"/>
        <w:rPr>
          <w:sz w:val="20"/>
          <w:szCs w:val="20"/>
          <w:color w:val="auto"/>
        </w:rPr>
      </w:pPr>
    </w:p>
    <w:p>
      <w:pPr>
        <w:ind w:left="9"/>
        <w:spacing w:after="0"/>
        <w:rPr>
          <w:sz w:val="20"/>
          <w:szCs w:val="20"/>
          <w:color w:val="auto"/>
        </w:rPr>
      </w:pPr>
      <w:r>
        <w:rPr>
          <w:rFonts w:ascii="Arial" w:cs="Arial" w:eastAsia="Arial" w:hAnsi="Arial"/>
          <w:sz w:val="30"/>
          <w:szCs w:val="30"/>
          <w:color w:val="auto"/>
        </w:rPr>
        <w:t>Securities Ownership of Principal Stockholders</w:t>
      </w:r>
    </w:p>
    <w:p>
      <w:pPr>
        <w:spacing w:after="0" w:line="167" w:lineRule="exact"/>
        <w:rPr>
          <w:sz w:val="20"/>
          <w:szCs w:val="20"/>
          <w:color w:val="auto"/>
        </w:rPr>
      </w:pPr>
    </w:p>
    <w:p>
      <w:pPr>
        <w:ind w:left="9" w:right="160"/>
        <w:spacing w:after="0" w:line="283" w:lineRule="auto"/>
        <w:rPr>
          <w:sz w:val="20"/>
          <w:szCs w:val="20"/>
          <w:color w:val="auto"/>
        </w:rPr>
      </w:pPr>
      <w:r>
        <w:rPr>
          <w:rFonts w:ascii="Arial" w:cs="Arial" w:eastAsia="Arial" w:hAnsi="Arial"/>
          <w:sz w:val="16"/>
          <w:szCs w:val="16"/>
          <w:color w:val="auto"/>
        </w:rPr>
        <w:t>The table below reports the number of shares of AbbVie common stock beneficially owned as of December 31, 2025, by each person known to AbbVie to own beneficially more than 5% of AbbVie’s outstanding common stock.</w:t>
      </w:r>
    </w:p>
    <w:p>
      <w:pPr>
        <w:spacing w:after="0" w:line="200" w:lineRule="exact"/>
        <w:rPr>
          <w:sz w:val="20"/>
          <w:szCs w:val="20"/>
          <w:color w:val="auto"/>
        </w:rPr>
      </w:pPr>
    </w:p>
    <w:p>
      <w:pPr>
        <w:spacing w:after="0" w:line="293"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-499745</wp:posOffset>
            </wp:positionV>
            <wp:extent cx="797560" cy="148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32" w:name="page33"/>
    <w:bookmarkEnd w:id="32"/>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SECURITIES OWNERSHIP</w:t>
      </w:r>
    </w:p>
    <w:p>
      <w:pPr>
        <w:spacing w:after="0" w:line="267" w:lineRule="exact"/>
        <w:rPr>
          <w:sz w:val="20"/>
          <w:szCs w:val="20"/>
          <w:color w:val="auto"/>
        </w:rPr>
      </w:pPr>
    </w:p>
    <w:tbl>
      <w:tblPr>
        <w:tblLayout w:type="fixed"/>
        <w:tblInd w:w="1849" w:type="dxa"/>
        <w:tblCellMar>
          <w:top w:w="0" w:type="dxa"/>
          <w:left w:w="0" w:type="dxa"/>
          <w:bottom w:w="0" w:type="dxa"/>
          <w:right w:w="0" w:type="dxa"/>
        </w:tblCellMar>
      </w:tblPr>
      <w:tr>
        <w:trPr>
          <w:trHeight w:val="126"/>
        </w:trPr>
        <w:tc>
          <w:tcPr>
            <w:tcW w:w="2300" w:type="dxa"/>
            <w:vAlign w:val="bottom"/>
          </w:tcPr>
          <w:p>
            <w:pPr>
              <w:spacing w:after="0"/>
              <w:rPr>
                <w:sz w:val="20"/>
                <w:szCs w:val="20"/>
                <w:color w:val="auto"/>
              </w:rPr>
            </w:pPr>
            <w:r>
              <w:rPr>
                <w:rFonts w:ascii="Arial" w:cs="Arial" w:eastAsia="Arial" w:hAnsi="Arial"/>
                <w:sz w:val="11"/>
                <w:szCs w:val="11"/>
                <w:b w:val="1"/>
                <w:bCs w:val="1"/>
                <w:color w:val="071D49"/>
              </w:rPr>
              <w:t>Name and Address of Beneficial</w:t>
            </w:r>
          </w:p>
        </w:tc>
        <w:tc>
          <w:tcPr>
            <w:tcW w:w="3260" w:type="dxa"/>
            <w:vAlign w:val="bottom"/>
            <w:vMerge w:val="restart"/>
          </w:tcPr>
          <w:p>
            <w:pPr>
              <w:ind w:left="520"/>
              <w:spacing w:after="0"/>
              <w:rPr>
                <w:sz w:val="20"/>
                <w:szCs w:val="20"/>
                <w:color w:val="auto"/>
              </w:rPr>
            </w:pPr>
            <w:r>
              <w:rPr>
                <w:rFonts w:ascii="Arial" w:cs="Arial" w:eastAsia="Arial" w:hAnsi="Arial"/>
                <w:sz w:val="11"/>
                <w:szCs w:val="11"/>
                <w:b w:val="1"/>
                <w:bCs w:val="1"/>
                <w:color w:val="071D49"/>
              </w:rPr>
              <w:t>Shares Beneficially Owned ​​​   Percent of Class*</w:t>
            </w:r>
          </w:p>
        </w:tc>
        <w:tc>
          <w:tcPr>
            <w:tcW w:w="0" w:type="dxa"/>
            <w:vAlign w:val="bottom"/>
          </w:tcPr>
          <w:p>
            <w:pPr>
              <w:spacing w:after="0"/>
              <w:rPr>
                <w:sz w:val="1"/>
                <w:szCs w:val="1"/>
                <w:color w:val="auto"/>
              </w:rPr>
            </w:pPr>
          </w:p>
        </w:tc>
      </w:tr>
      <w:tr>
        <w:trPr>
          <w:trHeight w:val="140"/>
        </w:trPr>
        <w:tc>
          <w:tcPr>
            <w:tcW w:w="2300" w:type="dxa"/>
            <w:vAlign w:val="bottom"/>
          </w:tcPr>
          <w:p>
            <w:pPr>
              <w:spacing w:after="0"/>
              <w:rPr>
                <w:sz w:val="20"/>
                <w:szCs w:val="20"/>
                <w:color w:val="auto"/>
              </w:rPr>
            </w:pPr>
            <w:r>
              <w:rPr>
                <w:rFonts w:ascii="Arial" w:cs="Arial" w:eastAsia="Arial" w:hAnsi="Arial"/>
                <w:sz w:val="11"/>
                <w:szCs w:val="11"/>
                <w:b w:val="1"/>
                <w:bCs w:val="1"/>
                <w:color w:val="071D49"/>
              </w:rPr>
              <w:t>Owner</w:t>
            </w:r>
          </w:p>
        </w:tc>
        <w:tc>
          <w:tcPr>
            <w:tcW w:w="3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41"/>
        </w:trPr>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90" w:type="dxa"/>
            <w:vAlign w:val="bottom"/>
            <w:tcBorders>
              <w:top w:val="single" w:sz="8" w:color="071D49"/>
            </w:tcBorders>
            <w:gridSpan w:val="2"/>
            <w:shd w:val="clear" w:color="auto" w:fill="D9D9D9"/>
          </w:tcPr>
          <w:p>
            <w:pPr>
              <w:spacing w:after="0" w:line="141" w:lineRule="exact"/>
              <w:rPr>
                <w:sz w:val="20"/>
                <w:szCs w:val="20"/>
                <w:color w:val="auto"/>
              </w:rPr>
            </w:pPr>
            <w:r>
              <w:rPr>
                <w:rFonts w:ascii="Arial" w:cs="Arial" w:eastAsia="Arial" w:hAnsi="Arial"/>
                <w:sz w:val="15"/>
                <w:szCs w:val="15"/>
                <w:color w:val="auto"/>
              </w:rPr>
              <w:t>The Vanguard Group</w:t>
            </w:r>
          </w:p>
        </w:tc>
        <w:tc>
          <w:tcPr>
            <w:tcW w:w="490" w:type="dxa"/>
            <w:vAlign w:val="bottom"/>
            <w:tcBorders>
              <w:top w:val="single" w:sz="8" w:color="071D49"/>
            </w:tcBorders>
            <w:shd w:val="clear" w:color="auto" w:fill="D9D9D9"/>
          </w:tcPr>
          <w:p>
            <w:pPr>
              <w:jc w:val="right"/>
              <w:ind w:right="38"/>
              <w:spacing w:after="0" w:line="141" w:lineRule="exact"/>
              <w:rPr>
                <w:sz w:val="20"/>
                <w:szCs w:val="20"/>
                <w:color w:val="auto"/>
              </w:rPr>
            </w:pPr>
            <w:r>
              <w:rPr>
                <w:rFonts w:ascii="Arial" w:cs="Arial" w:eastAsia="Arial" w:hAnsi="Arial"/>
                <w:sz w:val="16"/>
                <w:szCs w:val="16"/>
                <w:color w:val="auto"/>
              </w:rPr>
              <w:t>(1)</w:t>
            </w:r>
          </w:p>
        </w:tc>
        <w:tc>
          <w:tcPr>
            <w:tcW w:w="2240" w:type="dxa"/>
            <w:vAlign w:val="bottom"/>
            <w:tcBorders>
              <w:top w:val="single" w:sz="8" w:color="071D49"/>
            </w:tcBorders>
            <w:shd w:val="clear" w:color="auto" w:fill="D9D9D9"/>
          </w:tcPr>
          <w:p>
            <w:pPr>
              <w:jc w:val="right"/>
              <w:ind w:right="278"/>
              <w:spacing w:after="0" w:line="141" w:lineRule="exact"/>
              <w:rPr>
                <w:sz w:val="20"/>
                <w:szCs w:val="20"/>
                <w:color w:val="auto"/>
              </w:rPr>
            </w:pPr>
            <w:r>
              <w:rPr>
                <w:rFonts w:ascii="Arial" w:cs="Arial" w:eastAsia="Arial" w:hAnsi="Arial"/>
                <w:sz w:val="16"/>
                <w:szCs w:val="16"/>
                <w:color w:val="auto"/>
              </w:rPr>
              <w:t>177,266,703</w:t>
            </w:r>
          </w:p>
        </w:tc>
        <w:tc>
          <w:tcPr>
            <w:tcW w:w="920" w:type="dxa"/>
            <w:vAlign w:val="bottom"/>
            <w:tcBorders>
              <w:top w:val="single" w:sz="8" w:color="071D49"/>
            </w:tcBorders>
            <w:shd w:val="clear" w:color="auto" w:fill="D9D9D9"/>
          </w:tcPr>
          <w:p>
            <w:pPr>
              <w:jc w:val="right"/>
              <w:spacing w:after="0" w:line="141" w:lineRule="exact"/>
              <w:rPr>
                <w:sz w:val="20"/>
                <w:szCs w:val="20"/>
                <w:color w:val="auto"/>
              </w:rPr>
            </w:pPr>
            <w:r>
              <w:rPr>
                <w:rFonts w:ascii="Arial" w:cs="Arial" w:eastAsia="Arial" w:hAnsi="Arial"/>
                <w:sz w:val="16"/>
                <w:szCs w:val="16"/>
                <w:color w:val="auto"/>
              </w:rPr>
              <w:t>10.02%</w:t>
            </w:r>
          </w:p>
        </w:tc>
      </w:tr>
      <w:tr>
        <w:trPr>
          <w:trHeight w:val="185"/>
        </w:trPr>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90" w:type="dxa"/>
            <w:vAlign w:val="bottom"/>
            <w:gridSpan w:val="2"/>
            <w:shd w:val="clear" w:color="auto" w:fill="D9D9D9"/>
          </w:tcPr>
          <w:p>
            <w:pPr>
              <w:spacing w:after="0"/>
              <w:rPr>
                <w:sz w:val="20"/>
                <w:szCs w:val="20"/>
                <w:color w:val="auto"/>
              </w:rPr>
            </w:pPr>
            <w:r>
              <w:rPr>
                <w:rFonts w:ascii="Arial" w:cs="Arial" w:eastAsia="Arial" w:hAnsi="Arial"/>
                <w:sz w:val="15"/>
                <w:szCs w:val="15"/>
                <w:color w:val="auto"/>
              </w:rPr>
              <w:t>100 Vanguard Blvd.</w:t>
            </w:r>
          </w:p>
        </w:tc>
        <w:tc>
          <w:tcPr>
            <w:tcW w:w="490" w:type="dxa"/>
            <w:vAlign w:val="bottom"/>
            <w:shd w:val="clear" w:color="auto" w:fill="D9D9D9"/>
          </w:tcPr>
          <w:p>
            <w:pPr>
              <w:spacing w:after="0"/>
              <w:rPr>
                <w:sz w:val="16"/>
                <w:szCs w:val="16"/>
                <w:color w:val="auto"/>
              </w:rPr>
            </w:pPr>
          </w:p>
        </w:tc>
        <w:tc>
          <w:tcPr>
            <w:tcW w:w="2240" w:type="dxa"/>
            <w:vAlign w:val="bottom"/>
            <w:shd w:val="clear" w:color="auto" w:fill="D9D9D9"/>
          </w:tcPr>
          <w:p>
            <w:pPr>
              <w:spacing w:after="0"/>
              <w:rPr>
                <w:sz w:val="16"/>
                <w:szCs w:val="16"/>
                <w:color w:val="auto"/>
              </w:rPr>
            </w:pPr>
          </w:p>
        </w:tc>
        <w:tc>
          <w:tcPr>
            <w:tcW w:w="920" w:type="dxa"/>
            <w:vAlign w:val="bottom"/>
            <w:shd w:val="clear" w:color="auto" w:fill="D9D9D9"/>
          </w:tcPr>
          <w:p>
            <w:pPr>
              <w:spacing w:after="0"/>
              <w:rPr>
                <w:sz w:val="16"/>
                <w:szCs w:val="16"/>
                <w:color w:val="auto"/>
              </w:rPr>
            </w:pPr>
          </w:p>
        </w:tc>
      </w:tr>
      <w:tr>
        <w:trPr>
          <w:trHeight w:val="185"/>
        </w:trPr>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90" w:type="dxa"/>
            <w:vAlign w:val="bottom"/>
            <w:gridSpan w:val="2"/>
            <w:shd w:val="clear" w:color="auto" w:fill="D9D9D9"/>
          </w:tcPr>
          <w:p>
            <w:pPr>
              <w:spacing w:after="0"/>
              <w:rPr>
                <w:sz w:val="20"/>
                <w:szCs w:val="20"/>
                <w:color w:val="auto"/>
              </w:rPr>
            </w:pPr>
            <w:r>
              <w:rPr>
                <w:rFonts w:ascii="Arial" w:cs="Arial" w:eastAsia="Arial" w:hAnsi="Arial"/>
                <w:sz w:val="15"/>
                <w:szCs w:val="15"/>
                <w:color w:val="auto"/>
              </w:rPr>
              <w:t>Malvern, PA 19355</w:t>
            </w:r>
          </w:p>
        </w:tc>
        <w:tc>
          <w:tcPr>
            <w:tcW w:w="490" w:type="dxa"/>
            <w:vAlign w:val="bottom"/>
            <w:shd w:val="clear" w:color="auto" w:fill="D9D9D9"/>
          </w:tcPr>
          <w:p>
            <w:pPr>
              <w:spacing w:after="0"/>
              <w:rPr>
                <w:sz w:val="16"/>
                <w:szCs w:val="16"/>
                <w:color w:val="auto"/>
              </w:rPr>
            </w:pPr>
          </w:p>
        </w:tc>
        <w:tc>
          <w:tcPr>
            <w:tcW w:w="2240" w:type="dxa"/>
            <w:vAlign w:val="bottom"/>
            <w:shd w:val="clear" w:color="auto" w:fill="D9D9D9"/>
          </w:tcPr>
          <w:p>
            <w:pPr>
              <w:spacing w:after="0"/>
              <w:rPr>
                <w:sz w:val="16"/>
                <w:szCs w:val="16"/>
                <w:color w:val="auto"/>
              </w:rPr>
            </w:pPr>
          </w:p>
        </w:tc>
        <w:tc>
          <w:tcPr>
            <w:tcW w:w="920" w:type="dxa"/>
            <w:vAlign w:val="bottom"/>
            <w:shd w:val="clear" w:color="auto" w:fill="D9D9D9"/>
          </w:tcPr>
          <w:p>
            <w:pPr>
              <w:spacing w:after="0"/>
              <w:rPr>
                <w:sz w:val="16"/>
                <w:szCs w:val="16"/>
                <w:color w:val="auto"/>
              </w:rPr>
            </w:pPr>
          </w:p>
        </w:tc>
      </w:tr>
      <w:tr>
        <w:trPr>
          <w:trHeight w:val="185"/>
        </w:trPr>
        <w:tc>
          <w:tcPr>
            <w:tcW w:w="1840" w:type="dxa"/>
            <w:vAlign w:val="bottom"/>
          </w:tcPr>
          <w:p>
            <w:pPr>
              <w:spacing w:after="0"/>
              <w:rPr>
                <w:sz w:val="16"/>
                <w:szCs w:val="16"/>
                <w:color w:val="auto"/>
              </w:rPr>
            </w:pPr>
          </w:p>
        </w:tc>
        <w:tc>
          <w:tcPr>
            <w:tcW w:w="1910" w:type="dxa"/>
            <w:vAlign w:val="bottom"/>
            <w:gridSpan w:val="3"/>
          </w:tcPr>
          <w:p>
            <w:pPr>
              <w:spacing w:after="0"/>
              <w:rPr>
                <w:sz w:val="20"/>
                <w:szCs w:val="20"/>
                <w:color w:val="auto"/>
              </w:rPr>
            </w:pPr>
            <w:r>
              <w:rPr>
                <w:rFonts w:ascii="Arial" w:cs="Arial" w:eastAsia="Arial" w:hAnsi="Arial"/>
                <w:sz w:val="15"/>
                <w:szCs w:val="15"/>
                <w:color w:val="auto"/>
              </w:rPr>
              <w:t>BlackRock, Inc.</w:t>
            </w:r>
          </w:p>
        </w:tc>
        <w:tc>
          <w:tcPr>
            <w:tcW w:w="490" w:type="dxa"/>
            <w:vAlign w:val="bottom"/>
          </w:tcPr>
          <w:p>
            <w:pPr>
              <w:jc w:val="right"/>
              <w:ind w:right="38"/>
              <w:spacing w:after="0"/>
              <w:rPr>
                <w:sz w:val="20"/>
                <w:szCs w:val="20"/>
                <w:color w:val="auto"/>
              </w:rPr>
            </w:pPr>
            <w:r>
              <w:rPr>
                <w:rFonts w:ascii="Arial" w:cs="Arial" w:eastAsia="Arial" w:hAnsi="Arial"/>
                <w:sz w:val="16"/>
                <w:szCs w:val="16"/>
                <w:color w:val="auto"/>
              </w:rPr>
              <w:t>(2)</w:t>
            </w:r>
          </w:p>
        </w:tc>
        <w:tc>
          <w:tcPr>
            <w:tcW w:w="2240" w:type="dxa"/>
            <w:vAlign w:val="bottom"/>
          </w:tcPr>
          <w:p>
            <w:pPr>
              <w:jc w:val="right"/>
              <w:ind w:right="278"/>
              <w:spacing w:after="0"/>
              <w:rPr>
                <w:sz w:val="20"/>
                <w:szCs w:val="20"/>
                <w:color w:val="auto"/>
              </w:rPr>
            </w:pPr>
            <w:r>
              <w:rPr>
                <w:rFonts w:ascii="Arial" w:cs="Arial" w:eastAsia="Arial" w:hAnsi="Arial"/>
                <w:sz w:val="16"/>
                <w:szCs w:val="16"/>
                <w:color w:val="auto"/>
              </w:rPr>
              <w:t>143,180,060</w:t>
            </w:r>
          </w:p>
        </w:tc>
        <w:tc>
          <w:tcPr>
            <w:tcW w:w="920" w:type="dxa"/>
            <w:vAlign w:val="bottom"/>
          </w:tcPr>
          <w:p>
            <w:pPr>
              <w:jc w:val="right"/>
              <w:spacing w:after="0"/>
              <w:rPr>
                <w:sz w:val="20"/>
                <w:szCs w:val="20"/>
                <w:color w:val="auto"/>
              </w:rPr>
            </w:pPr>
            <w:r>
              <w:rPr>
                <w:rFonts w:ascii="Arial" w:cs="Arial" w:eastAsia="Arial" w:hAnsi="Arial"/>
                <w:sz w:val="16"/>
                <w:szCs w:val="16"/>
                <w:color w:val="auto"/>
              </w:rPr>
              <w:t>8.09</w:t>
            </w:r>
          </w:p>
        </w:tc>
      </w:tr>
      <w:tr>
        <w:trPr>
          <w:trHeight w:val="172"/>
        </w:trPr>
        <w:tc>
          <w:tcPr>
            <w:tcW w:w="1840" w:type="dxa"/>
            <w:vAlign w:val="bottom"/>
          </w:tcPr>
          <w:p>
            <w:pPr>
              <w:spacing w:after="0"/>
              <w:rPr>
                <w:sz w:val="14"/>
                <w:szCs w:val="14"/>
                <w:color w:val="auto"/>
              </w:rPr>
            </w:pPr>
          </w:p>
        </w:tc>
        <w:tc>
          <w:tcPr>
            <w:tcW w:w="1910" w:type="dxa"/>
            <w:vAlign w:val="bottom"/>
            <w:gridSpan w:val="3"/>
          </w:tcPr>
          <w:p>
            <w:pPr>
              <w:spacing w:after="0"/>
              <w:rPr>
                <w:sz w:val="20"/>
                <w:szCs w:val="20"/>
                <w:color w:val="auto"/>
              </w:rPr>
            </w:pPr>
            <w:r>
              <w:rPr>
                <w:rFonts w:ascii="Arial" w:cs="Arial" w:eastAsia="Arial" w:hAnsi="Arial"/>
                <w:sz w:val="15"/>
                <w:szCs w:val="15"/>
                <w:color w:val="auto"/>
              </w:rPr>
              <w:t>50 Hudson Yards</w:t>
            </w:r>
          </w:p>
        </w:tc>
        <w:tc>
          <w:tcPr>
            <w:tcW w:w="49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5"/>
        </w:trPr>
        <w:tc>
          <w:tcPr>
            <w:tcW w:w="1840" w:type="dxa"/>
            <w:vAlign w:val="bottom"/>
          </w:tcPr>
          <w:p>
            <w:pPr>
              <w:spacing w:after="0"/>
              <w:rPr>
                <w:sz w:val="16"/>
                <w:szCs w:val="16"/>
                <w:color w:val="auto"/>
              </w:rPr>
            </w:pPr>
          </w:p>
        </w:tc>
        <w:tc>
          <w:tcPr>
            <w:tcW w:w="191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New York, NY 10001</w:t>
            </w:r>
          </w:p>
        </w:tc>
        <w:tc>
          <w:tcPr>
            <w:tcW w:w="49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97"/>
        </w:trPr>
        <w:tc>
          <w:tcPr>
            <w:tcW w:w="1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24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57" w:lineRule="exact"/>
        <w:rPr>
          <w:sz w:val="20"/>
          <w:szCs w:val="20"/>
          <w:color w:val="auto"/>
        </w:rPr>
      </w:pPr>
    </w:p>
    <w:p>
      <w:pPr>
        <w:ind w:left="289" w:hanging="289"/>
        <w:spacing w:after="0"/>
        <w:tabs>
          <w:tab w:leader="none" w:pos="289" w:val="left"/>
        </w:tabs>
        <w:numPr>
          <w:ilvl w:val="0"/>
          <w:numId w:val="51"/>
        </w:numPr>
        <w:rPr>
          <w:rFonts w:ascii="Arial" w:cs="Arial" w:eastAsia="Arial" w:hAnsi="Arial"/>
          <w:sz w:val="16"/>
          <w:szCs w:val="16"/>
          <w:color w:val="auto"/>
        </w:rPr>
      </w:pPr>
      <w:r>
        <w:rPr>
          <w:rFonts w:ascii="Arial" w:cs="Arial" w:eastAsia="Arial" w:hAnsi="Arial"/>
          <w:sz w:val="16"/>
          <w:szCs w:val="16"/>
          <w:color w:val="auto"/>
        </w:rPr>
        <w:t>Percent of class is calculated based on the shares of AbbVie common stock outstanding as of March 6, 2026.</w:t>
      </w:r>
    </w:p>
    <w:p>
      <w:pPr>
        <w:spacing w:after="0" w:line="173" w:lineRule="exact"/>
        <w:rPr>
          <w:sz w:val="20"/>
          <w:szCs w:val="20"/>
          <w:color w:val="auto"/>
        </w:rPr>
      </w:pPr>
    </w:p>
    <w:p>
      <w:pPr>
        <w:ind w:left="289" w:right="199" w:hanging="289"/>
        <w:spacing w:after="0" w:line="262" w:lineRule="auto"/>
        <w:tabs>
          <w:tab w:leader="none" w:pos="289"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solely on the Schedule 13G/A filed with the SEC on July 7, 2025, reporting beneficial ownership as of June 30, 2025, by The Vanguard Group, which has shared voting power with respect to 2,360,296 shares, sole dispositive power with respect to 168,246,961 shares and shared dispositive power with respect to 9,019,742 shares.</w:t>
      </w:r>
    </w:p>
    <w:p>
      <w:pPr>
        <w:spacing w:after="0" w:line="62" w:lineRule="exact"/>
        <w:rPr>
          <w:rFonts w:ascii="Arial" w:cs="Arial" w:eastAsia="Arial" w:hAnsi="Arial"/>
          <w:sz w:val="16"/>
          <w:szCs w:val="16"/>
          <w:color w:val="auto"/>
        </w:rPr>
      </w:pPr>
    </w:p>
    <w:p>
      <w:pPr>
        <w:ind w:left="289" w:right="299" w:hanging="289"/>
        <w:spacing w:after="0" w:line="262" w:lineRule="auto"/>
        <w:tabs>
          <w:tab w:leader="none" w:pos="289"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solely on the Schedule 13G/A filed with the SEC on January 25, 2024, reporting beneficial ownership as of December 31, 2023, by BlackRock, Inc., which has sole voting power with respect to 129,971,632 and sole dispositive power with respect to 143,180,060 of its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30</w:t>
      </w:r>
      <w:r>
        <w:rPr>
          <w:sz w:val="20"/>
          <w:szCs w:val="20"/>
          <w:color w:val="auto"/>
        </w:rPr>
        <w:tab/>
      </w:r>
      <w:r>
        <w:rPr>
          <w:sz w:val="1"/>
          <w:szCs w:val="1"/>
          <w:color w:val="auto"/>
        </w:rPr>
        <w:drawing>
          <wp:inline distT="0" distB="0" distL="0" distR="0">
            <wp:extent cx="797560" cy="14859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148"/>
          </w:cols>
          <w:pgMar w:left="1311" w:top="480" w:right="1440"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3"/>
          <w:szCs w:val="33"/>
          <w:color w:val="071D4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587819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30"/>
          <w:szCs w:val="30"/>
          <w:color w:val="auto"/>
        </w:rPr>
        <w:t>Compensation Discussion and Analysis</w:t>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This Compensation Discussion and Analysis (CD&amp;A) describes the pay philosophy established for AbbVie's named executive officers (NEOs), the design of our compensation programs, the process used to examine performance in the context of executive pay decisions, and the performance goals and results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5546725</wp:posOffset>
            </wp:positionH>
            <wp:positionV relativeFrom="paragraph">
              <wp:posOffset>42545</wp:posOffset>
            </wp:positionV>
            <wp:extent cx="23495" cy="687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495" cy="68770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42545</wp:posOffset>
            </wp:positionV>
            <wp:extent cx="23495" cy="687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495" cy="687705"/>
                    </a:xfrm>
                    <a:prstGeom prst="rect">
                      <a:avLst/>
                    </a:prstGeom>
                    <a:noFill/>
                  </pic:spPr>
                </pic:pic>
              </a:graphicData>
            </a:graphic>
          </wp:anchor>
        </w:drawing>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259"/>
        </w:trPr>
        <w:tc>
          <w:tcPr>
            <w:tcW w:w="1480" w:type="dxa"/>
            <w:vAlign w:val="bottom"/>
            <w:tcBorders>
              <w:right w:val="single" w:sz="8" w:color="071D49"/>
            </w:tcBorders>
          </w:tcPr>
          <w:p>
            <w:pPr>
              <w:spacing w:after="0"/>
              <w:rPr>
                <w:sz w:val="20"/>
                <w:szCs w:val="20"/>
                <w:color w:val="auto"/>
              </w:rPr>
            </w:pPr>
            <w:r>
              <w:rPr>
                <w:rFonts w:ascii="Arial" w:cs="Arial" w:eastAsia="Arial" w:hAnsi="Arial"/>
                <w:sz w:val="15"/>
                <w:szCs w:val="15"/>
                <w:b w:val="1"/>
                <w:bCs w:val="1"/>
                <w:color w:val="auto"/>
              </w:rPr>
              <w:t>ROBERT A.</w:t>
            </w:r>
          </w:p>
        </w:tc>
        <w:tc>
          <w:tcPr>
            <w:tcW w:w="1520" w:type="dxa"/>
            <w:vAlign w:val="bottom"/>
            <w:tcBorders>
              <w:right w:val="single" w:sz="8" w:color="071D49"/>
            </w:tcBorders>
          </w:tcPr>
          <w:p>
            <w:pPr>
              <w:ind w:left="60"/>
              <w:spacing w:after="0"/>
              <w:rPr>
                <w:sz w:val="20"/>
                <w:szCs w:val="20"/>
                <w:color w:val="auto"/>
              </w:rPr>
            </w:pPr>
            <w:r>
              <w:rPr>
                <w:rFonts w:ascii="Arial" w:cs="Arial" w:eastAsia="Arial" w:hAnsi="Arial"/>
                <w:sz w:val="15"/>
                <w:szCs w:val="15"/>
                <w:b w:val="1"/>
                <w:bCs w:val="1"/>
                <w:color w:val="auto"/>
              </w:rPr>
              <w:t>SCOTT T. REENTS</w:t>
            </w:r>
          </w:p>
        </w:tc>
        <w:tc>
          <w:tcPr>
            <w:tcW w:w="1520" w:type="dxa"/>
            <w:vAlign w:val="bottom"/>
            <w:tcBorders>
              <w:right w:val="single" w:sz="8" w:color="071D49"/>
            </w:tcBorders>
          </w:tcPr>
          <w:p>
            <w:pPr>
              <w:ind w:left="60"/>
              <w:spacing w:after="0"/>
              <w:rPr>
                <w:sz w:val="20"/>
                <w:szCs w:val="20"/>
                <w:color w:val="auto"/>
              </w:rPr>
            </w:pPr>
            <w:r>
              <w:rPr>
                <w:rFonts w:ascii="Arial" w:cs="Arial" w:eastAsia="Arial" w:hAnsi="Arial"/>
                <w:sz w:val="15"/>
                <w:szCs w:val="15"/>
                <w:b w:val="1"/>
                <w:bCs w:val="1"/>
                <w:color w:val="auto"/>
              </w:rPr>
              <w:t>JEFFREY R.</w:t>
            </w:r>
          </w:p>
        </w:tc>
        <w:tc>
          <w:tcPr>
            <w:tcW w:w="1780" w:type="dxa"/>
            <w:vAlign w:val="bottom"/>
            <w:tcBorders>
              <w:right w:val="single" w:sz="8" w:color="071D49"/>
            </w:tcBorders>
          </w:tcPr>
          <w:p>
            <w:pPr>
              <w:ind w:left="60"/>
              <w:spacing w:after="0"/>
              <w:rPr>
                <w:sz w:val="20"/>
                <w:szCs w:val="20"/>
                <w:color w:val="auto"/>
              </w:rPr>
            </w:pPr>
            <w:r>
              <w:rPr>
                <w:rFonts w:ascii="Arial" w:cs="Arial" w:eastAsia="Arial" w:hAnsi="Arial"/>
                <w:sz w:val="15"/>
                <w:szCs w:val="15"/>
                <w:b w:val="1"/>
                <w:bCs w:val="1"/>
                <w:color w:val="auto"/>
              </w:rPr>
              <w:t>AZITA SALEKI-</w:t>
            </w:r>
          </w:p>
        </w:tc>
        <w:tc>
          <w:tcPr>
            <w:tcW w:w="1640" w:type="dxa"/>
            <w:vAlign w:val="bottom"/>
          </w:tcPr>
          <w:p>
            <w:pPr>
              <w:ind w:left="60"/>
              <w:spacing w:after="0"/>
              <w:rPr>
                <w:sz w:val="20"/>
                <w:szCs w:val="20"/>
                <w:color w:val="auto"/>
              </w:rPr>
            </w:pPr>
            <w:r>
              <w:rPr>
                <w:rFonts w:ascii="Arial" w:cs="Arial" w:eastAsia="Arial" w:hAnsi="Arial"/>
                <w:sz w:val="15"/>
                <w:szCs w:val="15"/>
                <w:b w:val="1"/>
                <w:bCs w:val="1"/>
                <w:color w:val="auto"/>
                <w:w w:val="96"/>
              </w:rPr>
              <w:t>ROOPAL B. THAKKAR</w:t>
            </w:r>
          </w:p>
        </w:tc>
        <w:tc>
          <w:tcPr>
            <w:tcW w:w="0" w:type="dxa"/>
            <w:vAlign w:val="bottom"/>
          </w:tcPr>
          <w:p>
            <w:pPr>
              <w:spacing w:after="0"/>
              <w:rPr>
                <w:sz w:val="1"/>
                <w:szCs w:val="1"/>
                <w:color w:val="auto"/>
              </w:rPr>
            </w:pPr>
          </w:p>
        </w:tc>
      </w:tr>
      <w:tr>
        <w:trPr>
          <w:trHeight w:val="202"/>
        </w:trPr>
        <w:tc>
          <w:tcPr>
            <w:tcW w:w="1480" w:type="dxa"/>
            <w:vAlign w:val="bottom"/>
            <w:tcBorders>
              <w:right w:val="single" w:sz="8" w:color="071D49"/>
            </w:tcBorders>
          </w:tcPr>
          <w:p>
            <w:pPr>
              <w:spacing w:after="0"/>
              <w:rPr>
                <w:sz w:val="20"/>
                <w:szCs w:val="20"/>
                <w:color w:val="auto"/>
              </w:rPr>
            </w:pPr>
            <w:r>
              <w:rPr>
                <w:rFonts w:ascii="Arial" w:cs="Arial" w:eastAsia="Arial" w:hAnsi="Arial"/>
                <w:sz w:val="15"/>
                <w:szCs w:val="15"/>
                <w:b w:val="1"/>
                <w:bCs w:val="1"/>
                <w:color w:val="auto"/>
              </w:rPr>
              <w:t>MICHAEL</w:t>
            </w:r>
          </w:p>
        </w:tc>
        <w:tc>
          <w:tcPr>
            <w:tcW w:w="1520" w:type="dxa"/>
            <w:vAlign w:val="bottom"/>
            <w:tcBorders>
              <w:right w:val="single" w:sz="8" w:color="071D49"/>
            </w:tcBorders>
            <w:vMerge w:val="restart"/>
          </w:tcPr>
          <w:p>
            <w:pPr>
              <w:ind w:left="60"/>
              <w:spacing w:after="0"/>
              <w:rPr>
                <w:sz w:val="20"/>
                <w:szCs w:val="20"/>
                <w:color w:val="auto"/>
              </w:rPr>
            </w:pPr>
            <w:r>
              <w:rPr>
                <w:rFonts w:ascii="Arial" w:cs="Arial" w:eastAsia="Arial" w:hAnsi="Arial"/>
                <w:sz w:val="13"/>
                <w:szCs w:val="13"/>
                <w:color w:val="auto"/>
              </w:rPr>
              <w:t>Executive Vice</w:t>
            </w:r>
          </w:p>
        </w:tc>
        <w:tc>
          <w:tcPr>
            <w:tcW w:w="1520" w:type="dxa"/>
            <w:vAlign w:val="bottom"/>
            <w:tcBorders>
              <w:right w:val="single" w:sz="8" w:color="071D49"/>
            </w:tcBorders>
          </w:tcPr>
          <w:p>
            <w:pPr>
              <w:ind w:left="60"/>
              <w:spacing w:after="0"/>
              <w:rPr>
                <w:sz w:val="20"/>
                <w:szCs w:val="20"/>
                <w:color w:val="auto"/>
              </w:rPr>
            </w:pPr>
            <w:r>
              <w:rPr>
                <w:rFonts w:ascii="Arial" w:cs="Arial" w:eastAsia="Arial" w:hAnsi="Arial"/>
                <w:sz w:val="15"/>
                <w:szCs w:val="15"/>
                <w:b w:val="1"/>
                <w:bCs w:val="1"/>
                <w:color w:val="auto"/>
              </w:rPr>
              <w:t>STEWART</w:t>
            </w:r>
          </w:p>
        </w:tc>
        <w:tc>
          <w:tcPr>
            <w:tcW w:w="1780" w:type="dxa"/>
            <w:vAlign w:val="bottom"/>
            <w:tcBorders>
              <w:right w:val="single" w:sz="8" w:color="071D49"/>
            </w:tcBorders>
          </w:tcPr>
          <w:p>
            <w:pPr>
              <w:ind w:left="60"/>
              <w:spacing w:after="0"/>
              <w:rPr>
                <w:sz w:val="20"/>
                <w:szCs w:val="20"/>
                <w:color w:val="auto"/>
              </w:rPr>
            </w:pPr>
            <w:r>
              <w:rPr>
                <w:rFonts w:ascii="Arial" w:cs="Arial" w:eastAsia="Arial" w:hAnsi="Arial"/>
                <w:sz w:val="15"/>
                <w:szCs w:val="15"/>
                <w:b w:val="1"/>
                <w:bCs w:val="1"/>
                <w:color w:val="auto"/>
              </w:rPr>
              <w:t>GERHARDT</w:t>
            </w:r>
          </w:p>
        </w:tc>
        <w:tc>
          <w:tcPr>
            <w:tcW w:w="1640" w:type="dxa"/>
            <w:vAlign w:val="bottom"/>
            <w:vMerge w:val="restart"/>
          </w:tcPr>
          <w:p>
            <w:pPr>
              <w:ind w:left="60"/>
              <w:spacing w:after="0"/>
              <w:rPr>
                <w:sz w:val="20"/>
                <w:szCs w:val="20"/>
                <w:color w:val="auto"/>
              </w:rPr>
            </w:pPr>
            <w:r>
              <w:rPr>
                <w:rFonts w:ascii="Arial" w:cs="Arial" w:eastAsia="Arial" w:hAnsi="Arial"/>
                <w:sz w:val="13"/>
                <w:szCs w:val="13"/>
                <w:color w:val="auto"/>
              </w:rPr>
              <w:t>Executive Vice President,</w:t>
            </w:r>
          </w:p>
        </w:tc>
        <w:tc>
          <w:tcPr>
            <w:tcW w:w="0" w:type="dxa"/>
            <w:vAlign w:val="bottom"/>
          </w:tcPr>
          <w:p>
            <w:pPr>
              <w:spacing w:after="0"/>
              <w:rPr>
                <w:sz w:val="1"/>
                <w:szCs w:val="1"/>
                <w:color w:val="auto"/>
              </w:rPr>
            </w:pPr>
          </w:p>
        </w:tc>
      </w:tr>
      <w:tr>
        <w:trPr>
          <w:trHeight w:val="49"/>
        </w:trPr>
        <w:tc>
          <w:tcPr>
            <w:tcW w:w="1480" w:type="dxa"/>
            <w:vAlign w:val="bottom"/>
            <w:tcBorders>
              <w:right w:val="single" w:sz="8" w:color="071D49"/>
            </w:tcBorders>
          </w:tcPr>
          <w:p>
            <w:pPr>
              <w:spacing w:after="0"/>
              <w:rPr>
                <w:sz w:val="4"/>
                <w:szCs w:val="4"/>
                <w:color w:val="auto"/>
              </w:rPr>
            </w:pPr>
          </w:p>
        </w:tc>
        <w:tc>
          <w:tcPr>
            <w:tcW w:w="1520" w:type="dxa"/>
            <w:vAlign w:val="bottom"/>
            <w:tcBorders>
              <w:right w:val="single" w:sz="8" w:color="071D49"/>
            </w:tcBorders>
            <w:vMerge w:val="continue"/>
          </w:tcPr>
          <w:p>
            <w:pPr>
              <w:spacing w:after="0"/>
              <w:rPr>
                <w:sz w:val="4"/>
                <w:szCs w:val="4"/>
                <w:color w:val="auto"/>
              </w:rPr>
            </w:pPr>
          </w:p>
        </w:tc>
        <w:tc>
          <w:tcPr>
            <w:tcW w:w="1520" w:type="dxa"/>
            <w:vAlign w:val="bottom"/>
            <w:tcBorders>
              <w:right w:val="single" w:sz="8" w:color="071D49"/>
            </w:tcBorders>
          </w:tcPr>
          <w:p>
            <w:pPr>
              <w:spacing w:after="0"/>
              <w:rPr>
                <w:sz w:val="4"/>
                <w:szCs w:val="4"/>
                <w:color w:val="auto"/>
              </w:rPr>
            </w:pPr>
          </w:p>
        </w:tc>
        <w:tc>
          <w:tcPr>
            <w:tcW w:w="1780" w:type="dxa"/>
            <w:vAlign w:val="bottom"/>
            <w:tcBorders>
              <w:right w:val="single" w:sz="8" w:color="071D49"/>
            </w:tcBorders>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480" w:type="dxa"/>
            <w:vAlign w:val="bottom"/>
            <w:tcBorders>
              <w:right w:val="single" w:sz="8" w:color="071D49"/>
            </w:tcBorders>
          </w:tcPr>
          <w:p>
            <w:pPr>
              <w:spacing w:after="0"/>
              <w:rPr>
                <w:sz w:val="20"/>
                <w:szCs w:val="20"/>
                <w:color w:val="auto"/>
              </w:rPr>
            </w:pPr>
            <w:r>
              <w:rPr>
                <w:rFonts w:ascii="Arial" w:cs="Arial" w:eastAsia="Arial" w:hAnsi="Arial"/>
                <w:sz w:val="13"/>
                <w:szCs w:val="13"/>
                <w:color w:val="auto"/>
              </w:rPr>
              <w:t>Chairman of the Board</w:t>
            </w:r>
          </w:p>
        </w:tc>
        <w:tc>
          <w:tcPr>
            <w:tcW w:w="1520" w:type="dxa"/>
            <w:vAlign w:val="bottom"/>
            <w:tcBorders>
              <w:right w:val="single" w:sz="8" w:color="071D49"/>
            </w:tcBorders>
          </w:tcPr>
          <w:p>
            <w:pPr>
              <w:ind w:left="60"/>
              <w:spacing w:after="0"/>
              <w:rPr>
                <w:sz w:val="20"/>
                <w:szCs w:val="20"/>
                <w:color w:val="auto"/>
              </w:rPr>
            </w:pPr>
            <w:r>
              <w:rPr>
                <w:rFonts w:ascii="Arial" w:cs="Arial" w:eastAsia="Arial" w:hAnsi="Arial"/>
                <w:sz w:val="13"/>
                <w:szCs w:val="13"/>
                <w:color w:val="auto"/>
              </w:rPr>
              <w:t>President, Chief</w:t>
            </w:r>
          </w:p>
        </w:tc>
        <w:tc>
          <w:tcPr>
            <w:tcW w:w="1520" w:type="dxa"/>
            <w:vAlign w:val="bottom"/>
            <w:tcBorders>
              <w:right w:val="single" w:sz="8" w:color="071D49"/>
            </w:tcBorders>
          </w:tcPr>
          <w:p>
            <w:pPr>
              <w:ind w:left="60"/>
              <w:spacing w:after="0"/>
              <w:rPr>
                <w:sz w:val="20"/>
                <w:szCs w:val="20"/>
                <w:color w:val="auto"/>
              </w:rPr>
            </w:pPr>
            <w:r>
              <w:rPr>
                <w:rFonts w:ascii="Arial" w:cs="Arial" w:eastAsia="Arial" w:hAnsi="Arial"/>
                <w:sz w:val="13"/>
                <w:szCs w:val="13"/>
                <w:color w:val="auto"/>
              </w:rPr>
              <w:t>Executive Vice</w:t>
            </w:r>
          </w:p>
        </w:tc>
        <w:tc>
          <w:tcPr>
            <w:tcW w:w="1780" w:type="dxa"/>
            <w:vAlign w:val="bottom"/>
            <w:tcBorders>
              <w:right w:val="single" w:sz="8" w:color="071D49"/>
            </w:tcBorders>
          </w:tcPr>
          <w:p>
            <w:pPr>
              <w:ind w:left="60"/>
              <w:spacing w:after="0"/>
              <w:rPr>
                <w:sz w:val="20"/>
                <w:szCs w:val="20"/>
                <w:color w:val="auto"/>
              </w:rPr>
            </w:pPr>
            <w:r>
              <w:rPr>
                <w:rFonts w:ascii="Arial" w:cs="Arial" w:eastAsia="Arial" w:hAnsi="Arial"/>
                <w:sz w:val="13"/>
                <w:szCs w:val="13"/>
                <w:color w:val="auto"/>
              </w:rPr>
              <w:t>Executive Vice President,</w:t>
            </w:r>
          </w:p>
        </w:tc>
        <w:tc>
          <w:tcPr>
            <w:tcW w:w="1640" w:type="dxa"/>
            <w:vAlign w:val="bottom"/>
          </w:tcPr>
          <w:p>
            <w:pPr>
              <w:ind w:left="60"/>
              <w:spacing w:after="0"/>
              <w:rPr>
                <w:sz w:val="20"/>
                <w:szCs w:val="20"/>
                <w:color w:val="auto"/>
              </w:rPr>
            </w:pPr>
            <w:r>
              <w:rPr>
                <w:rFonts w:ascii="Arial" w:cs="Arial" w:eastAsia="Arial" w:hAnsi="Arial"/>
                <w:sz w:val="13"/>
                <w:szCs w:val="13"/>
                <w:color w:val="auto"/>
              </w:rPr>
              <w:t>Research &amp; Development</w:t>
            </w:r>
          </w:p>
        </w:tc>
        <w:tc>
          <w:tcPr>
            <w:tcW w:w="0" w:type="dxa"/>
            <w:vAlign w:val="bottom"/>
          </w:tcPr>
          <w:p>
            <w:pPr>
              <w:spacing w:after="0"/>
              <w:rPr>
                <w:sz w:val="1"/>
                <w:szCs w:val="1"/>
                <w:color w:val="auto"/>
              </w:rPr>
            </w:pPr>
          </w:p>
        </w:tc>
      </w:tr>
      <w:tr>
        <w:trPr>
          <w:trHeight w:val="165"/>
        </w:trPr>
        <w:tc>
          <w:tcPr>
            <w:tcW w:w="1480" w:type="dxa"/>
            <w:vAlign w:val="bottom"/>
            <w:tcBorders>
              <w:right w:val="single" w:sz="8" w:color="071D49"/>
            </w:tcBorders>
          </w:tcPr>
          <w:p>
            <w:pPr>
              <w:spacing w:after="0"/>
              <w:rPr>
                <w:sz w:val="20"/>
                <w:szCs w:val="20"/>
                <w:color w:val="auto"/>
              </w:rPr>
            </w:pPr>
            <w:r>
              <w:rPr>
                <w:rFonts w:ascii="Arial" w:cs="Arial" w:eastAsia="Arial" w:hAnsi="Arial"/>
                <w:sz w:val="13"/>
                <w:szCs w:val="13"/>
                <w:color w:val="auto"/>
              </w:rPr>
              <w:t>and Chief Executive</w:t>
            </w:r>
          </w:p>
        </w:tc>
        <w:tc>
          <w:tcPr>
            <w:tcW w:w="1520" w:type="dxa"/>
            <w:vAlign w:val="bottom"/>
            <w:tcBorders>
              <w:right w:val="single" w:sz="8" w:color="071D49"/>
            </w:tcBorders>
          </w:tcPr>
          <w:p>
            <w:pPr>
              <w:ind w:left="60"/>
              <w:spacing w:after="0"/>
              <w:rPr>
                <w:sz w:val="20"/>
                <w:szCs w:val="20"/>
                <w:color w:val="auto"/>
              </w:rPr>
            </w:pPr>
            <w:r>
              <w:rPr>
                <w:rFonts w:ascii="Arial" w:cs="Arial" w:eastAsia="Arial" w:hAnsi="Arial"/>
                <w:sz w:val="13"/>
                <w:szCs w:val="13"/>
                <w:color w:val="auto"/>
              </w:rPr>
              <w:t>Financial Officer</w:t>
            </w:r>
          </w:p>
        </w:tc>
        <w:tc>
          <w:tcPr>
            <w:tcW w:w="1520" w:type="dxa"/>
            <w:vAlign w:val="bottom"/>
            <w:tcBorders>
              <w:right w:val="single" w:sz="8" w:color="071D49"/>
            </w:tcBorders>
          </w:tcPr>
          <w:p>
            <w:pPr>
              <w:ind w:left="60"/>
              <w:spacing w:after="0"/>
              <w:rPr>
                <w:sz w:val="20"/>
                <w:szCs w:val="20"/>
                <w:color w:val="auto"/>
              </w:rPr>
            </w:pPr>
            <w:r>
              <w:rPr>
                <w:rFonts w:ascii="Arial" w:cs="Arial" w:eastAsia="Arial" w:hAnsi="Arial"/>
                <w:sz w:val="13"/>
                <w:szCs w:val="13"/>
                <w:color w:val="auto"/>
              </w:rPr>
              <w:t>President, Chief</w:t>
            </w:r>
          </w:p>
        </w:tc>
        <w:tc>
          <w:tcPr>
            <w:tcW w:w="1780" w:type="dxa"/>
            <w:vAlign w:val="bottom"/>
            <w:tcBorders>
              <w:right w:val="single" w:sz="8" w:color="071D49"/>
            </w:tcBorders>
          </w:tcPr>
          <w:p>
            <w:pPr>
              <w:ind w:left="60"/>
              <w:spacing w:after="0"/>
              <w:rPr>
                <w:sz w:val="20"/>
                <w:szCs w:val="20"/>
                <w:color w:val="auto"/>
              </w:rPr>
            </w:pPr>
            <w:r>
              <w:rPr>
                <w:rFonts w:ascii="Arial" w:cs="Arial" w:eastAsia="Arial" w:hAnsi="Arial"/>
                <w:sz w:val="13"/>
                <w:szCs w:val="13"/>
                <w:color w:val="auto"/>
              </w:rPr>
              <w:t>Chief Operations Officer</w:t>
            </w:r>
          </w:p>
        </w:tc>
        <w:tc>
          <w:tcPr>
            <w:tcW w:w="1640" w:type="dxa"/>
            <w:vAlign w:val="bottom"/>
          </w:tcPr>
          <w:p>
            <w:pPr>
              <w:ind w:left="60"/>
              <w:spacing w:after="0"/>
              <w:rPr>
                <w:sz w:val="20"/>
                <w:szCs w:val="20"/>
                <w:color w:val="auto"/>
              </w:rPr>
            </w:pPr>
            <w:r>
              <w:rPr>
                <w:rFonts w:ascii="Arial" w:cs="Arial" w:eastAsia="Arial" w:hAnsi="Arial"/>
                <w:sz w:val="13"/>
                <w:szCs w:val="13"/>
                <w:color w:val="auto"/>
              </w:rPr>
              <w:t>and Chief Scientific Officer</w:t>
            </w:r>
          </w:p>
        </w:tc>
        <w:tc>
          <w:tcPr>
            <w:tcW w:w="0" w:type="dxa"/>
            <w:vAlign w:val="bottom"/>
          </w:tcPr>
          <w:p>
            <w:pPr>
              <w:spacing w:after="0"/>
              <w:rPr>
                <w:sz w:val="1"/>
                <w:szCs w:val="1"/>
                <w:color w:val="auto"/>
              </w:rPr>
            </w:pPr>
          </w:p>
        </w:tc>
      </w:tr>
      <w:tr>
        <w:trPr>
          <w:trHeight w:val="173"/>
        </w:trPr>
        <w:tc>
          <w:tcPr>
            <w:tcW w:w="1480" w:type="dxa"/>
            <w:vAlign w:val="bottom"/>
            <w:tcBorders>
              <w:right w:val="single" w:sz="8" w:color="071D49"/>
            </w:tcBorders>
          </w:tcPr>
          <w:p>
            <w:pPr>
              <w:spacing w:after="0"/>
              <w:rPr>
                <w:sz w:val="20"/>
                <w:szCs w:val="20"/>
                <w:color w:val="auto"/>
              </w:rPr>
            </w:pPr>
            <w:r>
              <w:rPr>
                <w:rFonts w:ascii="Arial" w:cs="Arial" w:eastAsia="Arial" w:hAnsi="Arial"/>
                <w:sz w:val="13"/>
                <w:szCs w:val="13"/>
                <w:color w:val="auto"/>
              </w:rPr>
              <w:t>Officer</w:t>
            </w:r>
          </w:p>
        </w:tc>
        <w:tc>
          <w:tcPr>
            <w:tcW w:w="1520" w:type="dxa"/>
            <w:vAlign w:val="bottom"/>
            <w:tcBorders>
              <w:right w:val="single" w:sz="8" w:color="071D49"/>
            </w:tcBorders>
          </w:tcPr>
          <w:p>
            <w:pPr>
              <w:spacing w:after="0"/>
              <w:rPr>
                <w:sz w:val="15"/>
                <w:szCs w:val="15"/>
                <w:color w:val="auto"/>
              </w:rPr>
            </w:pPr>
          </w:p>
        </w:tc>
        <w:tc>
          <w:tcPr>
            <w:tcW w:w="1520" w:type="dxa"/>
            <w:vAlign w:val="bottom"/>
            <w:tcBorders>
              <w:right w:val="single" w:sz="8" w:color="071D49"/>
            </w:tcBorders>
          </w:tcPr>
          <w:p>
            <w:pPr>
              <w:ind w:left="60"/>
              <w:spacing w:after="0"/>
              <w:rPr>
                <w:sz w:val="20"/>
                <w:szCs w:val="20"/>
                <w:color w:val="auto"/>
              </w:rPr>
            </w:pPr>
            <w:r>
              <w:rPr>
                <w:rFonts w:ascii="Arial" w:cs="Arial" w:eastAsia="Arial" w:hAnsi="Arial"/>
                <w:sz w:val="13"/>
                <w:szCs w:val="13"/>
                <w:color w:val="auto"/>
              </w:rPr>
              <w:t>Commercial Officer</w:t>
            </w:r>
          </w:p>
        </w:tc>
        <w:tc>
          <w:tcPr>
            <w:tcW w:w="1780" w:type="dxa"/>
            <w:vAlign w:val="bottom"/>
            <w:tcBorders>
              <w:right w:val="single" w:sz="8" w:color="071D49"/>
            </w:tcBorders>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480" w:type="dxa"/>
            <w:vAlign w:val="bottom"/>
            <w:tcBorders>
              <w:right w:val="single" w:sz="8" w:color="071D49"/>
            </w:tcBorders>
          </w:tcPr>
          <w:p>
            <w:pPr>
              <w:spacing w:after="0"/>
              <w:rPr>
                <w:sz w:val="7"/>
                <w:szCs w:val="7"/>
                <w:color w:val="auto"/>
              </w:rPr>
            </w:pPr>
          </w:p>
        </w:tc>
        <w:tc>
          <w:tcPr>
            <w:tcW w:w="1520" w:type="dxa"/>
            <w:vAlign w:val="bottom"/>
            <w:tcBorders>
              <w:right w:val="single" w:sz="8" w:color="071D49"/>
            </w:tcBorders>
          </w:tcPr>
          <w:p>
            <w:pPr>
              <w:spacing w:after="0"/>
              <w:rPr>
                <w:sz w:val="7"/>
                <w:szCs w:val="7"/>
                <w:color w:val="auto"/>
              </w:rPr>
            </w:pPr>
          </w:p>
        </w:tc>
        <w:tc>
          <w:tcPr>
            <w:tcW w:w="1520" w:type="dxa"/>
            <w:vAlign w:val="bottom"/>
            <w:tcBorders>
              <w:right w:val="single" w:sz="8" w:color="071D49"/>
            </w:tcBorders>
          </w:tcPr>
          <w:p>
            <w:pPr>
              <w:spacing w:after="0"/>
              <w:rPr>
                <w:sz w:val="7"/>
                <w:szCs w:val="7"/>
                <w:color w:val="auto"/>
              </w:rPr>
            </w:pPr>
          </w:p>
        </w:tc>
        <w:tc>
          <w:tcPr>
            <w:tcW w:w="1780" w:type="dxa"/>
            <w:vAlign w:val="bottom"/>
            <w:tcBorders>
              <w:right w:val="single" w:sz="8" w:color="071D49"/>
            </w:tcBorders>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Although we describe our programs in the context of the NEOs, it is important to note that our programs generally have broad eligibility and therefore in most cases apply to employee populations outside the NEO group as well.</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content of this section is organized according to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gridSpan w:val="7"/>
          </w:tcPr>
          <w:p>
            <w:pPr>
              <w:spacing w:after="0"/>
              <w:rPr>
                <w:sz w:val="20"/>
                <w:szCs w:val="20"/>
                <w:color w:val="auto"/>
              </w:rPr>
            </w:pPr>
            <w:r>
              <w:rPr>
                <w:rFonts w:ascii="Arial" w:cs="Arial" w:eastAsia="Arial" w:hAnsi="Arial"/>
                <w:sz w:val="18"/>
                <w:szCs w:val="18"/>
                <w:b w:val="1"/>
                <w:bCs w:val="1"/>
                <w:color w:val="0000EE"/>
              </w:rPr>
              <w:t>EXECUTIVE SUMMARY</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071D49"/>
              </w:rPr>
              <w:t>32</w:t>
            </w:r>
          </w:p>
        </w:tc>
        <w:tc>
          <w:tcPr>
            <w:tcW w:w="1700" w:type="dxa"/>
            <w:vAlign w:val="bottom"/>
            <w:gridSpan w:val="5"/>
          </w:tcPr>
          <w:p>
            <w:pPr>
              <w:ind w:left="120"/>
              <w:spacing w:after="0"/>
              <w:rPr>
                <w:sz w:val="20"/>
                <w:szCs w:val="20"/>
                <w:color w:val="auto"/>
              </w:rPr>
            </w:pPr>
            <w:r>
              <w:rPr>
                <w:rFonts w:ascii="Arial" w:cs="Arial" w:eastAsia="Arial" w:hAnsi="Arial"/>
                <w:sz w:val="18"/>
                <w:szCs w:val="18"/>
                <w:b w:val="1"/>
                <w:bCs w:val="1"/>
                <w:color w:val="00205B"/>
              </w:rPr>
              <w:t>​​</w:t>
            </w:r>
            <w:r>
              <w:rPr>
                <w:rFonts w:ascii="Arial" w:cs="Arial" w:eastAsia="Arial" w:hAnsi="Arial"/>
                <w:sz w:val="18"/>
                <w:szCs w:val="18"/>
                <w:b w:val="1"/>
                <w:bCs w:val="1"/>
                <w:color w:val="0000EE"/>
              </w:rPr>
              <w:t>COMPENSATION</w:t>
            </w:r>
            <w:r>
              <w:rPr>
                <w:rFonts w:ascii="Arial" w:cs="Arial" w:eastAsia="Arial" w:hAnsi="Arial"/>
                <w:sz w:val="18"/>
                <w:szCs w:val="18"/>
                <w:b w:val="1"/>
                <w:bCs w:val="1"/>
                <w:color w:val="00205B"/>
              </w:rPr>
              <w:t>​</w:t>
            </w:r>
          </w:p>
        </w:tc>
        <w:tc>
          <w:tcPr>
            <w:tcW w:w="2200" w:type="dxa"/>
            <w:vAlign w:val="bottom"/>
            <w:gridSpan w:val="7"/>
          </w:tcPr>
          <w:p>
            <w:pPr>
              <w:ind w:left="40"/>
              <w:spacing w:after="0"/>
              <w:rPr>
                <w:sz w:val="20"/>
                <w:szCs w:val="20"/>
                <w:color w:val="auto"/>
              </w:rPr>
            </w:pPr>
            <w:r>
              <w:rPr>
                <w:rFonts w:ascii="Arial" w:cs="Arial" w:eastAsia="Arial" w:hAnsi="Arial"/>
                <w:sz w:val="18"/>
                <w:szCs w:val="18"/>
                <w:b w:val="1"/>
                <w:bCs w:val="1"/>
                <w:color w:val="0000EE"/>
              </w:rPr>
              <w:t>PLAN ELEMENTS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071D49"/>
              </w:rPr>
              <w:t>39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bottom w:val="single" w:sz="8" w:color="071D49"/>
            </w:tcBorders>
          </w:tcPr>
          <w:p>
            <w:pPr>
              <w:spacing w:after="0" w:line="20" w:lineRule="exact"/>
              <w:rPr>
                <w:sz w:val="1"/>
                <w:szCs w:val="1"/>
                <w:color w:val="auto"/>
              </w:rPr>
            </w:pPr>
          </w:p>
        </w:tc>
        <w:tc>
          <w:tcPr>
            <w:tcW w:w="80" w:type="dxa"/>
            <w:vAlign w:val="bottom"/>
            <w:tcBorders>
              <w:top w:val="single" w:sz="8" w:color="0000EE"/>
              <w:bottom w:val="single" w:sz="8" w:color="071D49"/>
            </w:tcBorders>
          </w:tcPr>
          <w:p>
            <w:pPr>
              <w:spacing w:after="0" w:line="20" w:lineRule="exact"/>
              <w:rPr>
                <w:sz w:val="1"/>
                <w:szCs w:val="1"/>
                <w:color w:val="auto"/>
              </w:rPr>
            </w:pPr>
          </w:p>
        </w:tc>
        <w:tc>
          <w:tcPr>
            <w:tcW w:w="420" w:type="dxa"/>
            <w:vAlign w:val="bottom"/>
            <w:tcBorders>
              <w:bottom w:val="single" w:sz="8" w:color="071D49"/>
            </w:tcBorders>
          </w:tcPr>
          <w:p>
            <w:pPr>
              <w:spacing w:after="0" w:line="20" w:lineRule="exact"/>
              <w:rPr>
                <w:sz w:val="1"/>
                <w:szCs w:val="1"/>
                <w:color w:val="auto"/>
              </w:rPr>
            </w:pPr>
          </w:p>
        </w:tc>
        <w:tc>
          <w:tcPr>
            <w:tcW w:w="1020" w:type="dxa"/>
            <w:vAlign w:val="bottom"/>
            <w:tcBorders>
              <w:bottom w:val="single" w:sz="8" w:color="071D49"/>
            </w:tcBorders>
          </w:tcPr>
          <w:p>
            <w:pPr>
              <w:spacing w:after="0" w:line="20" w:lineRule="exact"/>
              <w:rPr>
                <w:sz w:val="1"/>
                <w:szCs w:val="1"/>
                <w:color w:val="auto"/>
              </w:rPr>
            </w:pPr>
          </w:p>
        </w:tc>
        <w:tc>
          <w:tcPr>
            <w:tcW w:w="50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400" w:type="dxa"/>
            <w:vAlign w:val="bottom"/>
            <w:tcBorders>
              <w:bottom w:val="single" w:sz="8" w:color="071D49"/>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580" w:type="dxa"/>
            <w:vAlign w:val="bottom"/>
            <w:tcBorders>
              <w:top w:val="single" w:sz="8" w:color="0000EE"/>
              <w:bottom w:val="single" w:sz="8" w:color="071D49"/>
            </w:tcBorders>
          </w:tcPr>
          <w:p>
            <w:pPr>
              <w:spacing w:after="0" w:line="20" w:lineRule="exact"/>
              <w:rPr>
                <w:sz w:val="1"/>
                <w:szCs w:val="1"/>
                <w:color w:val="auto"/>
              </w:rPr>
            </w:pPr>
          </w:p>
        </w:tc>
        <w:tc>
          <w:tcPr>
            <w:tcW w:w="280" w:type="dxa"/>
            <w:vAlign w:val="bottom"/>
            <w:tcBorders>
              <w:top w:val="single" w:sz="8" w:color="0000EE"/>
              <w:bottom w:val="single" w:sz="8" w:color="071D49"/>
            </w:tcBorders>
          </w:tcPr>
          <w:p>
            <w:pPr>
              <w:spacing w:after="0" w:line="20" w:lineRule="exact"/>
              <w:rPr>
                <w:sz w:val="1"/>
                <w:szCs w:val="1"/>
                <w:color w:val="auto"/>
              </w:rPr>
            </w:pPr>
          </w:p>
        </w:tc>
        <w:tc>
          <w:tcPr>
            <w:tcW w:w="600" w:type="dxa"/>
            <w:vAlign w:val="bottom"/>
            <w:tcBorders>
              <w:top w:val="single" w:sz="8" w:color="0000EE"/>
              <w:bottom w:val="single" w:sz="8" w:color="071D49"/>
            </w:tcBorders>
          </w:tcPr>
          <w:p>
            <w:pPr>
              <w:spacing w:after="0" w:line="20" w:lineRule="exact"/>
              <w:rPr>
                <w:sz w:val="1"/>
                <w:szCs w:val="1"/>
                <w:color w:val="auto"/>
              </w:rPr>
            </w:pPr>
          </w:p>
        </w:tc>
        <w:tc>
          <w:tcPr>
            <w:tcW w:w="140" w:type="dxa"/>
            <w:vAlign w:val="bottom"/>
            <w:tcBorders>
              <w:top w:val="single" w:sz="8" w:color="0000EE"/>
              <w:bottom w:val="single" w:sz="8" w:color="071D49"/>
            </w:tcBorders>
          </w:tcPr>
          <w:p>
            <w:pPr>
              <w:spacing w:after="0" w:line="20" w:lineRule="exact"/>
              <w:rPr>
                <w:sz w:val="1"/>
                <w:szCs w:val="1"/>
                <w:color w:val="auto"/>
              </w:rPr>
            </w:pPr>
          </w:p>
        </w:tc>
        <w:tc>
          <w:tcPr>
            <w:tcW w:w="220" w:type="dxa"/>
            <w:vAlign w:val="bottom"/>
            <w:tcBorders>
              <w:top w:val="single" w:sz="8" w:color="0000EE"/>
              <w:bottom w:val="single" w:sz="8" w:color="071D49"/>
            </w:tcBorders>
          </w:tcPr>
          <w:p>
            <w:pPr>
              <w:spacing w:after="0" w:line="20" w:lineRule="exact"/>
              <w:rPr>
                <w:sz w:val="1"/>
                <w:szCs w:val="1"/>
                <w:color w:val="auto"/>
              </w:rPr>
            </w:pPr>
          </w:p>
        </w:tc>
        <w:tc>
          <w:tcPr>
            <w:tcW w:w="420" w:type="dxa"/>
            <w:vAlign w:val="bottom"/>
            <w:tcBorders>
              <w:top w:val="single" w:sz="8" w:color="0000EE"/>
              <w:bottom w:val="single" w:sz="8" w:color="071D49"/>
            </w:tcBorders>
          </w:tcPr>
          <w:p>
            <w:pPr>
              <w:spacing w:after="0" w:line="20" w:lineRule="exact"/>
              <w:rPr>
                <w:sz w:val="1"/>
                <w:szCs w:val="1"/>
                <w:color w:val="auto"/>
              </w:rPr>
            </w:pPr>
          </w:p>
        </w:tc>
        <w:tc>
          <w:tcPr>
            <w:tcW w:w="640" w:type="dxa"/>
            <w:vAlign w:val="bottom"/>
            <w:tcBorders>
              <w:top w:val="single" w:sz="8" w:color="0000EE"/>
              <w:bottom w:val="single" w:sz="8" w:color="071D49"/>
            </w:tcBorders>
          </w:tcPr>
          <w:p>
            <w:pPr>
              <w:spacing w:after="0" w:line="20" w:lineRule="exact"/>
              <w:rPr>
                <w:sz w:val="1"/>
                <w:szCs w:val="1"/>
                <w:color w:val="auto"/>
              </w:rPr>
            </w:pPr>
          </w:p>
        </w:tc>
        <w:tc>
          <w:tcPr>
            <w:tcW w:w="20" w:type="dxa"/>
            <w:vAlign w:val="bottom"/>
            <w:tcBorders>
              <w:top w:val="single" w:sz="8" w:color="0000EE"/>
              <w:bottom w:val="single" w:sz="8" w:color="071D49"/>
            </w:tcBorders>
          </w:tcPr>
          <w:p>
            <w:pPr>
              <w:spacing w:after="0" w:line="20" w:lineRule="exact"/>
              <w:rPr>
                <w:sz w:val="1"/>
                <w:szCs w:val="1"/>
                <w:color w:val="auto"/>
              </w:rPr>
            </w:pPr>
          </w:p>
        </w:tc>
        <w:tc>
          <w:tcPr>
            <w:tcW w:w="120" w:type="dxa"/>
            <w:vAlign w:val="bottom"/>
            <w:tcBorders>
              <w:top w:val="single" w:sz="8" w:color="0000EE"/>
              <w:bottom w:val="single" w:sz="8" w:color="071D49"/>
            </w:tcBorders>
          </w:tcPr>
          <w:p>
            <w:pPr>
              <w:spacing w:after="0" w:line="20" w:lineRule="exact"/>
              <w:rPr>
                <w:sz w:val="1"/>
                <w:szCs w:val="1"/>
                <w:color w:val="auto"/>
              </w:rPr>
            </w:pPr>
          </w:p>
        </w:tc>
        <w:tc>
          <w:tcPr>
            <w:tcW w:w="640" w:type="dxa"/>
            <w:vAlign w:val="bottom"/>
            <w:tcBorders>
              <w:bottom w:val="single" w:sz="8" w:color="071D49"/>
            </w:tcBorders>
          </w:tcPr>
          <w:p>
            <w:pPr>
              <w:spacing w:after="0" w:line="20" w:lineRule="exact"/>
              <w:rPr>
                <w:sz w:val="1"/>
                <w:szCs w:val="1"/>
                <w:color w:val="auto"/>
              </w:rPr>
            </w:pPr>
          </w:p>
        </w:tc>
        <w:tc>
          <w:tcPr>
            <w:tcW w:w="84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Arial" w:cs="Arial" w:eastAsia="Arial" w:hAnsi="Arial"/>
                <w:sz w:val="16"/>
                <w:szCs w:val="16"/>
                <w:color w:val="0000EE"/>
                <w:w w:val="98"/>
              </w:rPr>
              <w:t>Compensation Philosophy</w:t>
            </w:r>
          </w:p>
        </w:tc>
        <w:tc>
          <w:tcPr>
            <w:tcW w:w="2220" w:type="dxa"/>
            <w:vAlign w:val="bottom"/>
            <w:gridSpan w:val="5"/>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6"/>
                <w:szCs w:val="16"/>
                <w:color w:val="auto"/>
              </w:rPr>
              <w:t>32</w:t>
            </w:r>
          </w:p>
        </w:tc>
        <w:tc>
          <w:tcPr>
            <w:tcW w:w="220" w:type="dxa"/>
            <w:vAlign w:val="bottom"/>
          </w:tcPr>
          <w:p>
            <w:pPr>
              <w:spacing w:after="0"/>
              <w:rPr>
                <w:sz w:val="12"/>
                <w:szCs w:val="12"/>
                <w:color w:val="auto"/>
              </w:rPr>
            </w:pPr>
          </w:p>
        </w:tc>
        <w:tc>
          <w:tcPr>
            <w:tcW w:w="1480" w:type="dxa"/>
            <w:vAlign w:val="bottom"/>
            <w:gridSpan w:val="4"/>
          </w:tcPr>
          <w:p>
            <w:pPr>
              <w:spacing w:after="0" w:line="149" w:lineRule="exact"/>
              <w:rPr>
                <w:sz w:val="20"/>
                <w:szCs w:val="20"/>
                <w:color w:val="auto"/>
              </w:rPr>
            </w:pPr>
            <w:r>
              <w:rPr>
                <w:rFonts w:ascii="Arial" w:cs="Arial" w:eastAsia="Arial" w:hAnsi="Arial"/>
                <w:sz w:val="16"/>
                <w:szCs w:val="16"/>
                <w:color w:val="0000EE"/>
              </w:rPr>
              <w:t>Base Salary</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190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8"/>
            <w:vMerge w:val="restart"/>
          </w:tcPr>
          <w:p>
            <w:pPr>
              <w:spacing w:after="0"/>
              <w:rPr>
                <w:sz w:val="20"/>
                <w:szCs w:val="20"/>
                <w:color w:val="auto"/>
              </w:rPr>
            </w:pPr>
            <w:r>
              <w:rPr>
                <w:rFonts w:ascii="Arial" w:cs="Arial" w:eastAsia="Arial" w:hAnsi="Arial"/>
                <w:sz w:val="16"/>
                <w:szCs w:val="16"/>
                <w:color w:val="0000EE"/>
              </w:rPr>
              <w:t>Incentives and 2025 Results</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line="20" w:lineRule="exact"/>
              <w:rPr>
                <w:sz w:val="1"/>
                <w:szCs w:val="1"/>
                <w:color w:val="auto"/>
              </w:rPr>
            </w:pPr>
          </w:p>
        </w:tc>
      </w:tr>
      <w:tr>
        <w:trPr>
          <w:trHeight w:val="165"/>
        </w:trPr>
        <w:tc>
          <w:tcPr>
            <w:tcW w:w="4120" w:type="dxa"/>
            <w:vAlign w:val="bottom"/>
            <w:gridSpan w:val="7"/>
          </w:tcPr>
          <w:p>
            <w:pPr>
              <w:spacing w:after="0" w:line="165" w:lineRule="exact"/>
              <w:rPr>
                <w:sz w:val="20"/>
                <w:szCs w:val="20"/>
                <w:color w:val="auto"/>
              </w:rPr>
            </w:pPr>
            <w:r>
              <w:rPr>
                <w:rFonts w:ascii="Arial" w:cs="Arial" w:eastAsia="Arial" w:hAnsi="Arial"/>
                <w:sz w:val="16"/>
                <w:szCs w:val="16"/>
                <w:color w:val="0000EE"/>
              </w:rPr>
              <w:t>Business Performance Highlights</w:t>
            </w:r>
          </w:p>
        </w:tc>
        <w:tc>
          <w:tcPr>
            <w:tcW w:w="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860" w:type="dxa"/>
            <w:vAlign w:val="bottom"/>
            <w:gridSpan w:val="2"/>
          </w:tcPr>
          <w:p>
            <w:pPr>
              <w:spacing w:after="0" w:line="165" w:lineRule="exact"/>
              <w:rPr>
                <w:sz w:val="20"/>
                <w:szCs w:val="20"/>
                <w:color w:val="auto"/>
              </w:rPr>
            </w:pPr>
            <w:r>
              <w:rPr>
                <w:rFonts w:ascii="Arial" w:cs="Arial" w:eastAsia="Arial" w:hAnsi="Arial"/>
                <w:sz w:val="16"/>
                <w:szCs w:val="16"/>
                <w:color w:val="0000EE"/>
              </w:rPr>
              <w:t>Short-Term</w:t>
            </w:r>
          </w:p>
        </w:tc>
        <w:tc>
          <w:tcPr>
            <w:tcW w:w="2800" w:type="dxa"/>
            <w:vAlign w:val="bottom"/>
            <w:gridSpan w:val="8"/>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00" w:type="dxa"/>
            <w:vAlign w:val="bottom"/>
            <w:tcBorders>
              <w:top w:val="single" w:sz="8" w:color="0000EE"/>
            </w:tcBorders>
            <w:gridSpan w:val="4"/>
          </w:tcPr>
          <w:p>
            <w:pPr>
              <w:spacing w:after="0" w:line="165" w:lineRule="exact"/>
              <w:rPr>
                <w:sz w:val="20"/>
                <w:szCs w:val="20"/>
                <w:color w:val="auto"/>
              </w:rPr>
            </w:pPr>
            <w:r>
              <w:rPr>
                <w:rFonts w:ascii="Arial" w:cs="Arial" w:eastAsia="Arial" w:hAnsi="Arial"/>
                <w:sz w:val="16"/>
                <w:szCs w:val="16"/>
                <w:color w:val="0000EE"/>
              </w:rPr>
              <w:t>Stockholder Engagement</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line="165" w:lineRule="exact"/>
              <w:rPr>
                <w:sz w:val="20"/>
                <w:szCs w:val="20"/>
                <w:color w:val="auto"/>
              </w:rPr>
            </w:pPr>
            <w:r>
              <w:rPr>
                <w:rFonts w:ascii="Arial" w:cs="Arial" w:eastAsia="Arial" w:hAnsi="Arial"/>
                <w:sz w:val="16"/>
                <w:szCs w:val="16"/>
                <w:color w:val="auto"/>
              </w:rPr>
              <w:t>35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tcBorders>
              <w:top w:val="single" w:sz="8" w:color="0000EE"/>
            </w:tcBorders>
            <w:gridSpan w:val="8"/>
          </w:tcPr>
          <w:p>
            <w:pPr>
              <w:spacing w:after="0" w:line="165" w:lineRule="exact"/>
              <w:rPr>
                <w:sz w:val="20"/>
                <w:szCs w:val="20"/>
                <w:color w:val="auto"/>
              </w:rPr>
            </w:pPr>
            <w:r>
              <w:rPr>
                <w:rFonts w:ascii="Arial" w:cs="Arial" w:eastAsia="Arial" w:hAnsi="Arial"/>
                <w:sz w:val="16"/>
                <w:szCs w:val="16"/>
                <w:color w:val="0000EE"/>
              </w:rPr>
              <w:t>Long-Term Incentives and 2025 Results</w:t>
            </w:r>
          </w:p>
        </w:tc>
        <w:tc>
          <w:tcPr>
            <w:tcW w:w="760" w:type="dxa"/>
            <w:vAlign w:val="bottom"/>
            <w:gridSpan w:val="2"/>
          </w:tcPr>
          <w:p>
            <w:pPr>
              <w:spacing w:after="0"/>
              <w:rPr>
                <w:sz w:val="14"/>
                <w:szCs w:val="14"/>
                <w:color w:val="auto"/>
              </w:rPr>
            </w:pPr>
          </w:p>
        </w:tc>
        <w:tc>
          <w:tcPr>
            <w:tcW w:w="840" w:type="dxa"/>
            <w:vAlign w:val="bottom"/>
          </w:tcPr>
          <w:p>
            <w:pPr>
              <w:jc w:val="right"/>
              <w:spacing w:after="0" w:line="165"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5"/>
        </w:trPr>
        <w:tc>
          <w:tcPr>
            <w:tcW w:w="1900" w:type="dxa"/>
            <w:vAlign w:val="bottom"/>
            <w:tcBorders>
              <w:top w:val="single" w:sz="8" w:color="0000EE"/>
              <w:bottom w:val="single" w:sz="8" w:color="0000EE"/>
            </w:tcBorders>
            <w:gridSpan w:val="2"/>
          </w:tcPr>
          <w:p>
            <w:pPr>
              <w:spacing w:after="0" w:line="165" w:lineRule="exact"/>
              <w:rPr>
                <w:sz w:val="20"/>
                <w:szCs w:val="20"/>
                <w:color w:val="auto"/>
              </w:rPr>
            </w:pPr>
            <w:r>
              <w:rPr>
                <w:rFonts w:ascii="Arial" w:cs="Arial" w:eastAsia="Arial" w:hAnsi="Arial"/>
                <w:sz w:val="16"/>
                <w:szCs w:val="16"/>
                <w:color w:val="0000EE"/>
              </w:rPr>
              <w:t>Compensation Program</w:t>
            </w:r>
          </w:p>
        </w:tc>
        <w:tc>
          <w:tcPr>
            <w:tcW w:w="1520" w:type="dxa"/>
            <w:vAlign w:val="bottom"/>
            <w:tcBorders>
              <w:bottom w:val="single" w:sz="8" w:color="0000EE"/>
            </w:tcBorders>
            <w:gridSpan w:val="3"/>
          </w:tcPr>
          <w:p>
            <w:pPr>
              <w:spacing w:after="0" w:line="165" w:lineRule="exact"/>
              <w:rPr>
                <w:sz w:val="20"/>
                <w:szCs w:val="20"/>
                <w:color w:val="auto"/>
              </w:rPr>
            </w:pPr>
            <w:r>
              <w:rPr>
                <w:rFonts w:ascii="Arial" w:cs="Arial" w:eastAsia="Arial" w:hAnsi="Arial"/>
                <w:sz w:val="16"/>
                <w:szCs w:val="16"/>
                <w:color w:val="0000EE"/>
                <w:w w:val="93"/>
              </w:rPr>
              <w:t>Governance Summary</w:t>
            </w:r>
          </w:p>
        </w:tc>
        <w:tc>
          <w:tcPr>
            <w:tcW w:w="700" w:type="dxa"/>
            <w:vAlign w:val="bottom"/>
            <w:gridSpan w:val="2"/>
          </w:tcPr>
          <w:p>
            <w:pPr>
              <w:spacing w:after="0"/>
              <w:rPr>
                <w:sz w:val="14"/>
                <w:szCs w:val="14"/>
                <w:color w:val="auto"/>
              </w:rPr>
            </w:pPr>
          </w:p>
        </w:tc>
        <w:tc>
          <w:tcPr>
            <w:tcW w:w="400" w:type="dxa"/>
            <w:vAlign w:val="bottom"/>
          </w:tcPr>
          <w:p>
            <w:pPr>
              <w:jc w:val="right"/>
              <w:spacing w:after="0" w:line="165" w:lineRule="exact"/>
              <w:rPr>
                <w:sz w:val="20"/>
                <w:szCs w:val="20"/>
                <w:color w:val="auto"/>
              </w:rPr>
            </w:pPr>
            <w:r>
              <w:rPr>
                <w:rFonts w:ascii="Arial" w:cs="Arial" w:eastAsia="Arial" w:hAnsi="Arial"/>
                <w:sz w:val="16"/>
                <w:szCs w:val="16"/>
                <w:color w:val="auto"/>
              </w:rPr>
              <w:t>36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0000EE"/>
              <w:bottom w:val="single" w:sz="8" w:color="0000EE"/>
            </w:tcBorders>
          </w:tcPr>
          <w:p>
            <w:pPr>
              <w:spacing w:after="0" w:line="165" w:lineRule="exact"/>
              <w:rPr>
                <w:sz w:val="20"/>
                <w:szCs w:val="20"/>
                <w:color w:val="auto"/>
              </w:rPr>
            </w:pPr>
            <w:r>
              <w:rPr>
                <w:rFonts w:ascii="Arial" w:cs="Arial" w:eastAsia="Arial" w:hAnsi="Arial"/>
                <w:sz w:val="16"/>
                <w:szCs w:val="16"/>
                <w:color w:val="0000EE"/>
                <w:w w:val="96"/>
              </w:rPr>
              <w:t>Benefits</w:t>
            </w:r>
          </w:p>
        </w:tc>
        <w:tc>
          <w:tcPr>
            <w:tcW w:w="880" w:type="dxa"/>
            <w:vAlign w:val="bottom"/>
            <w:tcBorders>
              <w:top w:val="single" w:sz="8" w:color="0000EE"/>
            </w:tcBorders>
            <w:gridSpan w:val="2"/>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spacing w:after="0" w:line="165"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65"/>
        </w:trPr>
        <w:tc>
          <w:tcPr>
            <w:tcW w:w="3420" w:type="dxa"/>
            <w:vAlign w:val="bottom"/>
            <w:gridSpan w:val="5"/>
          </w:tcPr>
          <w:p>
            <w:pPr>
              <w:spacing w:after="0" w:line="165" w:lineRule="exact"/>
              <w:rPr>
                <w:sz w:val="20"/>
                <w:szCs w:val="20"/>
                <w:color w:val="auto"/>
              </w:rPr>
            </w:pPr>
            <w:r>
              <w:rPr>
                <w:rFonts w:ascii="Arial" w:cs="Arial" w:eastAsia="Arial" w:hAnsi="Arial"/>
                <w:sz w:val="16"/>
                <w:szCs w:val="16"/>
                <w:color w:val="0000EE"/>
              </w:rPr>
              <w:t>Components of our Executive Compensation</w:t>
            </w:r>
          </w:p>
        </w:tc>
        <w:tc>
          <w:tcPr>
            <w:tcW w:w="700" w:type="dxa"/>
            <w:vAlign w:val="bottom"/>
            <w:gridSpan w:val="2"/>
          </w:tcPr>
          <w:p>
            <w:pPr>
              <w:spacing w:after="0" w:line="165" w:lineRule="exact"/>
              <w:rPr>
                <w:sz w:val="20"/>
                <w:szCs w:val="20"/>
                <w:color w:val="auto"/>
              </w:rPr>
            </w:pPr>
            <w:r>
              <w:rPr>
                <w:rFonts w:ascii="Arial" w:cs="Arial" w:eastAsia="Arial" w:hAnsi="Arial"/>
                <w:sz w:val="16"/>
                <w:szCs w:val="16"/>
                <w:color w:val="0000EE"/>
              </w:rPr>
              <w:t>Program</w:t>
            </w:r>
          </w:p>
        </w:tc>
        <w:tc>
          <w:tcPr>
            <w:tcW w:w="400" w:type="dxa"/>
            <w:vAlign w:val="bottom"/>
          </w:tcPr>
          <w:p>
            <w:pPr>
              <w:jc w:val="right"/>
              <w:spacing w:after="0" w:line="165" w:lineRule="exact"/>
              <w:rPr>
                <w:sz w:val="20"/>
                <w:szCs w:val="20"/>
                <w:color w:val="auto"/>
              </w:rPr>
            </w:pPr>
            <w:r>
              <w:rPr>
                <w:rFonts w:ascii="Arial" w:cs="Arial" w:eastAsia="Arial" w:hAnsi="Arial"/>
                <w:sz w:val="16"/>
                <w:szCs w:val="16"/>
                <w:color w:val="auto"/>
              </w:rPr>
              <w:t>37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gridSpan w:val="10"/>
          </w:tcPr>
          <w:p>
            <w:pPr>
              <w:spacing w:after="0" w:line="165" w:lineRule="exact"/>
              <w:rPr>
                <w:sz w:val="20"/>
                <w:szCs w:val="20"/>
                <w:color w:val="auto"/>
              </w:rPr>
            </w:pPr>
            <w:r>
              <w:rPr>
                <w:rFonts w:ascii="Arial" w:cs="Arial" w:eastAsia="Arial" w:hAnsi="Arial"/>
                <w:sz w:val="16"/>
                <w:szCs w:val="16"/>
                <w:color w:val="0000EE"/>
              </w:rPr>
              <w:t>Employment Agreements</w:t>
            </w:r>
          </w:p>
        </w:tc>
        <w:tc>
          <w:tcPr>
            <w:tcW w:w="840" w:type="dxa"/>
            <w:vAlign w:val="bottom"/>
          </w:tcPr>
          <w:p>
            <w:pPr>
              <w:jc w:val="right"/>
              <w:spacing w:after="0" w:line="165"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8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3660" w:type="dxa"/>
            <w:vAlign w:val="bottom"/>
            <w:gridSpan w:val="10"/>
          </w:tcPr>
          <w:p>
            <w:pPr>
              <w:spacing w:after="0" w:line="165" w:lineRule="exact"/>
              <w:rPr>
                <w:sz w:val="20"/>
                <w:szCs w:val="20"/>
                <w:color w:val="auto"/>
              </w:rPr>
            </w:pPr>
            <w:r>
              <w:rPr>
                <w:rFonts w:ascii="Arial" w:cs="Arial" w:eastAsia="Arial" w:hAnsi="Arial"/>
                <w:sz w:val="16"/>
                <w:szCs w:val="16"/>
                <w:color w:val="0000EE"/>
              </w:rPr>
              <w:t>Change in Control Agreements</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Borders>
              <w:top w:val="single" w:sz="8" w:color="0000EE"/>
              <w:bottom w:val="single" w:sz="8" w:color="0000EE"/>
            </w:tcBorders>
            <w:gridSpan w:val="5"/>
          </w:tcPr>
          <w:p>
            <w:pPr>
              <w:spacing w:after="0" w:line="165" w:lineRule="exact"/>
              <w:rPr>
                <w:sz w:val="20"/>
                <w:szCs w:val="20"/>
                <w:color w:val="auto"/>
              </w:rPr>
            </w:pPr>
            <w:r>
              <w:rPr>
                <w:rFonts w:ascii="Arial" w:cs="Arial" w:eastAsia="Arial" w:hAnsi="Arial"/>
                <w:sz w:val="16"/>
                <w:szCs w:val="16"/>
                <w:color w:val="0000EE"/>
              </w:rPr>
              <w:t>Excise Tax Gross-Ups</w:t>
            </w:r>
          </w:p>
        </w:tc>
        <w:tc>
          <w:tcPr>
            <w:tcW w:w="640" w:type="dxa"/>
            <w:vAlign w:val="bottom"/>
            <w:tcBorders>
              <w:top w:val="single" w:sz="8" w:color="0000EE"/>
            </w:tcBorders>
            <w:gridSpan w:val="2"/>
          </w:tcPr>
          <w:p>
            <w:pPr>
              <w:spacing w:after="0"/>
              <w:rPr>
                <w:sz w:val="14"/>
                <w:szCs w:val="14"/>
                <w:color w:val="auto"/>
              </w:rPr>
            </w:pPr>
          </w:p>
        </w:tc>
        <w:tc>
          <w:tcPr>
            <w:tcW w:w="1420" w:type="dxa"/>
            <w:vAlign w:val="bottom"/>
            <w:gridSpan w:val="4"/>
          </w:tcPr>
          <w:p>
            <w:pPr>
              <w:spacing w:after="0"/>
              <w:rPr>
                <w:sz w:val="14"/>
                <w:szCs w:val="14"/>
                <w:color w:val="auto"/>
              </w:rPr>
            </w:pPr>
          </w:p>
        </w:tc>
        <w:tc>
          <w:tcPr>
            <w:tcW w:w="840" w:type="dxa"/>
            <w:vAlign w:val="bottom"/>
          </w:tcPr>
          <w:p>
            <w:pPr>
              <w:jc w:val="right"/>
              <w:spacing w:after="0" w:line="165"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gridSpan w:val="7"/>
          </w:tcPr>
          <w:p>
            <w:pPr>
              <w:spacing w:after="0"/>
              <w:rPr>
                <w:sz w:val="20"/>
                <w:szCs w:val="20"/>
                <w:color w:val="auto"/>
              </w:rPr>
            </w:pPr>
            <w:r>
              <w:rPr>
                <w:rFonts w:ascii="Arial" w:cs="Arial" w:eastAsia="Arial" w:hAnsi="Arial"/>
                <w:sz w:val="18"/>
                <w:szCs w:val="18"/>
                <w:b w:val="1"/>
                <w:bCs w:val="1"/>
                <w:color w:val="0000EE"/>
              </w:rPr>
              <w:t>EXECUTIVE COMPENSATION PROCESS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071D49"/>
              </w:rPr>
              <w:t>37</w:t>
            </w:r>
          </w:p>
        </w:tc>
        <w:tc>
          <w:tcPr>
            <w:tcW w:w="220" w:type="dxa"/>
            <w:vAlign w:val="bottom"/>
          </w:tcPr>
          <w:p>
            <w:pPr>
              <w:spacing w:after="0"/>
              <w:rPr>
                <w:sz w:val="17"/>
                <w:szCs w:val="17"/>
                <w:color w:val="auto"/>
              </w:rPr>
            </w:pPr>
          </w:p>
        </w:tc>
        <w:tc>
          <w:tcPr>
            <w:tcW w:w="3600" w:type="dxa"/>
            <w:vAlign w:val="bottom"/>
            <w:gridSpan w:val="7"/>
          </w:tcPr>
          <w:p>
            <w:pPr>
              <w:spacing w:after="0"/>
              <w:rPr>
                <w:sz w:val="20"/>
                <w:szCs w:val="20"/>
                <w:color w:val="auto"/>
              </w:rPr>
            </w:pPr>
            <w:r>
              <w:rPr>
                <w:rFonts w:ascii="Arial" w:cs="Arial" w:eastAsia="Arial" w:hAnsi="Arial"/>
                <w:sz w:val="18"/>
                <w:szCs w:val="18"/>
                <w:b w:val="1"/>
                <w:bCs w:val="1"/>
                <w:color w:val="0000EE"/>
              </w:rPr>
              <w:t>OTHER MATTERS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071D49"/>
              </w:rPr>
              <w:t>47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bottom w:val="single" w:sz="8" w:color="071D49"/>
            </w:tcBorders>
          </w:tcPr>
          <w:p>
            <w:pPr>
              <w:spacing w:after="0" w:line="20" w:lineRule="exact"/>
              <w:rPr>
                <w:sz w:val="1"/>
                <w:szCs w:val="1"/>
                <w:color w:val="auto"/>
              </w:rPr>
            </w:pPr>
          </w:p>
        </w:tc>
        <w:tc>
          <w:tcPr>
            <w:tcW w:w="580" w:type="dxa"/>
            <w:vAlign w:val="bottom"/>
            <w:tcBorders>
              <w:top w:val="single" w:sz="8" w:color="0000EE"/>
              <w:bottom w:val="single" w:sz="8" w:color="071D49"/>
            </w:tcBorders>
          </w:tcPr>
          <w:p>
            <w:pPr>
              <w:spacing w:after="0" w:line="20" w:lineRule="exact"/>
              <w:rPr>
                <w:sz w:val="1"/>
                <w:szCs w:val="1"/>
                <w:color w:val="auto"/>
              </w:rPr>
            </w:pPr>
          </w:p>
        </w:tc>
        <w:tc>
          <w:tcPr>
            <w:tcW w:w="480" w:type="dxa"/>
            <w:vAlign w:val="bottom"/>
            <w:tcBorders>
              <w:top w:val="single" w:sz="8" w:color="0000EE"/>
              <w:bottom w:val="single" w:sz="8" w:color="071D49"/>
            </w:tcBorders>
          </w:tcPr>
          <w:p>
            <w:pPr>
              <w:spacing w:after="0" w:line="20" w:lineRule="exact"/>
              <w:rPr>
                <w:sz w:val="1"/>
                <w:szCs w:val="1"/>
                <w:color w:val="auto"/>
              </w:rPr>
            </w:pPr>
          </w:p>
        </w:tc>
        <w:tc>
          <w:tcPr>
            <w:tcW w:w="260" w:type="dxa"/>
            <w:vAlign w:val="bottom"/>
            <w:tcBorders>
              <w:top w:val="single" w:sz="8" w:color="0000EE"/>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300" w:type="dxa"/>
            <w:vAlign w:val="bottom"/>
            <w:tcBorders>
              <w:bottom w:val="single" w:sz="8" w:color="071D49"/>
            </w:tcBorders>
          </w:tcPr>
          <w:p>
            <w:pPr>
              <w:spacing w:after="0" w:line="20" w:lineRule="exact"/>
              <w:rPr>
                <w:sz w:val="1"/>
                <w:szCs w:val="1"/>
                <w:color w:val="auto"/>
              </w:rPr>
            </w:pPr>
          </w:p>
        </w:tc>
        <w:tc>
          <w:tcPr>
            <w:tcW w:w="500" w:type="dxa"/>
            <w:vAlign w:val="bottom"/>
            <w:tcBorders>
              <w:bottom w:val="single" w:sz="8" w:color="071D49"/>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180" w:type="dxa"/>
            <w:vAlign w:val="bottom"/>
            <w:tcBorders>
              <w:top w:val="single" w:sz="8" w:color="0000EE"/>
              <w:bottom w:val="single" w:sz="8" w:color="071D49"/>
            </w:tcBorders>
          </w:tcPr>
          <w:p>
            <w:pPr>
              <w:spacing w:after="0" w:line="20" w:lineRule="exact"/>
              <w:rPr>
                <w:sz w:val="1"/>
                <w:szCs w:val="1"/>
                <w:color w:val="auto"/>
              </w:rPr>
            </w:pPr>
          </w:p>
        </w:tc>
        <w:tc>
          <w:tcPr>
            <w:tcW w:w="340" w:type="dxa"/>
            <w:vAlign w:val="bottom"/>
            <w:tcBorders>
              <w:top w:val="single" w:sz="8" w:color="0000EE"/>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480" w:type="dxa"/>
            <w:vAlign w:val="bottom"/>
            <w:tcBorders>
              <w:bottom w:val="single" w:sz="8" w:color="071D49"/>
            </w:tcBorders>
          </w:tcPr>
          <w:p>
            <w:pPr>
              <w:spacing w:after="0" w:line="20" w:lineRule="exact"/>
              <w:rPr>
                <w:sz w:val="1"/>
                <w:szCs w:val="1"/>
                <w:color w:val="auto"/>
              </w:rPr>
            </w:pPr>
          </w:p>
        </w:tc>
        <w:tc>
          <w:tcPr>
            <w:tcW w:w="840" w:type="dxa"/>
            <w:vAlign w:val="bottom"/>
            <w:tcBorders>
              <w:bottom w:val="single" w:sz="8" w:color="071D49"/>
            </w:tcBorders>
          </w:tcPr>
          <w:p>
            <w:pPr>
              <w:spacing w:after="0" w:line="20" w:lineRule="exact"/>
              <w:rPr>
                <w:sz w:val="1"/>
                <w:szCs w:val="1"/>
                <w:color w:val="auto"/>
              </w:rPr>
            </w:pPr>
          </w:p>
        </w:tc>
        <w:tc>
          <w:tcPr>
            <w:tcW w:w="700" w:type="dxa"/>
            <w:vAlign w:val="bottom"/>
            <w:tcBorders>
              <w:bottom w:val="single" w:sz="8" w:color="071D49"/>
            </w:tcBorders>
          </w:tcPr>
          <w:p>
            <w:pPr>
              <w:spacing w:after="0" w:line="20" w:lineRule="exact"/>
              <w:rPr>
                <w:sz w:val="1"/>
                <w:szCs w:val="1"/>
                <w:color w:val="auto"/>
              </w:rPr>
            </w:pPr>
          </w:p>
        </w:tc>
        <w:tc>
          <w:tcPr>
            <w:tcW w:w="92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3"/>
          </w:tcPr>
          <w:p>
            <w:pPr>
              <w:spacing w:after="0" w:line="149" w:lineRule="exact"/>
              <w:rPr>
                <w:sz w:val="20"/>
                <w:szCs w:val="20"/>
                <w:color w:val="auto"/>
              </w:rPr>
            </w:pPr>
            <w:r>
              <w:rPr>
                <w:rFonts w:ascii="Arial" w:cs="Arial" w:eastAsia="Arial" w:hAnsi="Arial"/>
                <w:sz w:val="16"/>
                <w:szCs w:val="16"/>
                <w:color w:val="0000EE"/>
              </w:rPr>
              <w:t>Commitment to Performance-Based Awards</w:t>
            </w:r>
          </w:p>
        </w:tc>
        <w:tc>
          <w:tcPr>
            <w:tcW w:w="820" w:type="dxa"/>
            <w:vAlign w:val="bottom"/>
            <w:gridSpan w:val="3"/>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6"/>
                <w:szCs w:val="16"/>
                <w:color w:val="auto"/>
              </w:rPr>
              <w:t>37</w:t>
            </w:r>
          </w:p>
        </w:tc>
        <w:tc>
          <w:tcPr>
            <w:tcW w:w="220" w:type="dxa"/>
            <w:vAlign w:val="bottom"/>
          </w:tcPr>
          <w:p>
            <w:pPr>
              <w:spacing w:after="0"/>
              <w:rPr>
                <w:sz w:val="12"/>
                <w:szCs w:val="12"/>
                <w:color w:val="auto"/>
              </w:rPr>
            </w:pPr>
          </w:p>
        </w:tc>
        <w:tc>
          <w:tcPr>
            <w:tcW w:w="3600" w:type="dxa"/>
            <w:vAlign w:val="bottom"/>
            <w:gridSpan w:val="7"/>
          </w:tcPr>
          <w:p>
            <w:pPr>
              <w:spacing w:after="0" w:line="149" w:lineRule="exact"/>
              <w:rPr>
                <w:sz w:val="20"/>
                <w:szCs w:val="20"/>
                <w:color w:val="auto"/>
              </w:rPr>
            </w:pPr>
            <w:r>
              <w:rPr>
                <w:rFonts w:ascii="Arial" w:cs="Arial" w:eastAsia="Arial" w:hAnsi="Arial"/>
                <w:sz w:val="16"/>
                <w:szCs w:val="16"/>
                <w:color w:val="0000EE"/>
              </w:rPr>
              <w:t>Stock Ownership Guidelines</w:t>
            </w:r>
          </w:p>
        </w:tc>
        <w:tc>
          <w:tcPr>
            <w:tcW w:w="920" w:type="dxa"/>
            <w:vAlign w:val="bottom"/>
          </w:tcPr>
          <w:p>
            <w:pPr>
              <w:jc w:val="right"/>
              <w:spacing w:after="0" w:line="149"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line="20" w:lineRule="exact"/>
              <w:rPr>
                <w:sz w:val="1"/>
                <w:szCs w:val="1"/>
                <w:color w:val="auto"/>
              </w:rPr>
            </w:pPr>
          </w:p>
        </w:tc>
      </w:tr>
      <w:tr>
        <w:trPr>
          <w:trHeight w:val="165"/>
        </w:trPr>
        <w:tc>
          <w:tcPr>
            <w:tcW w:w="3720" w:type="dxa"/>
            <w:vAlign w:val="bottom"/>
            <w:tcBorders>
              <w:bottom w:val="single" w:sz="8" w:color="0000EE"/>
            </w:tcBorders>
            <w:gridSpan w:val="6"/>
          </w:tcPr>
          <w:p>
            <w:pPr>
              <w:spacing w:after="0" w:line="165" w:lineRule="exact"/>
              <w:rPr>
                <w:sz w:val="20"/>
                <w:szCs w:val="20"/>
                <w:color w:val="auto"/>
              </w:rPr>
            </w:pPr>
            <w:r>
              <w:rPr>
                <w:rFonts w:ascii="Arial" w:cs="Arial" w:eastAsia="Arial" w:hAnsi="Arial"/>
                <w:sz w:val="16"/>
                <w:szCs w:val="16"/>
                <w:color w:val="0000EE"/>
              </w:rPr>
              <w:t>Committee Process for Setting Total Compensation</w:t>
            </w: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180" w:type="dxa"/>
            <w:vAlign w:val="bottom"/>
            <w:tcBorders>
              <w:bottom w:val="single" w:sz="8" w:color="0000EE"/>
            </w:tcBorders>
          </w:tcPr>
          <w:p>
            <w:pPr>
              <w:spacing w:after="0" w:line="165" w:lineRule="exact"/>
              <w:rPr>
                <w:sz w:val="20"/>
                <w:szCs w:val="20"/>
                <w:color w:val="auto"/>
              </w:rPr>
            </w:pPr>
            <w:r>
              <w:rPr>
                <w:rFonts w:ascii="Arial" w:cs="Arial" w:eastAsia="Arial" w:hAnsi="Arial"/>
                <w:sz w:val="16"/>
                <w:szCs w:val="16"/>
                <w:color w:val="0000EE"/>
                <w:w w:val="99"/>
              </w:rPr>
              <w:t>Clawback Policy</w:t>
            </w:r>
          </w:p>
        </w:tc>
        <w:tc>
          <w:tcPr>
            <w:tcW w:w="860" w:type="dxa"/>
            <w:vAlign w:val="bottom"/>
            <w:gridSpan w:val="3"/>
          </w:tcPr>
          <w:p>
            <w:pPr>
              <w:spacing w:after="0"/>
              <w:rPr>
                <w:sz w:val="14"/>
                <w:szCs w:val="14"/>
                <w:color w:val="auto"/>
              </w:rPr>
            </w:pPr>
          </w:p>
        </w:tc>
        <w:tc>
          <w:tcPr>
            <w:tcW w:w="8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720" w:type="dxa"/>
            <w:vAlign w:val="bottom"/>
            <w:gridSpan w:val="6"/>
          </w:tcPr>
          <w:p>
            <w:pPr>
              <w:spacing w:after="0" w:line="165" w:lineRule="exact"/>
              <w:rPr>
                <w:sz w:val="20"/>
                <w:szCs w:val="20"/>
                <w:color w:val="auto"/>
              </w:rPr>
            </w:pPr>
            <w:r>
              <w:rPr>
                <w:rFonts w:ascii="Arial" w:cs="Arial" w:eastAsia="Arial" w:hAnsi="Arial"/>
                <w:sz w:val="16"/>
                <w:szCs w:val="16"/>
                <w:color w:val="0000EE"/>
              </w:rPr>
              <w:t>Compensation Benchmarking</w:t>
            </w:r>
          </w:p>
        </w:tc>
        <w:tc>
          <w:tcPr>
            <w:tcW w:w="300" w:type="dxa"/>
            <w:vAlign w:val="bottom"/>
          </w:tcPr>
          <w:p>
            <w:pPr>
              <w:spacing w:after="0"/>
              <w:rPr>
                <w:sz w:val="14"/>
                <w:szCs w:val="14"/>
                <w:color w:val="auto"/>
              </w:rPr>
            </w:pPr>
          </w:p>
        </w:tc>
        <w:tc>
          <w:tcPr>
            <w:tcW w:w="500" w:type="dxa"/>
            <w:vAlign w:val="bottom"/>
          </w:tcPr>
          <w:p>
            <w:pPr>
              <w:jc w:val="right"/>
              <w:spacing w:after="0" w:line="165" w:lineRule="exact"/>
              <w:rPr>
                <w:sz w:val="20"/>
                <w:szCs w:val="20"/>
                <w:color w:val="auto"/>
              </w:rPr>
            </w:pPr>
            <w:r>
              <w:rPr>
                <w:rFonts w:ascii="Arial" w:cs="Arial" w:eastAsia="Arial" w:hAnsi="Arial"/>
                <w:sz w:val="16"/>
                <w:szCs w:val="16"/>
                <w:color w:val="auto"/>
              </w:rPr>
              <w:t>38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gridSpan w:val="6"/>
          </w:tcPr>
          <w:p>
            <w:pPr>
              <w:spacing w:after="0" w:line="165" w:lineRule="exact"/>
              <w:rPr>
                <w:sz w:val="20"/>
                <w:szCs w:val="20"/>
                <w:color w:val="auto"/>
              </w:rPr>
            </w:pPr>
            <w:r>
              <w:rPr>
                <w:rFonts w:ascii="Arial" w:cs="Arial" w:eastAsia="Arial" w:hAnsi="Arial"/>
                <w:sz w:val="16"/>
                <w:szCs w:val="16"/>
                <w:color w:val="0000EE"/>
              </w:rPr>
              <w:t>Anti-Hedging and Anti-Pledging Policies</w:t>
            </w:r>
          </w:p>
        </w:tc>
        <w:tc>
          <w:tcPr>
            <w:tcW w:w="920" w:type="dxa"/>
            <w:vAlign w:val="bottom"/>
          </w:tcPr>
          <w:p>
            <w:pPr>
              <w:jc w:val="right"/>
              <w:spacing w:after="0" w:line="165"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line="20" w:lineRule="exact"/>
              <w:rPr>
                <w:sz w:val="1"/>
                <w:szCs w:val="1"/>
                <w:color w:val="auto"/>
              </w:rPr>
            </w:pPr>
          </w:p>
        </w:tc>
      </w:tr>
      <w:tr>
        <w:trPr>
          <w:trHeight w:val="165"/>
        </w:trPr>
        <w:tc>
          <w:tcPr>
            <w:tcW w:w="4020" w:type="dxa"/>
            <w:vAlign w:val="bottom"/>
            <w:gridSpan w:val="7"/>
          </w:tcPr>
          <w:p>
            <w:pPr>
              <w:spacing w:after="0" w:line="165" w:lineRule="exact"/>
              <w:rPr>
                <w:sz w:val="20"/>
                <w:szCs w:val="20"/>
                <w:color w:val="auto"/>
              </w:rPr>
            </w:pPr>
            <w:r>
              <w:rPr>
                <w:rFonts w:ascii="Arial" w:cs="Arial" w:eastAsia="Arial" w:hAnsi="Arial"/>
                <w:sz w:val="16"/>
                <w:szCs w:val="16"/>
                <w:color w:val="0000EE"/>
              </w:rPr>
              <w:t>Role of the Compensation Consultant</w:t>
            </w: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2880" w:type="dxa"/>
            <w:vAlign w:val="bottom"/>
            <w:gridSpan w:val="5"/>
          </w:tcPr>
          <w:p>
            <w:pPr>
              <w:spacing w:after="0" w:line="165" w:lineRule="exact"/>
              <w:rPr>
                <w:sz w:val="20"/>
                <w:szCs w:val="20"/>
                <w:color w:val="auto"/>
              </w:rPr>
            </w:pPr>
            <w:r>
              <w:rPr>
                <w:rFonts w:ascii="Arial" w:cs="Arial" w:eastAsia="Arial" w:hAnsi="Arial"/>
                <w:sz w:val="16"/>
                <w:szCs w:val="16"/>
                <w:color w:val="0000EE"/>
              </w:rPr>
              <w:t>Insider Trading Policy</w:t>
            </w:r>
          </w:p>
        </w:tc>
        <w:tc>
          <w:tcPr>
            <w:tcW w:w="7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720" w:type="dxa"/>
            <w:vAlign w:val="bottom"/>
            <w:tcBorders>
              <w:top w:val="single" w:sz="8" w:color="0000EE"/>
            </w:tcBorders>
            <w:gridSpan w:val="3"/>
          </w:tcPr>
          <w:p>
            <w:pPr>
              <w:spacing w:after="0" w:line="165" w:lineRule="exact"/>
              <w:rPr>
                <w:sz w:val="20"/>
                <w:szCs w:val="20"/>
                <w:color w:val="auto"/>
              </w:rPr>
            </w:pPr>
            <w:r>
              <w:rPr>
                <w:rFonts w:ascii="Arial" w:cs="Arial" w:eastAsia="Arial" w:hAnsi="Arial"/>
                <w:sz w:val="16"/>
                <w:szCs w:val="16"/>
                <w:color w:val="0000EE"/>
              </w:rPr>
              <w:t>Compensation Risk Oversight</w:t>
            </w:r>
          </w:p>
        </w:tc>
        <w:tc>
          <w:tcPr>
            <w:tcW w:w="1300" w:type="dxa"/>
            <w:vAlign w:val="bottom"/>
            <w:gridSpan w:val="4"/>
          </w:tcPr>
          <w:p>
            <w:pPr>
              <w:spacing w:after="0"/>
              <w:rPr>
                <w:sz w:val="14"/>
                <w:szCs w:val="14"/>
                <w:color w:val="auto"/>
              </w:rPr>
            </w:pPr>
          </w:p>
        </w:tc>
        <w:tc>
          <w:tcPr>
            <w:tcW w:w="500" w:type="dxa"/>
            <w:vAlign w:val="bottom"/>
          </w:tcPr>
          <w:p>
            <w:pPr>
              <w:jc w:val="right"/>
              <w:spacing w:after="0" w:line="165" w:lineRule="exact"/>
              <w:rPr>
                <w:sz w:val="20"/>
                <w:szCs w:val="20"/>
                <w:color w:val="auto"/>
              </w:rPr>
            </w:pPr>
            <w:r>
              <w:rPr>
                <w:rFonts w:ascii="Arial" w:cs="Arial" w:eastAsia="Arial" w:hAnsi="Arial"/>
                <w:sz w:val="16"/>
                <w:szCs w:val="16"/>
                <w:color w:val="auto"/>
              </w:rPr>
              <w:t>39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797560" cy="148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34" w:name="page35"/>
    <w:bookmarkEnd w:id="3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808080"/>
        </w:rPr>
        <w:t>EXECUTIVE COMPENSATION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71D49"/>
        </w:rPr>
        <w:t>Executive Summary</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COMPENSATION PHILOSOPHY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believe that a well-designed compensation program should:</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580" w:type="dxa"/>
            <w:vAlign w:val="bottom"/>
            <w:tcBorders>
              <w:top w:val="single" w:sz="8" w:color="071D49"/>
              <w:left w:val="single" w:sz="8" w:color="071D49"/>
            </w:tcBorders>
            <w:vMerge w:val="restart"/>
          </w:tcPr>
          <w:p>
            <w:pPr>
              <w:jc w:val="right"/>
              <w:spacing w:after="0"/>
              <w:rPr>
                <w:sz w:val="20"/>
                <w:szCs w:val="20"/>
                <w:color w:val="auto"/>
              </w:rPr>
            </w:pPr>
            <w:r>
              <w:rPr>
                <w:rFonts w:ascii="Arial" w:cs="Arial" w:eastAsia="Arial" w:hAnsi="Arial"/>
                <w:sz w:val="59"/>
                <w:szCs w:val="59"/>
                <w:b w:val="1"/>
                <w:bCs w:val="1"/>
                <w:color w:val="071D49"/>
              </w:rPr>
              <w:t>1</w:t>
            </w:r>
          </w:p>
        </w:tc>
        <w:tc>
          <w:tcPr>
            <w:tcW w:w="2240" w:type="dxa"/>
            <w:vAlign w:val="bottom"/>
            <w:tcBorders>
              <w:top w:val="single" w:sz="8" w:color="071D49"/>
            </w:tcBorders>
          </w:tcPr>
          <w:p>
            <w:pPr>
              <w:ind w:left="160"/>
              <w:spacing w:after="0"/>
              <w:rPr>
                <w:sz w:val="20"/>
                <w:szCs w:val="20"/>
                <w:color w:val="auto"/>
              </w:rPr>
            </w:pPr>
            <w:r>
              <w:rPr>
                <w:rFonts w:ascii="Arial" w:cs="Arial" w:eastAsia="Arial" w:hAnsi="Arial"/>
                <w:sz w:val="16"/>
                <w:szCs w:val="16"/>
                <w:b w:val="1"/>
                <w:bCs w:val="1"/>
                <w:color w:val="auto"/>
              </w:rPr>
              <w:t>Align executive interests</w:t>
            </w:r>
          </w:p>
        </w:tc>
        <w:tc>
          <w:tcPr>
            <w:tcW w:w="320" w:type="dxa"/>
            <w:vAlign w:val="bottom"/>
            <w:tcBorders>
              <w:right w:val="single" w:sz="8" w:color="071D49"/>
            </w:tcBorders>
          </w:tcPr>
          <w:p>
            <w:pPr>
              <w:spacing w:after="0"/>
              <w:rPr>
                <w:sz w:val="24"/>
                <w:szCs w:val="24"/>
                <w:color w:val="auto"/>
              </w:rPr>
            </w:pPr>
          </w:p>
        </w:tc>
        <w:tc>
          <w:tcPr>
            <w:tcW w:w="680" w:type="dxa"/>
            <w:vAlign w:val="bottom"/>
            <w:tcBorders>
              <w:top w:val="single" w:sz="8" w:color="071D49"/>
            </w:tcBorders>
            <w:vMerge w:val="restart"/>
          </w:tcPr>
          <w:p>
            <w:pPr>
              <w:jc w:val="right"/>
              <w:spacing w:after="0"/>
              <w:rPr>
                <w:sz w:val="20"/>
                <w:szCs w:val="20"/>
                <w:color w:val="auto"/>
              </w:rPr>
            </w:pPr>
            <w:r>
              <w:rPr>
                <w:rFonts w:ascii="Arial" w:cs="Arial" w:eastAsia="Arial" w:hAnsi="Arial"/>
                <w:sz w:val="59"/>
                <w:szCs w:val="59"/>
                <w:b w:val="1"/>
                <w:bCs w:val="1"/>
                <w:color w:val="071D49"/>
              </w:rPr>
              <w:t>2</w:t>
            </w:r>
          </w:p>
        </w:tc>
        <w:tc>
          <w:tcPr>
            <w:tcW w:w="2240" w:type="dxa"/>
            <w:vAlign w:val="bottom"/>
            <w:tcBorders>
              <w:top w:val="single" w:sz="8" w:color="071D49"/>
            </w:tcBorders>
          </w:tcPr>
          <w:p>
            <w:pPr>
              <w:ind w:left="160"/>
              <w:spacing w:after="0"/>
              <w:rPr>
                <w:sz w:val="20"/>
                <w:szCs w:val="20"/>
                <w:color w:val="auto"/>
              </w:rPr>
            </w:pPr>
            <w:r>
              <w:rPr>
                <w:rFonts w:ascii="Arial" w:cs="Arial" w:eastAsia="Arial" w:hAnsi="Arial"/>
                <w:sz w:val="16"/>
                <w:szCs w:val="16"/>
                <w:color w:val="auto"/>
              </w:rPr>
              <w:t>Support achievement of the</w:t>
            </w:r>
          </w:p>
        </w:tc>
        <w:tc>
          <w:tcPr>
            <w:tcW w:w="0" w:type="dxa"/>
            <w:vAlign w:val="bottom"/>
          </w:tcPr>
          <w:p>
            <w:pPr>
              <w:spacing w:after="0"/>
              <w:rPr>
                <w:sz w:val="1"/>
                <w:szCs w:val="1"/>
                <w:color w:val="auto"/>
              </w:rPr>
            </w:pPr>
          </w:p>
        </w:tc>
      </w:tr>
      <w:tr>
        <w:trPr>
          <w:trHeight w:val="185"/>
        </w:trPr>
        <w:tc>
          <w:tcPr>
            <w:tcW w:w="580" w:type="dxa"/>
            <w:vAlign w:val="bottom"/>
            <w:tcBorders>
              <w:left w:val="single" w:sz="8" w:color="071D49"/>
            </w:tcBorders>
            <w:vMerge w:val="continue"/>
          </w:tcPr>
          <w:p>
            <w:pPr>
              <w:spacing w:after="0"/>
              <w:rPr>
                <w:sz w:val="16"/>
                <w:szCs w:val="16"/>
                <w:color w:val="auto"/>
              </w:rPr>
            </w:pPr>
          </w:p>
        </w:tc>
        <w:tc>
          <w:tcPr>
            <w:tcW w:w="2560" w:type="dxa"/>
            <w:vAlign w:val="bottom"/>
            <w:tcBorders>
              <w:right w:val="single" w:sz="8" w:color="071D49"/>
            </w:tcBorders>
            <w:gridSpan w:val="2"/>
          </w:tcPr>
          <w:p>
            <w:pPr>
              <w:ind w:left="160"/>
              <w:spacing w:after="0"/>
              <w:rPr>
                <w:sz w:val="20"/>
                <w:szCs w:val="20"/>
                <w:color w:val="auto"/>
              </w:rPr>
            </w:pPr>
            <w:r>
              <w:rPr>
                <w:rFonts w:ascii="Arial" w:cs="Arial" w:eastAsia="Arial" w:hAnsi="Arial"/>
                <w:sz w:val="16"/>
                <w:szCs w:val="16"/>
                <w:color w:val="auto"/>
              </w:rPr>
              <w:t>with the drivers of</w:t>
            </w:r>
          </w:p>
        </w:tc>
        <w:tc>
          <w:tcPr>
            <w:tcW w:w="680" w:type="dxa"/>
            <w:vAlign w:val="bottom"/>
            <w:vMerge w:val="continue"/>
          </w:tcPr>
          <w:p>
            <w:pPr>
              <w:spacing w:after="0"/>
              <w:rPr>
                <w:sz w:val="16"/>
                <w:szCs w:val="16"/>
                <w:color w:val="auto"/>
              </w:rPr>
            </w:pPr>
          </w:p>
        </w:tc>
        <w:tc>
          <w:tcPr>
            <w:tcW w:w="2240" w:type="dxa"/>
            <w:vAlign w:val="bottom"/>
          </w:tcPr>
          <w:p>
            <w:pPr>
              <w:ind w:left="160"/>
              <w:spacing w:after="0"/>
              <w:rPr>
                <w:sz w:val="20"/>
                <w:szCs w:val="20"/>
                <w:color w:val="auto"/>
              </w:rPr>
            </w:pPr>
            <w:r>
              <w:rPr>
                <w:rFonts w:ascii="Arial" w:cs="Arial" w:eastAsia="Arial" w:hAnsi="Arial"/>
                <w:sz w:val="16"/>
                <w:szCs w:val="16"/>
                <w:color w:val="auto"/>
              </w:rPr>
              <w:t xml:space="preserve">company’s </w:t>
            </w:r>
            <w:r>
              <w:rPr>
                <w:rFonts w:ascii="Arial" w:cs="Arial" w:eastAsia="Arial" w:hAnsi="Arial"/>
                <w:sz w:val="16"/>
                <w:szCs w:val="16"/>
                <w:b w:val="1"/>
                <w:bCs w:val="1"/>
                <w:color w:val="auto"/>
              </w:rPr>
              <w:t>primary</w:t>
            </w:r>
          </w:p>
        </w:tc>
        <w:tc>
          <w:tcPr>
            <w:tcW w:w="0" w:type="dxa"/>
            <w:vAlign w:val="bottom"/>
          </w:tcPr>
          <w:p>
            <w:pPr>
              <w:spacing w:after="0"/>
              <w:rPr>
                <w:sz w:val="1"/>
                <w:szCs w:val="1"/>
                <w:color w:val="auto"/>
              </w:rPr>
            </w:pPr>
          </w:p>
        </w:tc>
      </w:tr>
      <w:tr>
        <w:trPr>
          <w:trHeight w:val="185"/>
        </w:trPr>
        <w:tc>
          <w:tcPr>
            <w:tcW w:w="580" w:type="dxa"/>
            <w:vAlign w:val="bottom"/>
            <w:tcBorders>
              <w:left w:val="single" w:sz="8" w:color="071D49"/>
            </w:tcBorders>
            <w:vMerge w:val="continue"/>
          </w:tcPr>
          <w:p>
            <w:pPr>
              <w:spacing w:after="0"/>
              <w:rPr>
                <w:sz w:val="16"/>
                <w:szCs w:val="16"/>
                <w:color w:val="auto"/>
              </w:rPr>
            </w:pPr>
          </w:p>
        </w:tc>
        <w:tc>
          <w:tcPr>
            <w:tcW w:w="2560" w:type="dxa"/>
            <w:vAlign w:val="bottom"/>
            <w:tcBorders>
              <w:right w:val="single" w:sz="8" w:color="071D49"/>
            </w:tcBorders>
            <w:gridSpan w:val="2"/>
          </w:tcPr>
          <w:p>
            <w:pPr>
              <w:ind w:left="160"/>
              <w:spacing w:after="0"/>
              <w:rPr>
                <w:sz w:val="20"/>
                <w:szCs w:val="20"/>
                <w:color w:val="auto"/>
              </w:rPr>
            </w:pPr>
            <w:r>
              <w:rPr>
                <w:rFonts w:ascii="Arial" w:cs="Arial" w:eastAsia="Arial" w:hAnsi="Arial"/>
                <w:sz w:val="16"/>
                <w:szCs w:val="16"/>
                <w:color w:val="auto"/>
              </w:rPr>
              <w:t>stockholder returns and</w:t>
            </w:r>
          </w:p>
        </w:tc>
        <w:tc>
          <w:tcPr>
            <w:tcW w:w="680" w:type="dxa"/>
            <w:vAlign w:val="bottom"/>
            <w:vMerge w:val="continue"/>
          </w:tcPr>
          <w:p>
            <w:pPr>
              <w:spacing w:after="0"/>
              <w:rPr>
                <w:sz w:val="16"/>
                <w:szCs w:val="16"/>
                <w:color w:val="auto"/>
              </w:rPr>
            </w:pPr>
          </w:p>
        </w:tc>
        <w:tc>
          <w:tcPr>
            <w:tcW w:w="2240" w:type="dxa"/>
            <w:vAlign w:val="bottom"/>
          </w:tcPr>
          <w:p>
            <w:pPr>
              <w:ind w:left="160"/>
              <w:spacing w:after="0"/>
              <w:rPr>
                <w:sz w:val="20"/>
                <w:szCs w:val="20"/>
                <w:color w:val="auto"/>
              </w:rPr>
            </w:pPr>
            <w:r>
              <w:rPr>
                <w:rFonts w:ascii="Arial" w:cs="Arial" w:eastAsia="Arial" w:hAnsi="Arial"/>
                <w:sz w:val="16"/>
                <w:szCs w:val="16"/>
                <w:b w:val="1"/>
                <w:bCs w:val="1"/>
                <w:color w:val="auto"/>
              </w:rPr>
              <w:t xml:space="preserve">business goals </w:t>
            </w:r>
            <w:r>
              <w:rPr>
                <w:rFonts w:ascii="Arial" w:cs="Arial" w:eastAsia="Arial" w:hAnsi="Arial"/>
                <w:sz w:val="16"/>
                <w:szCs w:val="16"/>
                <w:color w:val="auto"/>
              </w:rPr>
              <w:t>to have a</w:t>
            </w:r>
          </w:p>
        </w:tc>
        <w:tc>
          <w:tcPr>
            <w:tcW w:w="0" w:type="dxa"/>
            <w:vAlign w:val="bottom"/>
          </w:tcPr>
          <w:p>
            <w:pPr>
              <w:spacing w:after="0"/>
              <w:rPr>
                <w:sz w:val="1"/>
                <w:szCs w:val="1"/>
                <w:color w:val="auto"/>
              </w:rPr>
            </w:pPr>
          </w:p>
        </w:tc>
      </w:tr>
      <w:tr>
        <w:trPr>
          <w:trHeight w:val="185"/>
        </w:trPr>
        <w:tc>
          <w:tcPr>
            <w:tcW w:w="580" w:type="dxa"/>
            <w:vAlign w:val="bottom"/>
            <w:tcBorders>
              <w:left w:val="single" w:sz="8" w:color="071D49"/>
            </w:tcBorders>
            <w:vMerge w:val="continue"/>
          </w:tcPr>
          <w:p>
            <w:pPr>
              <w:spacing w:after="0"/>
              <w:rPr>
                <w:sz w:val="16"/>
                <w:szCs w:val="16"/>
                <w:color w:val="auto"/>
              </w:rPr>
            </w:pPr>
          </w:p>
        </w:tc>
        <w:tc>
          <w:tcPr>
            <w:tcW w:w="2560" w:type="dxa"/>
            <w:vAlign w:val="bottom"/>
            <w:tcBorders>
              <w:right w:val="single" w:sz="8" w:color="071D49"/>
            </w:tcBorders>
            <w:gridSpan w:val="2"/>
          </w:tcPr>
          <w:p>
            <w:pPr>
              <w:ind w:left="160"/>
              <w:spacing w:after="0"/>
              <w:rPr>
                <w:sz w:val="20"/>
                <w:szCs w:val="20"/>
                <w:color w:val="auto"/>
              </w:rPr>
            </w:pPr>
            <w:r>
              <w:rPr>
                <w:rFonts w:ascii="Arial" w:cs="Arial" w:eastAsia="Arial" w:hAnsi="Arial"/>
                <w:sz w:val="16"/>
                <w:szCs w:val="16"/>
                <w:color w:val="auto"/>
              </w:rPr>
              <w:t>profitable growth</w:t>
            </w:r>
          </w:p>
        </w:tc>
        <w:tc>
          <w:tcPr>
            <w:tcW w:w="680" w:type="dxa"/>
            <w:vAlign w:val="bottom"/>
            <w:vMerge w:val="continue"/>
          </w:tcPr>
          <w:p>
            <w:pPr>
              <w:spacing w:after="0"/>
              <w:rPr>
                <w:sz w:val="16"/>
                <w:szCs w:val="16"/>
                <w:color w:val="auto"/>
              </w:rPr>
            </w:pPr>
          </w:p>
        </w:tc>
        <w:tc>
          <w:tcPr>
            <w:tcW w:w="2240" w:type="dxa"/>
            <w:vAlign w:val="bottom"/>
          </w:tcPr>
          <w:p>
            <w:pPr>
              <w:ind w:left="160"/>
              <w:spacing w:after="0"/>
              <w:rPr>
                <w:sz w:val="20"/>
                <w:szCs w:val="20"/>
                <w:color w:val="auto"/>
              </w:rPr>
            </w:pPr>
            <w:r>
              <w:rPr>
                <w:rFonts w:ascii="Arial" w:cs="Arial" w:eastAsia="Arial" w:hAnsi="Arial"/>
                <w:sz w:val="16"/>
                <w:szCs w:val="16"/>
                <w:color w:val="auto"/>
              </w:rPr>
              <w:t>remarkable impact on</w:t>
            </w:r>
          </w:p>
        </w:tc>
        <w:tc>
          <w:tcPr>
            <w:tcW w:w="0" w:type="dxa"/>
            <w:vAlign w:val="bottom"/>
          </w:tcPr>
          <w:p>
            <w:pPr>
              <w:spacing w:after="0"/>
              <w:rPr>
                <w:sz w:val="1"/>
                <w:szCs w:val="1"/>
                <w:color w:val="auto"/>
              </w:rPr>
            </w:pPr>
          </w:p>
        </w:tc>
      </w:tr>
      <w:tr>
        <w:trPr>
          <w:trHeight w:val="216"/>
        </w:trPr>
        <w:tc>
          <w:tcPr>
            <w:tcW w:w="580" w:type="dxa"/>
            <w:vAlign w:val="bottom"/>
            <w:tcBorders>
              <w:left w:val="single" w:sz="8" w:color="071D49"/>
            </w:tcBorders>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Borders>
              <w:right w:val="single" w:sz="8" w:color="071D49"/>
            </w:tcBorders>
          </w:tcPr>
          <w:p>
            <w:pPr>
              <w:spacing w:after="0"/>
              <w:rPr>
                <w:sz w:val="18"/>
                <w:szCs w:val="18"/>
                <w:color w:val="auto"/>
              </w:rPr>
            </w:pPr>
          </w:p>
        </w:tc>
        <w:tc>
          <w:tcPr>
            <w:tcW w:w="68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6"/>
                <w:szCs w:val="16"/>
                <w:color w:val="auto"/>
              </w:rPr>
              <w:t>patients’ lives</w:t>
            </w:r>
          </w:p>
        </w:tc>
        <w:tc>
          <w:tcPr>
            <w:tcW w:w="0" w:type="dxa"/>
            <w:vAlign w:val="bottom"/>
          </w:tcPr>
          <w:p>
            <w:pPr>
              <w:spacing w:after="0"/>
              <w:rPr>
                <w:sz w:val="1"/>
                <w:szCs w:val="1"/>
                <w:color w:val="auto"/>
              </w:rPr>
            </w:pPr>
          </w:p>
        </w:tc>
      </w:tr>
      <w:tr>
        <w:trPr>
          <w:trHeight w:val="83"/>
        </w:trPr>
        <w:tc>
          <w:tcPr>
            <w:tcW w:w="580" w:type="dxa"/>
            <w:vAlign w:val="bottom"/>
            <w:tcBorders>
              <w:left w:val="single" w:sz="8" w:color="071D49"/>
            </w:tcBorders>
          </w:tcPr>
          <w:p>
            <w:pPr>
              <w:spacing w:after="0"/>
              <w:rPr>
                <w:sz w:val="7"/>
                <w:szCs w:val="7"/>
                <w:color w:val="auto"/>
              </w:rPr>
            </w:pPr>
          </w:p>
        </w:tc>
        <w:tc>
          <w:tcPr>
            <w:tcW w:w="2240" w:type="dxa"/>
            <w:vAlign w:val="bottom"/>
          </w:tcPr>
          <w:p>
            <w:pPr>
              <w:spacing w:after="0"/>
              <w:rPr>
                <w:sz w:val="7"/>
                <w:szCs w:val="7"/>
                <w:color w:val="auto"/>
              </w:rPr>
            </w:pPr>
          </w:p>
        </w:tc>
        <w:tc>
          <w:tcPr>
            <w:tcW w:w="320" w:type="dxa"/>
            <w:vAlign w:val="bottom"/>
            <w:tcBorders>
              <w:right w:val="single" w:sz="8" w:color="071D49"/>
            </w:tcBorders>
          </w:tcPr>
          <w:p>
            <w:pPr>
              <w:spacing w:after="0"/>
              <w:rPr>
                <w:sz w:val="7"/>
                <w:szCs w:val="7"/>
                <w:color w:val="auto"/>
              </w:rPr>
            </w:pPr>
          </w:p>
        </w:tc>
        <w:tc>
          <w:tcPr>
            <w:tcW w:w="6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84" w:hanging="684"/>
        <w:spacing w:after="0" w:line="189" w:lineRule="auto"/>
        <w:tabs>
          <w:tab w:leader="none" w:pos="684" w:val="left"/>
        </w:tabs>
        <w:numPr>
          <w:ilvl w:val="0"/>
          <w:numId w:val="53"/>
        </w:numPr>
        <w:rPr>
          <w:rFonts w:ascii="Arial" w:cs="Arial" w:eastAsia="Arial" w:hAnsi="Arial"/>
          <w:sz w:val="32"/>
          <w:szCs w:val="32"/>
          <w:b w:val="1"/>
          <w:bCs w:val="1"/>
          <w:color w:val="071D49"/>
        </w:rPr>
      </w:pPr>
      <w:r>
        <w:rPr>
          <w:rFonts w:ascii="Arial" w:cs="Arial" w:eastAsia="Arial" w:hAnsi="Arial"/>
          <w:sz w:val="13"/>
          <w:szCs w:val="13"/>
          <w:b w:val="1"/>
          <w:bCs w:val="1"/>
          <w:color w:val="auto"/>
        </w:rPr>
        <w:t xml:space="preserve">class executives </w:t>
      </w:r>
      <w:r>
        <w:rPr>
          <w:rFonts w:ascii="Arial" w:cs="Arial" w:eastAsia="Arial" w:hAnsi="Arial"/>
          <w:sz w:val="13"/>
          <w:szCs w:val="13"/>
          <w:color w:val="auto"/>
        </w:rPr>
        <w:t>whose</w:t>
      </w:r>
      <w:r>
        <w:rPr>
          <w:rFonts w:ascii="Arial" w:cs="Arial" w:eastAsia="Arial" w:hAnsi="Arial"/>
          <w:sz w:val="13"/>
          <w:szCs w:val="13"/>
          <w:b w:val="1"/>
          <w:bCs w:val="1"/>
          <w:color w:val="auto"/>
        </w:rPr>
        <w:t xml:space="preserve"> </w:t>
      </w:r>
      <w:r>
        <w:rPr>
          <w:rFonts w:ascii="Arial" w:cs="Arial" w:eastAsia="Arial" w:hAnsi="Arial"/>
          <w:sz w:val="13"/>
          <w:szCs w:val="13"/>
          <w:color w:val="auto"/>
        </w:rPr>
        <w:t>talents and contributions sustain the growth in long-</w:t>
      </w:r>
      <w:r>
        <w:rPr>
          <w:rFonts w:ascii="Arial" w:cs="Arial" w:eastAsia="Arial" w:hAnsi="Arial"/>
          <w:sz w:val="20"/>
          <w:szCs w:val="20"/>
          <w:color w:val="auto"/>
          <w:vertAlign w:val="subscript"/>
        </w:rPr>
        <w:t>term stockholder value</w:t>
      </w:r>
      <w:r>
        <w:rPr>
          <w:rFonts w:ascii="Arial" w:cs="Arial" w:eastAsia="Arial" w:hAnsi="Arial"/>
          <w:sz w:val="13"/>
          <w:szCs w:val="13"/>
          <w:b w:val="1"/>
          <w:bCs w:val="1"/>
          <w:color w:val="auto"/>
        </w:rPr>
        <w:t>Attractandretainworld-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-680720</wp:posOffset>
            </wp:positionV>
            <wp:extent cx="1868170" cy="7346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68170" cy="734695"/>
                    </a:xfrm>
                    <a:prstGeom prst="rect">
                      <a:avLst/>
                    </a:prstGeom>
                    <a:noFill/>
                  </pic:spPr>
                </pic:pic>
              </a:graphicData>
            </a:graphic>
          </wp:anchor>
        </w:drawing>
      </w:r>
    </w:p>
    <w:p>
      <w:pPr>
        <w:spacing w:after="0" w:line="264" w:lineRule="exact"/>
        <w:rPr>
          <w:sz w:val="20"/>
          <w:szCs w:val="20"/>
          <w:color w:val="auto"/>
        </w:rPr>
      </w:pPr>
    </w:p>
    <w:p>
      <w:pPr>
        <w:sectPr>
          <w:pgSz w:w="11900" w:h="16838" w:orient="portrait"/>
          <w:cols w:equalWidth="0" w:num="2">
            <w:col w:w="6060" w:space="516"/>
            <w:col w:w="2604"/>
          </w:cols>
          <w:pgMar w:left="1280" w:top="480" w:right="1439" w:bottom="1440" w:gutter="0" w:footer="0" w:header="0"/>
        </w:sectPr>
      </w:pPr>
    </w:p>
    <w:p>
      <w:pPr>
        <w:ind w:left="1700"/>
        <w:spacing w:after="0"/>
        <w:tabs>
          <w:tab w:leader="none" w:pos="6160" w:val="left"/>
        </w:tabs>
        <w:rPr>
          <w:sz w:val="20"/>
          <w:szCs w:val="20"/>
          <w:color w:val="auto"/>
        </w:rPr>
      </w:pPr>
      <w:r>
        <w:rPr>
          <w:rFonts w:ascii="Arial" w:cs="Arial" w:eastAsia="Arial" w:hAnsi="Arial"/>
          <w:sz w:val="16"/>
          <w:szCs w:val="16"/>
          <w:b w:val="1"/>
          <w:bCs w:val="1"/>
          <w:color w:val="071D49"/>
        </w:rPr>
        <w:t>WHAT WE DO</w:t>
      </w:r>
      <w:r>
        <w:rPr>
          <w:sz w:val="20"/>
          <w:szCs w:val="20"/>
          <w:color w:val="auto"/>
        </w:rPr>
        <w:tab/>
      </w:r>
      <w:r>
        <w:rPr>
          <w:rFonts w:ascii="Arial" w:cs="Arial" w:eastAsia="Arial" w:hAnsi="Arial"/>
          <w:sz w:val="16"/>
          <w:szCs w:val="16"/>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89535</wp:posOffset>
            </wp:positionV>
            <wp:extent cx="5878195" cy="2845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78195" cy="2845435"/>
                    </a:xfrm>
                    <a:prstGeom prst="rect">
                      <a:avLst/>
                    </a:prstGeom>
                    <a:noFill/>
                  </pic:spPr>
                </pic:pic>
              </a:graphicData>
            </a:graphic>
          </wp:anchor>
        </w:drawing>
      </w:r>
    </w:p>
    <w:p>
      <w:pPr>
        <w:sectPr>
          <w:pgSz w:w="11900" w:h="16838" w:orient="portrait"/>
          <w:cols w:equalWidth="0" w:num="1">
            <w:col w:w="9180"/>
          </w:cols>
          <w:pgMar w:left="1280" w:top="480" w:right="1439" w:bottom="1440" w:gutter="0" w:footer="0" w:header="0"/>
          <w:type w:val="continuous"/>
        </w:sectPr>
      </w:pPr>
    </w:p>
    <w:p>
      <w:pPr>
        <w:spacing w:after="0" w:line="382" w:lineRule="exact"/>
        <w:rPr>
          <w:sz w:val="20"/>
          <w:szCs w:val="20"/>
          <w:color w:val="auto"/>
        </w:rPr>
      </w:pPr>
    </w:p>
    <w:p>
      <w:pPr>
        <w:ind w:left="360" w:right="120" w:hanging="241"/>
        <w:spacing w:after="0" w:line="283" w:lineRule="auto"/>
        <w:tabs>
          <w:tab w:leader="none" w:pos="360" w:val="left"/>
        </w:tabs>
        <w:numPr>
          <w:ilvl w:val="0"/>
          <w:numId w:val="54"/>
        </w:numPr>
        <w:rPr>
          <w:rFonts w:ascii="MS PGothic" w:cs="MS PGothic" w:eastAsia="MS PGothic" w:hAnsi="MS PGothic"/>
          <w:sz w:val="16"/>
          <w:szCs w:val="16"/>
          <w:color w:val="auto"/>
          <w:shd w:val="clear" w:color="auto" w:fill="071D49"/>
        </w:rPr>
      </w:pPr>
      <w:r>
        <w:rPr>
          <w:rFonts w:ascii="Arial" w:cs="Arial" w:eastAsia="Arial" w:hAnsi="Arial"/>
          <w:sz w:val="16"/>
          <w:szCs w:val="16"/>
          <w:color w:val="auto"/>
        </w:rPr>
        <w:t>We balance short- and long-term strategic objectives and directly link compensation to stockholder value.</w:t>
      </w:r>
    </w:p>
    <w:p>
      <w:pPr>
        <w:spacing w:after="0" w:line="132" w:lineRule="exact"/>
        <w:rPr>
          <w:rFonts w:ascii="MS PGothic" w:cs="MS PGothic" w:eastAsia="MS PGothic" w:hAnsi="MS PGothic"/>
          <w:sz w:val="16"/>
          <w:szCs w:val="16"/>
          <w:color w:val="auto"/>
          <w:shd w:val="clear" w:color="auto" w:fill="071D49"/>
        </w:rPr>
      </w:pPr>
    </w:p>
    <w:p>
      <w:pPr>
        <w:ind w:left="360" w:right="860" w:hanging="241"/>
        <w:spacing w:after="0" w:line="283" w:lineRule="auto"/>
        <w:tabs>
          <w:tab w:leader="none" w:pos="360" w:val="left"/>
        </w:tabs>
        <w:numPr>
          <w:ilvl w:val="0"/>
          <w:numId w:val="54"/>
        </w:numPr>
        <w:rPr>
          <w:rFonts w:ascii="MS PGothic" w:cs="MS PGothic" w:eastAsia="MS PGothic" w:hAnsi="MS PGothic"/>
          <w:sz w:val="16"/>
          <w:szCs w:val="16"/>
          <w:color w:val="auto"/>
          <w:shd w:val="clear" w:color="auto" w:fill="071D49"/>
        </w:rPr>
      </w:pPr>
      <w:r>
        <w:rPr>
          <w:rFonts w:ascii="Arial" w:cs="Arial" w:eastAsia="Arial" w:hAnsi="Arial"/>
          <w:sz w:val="16"/>
          <w:szCs w:val="16"/>
          <w:color w:val="auto"/>
        </w:rPr>
        <w:t>We tie more than three-fourths of our NEO compensation to performance.</w:t>
      </w:r>
    </w:p>
    <w:p>
      <w:pPr>
        <w:spacing w:after="0" w:line="132" w:lineRule="exact"/>
        <w:rPr>
          <w:rFonts w:ascii="MS PGothic" w:cs="MS PGothic" w:eastAsia="MS PGothic" w:hAnsi="MS PGothic"/>
          <w:sz w:val="16"/>
          <w:szCs w:val="16"/>
          <w:color w:val="auto"/>
          <w:shd w:val="clear" w:color="auto" w:fill="071D49"/>
        </w:rPr>
      </w:pPr>
    </w:p>
    <w:p>
      <w:pPr>
        <w:ind w:left="360" w:right="320" w:hanging="241"/>
        <w:spacing w:after="0" w:line="283" w:lineRule="auto"/>
        <w:tabs>
          <w:tab w:leader="none" w:pos="360" w:val="left"/>
        </w:tabs>
        <w:numPr>
          <w:ilvl w:val="0"/>
          <w:numId w:val="54"/>
        </w:numPr>
        <w:rPr>
          <w:rFonts w:ascii="MS PGothic" w:cs="MS PGothic" w:eastAsia="MS PGothic" w:hAnsi="MS PGothic"/>
          <w:sz w:val="16"/>
          <w:szCs w:val="16"/>
          <w:color w:val="auto"/>
          <w:shd w:val="clear" w:color="auto" w:fill="071D49"/>
        </w:rPr>
      </w:pPr>
      <w:r>
        <w:rPr>
          <w:rFonts w:ascii="Arial" w:cs="Arial" w:eastAsia="Arial" w:hAnsi="Arial"/>
          <w:sz w:val="16"/>
          <w:szCs w:val="16"/>
          <w:color w:val="auto"/>
        </w:rPr>
        <w:t>We are committed to pay equity and we regularly review pay to ensure our pay is fair and equitable.</w:t>
      </w:r>
    </w:p>
    <w:p>
      <w:pPr>
        <w:spacing w:after="0" w:line="132" w:lineRule="exact"/>
        <w:rPr>
          <w:rFonts w:ascii="MS PGothic" w:cs="MS PGothic" w:eastAsia="MS PGothic" w:hAnsi="MS PGothic"/>
          <w:sz w:val="16"/>
          <w:szCs w:val="16"/>
          <w:color w:val="auto"/>
          <w:shd w:val="clear" w:color="auto" w:fill="071D49"/>
        </w:rPr>
      </w:pPr>
    </w:p>
    <w:p>
      <w:pPr>
        <w:ind w:left="360" w:hanging="241"/>
        <w:spacing w:after="0" w:line="251" w:lineRule="auto"/>
        <w:tabs>
          <w:tab w:leader="none" w:pos="360" w:val="left"/>
        </w:tabs>
        <w:numPr>
          <w:ilvl w:val="0"/>
          <w:numId w:val="54"/>
        </w:numPr>
        <w:rPr>
          <w:rFonts w:ascii="MS PGothic" w:cs="MS PGothic" w:eastAsia="MS PGothic" w:hAnsi="MS PGothic"/>
          <w:sz w:val="16"/>
          <w:szCs w:val="16"/>
          <w:color w:val="auto"/>
          <w:shd w:val="clear" w:color="auto" w:fill="071D49"/>
        </w:rPr>
      </w:pPr>
      <w:r>
        <w:rPr>
          <w:rFonts w:ascii="Arial" w:cs="Arial" w:eastAsia="Arial" w:hAnsi="Arial"/>
          <w:sz w:val="16"/>
          <w:szCs w:val="16"/>
          <w:color w:val="auto"/>
        </w:rPr>
        <w:t>We have broad discretion to clawback incentive awards in the event of a material breach of the AbbVie Code of Business Conduct, as well as a robust mandatory clawback policy covering excess compensation in the event of a restatement.</w:t>
      </w:r>
    </w:p>
    <w:p>
      <w:pPr>
        <w:spacing w:after="0" w:line="158" w:lineRule="exact"/>
        <w:rPr>
          <w:rFonts w:ascii="MS PGothic" w:cs="MS PGothic" w:eastAsia="MS PGothic" w:hAnsi="MS PGothic"/>
          <w:sz w:val="16"/>
          <w:szCs w:val="16"/>
          <w:color w:val="auto"/>
          <w:shd w:val="clear" w:color="auto" w:fill="071D49"/>
        </w:rPr>
      </w:pPr>
    </w:p>
    <w:p>
      <w:pPr>
        <w:ind w:left="360" w:right="200" w:hanging="241"/>
        <w:spacing w:after="0" w:line="262" w:lineRule="auto"/>
        <w:tabs>
          <w:tab w:leader="none" w:pos="360" w:val="left"/>
        </w:tabs>
        <w:numPr>
          <w:ilvl w:val="0"/>
          <w:numId w:val="54"/>
        </w:numPr>
        <w:rPr>
          <w:rFonts w:ascii="MS PGothic" w:cs="MS PGothic" w:eastAsia="MS PGothic" w:hAnsi="MS PGothic"/>
          <w:sz w:val="16"/>
          <w:szCs w:val="16"/>
          <w:color w:val="auto"/>
          <w:shd w:val="clear" w:color="auto" w:fill="071D49"/>
        </w:rPr>
      </w:pPr>
      <w:r>
        <w:rPr>
          <w:rFonts w:ascii="Arial" w:cs="Arial" w:eastAsia="Arial" w:hAnsi="Arial"/>
          <w:sz w:val="16"/>
          <w:szCs w:val="16"/>
          <w:color w:val="auto"/>
        </w:rPr>
        <w:t>We engage annually with a large portion of our stockholders to gather feedback on our policies and practices.</w:t>
      </w:r>
    </w:p>
    <w:p>
      <w:pPr>
        <w:spacing w:after="0" w:line="148" w:lineRule="exact"/>
        <w:rPr>
          <w:rFonts w:ascii="MS PGothic" w:cs="MS PGothic" w:eastAsia="MS PGothic" w:hAnsi="MS PGothic"/>
          <w:sz w:val="16"/>
          <w:szCs w:val="16"/>
          <w:color w:val="auto"/>
          <w:shd w:val="clear" w:color="auto" w:fill="071D49"/>
        </w:rPr>
      </w:pPr>
    </w:p>
    <w:p>
      <w:pPr>
        <w:ind w:left="360" w:right="480" w:hanging="241"/>
        <w:spacing w:after="0" w:line="262" w:lineRule="auto"/>
        <w:tabs>
          <w:tab w:leader="none" w:pos="360" w:val="left"/>
        </w:tabs>
        <w:numPr>
          <w:ilvl w:val="0"/>
          <w:numId w:val="54"/>
        </w:numPr>
        <w:rPr>
          <w:rFonts w:ascii="MS PGothic" w:cs="MS PGothic" w:eastAsia="MS PGothic" w:hAnsi="MS PGothic"/>
          <w:sz w:val="16"/>
          <w:szCs w:val="16"/>
          <w:color w:val="auto"/>
          <w:shd w:val="clear" w:color="auto" w:fill="071D49"/>
        </w:rPr>
      </w:pPr>
      <w:r>
        <w:rPr>
          <w:rFonts w:ascii="Arial" w:cs="Arial" w:eastAsia="Arial" w:hAnsi="Arial"/>
          <w:sz w:val="16"/>
          <w:szCs w:val="16"/>
          <w:color w:val="auto"/>
        </w:rPr>
        <w:t>We have robust stock ownership guidelines and prohibit the selling of shares unless ownership guidelines have been met.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228" w:right="180" w:hanging="228"/>
        <w:spacing w:after="0" w:line="283" w:lineRule="auto"/>
        <w:tabs>
          <w:tab w:leader="none" w:pos="228" w:val="left"/>
        </w:tabs>
        <w:numPr>
          <w:ilvl w:val="0"/>
          <w:numId w:val="55"/>
        </w:numPr>
        <w:rPr>
          <w:rFonts w:ascii="Arial" w:cs="Arial" w:eastAsia="Arial" w:hAnsi="Arial"/>
          <w:sz w:val="16"/>
          <w:szCs w:val="16"/>
          <w:b w:val="1"/>
          <w:bCs w:val="1"/>
          <w:color w:val="071D49"/>
        </w:rPr>
      </w:pPr>
      <w:r>
        <w:rPr>
          <w:rFonts w:ascii="Arial" w:cs="Arial" w:eastAsia="Arial" w:hAnsi="Arial"/>
          <w:sz w:val="16"/>
          <w:szCs w:val="16"/>
          <w:color w:val="auto"/>
        </w:rPr>
        <w:t>We do not have employment agreements with any of our NEOs.</w:t>
      </w:r>
    </w:p>
    <w:p>
      <w:pPr>
        <w:spacing w:after="0" w:line="132" w:lineRule="exact"/>
        <w:rPr>
          <w:rFonts w:ascii="Arial" w:cs="Arial" w:eastAsia="Arial" w:hAnsi="Arial"/>
          <w:sz w:val="16"/>
          <w:szCs w:val="16"/>
          <w:b w:val="1"/>
          <w:bCs w:val="1"/>
          <w:color w:val="071D49"/>
        </w:rPr>
      </w:pPr>
    </w:p>
    <w:p>
      <w:pPr>
        <w:ind w:left="228" w:right="40" w:hanging="228"/>
        <w:spacing w:after="0" w:line="262" w:lineRule="auto"/>
        <w:tabs>
          <w:tab w:leader="none" w:pos="228" w:val="left"/>
        </w:tabs>
        <w:numPr>
          <w:ilvl w:val="0"/>
          <w:numId w:val="55"/>
        </w:numPr>
        <w:rPr>
          <w:rFonts w:ascii="Arial" w:cs="Arial" w:eastAsia="Arial" w:hAnsi="Arial"/>
          <w:sz w:val="16"/>
          <w:szCs w:val="16"/>
          <w:b w:val="1"/>
          <w:bCs w:val="1"/>
          <w:color w:val="071D49"/>
        </w:rPr>
      </w:pPr>
      <w:r>
        <w:rPr>
          <w:rFonts w:ascii="Arial" w:cs="Arial" w:eastAsia="Arial" w:hAnsi="Arial"/>
          <w:sz w:val="16"/>
          <w:szCs w:val="16"/>
          <w:color w:val="auto"/>
        </w:rPr>
        <w:t>We do not provide tax gross-ups on NEO compensation or excise tax gross-ups on severance or other payments in connection with a change in control.</w:t>
      </w:r>
    </w:p>
    <w:p>
      <w:pPr>
        <w:spacing w:after="0" w:line="148" w:lineRule="exact"/>
        <w:rPr>
          <w:rFonts w:ascii="Arial" w:cs="Arial" w:eastAsia="Arial" w:hAnsi="Arial"/>
          <w:sz w:val="16"/>
          <w:szCs w:val="16"/>
          <w:b w:val="1"/>
          <w:bCs w:val="1"/>
          <w:color w:val="071D49"/>
        </w:rPr>
      </w:pPr>
    </w:p>
    <w:p>
      <w:pPr>
        <w:ind w:left="228" w:hanging="228"/>
        <w:spacing w:after="0" w:line="254" w:lineRule="auto"/>
        <w:tabs>
          <w:tab w:leader="none" w:pos="228" w:val="left"/>
        </w:tabs>
        <w:numPr>
          <w:ilvl w:val="0"/>
          <w:numId w:val="55"/>
        </w:numPr>
        <w:rPr>
          <w:rFonts w:ascii="Arial" w:cs="Arial" w:eastAsia="Arial" w:hAnsi="Arial"/>
          <w:sz w:val="16"/>
          <w:szCs w:val="16"/>
          <w:b w:val="1"/>
          <w:bCs w:val="1"/>
          <w:color w:val="071D49"/>
        </w:rPr>
      </w:pPr>
      <w:r>
        <w:rPr>
          <w:rFonts w:ascii="Arial" w:cs="Arial" w:eastAsia="Arial" w:hAnsi="Arial"/>
          <w:sz w:val="16"/>
          <w:szCs w:val="16"/>
          <w:color w:val="auto"/>
        </w:rPr>
        <w:t>NEOs are prohibited from entering or engaging in the purchase or sale of financial instruments that are designed to hedge or offset any decrease in the market value of AbbVie equity securities they hold.</w:t>
      </w:r>
    </w:p>
    <w:p>
      <w:pPr>
        <w:spacing w:after="0" w:line="156" w:lineRule="exact"/>
        <w:rPr>
          <w:rFonts w:ascii="Arial" w:cs="Arial" w:eastAsia="Arial" w:hAnsi="Arial"/>
          <w:sz w:val="16"/>
          <w:szCs w:val="16"/>
          <w:b w:val="1"/>
          <w:bCs w:val="1"/>
          <w:color w:val="071D49"/>
        </w:rPr>
      </w:pPr>
    </w:p>
    <w:p>
      <w:pPr>
        <w:ind w:left="228" w:right="140" w:hanging="228"/>
        <w:spacing w:after="0" w:line="283" w:lineRule="auto"/>
        <w:tabs>
          <w:tab w:leader="none" w:pos="228" w:val="left"/>
        </w:tabs>
        <w:numPr>
          <w:ilvl w:val="0"/>
          <w:numId w:val="55"/>
        </w:numPr>
        <w:rPr>
          <w:rFonts w:ascii="Arial" w:cs="Arial" w:eastAsia="Arial" w:hAnsi="Arial"/>
          <w:sz w:val="16"/>
          <w:szCs w:val="16"/>
          <w:b w:val="1"/>
          <w:bCs w:val="1"/>
          <w:color w:val="071D49"/>
        </w:rPr>
      </w:pPr>
      <w:r>
        <w:rPr>
          <w:rFonts w:ascii="Arial" w:cs="Arial" w:eastAsia="Arial" w:hAnsi="Arial"/>
          <w:sz w:val="16"/>
          <w:szCs w:val="16"/>
          <w:color w:val="auto"/>
        </w:rPr>
        <w:t>We do not include pay design features that may have the potential to encourage excessive risk-taking.</w:t>
      </w:r>
    </w:p>
    <w:p>
      <w:pPr>
        <w:spacing w:after="0" w:line="132" w:lineRule="exact"/>
        <w:rPr>
          <w:rFonts w:ascii="Arial" w:cs="Arial" w:eastAsia="Arial" w:hAnsi="Arial"/>
          <w:sz w:val="16"/>
          <w:szCs w:val="16"/>
          <w:b w:val="1"/>
          <w:bCs w:val="1"/>
          <w:color w:val="071D49"/>
        </w:rPr>
      </w:pPr>
    </w:p>
    <w:p>
      <w:pPr>
        <w:ind w:left="228" w:right="280" w:hanging="228"/>
        <w:spacing w:after="0" w:line="283" w:lineRule="auto"/>
        <w:tabs>
          <w:tab w:leader="none" w:pos="228" w:val="left"/>
        </w:tabs>
        <w:numPr>
          <w:ilvl w:val="0"/>
          <w:numId w:val="55"/>
        </w:numPr>
        <w:rPr>
          <w:rFonts w:ascii="Arial" w:cs="Arial" w:eastAsia="Arial" w:hAnsi="Arial"/>
          <w:sz w:val="16"/>
          <w:szCs w:val="16"/>
          <w:b w:val="1"/>
          <w:bCs w:val="1"/>
          <w:color w:val="071D49"/>
        </w:rPr>
      </w:pPr>
      <w:r>
        <w:rPr>
          <w:rFonts w:ascii="Arial" w:cs="Arial" w:eastAsia="Arial" w:hAnsi="Arial"/>
          <w:sz w:val="16"/>
          <w:szCs w:val="16"/>
          <w:color w:val="auto"/>
        </w:rPr>
        <w:t>We do not pay dividends on unearned performance awards.</w:t>
      </w:r>
    </w:p>
    <w:p>
      <w:pPr>
        <w:spacing w:after="0" w:line="132" w:lineRule="exact"/>
        <w:rPr>
          <w:rFonts w:ascii="Arial" w:cs="Arial" w:eastAsia="Arial" w:hAnsi="Arial"/>
          <w:sz w:val="16"/>
          <w:szCs w:val="16"/>
          <w:b w:val="1"/>
          <w:bCs w:val="1"/>
          <w:color w:val="071D49"/>
        </w:rPr>
      </w:pPr>
    </w:p>
    <w:p>
      <w:pPr>
        <w:ind w:left="228" w:right="100" w:hanging="228"/>
        <w:spacing w:after="0" w:line="283" w:lineRule="auto"/>
        <w:tabs>
          <w:tab w:leader="none" w:pos="228" w:val="left"/>
        </w:tabs>
        <w:numPr>
          <w:ilvl w:val="0"/>
          <w:numId w:val="55"/>
        </w:numPr>
        <w:rPr>
          <w:rFonts w:ascii="Arial" w:cs="Arial" w:eastAsia="Arial" w:hAnsi="Arial"/>
          <w:sz w:val="16"/>
          <w:szCs w:val="16"/>
          <w:b w:val="1"/>
          <w:bCs w:val="1"/>
          <w:color w:val="071D49"/>
        </w:rPr>
      </w:pPr>
      <w:r>
        <w:rPr>
          <w:rFonts w:ascii="Arial" w:cs="Arial" w:eastAsia="Arial" w:hAnsi="Arial"/>
          <w:sz w:val="16"/>
          <w:szCs w:val="16"/>
          <w:color w:val="auto"/>
        </w:rPr>
        <w:t>We do not have single trigger change in control equity vesting or other benefits.</w:t>
      </w:r>
    </w:p>
    <w:p>
      <w:pPr>
        <w:spacing w:after="0" w:line="553" w:lineRule="exact"/>
        <w:rPr>
          <w:sz w:val="20"/>
          <w:szCs w:val="20"/>
          <w:color w:val="auto"/>
        </w:rPr>
      </w:pPr>
    </w:p>
    <w:p>
      <w:pPr>
        <w:sectPr>
          <w:pgSz w:w="11900" w:h="16838" w:orient="portrait"/>
          <w:cols w:equalWidth="0" w:num="2">
            <w:col w:w="4300" w:space="632"/>
            <w:col w:w="4248"/>
          </w:cols>
          <w:pgMar w:left="1280" w:top="480"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tabs>
          <w:tab w:leader="none" w:pos="372" w:val="left"/>
          <w:tab w:leader="none" w:pos="2140" w:val="left"/>
        </w:tabs>
        <w:rPr>
          <w:sz w:val="20"/>
          <w:szCs w:val="20"/>
          <w:color w:val="auto"/>
        </w:rPr>
      </w:pPr>
      <w:r>
        <w:rPr>
          <w:rFonts w:ascii="Arial" w:cs="Arial" w:eastAsia="Arial" w:hAnsi="Arial"/>
          <w:sz w:val="16"/>
          <w:szCs w:val="16"/>
          <w:color w:val="auto"/>
        </w:rPr>
        <w:t>32</w:t>
      </w:r>
      <w:r>
        <w:rPr>
          <w:sz w:val="20"/>
          <w:szCs w:val="20"/>
          <w:color w:val="auto"/>
        </w:rPr>
        <w:tab/>
      </w:r>
      <w:r>
        <w:rPr>
          <w:sz w:val="1"/>
          <w:szCs w:val="1"/>
          <w:color w:val="auto"/>
        </w:rPr>
        <w:drawing>
          <wp:inline distT="0" distB="0" distL="0" distR="0">
            <wp:extent cx="797560" cy="14859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324485</wp:posOffset>
            </wp:positionV>
            <wp:extent cx="587819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180"/>
          </w:cols>
          <w:pgMar w:left="1280" w:top="480" w:right="1439" w:bottom="1440" w:gutter="0" w:footer="0" w:header="0"/>
          <w:type w:val="continuous"/>
        </w:sectPr>
      </w:pPr>
    </w:p>
    <w:bookmarkStart w:id="35" w:name="page36"/>
    <w:bookmarkEnd w:id="35"/>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BUSINESS PERFORMANCE HIGHLIGHTS</w:t>
      </w:r>
    </w:p>
    <w:p>
      <w:pPr>
        <w:spacing w:after="0" w:line="90" w:lineRule="exact"/>
        <w:rPr>
          <w:sz w:val="20"/>
          <w:szCs w:val="20"/>
          <w:color w:val="auto"/>
        </w:rPr>
      </w:pPr>
    </w:p>
    <w:p>
      <w:pPr>
        <w:ind w:left="9" w:right="180"/>
        <w:spacing w:after="0" w:line="273" w:lineRule="auto"/>
        <w:rPr>
          <w:sz w:val="20"/>
          <w:szCs w:val="20"/>
          <w:color w:val="auto"/>
        </w:rPr>
      </w:pPr>
      <w:r>
        <w:rPr>
          <w:rFonts w:ascii="Arial" w:cs="Arial" w:eastAsia="Arial" w:hAnsi="Arial"/>
          <w:sz w:val="20"/>
          <w:szCs w:val="20"/>
          <w:b w:val="1"/>
          <w:bCs w:val="1"/>
          <w:color w:val="071D49"/>
        </w:rPr>
        <w:t>Advanced our strategy through outstanding operational execution and investments in innovation during 2025</w:t>
      </w:r>
    </w:p>
    <w:p>
      <w:pPr>
        <w:spacing w:after="0" w:line="40"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2960" w:type="dxa"/>
            <w:vAlign w:val="bottom"/>
          </w:tcPr>
          <w:p>
            <w:pPr>
              <w:jc w:val="center"/>
              <w:spacing w:after="0"/>
              <w:rPr>
                <w:sz w:val="20"/>
                <w:szCs w:val="20"/>
                <w:color w:val="auto"/>
              </w:rPr>
            </w:pPr>
            <w:r>
              <w:rPr>
                <w:rFonts w:ascii="Arial" w:cs="Arial" w:eastAsia="Arial" w:hAnsi="Arial"/>
                <w:sz w:val="16"/>
                <w:szCs w:val="16"/>
                <w:b w:val="1"/>
                <w:bCs w:val="1"/>
                <w:color w:val="auto"/>
              </w:rPr>
              <w:t>Total Net Revenues</w:t>
            </w:r>
          </w:p>
        </w:tc>
        <w:tc>
          <w:tcPr>
            <w:tcW w:w="3580" w:type="dxa"/>
            <w:vAlign w:val="bottom"/>
            <w:gridSpan w:val="7"/>
          </w:tcPr>
          <w:p>
            <w:pPr>
              <w:jc w:val="center"/>
              <w:ind w:right="4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Growth Platform Net Revenues</w:t>
            </w:r>
            <w:r>
              <w:rPr>
                <w:rFonts w:ascii="Arial" w:cs="Arial" w:eastAsia="Arial" w:hAnsi="Arial"/>
                <w:sz w:val="16"/>
                <w:szCs w:val="16"/>
                <w:color w:val="auto"/>
              </w:rPr>
              <w:t>​ ​</w:t>
            </w:r>
          </w:p>
        </w:tc>
        <w:tc>
          <w:tcPr>
            <w:tcW w:w="2720" w:type="dxa"/>
            <w:vAlign w:val="bottom"/>
          </w:tcPr>
          <w:p>
            <w:pPr>
              <w:jc w:val="center"/>
              <w:ind w:right="12"/>
              <w:spacing w:after="0"/>
              <w:rPr>
                <w:sz w:val="20"/>
                <w:szCs w:val="20"/>
                <w:color w:val="auto"/>
              </w:rPr>
            </w:pPr>
            <w:r>
              <w:rPr>
                <w:rFonts w:ascii="Arial" w:cs="Arial" w:eastAsia="Arial" w:hAnsi="Arial"/>
                <w:sz w:val="16"/>
                <w:szCs w:val="16"/>
                <w:b w:val="1"/>
                <w:bCs w:val="1"/>
                <w:color w:val="auto"/>
              </w:rPr>
              <w:t>Operating Cash Flow</w:t>
            </w:r>
          </w:p>
        </w:tc>
        <w:tc>
          <w:tcPr>
            <w:tcW w:w="0" w:type="dxa"/>
            <w:vAlign w:val="bottom"/>
          </w:tcPr>
          <w:p>
            <w:pPr>
              <w:spacing w:after="0"/>
              <w:rPr>
                <w:sz w:val="1"/>
                <w:szCs w:val="1"/>
                <w:color w:val="auto"/>
              </w:rPr>
            </w:pPr>
          </w:p>
        </w:tc>
      </w:tr>
      <w:tr>
        <w:trPr>
          <w:trHeight w:val="669"/>
        </w:trPr>
        <w:tc>
          <w:tcPr>
            <w:tcW w:w="2960" w:type="dxa"/>
            <w:vAlign w:val="bottom"/>
          </w:tcPr>
          <w:p>
            <w:pPr>
              <w:jc w:val="center"/>
              <w:spacing w:after="0" w:line="668" w:lineRule="exact"/>
              <w:rPr>
                <w:sz w:val="20"/>
                <w:szCs w:val="20"/>
                <w:color w:val="auto"/>
              </w:rPr>
            </w:pPr>
            <w:r>
              <w:rPr>
                <w:rFonts w:ascii="Arial" w:cs="Arial" w:eastAsia="Arial" w:hAnsi="Arial"/>
                <w:sz w:val="59"/>
                <w:szCs w:val="59"/>
                <w:color w:val="071D49"/>
              </w:rPr>
              <w:t>$61.2BN</w:t>
            </w:r>
          </w:p>
        </w:tc>
        <w:tc>
          <w:tcPr>
            <w:tcW w:w="120" w:type="dxa"/>
            <w:vAlign w:val="bottom"/>
            <w:tcBorders>
              <w:right w:val="single" w:sz="8" w:color="071D49"/>
            </w:tcBorders>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2"/>
          </w:tcPr>
          <w:p>
            <w:pPr>
              <w:jc w:val="center"/>
              <w:ind w:right="80"/>
              <w:spacing w:after="0" w:line="668" w:lineRule="exact"/>
              <w:rPr>
                <w:sz w:val="20"/>
                <w:szCs w:val="20"/>
                <w:color w:val="auto"/>
              </w:rPr>
            </w:pPr>
            <w:r>
              <w:rPr>
                <w:rFonts w:ascii="Arial" w:cs="Arial" w:eastAsia="Arial" w:hAnsi="Arial"/>
                <w:sz w:val="59"/>
                <w:szCs w:val="59"/>
                <w:color w:val="071D49"/>
              </w:rPr>
              <w:t>$56.6BN</w:t>
            </w:r>
          </w:p>
        </w:tc>
        <w:tc>
          <w:tcPr>
            <w:tcW w:w="40" w:type="dxa"/>
            <w:vAlign w:val="bottom"/>
            <w:shd w:val="clear" w:color="auto" w:fill="071D49"/>
          </w:tcPr>
          <w:p>
            <w:pPr>
              <w:spacing w:after="0"/>
              <w:rPr>
                <w:sz w:val="24"/>
                <w:szCs w:val="24"/>
                <w:color w:val="auto"/>
              </w:rPr>
            </w:pPr>
          </w:p>
        </w:tc>
        <w:tc>
          <w:tcPr>
            <w:tcW w:w="260" w:type="dxa"/>
            <w:vAlign w:val="bottom"/>
            <w:gridSpan w:val="2"/>
          </w:tcPr>
          <w:p>
            <w:pPr>
              <w:spacing w:after="0"/>
              <w:rPr>
                <w:sz w:val="24"/>
                <w:szCs w:val="24"/>
                <w:color w:val="auto"/>
              </w:rPr>
            </w:pPr>
          </w:p>
        </w:tc>
        <w:tc>
          <w:tcPr>
            <w:tcW w:w="2720" w:type="dxa"/>
            <w:vAlign w:val="bottom"/>
          </w:tcPr>
          <w:p>
            <w:pPr>
              <w:jc w:val="center"/>
              <w:ind w:right="32"/>
              <w:spacing w:after="0" w:line="668" w:lineRule="exact"/>
              <w:rPr>
                <w:sz w:val="20"/>
                <w:szCs w:val="20"/>
                <w:color w:val="auto"/>
              </w:rPr>
            </w:pPr>
            <w:r>
              <w:rPr>
                <w:rFonts w:ascii="Arial" w:cs="Arial" w:eastAsia="Arial" w:hAnsi="Arial"/>
                <w:sz w:val="59"/>
                <w:szCs w:val="59"/>
                <w:color w:val="071D49"/>
              </w:rPr>
              <w:t>$19.0BN</w:t>
            </w:r>
          </w:p>
        </w:tc>
        <w:tc>
          <w:tcPr>
            <w:tcW w:w="0" w:type="dxa"/>
            <w:vAlign w:val="bottom"/>
          </w:tcPr>
          <w:p>
            <w:pPr>
              <w:spacing w:after="0"/>
              <w:rPr>
                <w:sz w:val="1"/>
                <w:szCs w:val="1"/>
                <w:color w:val="auto"/>
              </w:rPr>
            </w:pPr>
          </w:p>
        </w:tc>
      </w:tr>
      <w:tr>
        <w:trPr>
          <w:trHeight w:val="155"/>
        </w:trPr>
        <w:tc>
          <w:tcPr>
            <w:tcW w:w="2960" w:type="dxa"/>
            <w:vAlign w:val="bottom"/>
          </w:tcPr>
          <w:p>
            <w:pPr>
              <w:jc w:val="center"/>
              <w:spacing w:after="0"/>
              <w:rPr>
                <w:sz w:val="20"/>
                <w:szCs w:val="20"/>
                <w:color w:val="auto"/>
              </w:rPr>
            </w:pPr>
            <w:r>
              <w:rPr>
                <w:rFonts w:ascii="Arial" w:cs="Arial" w:eastAsia="Arial" w:hAnsi="Arial"/>
                <w:sz w:val="13"/>
                <w:szCs w:val="13"/>
                <w:color w:val="auto"/>
              </w:rPr>
              <w:t>+8.5% operational growth compared to 2024*</w:t>
            </w:r>
          </w:p>
        </w:tc>
        <w:tc>
          <w:tcPr>
            <w:tcW w:w="120" w:type="dxa"/>
            <w:vAlign w:val="bottom"/>
            <w:tcBorders>
              <w:right w:val="single" w:sz="8" w:color="071D49"/>
            </w:tcBorders>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13"/>
                <w:szCs w:val="13"/>
                <w:color w:val="auto"/>
              </w:rPr>
              <w:t>+19.6% compared to 2024**</w:t>
            </w:r>
          </w:p>
        </w:tc>
        <w:tc>
          <w:tcPr>
            <w:tcW w:w="40" w:type="dxa"/>
            <w:vAlign w:val="bottom"/>
            <w:shd w:val="clear" w:color="auto" w:fill="071D49"/>
          </w:tcPr>
          <w:p>
            <w:pPr>
              <w:spacing w:after="0"/>
              <w:rPr>
                <w:sz w:val="13"/>
                <w:szCs w:val="13"/>
                <w:color w:val="auto"/>
              </w:rPr>
            </w:pPr>
          </w:p>
        </w:tc>
        <w:tc>
          <w:tcPr>
            <w:tcW w:w="260" w:type="dxa"/>
            <w:vAlign w:val="bottom"/>
            <w:gridSpan w:val="2"/>
          </w:tcPr>
          <w:p>
            <w:pPr>
              <w:spacing w:after="0"/>
              <w:rPr>
                <w:sz w:val="13"/>
                <w:szCs w:val="13"/>
                <w:color w:val="auto"/>
              </w:rPr>
            </w:pPr>
          </w:p>
        </w:tc>
        <w:tc>
          <w:tcPr>
            <w:tcW w:w="2720" w:type="dxa"/>
            <w:vAlign w:val="bottom"/>
          </w:tcPr>
          <w:p>
            <w:pPr>
              <w:jc w:val="center"/>
              <w:ind w:right="32"/>
              <w:spacing w:after="0"/>
              <w:rPr>
                <w:sz w:val="20"/>
                <w:szCs w:val="20"/>
                <w:color w:val="auto"/>
              </w:rPr>
            </w:pPr>
            <w:r>
              <w:rPr>
                <w:rFonts w:ascii="Arial" w:cs="Arial" w:eastAsia="Arial" w:hAnsi="Arial"/>
                <w:sz w:val="13"/>
                <w:szCs w:val="13"/>
                <w:color w:val="auto"/>
                <w:w w:val="98"/>
              </w:rPr>
              <w:t>in 2025</w:t>
            </w:r>
          </w:p>
        </w:tc>
        <w:tc>
          <w:tcPr>
            <w:tcW w:w="0" w:type="dxa"/>
            <w:vAlign w:val="bottom"/>
          </w:tcPr>
          <w:p>
            <w:pPr>
              <w:spacing w:after="0"/>
              <w:rPr>
                <w:sz w:val="1"/>
                <w:szCs w:val="1"/>
                <w:color w:val="auto"/>
              </w:rPr>
            </w:pPr>
          </w:p>
        </w:tc>
      </w:tr>
      <w:tr>
        <w:trPr>
          <w:trHeight w:val="177"/>
        </w:trPr>
        <w:tc>
          <w:tcPr>
            <w:tcW w:w="2960" w:type="dxa"/>
            <w:vAlign w:val="bottom"/>
            <w:tcBorders>
              <w:bottom w:val="single" w:sz="8" w:color="071D49"/>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tcBorders>
              <w:bottom w:val="single" w:sz="8" w:color="071D49"/>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071D49"/>
            </w:tcBorders>
          </w:tcPr>
          <w:p>
            <w:pPr>
              <w:spacing w:after="0"/>
              <w:rPr>
                <w:sz w:val="15"/>
                <w:szCs w:val="15"/>
                <w:color w:val="auto"/>
              </w:rPr>
            </w:pPr>
          </w:p>
        </w:tc>
        <w:tc>
          <w:tcPr>
            <w:tcW w:w="2720" w:type="dxa"/>
            <w:vAlign w:val="bottom"/>
            <w:tcBorders>
              <w:bottom w:val="single" w:sz="8" w:color="071D49"/>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Blockbuster Products</w:t>
            </w:r>
          </w:p>
        </w:tc>
        <w:tc>
          <w:tcPr>
            <w:tcW w:w="12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30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Adjusted R&amp;D Investment</w:t>
            </w:r>
          </w:p>
        </w:tc>
        <w:tc>
          <w:tcPr>
            <w:tcW w:w="4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720" w:type="dxa"/>
            <w:vAlign w:val="bottom"/>
            <w:vMerge w:val="restart"/>
          </w:tcPr>
          <w:p>
            <w:pPr>
              <w:jc w:val="center"/>
              <w:ind w:right="32"/>
              <w:spacing w:after="0"/>
              <w:rPr>
                <w:sz w:val="20"/>
                <w:szCs w:val="20"/>
                <w:color w:val="auto"/>
              </w:rPr>
            </w:pPr>
            <w:r>
              <w:rPr>
                <w:rFonts w:ascii="Arial" w:cs="Arial" w:eastAsia="Arial" w:hAnsi="Arial"/>
                <w:sz w:val="16"/>
                <w:szCs w:val="16"/>
                <w:b w:val="1"/>
                <w:bCs w:val="1"/>
                <w:color w:val="auto"/>
              </w:rPr>
              <w:t>Development Pipeline</w:t>
            </w:r>
          </w:p>
        </w:tc>
        <w:tc>
          <w:tcPr>
            <w:tcW w:w="0" w:type="dxa"/>
            <w:vAlign w:val="bottom"/>
          </w:tcPr>
          <w:p>
            <w:pPr>
              <w:spacing w:after="0"/>
              <w:rPr>
                <w:sz w:val="1"/>
                <w:szCs w:val="1"/>
                <w:color w:val="auto"/>
              </w:rPr>
            </w:pPr>
          </w:p>
        </w:tc>
      </w:tr>
      <w:tr>
        <w:trPr>
          <w:trHeight w:val="185"/>
        </w:trPr>
        <w:tc>
          <w:tcPr>
            <w:tcW w:w="29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vMerge w:val="continue"/>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77"/>
        </w:trPr>
        <w:tc>
          <w:tcPr>
            <w:tcW w:w="2960" w:type="dxa"/>
            <w:vAlign w:val="bottom"/>
          </w:tcPr>
          <w:p>
            <w:pPr>
              <w:jc w:val="right"/>
              <w:ind w:right="1012"/>
              <w:spacing w:after="0" w:line="676" w:lineRule="exact"/>
              <w:rPr>
                <w:sz w:val="20"/>
                <w:szCs w:val="20"/>
                <w:color w:val="auto"/>
              </w:rPr>
            </w:pPr>
            <w:r>
              <w:rPr>
                <w:rFonts w:ascii="Arial" w:cs="Arial" w:eastAsia="Arial" w:hAnsi="Arial"/>
                <w:sz w:val="59"/>
                <w:szCs w:val="59"/>
                <w:color w:val="071D49"/>
              </w:rPr>
              <w:t>12</w:t>
            </w:r>
          </w:p>
        </w:tc>
        <w:tc>
          <w:tcPr>
            <w:tcW w:w="120" w:type="dxa"/>
            <w:vAlign w:val="bottom"/>
            <w:tcBorders>
              <w:right w:val="single" w:sz="8" w:color="071D49"/>
            </w:tcBorders>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2"/>
          </w:tcPr>
          <w:p>
            <w:pPr>
              <w:jc w:val="center"/>
              <w:ind w:right="80"/>
              <w:spacing w:after="0" w:line="676" w:lineRule="exact"/>
              <w:rPr>
                <w:sz w:val="20"/>
                <w:szCs w:val="20"/>
                <w:color w:val="auto"/>
              </w:rPr>
            </w:pPr>
            <w:r>
              <w:rPr>
                <w:rFonts w:ascii="Arial" w:cs="Arial" w:eastAsia="Arial" w:hAnsi="Arial"/>
                <w:sz w:val="59"/>
                <w:szCs w:val="59"/>
                <w:color w:val="071D49"/>
              </w:rPr>
              <w:t>$13.8BN</w:t>
            </w:r>
          </w:p>
        </w:tc>
        <w:tc>
          <w:tcPr>
            <w:tcW w:w="40" w:type="dxa"/>
            <w:vAlign w:val="bottom"/>
            <w:shd w:val="clear" w:color="auto" w:fill="071D49"/>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Pr>
          <w:p>
            <w:pPr>
              <w:jc w:val="right"/>
              <w:ind w:right="792"/>
              <w:spacing w:after="0" w:line="676" w:lineRule="exact"/>
              <w:rPr>
                <w:sz w:val="20"/>
                <w:szCs w:val="20"/>
                <w:color w:val="auto"/>
              </w:rPr>
            </w:pPr>
            <w:r>
              <w:rPr>
                <w:rFonts w:ascii="Arial" w:cs="Arial" w:eastAsia="Arial" w:hAnsi="Arial"/>
                <w:sz w:val="59"/>
                <w:szCs w:val="59"/>
                <w:color w:val="071D49"/>
              </w:rPr>
              <w:t>~90</w:t>
            </w:r>
          </w:p>
        </w:tc>
        <w:tc>
          <w:tcPr>
            <w:tcW w:w="0" w:type="dxa"/>
            <w:vAlign w:val="bottom"/>
          </w:tcPr>
          <w:p>
            <w:pPr>
              <w:spacing w:after="0"/>
              <w:rPr>
                <w:sz w:val="1"/>
                <w:szCs w:val="1"/>
                <w:color w:val="auto"/>
              </w:rPr>
            </w:pPr>
          </w:p>
        </w:tc>
      </w:tr>
      <w:tr>
        <w:trPr>
          <w:trHeight w:val="173"/>
        </w:trPr>
        <w:tc>
          <w:tcPr>
            <w:tcW w:w="2960" w:type="dxa"/>
            <w:vAlign w:val="bottom"/>
          </w:tcPr>
          <w:p>
            <w:pPr>
              <w:jc w:val="center"/>
              <w:spacing w:after="0"/>
              <w:rPr>
                <w:sz w:val="20"/>
                <w:szCs w:val="20"/>
                <w:color w:val="auto"/>
              </w:rPr>
            </w:pPr>
            <w:r>
              <w:rPr>
                <w:rFonts w:ascii="Arial" w:cs="Arial" w:eastAsia="Arial" w:hAnsi="Arial"/>
                <w:sz w:val="13"/>
                <w:szCs w:val="13"/>
                <w:color w:val="auto"/>
              </w:rPr>
              <w:t>assets with 2025 net revenues &gt; $1.0BN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2"/>
          </w:tcPr>
          <w:p>
            <w:pPr>
              <w:jc w:val="center"/>
              <w:ind w:right="80"/>
              <w:spacing w:after="0"/>
              <w:rPr>
                <w:sz w:val="20"/>
                <w:szCs w:val="20"/>
                <w:color w:val="auto"/>
              </w:rPr>
            </w:pPr>
            <w:r>
              <w:rPr>
                <w:rFonts w:ascii="Arial" w:cs="Arial" w:eastAsia="Arial" w:hAnsi="Arial"/>
                <w:sz w:val="13"/>
                <w:szCs w:val="13"/>
                <w:color w:val="auto"/>
              </w:rPr>
              <w:t>a substantial increase compared to 2024*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auto"/>
              </w:rPr>
              <w:t>active clinical and device programs***</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The measures set forth in this table were calculated as of 12/31/2025.</w:t>
      </w:r>
    </w:p>
    <w:p>
      <w:pPr>
        <w:spacing w:after="0" w:line="146" w:lineRule="exact"/>
        <w:rPr>
          <w:sz w:val="20"/>
          <w:szCs w:val="20"/>
          <w:color w:val="auto"/>
        </w:rPr>
      </w:pPr>
    </w:p>
    <w:p>
      <w:pPr>
        <w:ind w:left="209" w:right="120" w:hanging="209"/>
        <w:spacing w:after="0" w:line="182" w:lineRule="auto"/>
        <w:tabs>
          <w:tab w:leader="none" w:pos="209" w:val="left"/>
        </w:tabs>
        <w:numPr>
          <w:ilvl w:val="0"/>
          <w:numId w:val="56"/>
        </w:numPr>
        <w:rPr>
          <w:rFonts w:ascii="Arial" w:cs="Arial" w:eastAsia="Arial" w:hAnsi="Arial"/>
          <w:sz w:val="20"/>
          <w:szCs w:val="20"/>
          <w:color w:val="auto"/>
          <w:vertAlign w:val="superscript"/>
        </w:rPr>
      </w:pPr>
      <w:r>
        <w:rPr>
          <w:rFonts w:ascii="Arial" w:cs="Arial" w:eastAsia="Arial" w:hAnsi="Arial"/>
          <w:sz w:val="13"/>
          <w:szCs w:val="13"/>
          <w:color w:val="auto"/>
        </w:rPr>
        <w:t>Reflects a non-GAAP measure and is adjusted for certain items, which are reconciled in Appendix B. Operational growth is presented at constant currency rates that reflect comparative local currency net revenues at the prior year’s foreign exchange rates.</w:t>
      </w:r>
    </w:p>
    <w:p>
      <w:pPr>
        <w:ind w:left="209" w:hanging="209"/>
        <w:spacing w:after="0" w:line="183" w:lineRule="auto"/>
        <w:tabs>
          <w:tab w:leader="none" w:pos="209" w:val="left"/>
        </w:tabs>
        <w:numPr>
          <w:ilvl w:val="0"/>
          <w:numId w:val="57"/>
        </w:numPr>
        <w:rPr>
          <w:rFonts w:ascii="Arial" w:cs="Arial" w:eastAsia="Arial" w:hAnsi="Arial"/>
          <w:sz w:val="19"/>
          <w:szCs w:val="19"/>
          <w:color w:val="auto"/>
          <w:vertAlign w:val="superscript"/>
        </w:rPr>
      </w:pPr>
      <w:r>
        <w:rPr>
          <w:rFonts w:ascii="Arial" w:cs="Arial" w:eastAsia="Arial" w:hAnsi="Arial"/>
          <w:sz w:val="12"/>
          <w:szCs w:val="12"/>
          <w:color w:val="auto"/>
        </w:rPr>
        <w:t>Growth Platform reflects total net revenues less Humira net revenues.</w:t>
      </w:r>
    </w:p>
    <w:p>
      <w:pPr>
        <w:ind w:left="209" w:hanging="209"/>
        <w:spacing w:after="0" w:line="197" w:lineRule="auto"/>
        <w:tabs>
          <w:tab w:leader="none" w:pos="209" w:val="left"/>
        </w:tabs>
        <w:numPr>
          <w:ilvl w:val="0"/>
          <w:numId w:val="58"/>
        </w:numPr>
        <w:rPr>
          <w:rFonts w:ascii="Arial" w:cs="Arial" w:eastAsia="Arial" w:hAnsi="Arial"/>
          <w:sz w:val="17"/>
          <w:szCs w:val="17"/>
          <w:color w:val="auto"/>
          <w:vertAlign w:val="superscript"/>
        </w:rPr>
      </w:pPr>
      <w:r>
        <w:rPr>
          <w:rFonts w:ascii="Arial" w:cs="Arial" w:eastAsia="Arial" w:hAnsi="Arial"/>
          <w:sz w:val="12"/>
          <w:szCs w:val="12"/>
          <w:color w:val="auto"/>
        </w:rPr>
        <w:t>Compounds, devices or indications in development individually or under collaboration or license agreements.</w:t>
      </w:r>
    </w:p>
    <w:p>
      <w:pPr>
        <w:spacing w:after="0" w:line="14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071D49"/>
        </w:rPr>
        <w:t>Strong operational execution</w:t>
      </w:r>
    </w:p>
    <w:p>
      <w:pPr>
        <w:spacing w:after="0" w:line="29" w:lineRule="exact"/>
        <w:rPr>
          <w:sz w:val="20"/>
          <w:szCs w:val="20"/>
          <w:color w:val="auto"/>
        </w:rPr>
      </w:pPr>
    </w:p>
    <w:p>
      <w:pPr>
        <w:ind w:left="549" w:right="340" w:hanging="303"/>
        <w:spacing w:after="0" w:line="250" w:lineRule="auto"/>
        <w:tabs>
          <w:tab w:leader="none" w:pos="549"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Total net revenues of $61.2 billion, driven by strong performance from our Growth Platform, exceeded their previous peak in just the second full year following the U.S. Humira loss of exclusivity (LOE).</w:t>
      </w:r>
    </w:p>
    <w:p>
      <w:pPr>
        <w:spacing w:after="0" w:line="1" w:lineRule="exact"/>
        <w:rPr>
          <w:rFonts w:ascii="Times New Roman" w:cs="Times New Roman" w:eastAsia="Times New Roman" w:hAnsi="Times New Roman"/>
          <w:sz w:val="16"/>
          <w:szCs w:val="16"/>
          <w:color w:val="auto"/>
        </w:rPr>
      </w:pPr>
    </w:p>
    <w:p>
      <w:pPr>
        <w:ind w:left="909" w:right="300" w:hanging="295"/>
        <w:spacing w:after="0" w:line="236" w:lineRule="auto"/>
        <w:rPr>
          <w:rFonts w:ascii="Times New Roman" w:cs="Times New Roman" w:eastAsia="Times New Roman" w:hAnsi="Times New Roman"/>
          <w:sz w:val="16"/>
          <w:szCs w:val="16"/>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Key asset performance drove Growth Platform net revenues of $56.6 billion, an increase of 19.6% compared to</w:t>
      </w:r>
      <w:r>
        <w:rPr>
          <w:rFonts w:ascii="Courier New" w:cs="Courier New" w:eastAsia="Courier New" w:hAnsi="Courier New"/>
          <w:sz w:val="16"/>
          <w:szCs w:val="16"/>
          <w:color w:val="auto"/>
        </w:rPr>
        <w:t xml:space="preserve"> </w:t>
      </w:r>
      <w:r>
        <w:rPr>
          <w:rFonts w:ascii="Arial" w:cs="Arial" w:eastAsia="Arial" w:hAnsi="Arial"/>
          <w:sz w:val="16"/>
          <w:szCs w:val="16"/>
          <w:color w:val="auto"/>
        </w:rPr>
        <w:t>2024.</w:t>
      </w:r>
    </w:p>
    <w:p>
      <w:pPr>
        <w:ind w:left="909" w:right="140" w:hanging="295"/>
        <w:spacing w:after="0" w:line="231" w:lineRule="auto"/>
        <w:rPr>
          <w:rFonts w:ascii="Times New Roman" w:cs="Times New Roman" w:eastAsia="Times New Roman" w:hAnsi="Times New Roman"/>
          <w:sz w:val="16"/>
          <w:szCs w:val="16"/>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AbbVie’s Growth Platform comprised 93% of total net revenues in 2025, with at least double-digit sales growth for</w:t>
      </w:r>
      <w:r>
        <w:rPr>
          <w:rFonts w:ascii="Courier New" w:cs="Courier New" w:eastAsia="Courier New" w:hAnsi="Courier New"/>
          <w:sz w:val="16"/>
          <w:szCs w:val="16"/>
          <w:color w:val="auto"/>
        </w:rPr>
        <w:t xml:space="preserve"> </w:t>
      </w:r>
      <w:r>
        <w:rPr>
          <w:rFonts w:ascii="Arial" w:cs="Arial" w:eastAsia="Arial" w:hAnsi="Arial"/>
          <w:sz w:val="16"/>
          <w:szCs w:val="16"/>
          <w:color w:val="auto"/>
        </w:rPr>
        <w:t>nine key assets, including growth of nearly 50% for Skyrizi and 40% for Rinvoq.</w:t>
      </w:r>
    </w:p>
    <w:p>
      <w:pPr>
        <w:ind w:left="549" w:right="800" w:hanging="291"/>
        <w:spacing w:after="0" w:line="250" w:lineRule="auto"/>
        <w:tabs>
          <w:tab w:leader="none" w:pos="549" w:val="left"/>
        </w:tabs>
        <w:numPr>
          <w:ilvl w:val="1"/>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Reported diluted EPS of $2.36 on a GAAP basis and adjusted diluted EPS of $10.00. See Appendix B for the reconciliation.</w:t>
      </w:r>
    </w:p>
    <w:p>
      <w:pPr>
        <w:spacing w:after="0" w:line="1" w:lineRule="exact"/>
        <w:rPr>
          <w:rFonts w:ascii="Times New Roman" w:cs="Times New Roman" w:eastAsia="Times New Roman" w:hAnsi="Times New Roman"/>
          <w:sz w:val="16"/>
          <w:szCs w:val="16"/>
          <w:color w:val="auto"/>
        </w:rPr>
      </w:pPr>
    </w:p>
    <w:p>
      <w:pPr>
        <w:ind w:left="549" w:hanging="291"/>
        <w:spacing w:after="0"/>
        <w:tabs>
          <w:tab w:leader="none" w:pos="549" w:val="left"/>
        </w:tabs>
        <w:numPr>
          <w:ilvl w:val="1"/>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Generated operating cash flow of $19.0 billion.</w:t>
      </w:r>
    </w:p>
    <w:p>
      <w:pPr>
        <w:spacing w:after="0" w:line="18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071D49"/>
        </w:rPr>
        <w:t>Advancing new medicines and strengthening our innovative R&amp;D pipeline</w:t>
      </w:r>
    </w:p>
    <w:p>
      <w:pPr>
        <w:spacing w:after="0" w:line="29" w:lineRule="exact"/>
        <w:rPr>
          <w:sz w:val="20"/>
          <w:szCs w:val="20"/>
          <w:color w:val="auto"/>
        </w:rPr>
      </w:pPr>
    </w:p>
    <w:p>
      <w:pPr>
        <w:ind w:left="549" w:right="340" w:hanging="291"/>
        <w:spacing w:after="0" w:line="245" w:lineRule="auto"/>
        <w:tabs>
          <w:tab w:leader="none" w:pos="549"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Achieved several significant regulatory approvals, including Rinvoq for the treatment of adults with giant cell arteritis (GCA); Epkinly in combination with rituximab and lenalidomide for the second line treatment of adults with follicular lymphoma (FL); and Emrelis for adults with previously treated advanced non-small cell lung cancer (NSCLC).</w:t>
      </w:r>
    </w:p>
    <w:p>
      <w:pPr>
        <w:spacing w:after="0" w:line="2" w:lineRule="exact"/>
        <w:rPr>
          <w:rFonts w:ascii="Times New Roman" w:cs="Times New Roman" w:eastAsia="Times New Roman" w:hAnsi="Times New Roman"/>
          <w:sz w:val="16"/>
          <w:szCs w:val="16"/>
          <w:color w:val="auto"/>
        </w:rPr>
      </w:pPr>
    </w:p>
    <w:p>
      <w:pPr>
        <w:ind w:left="549" w:right="220" w:hanging="291"/>
        <w:spacing w:after="0" w:line="245" w:lineRule="auto"/>
        <w:tabs>
          <w:tab w:leader="none" w:pos="549"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Submitted regulatory applications in key development programs, including tavapadon for the treatment of Parkinson’s disease (PD); trenibotulinumtoxinE for the treatment of moderate to severe glabellar lines; pivekimab sunirine for the treatment of blastic plasmacytoid dendritic cell neoplasm (BPDCN); and Aquipta for the acute treatment of adults with migraine across Europe.</w:t>
      </w:r>
    </w:p>
    <w:p>
      <w:pPr>
        <w:spacing w:after="0" w:line="2" w:lineRule="exact"/>
        <w:rPr>
          <w:rFonts w:ascii="Times New Roman" w:cs="Times New Roman" w:eastAsia="Times New Roman" w:hAnsi="Times New Roman"/>
          <w:sz w:val="16"/>
          <w:szCs w:val="16"/>
          <w:color w:val="auto"/>
        </w:rPr>
      </w:pPr>
    </w:p>
    <w:p>
      <w:pPr>
        <w:ind w:left="549" w:right="100" w:hanging="291"/>
        <w:spacing w:after="0" w:line="249" w:lineRule="auto"/>
        <w:tabs>
          <w:tab w:leader="none" w:pos="549"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Generated positive late-stage data across key assets, including Rinvoq in adult and adolescent patients with severe alopecia areata (AA); Rinvoq in adult and adolescent patients with non-segmental vitiligo (NSV); and Qulipta compared to topiramate for the preventive treatment of migraine in adult patients.</w:t>
      </w:r>
    </w:p>
    <w:p>
      <w:pPr>
        <w:spacing w:after="0" w:line="1" w:lineRule="exact"/>
        <w:rPr>
          <w:rFonts w:ascii="Times New Roman" w:cs="Times New Roman" w:eastAsia="Times New Roman" w:hAnsi="Times New Roman"/>
          <w:sz w:val="16"/>
          <w:szCs w:val="16"/>
          <w:color w:val="auto"/>
        </w:rPr>
      </w:pPr>
    </w:p>
    <w:p>
      <w:pPr>
        <w:ind w:left="549" w:right="320" w:hanging="291"/>
        <w:spacing w:after="0" w:line="251" w:lineRule="auto"/>
        <w:tabs>
          <w:tab w:leader="none" w:pos="549"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Strengthened our pipeline with business development, including execution of approximately fifteen collaborations, licensing agreements, or other asset acquisitions. These transactions, combined with the company’s commitment to invest in research and development, position AbbVie for continued long-term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-499745</wp:posOffset>
            </wp:positionV>
            <wp:extent cx="797560" cy="148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EXECUTIVE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Significant long-term value creation</w:t>
      </w:r>
    </w:p>
    <w:p>
      <w:pPr>
        <w:spacing w:after="0" w:line="185" w:lineRule="exact"/>
        <w:rPr>
          <w:sz w:val="20"/>
          <w:szCs w:val="20"/>
          <w:color w:val="auto"/>
        </w:rPr>
      </w:pPr>
    </w:p>
    <w:p>
      <w:pPr>
        <w:ind w:left="660"/>
        <w:spacing w:after="0"/>
        <w:tabs>
          <w:tab w:leader="none" w:pos="3920" w:val="left"/>
          <w:tab w:leader="none" w:pos="6820" w:val="left"/>
        </w:tabs>
        <w:rPr>
          <w:sz w:val="20"/>
          <w:szCs w:val="20"/>
          <w:color w:val="auto"/>
        </w:rPr>
      </w:pPr>
      <w:r>
        <w:rPr>
          <w:rFonts w:ascii="Arial" w:cs="Arial" w:eastAsia="Arial" w:hAnsi="Arial"/>
          <w:sz w:val="16"/>
          <w:szCs w:val="16"/>
          <w:b w:val="1"/>
          <w:bCs w:val="1"/>
          <w:color w:val="auto"/>
        </w:rPr>
        <w:t>Market Capitalization</w:t>
      </w:r>
      <w:r>
        <w:rPr>
          <w:sz w:val="20"/>
          <w:szCs w:val="20"/>
          <w:color w:val="auto"/>
        </w:rPr>
        <w:tab/>
      </w:r>
      <w:r>
        <w:rPr>
          <w:rFonts w:ascii="Arial" w:cs="Arial" w:eastAsia="Arial" w:hAnsi="Arial"/>
          <w:sz w:val="16"/>
          <w:szCs w:val="16"/>
          <w:b w:val="1"/>
          <w:bCs w:val="1"/>
          <w:color w:val="auto"/>
        </w:rPr>
        <w:t>Quarterly Dividend</w:t>
      </w:r>
      <w:r>
        <w:rPr>
          <w:sz w:val="20"/>
          <w:szCs w:val="20"/>
          <w:color w:val="auto"/>
        </w:rPr>
        <w:tab/>
      </w:r>
      <w:r>
        <w:rPr>
          <w:rFonts w:ascii="Arial" w:cs="Arial" w:eastAsia="Arial" w:hAnsi="Arial"/>
          <w:sz w:val="16"/>
          <w:szCs w:val="16"/>
          <w:b w:val="1"/>
          <w:bCs w:val="1"/>
          <w:color w:val="auto"/>
        </w:rPr>
        <w:t>Total Stockholder Return</w:t>
      </w:r>
    </w:p>
    <w:p>
      <w:pPr>
        <w:spacing w:after="0" w:line="114" w:lineRule="exact"/>
        <w:rPr>
          <w:sz w:val="20"/>
          <w:szCs w:val="20"/>
          <w:color w:val="auto"/>
        </w:rPr>
      </w:pPr>
    </w:p>
    <w:tbl>
      <w:tblPr>
        <w:tblLayout w:type="fixed"/>
        <w:tblInd w:w="240" w:type="dxa"/>
        <w:tblCellMar>
          <w:top w:w="0" w:type="dxa"/>
          <w:left w:w="0" w:type="dxa"/>
          <w:bottom w:w="0" w:type="dxa"/>
          <w:right w:w="0" w:type="dxa"/>
        </w:tblCellMar>
      </w:tblPr>
      <w:tr>
        <w:trPr>
          <w:trHeight w:val="678"/>
        </w:trPr>
        <w:tc>
          <w:tcPr>
            <w:tcW w:w="2840" w:type="dxa"/>
            <w:vAlign w:val="bottom"/>
            <w:tcBorders>
              <w:right w:val="single" w:sz="8" w:color="071D49"/>
            </w:tcBorders>
          </w:tcPr>
          <w:p>
            <w:pPr>
              <w:jc w:val="center"/>
              <w:ind w:right="212"/>
              <w:spacing w:after="0"/>
              <w:rPr>
                <w:sz w:val="20"/>
                <w:szCs w:val="20"/>
                <w:color w:val="auto"/>
              </w:rPr>
            </w:pPr>
            <w:r>
              <w:rPr>
                <w:rFonts w:ascii="Arial" w:cs="Arial" w:eastAsia="Arial" w:hAnsi="Arial"/>
                <w:sz w:val="59"/>
                <w:szCs w:val="59"/>
                <w:color w:val="071D49"/>
              </w:rPr>
              <w:t>+$309BN</w:t>
            </w:r>
          </w:p>
        </w:tc>
        <w:tc>
          <w:tcPr>
            <w:tcW w:w="3200" w:type="dxa"/>
            <w:vAlign w:val="bottom"/>
            <w:tcBorders>
              <w:right w:val="single" w:sz="8" w:color="071D49"/>
            </w:tcBorders>
          </w:tcPr>
          <w:p>
            <w:pPr>
              <w:jc w:val="center"/>
              <w:spacing w:after="0"/>
              <w:rPr>
                <w:sz w:val="20"/>
                <w:szCs w:val="20"/>
                <w:color w:val="auto"/>
              </w:rPr>
            </w:pPr>
            <w:r>
              <w:rPr>
                <w:rFonts w:ascii="Arial" w:cs="Arial" w:eastAsia="Arial" w:hAnsi="Arial"/>
                <w:sz w:val="59"/>
                <w:szCs w:val="59"/>
                <w:color w:val="071D49"/>
              </w:rPr>
              <w:t>+204%</w:t>
            </w:r>
          </w:p>
        </w:tc>
        <w:tc>
          <w:tcPr>
            <w:tcW w:w="2460" w:type="dxa"/>
            <w:vAlign w:val="bottom"/>
          </w:tcPr>
          <w:p>
            <w:pPr>
              <w:jc w:val="right"/>
              <w:spacing w:after="0"/>
              <w:rPr>
                <w:sz w:val="20"/>
                <w:szCs w:val="20"/>
                <w:color w:val="auto"/>
              </w:rPr>
            </w:pPr>
            <w:r>
              <w:rPr>
                <w:rFonts w:ascii="Arial" w:cs="Arial" w:eastAsia="Arial" w:hAnsi="Arial"/>
                <w:sz w:val="59"/>
                <w:szCs w:val="59"/>
                <w:color w:val="071D49"/>
              </w:rPr>
              <w:t>+485%</w:t>
            </w:r>
          </w:p>
        </w:tc>
      </w:tr>
      <w:tr>
        <w:trPr>
          <w:trHeight w:val="160"/>
        </w:trPr>
        <w:tc>
          <w:tcPr>
            <w:tcW w:w="2840" w:type="dxa"/>
            <w:vAlign w:val="bottom"/>
            <w:tcBorders>
              <w:right w:val="single" w:sz="8" w:color="auto"/>
            </w:tcBorders>
          </w:tcPr>
          <w:p>
            <w:pPr>
              <w:jc w:val="center"/>
              <w:ind w:right="212"/>
              <w:spacing w:after="0" w:line="160" w:lineRule="exact"/>
              <w:rPr>
                <w:sz w:val="20"/>
                <w:szCs w:val="20"/>
                <w:color w:val="auto"/>
              </w:rPr>
            </w:pPr>
            <w:r>
              <w:rPr>
                <w:rFonts w:ascii="Arial" w:cs="Arial" w:eastAsia="Arial" w:hAnsi="Arial"/>
                <w:sz w:val="15"/>
                <w:szCs w:val="15"/>
                <w:color w:val="auto"/>
                <w:w w:val="98"/>
              </w:rPr>
              <w:t>10-year increase, adding significant</w:t>
            </w:r>
          </w:p>
        </w:tc>
        <w:tc>
          <w:tcPr>
            <w:tcW w:w="3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5"/>
                <w:szCs w:val="15"/>
                <w:color w:val="auto"/>
                <w:w w:val="98"/>
              </w:rPr>
              <w:t>raised to $1.73 per share from $0.57 per</w:t>
            </w:r>
          </w:p>
        </w:tc>
        <w:tc>
          <w:tcPr>
            <w:tcW w:w="2460" w:type="dxa"/>
            <w:vAlign w:val="bottom"/>
          </w:tcPr>
          <w:p>
            <w:pPr>
              <w:jc w:val="center"/>
              <w:ind w:left="415"/>
              <w:spacing w:after="0" w:line="160" w:lineRule="exact"/>
              <w:rPr>
                <w:sz w:val="20"/>
                <w:szCs w:val="20"/>
                <w:color w:val="auto"/>
              </w:rPr>
            </w:pPr>
            <w:r>
              <w:rPr>
                <w:rFonts w:ascii="Arial" w:cs="Arial" w:eastAsia="Arial" w:hAnsi="Arial"/>
                <w:sz w:val="15"/>
                <w:szCs w:val="15"/>
                <w:color w:val="auto"/>
                <w:w w:val="99"/>
              </w:rPr>
              <w:t>over the last decade</w:t>
            </w:r>
          </w:p>
        </w:tc>
      </w:tr>
      <w:tr>
        <w:trPr>
          <w:trHeight w:val="185"/>
        </w:trPr>
        <w:tc>
          <w:tcPr>
            <w:tcW w:w="2840" w:type="dxa"/>
            <w:vAlign w:val="bottom"/>
            <w:tcBorders>
              <w:right w:val="single" w:sz="8" w:color="auto"/>
            </w:tcBorders>
          </w:tcPr>
          <w:p>
            <w:pPr>
              <w:jc w:val="center"/>
              <w:ind w:right="212"/>
              <w:spacing w:after="0"/>
              <w:rPr>
                <w:sz w:val="20"/>
                <w:szCs w:val="20"/>
                <w:color w:val="auto"/>
              </w:rPr>
            </w:pPr>
            <w:r>
              <w:rPr>
                <w:rFonts w:ascii="Arial" w:cs="Arial" w:eastAsia="Arial" w:hAnsi="Arial"/>
                <w:sz w:val="15"/>
                <w:szCs w:val="15"/>
                <w:color w:val="auto"/>
                <w:w w:val="99"/>
              </w:rPr>
              <w:t>stockholder value</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share over the last decade</w:t>
            </w:r>
          </w:p>
        </w:tc>
        <w:tc>
          <w:tcPr>
            <w:tcW w:w="24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587819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pacing w:after="0" w:line="194" w:lineRule="exact"/>
        <w:rPr>
          <w:sz w:val="20"/>
          <w:szCs w:val="20"/>
          <w:color w:val="auto"/>
        </w:rPr>
      </w:pPr>
    </w:p>
    <w:p>
      <w:pPr>
        <w:ind w:right="100"/>
        <w:spacing w:after="0" w:line="284" w:lineRule="auto"/>
        <w:rPr>
          <w:sz w:val="20"/>
          <w:szCs w:val="20"/>
          <w:color w:val="auto"/>
        </w:rPr>
      </w:pPr>
      <w:r>
        <w:rPr>
          <w:rFonts w:ascii="Arial" w:cs="Arial" w:eastAsia="Arial" w:hAnsi="Arial"/>
          <w:sz w:val="13"/>
          <w:szCs w:val="13"/>
          <w:b w:val="1"/>
          <w:bCs w:val="1"/>
          <w:color w:val="auto"/>
        </w:rPr>
        <w:t>The measures set forth in this table were calculated as of 12/31/2025 versus 12/31/2015. The quarterly dividend increase is calculated on a declared basis.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stockholder return (TSR)</w:t>
      </w:r>
    </w:p>
    <w:p>
      <w:pPr>
        <w:spacing w:after="0" w:line="29" w:lineRule="exact"/>
        <w:rPr>
          <w:sz w:val="20"/>
          <w:szCs w:val="20"/>
          <w:color w:val="auto"/>
        </w:rPr>
      </w:pPr>
    </w:p>
    <w:p>
      <w:pPr>
        <w:jc w:val="both"/>
        <w:ind w:right="180"/>
        <w:spacing w:after="0" w:line="251" w:lineRule="auto"/>
        <w:rPr>
          <w:sz w:val="20"/>
          <w:szCs w:val="20"/>
          <w:color w:val="auto"/>
        </w:rPr>
      </w:pPr>
      <w:r>
        <w:rPr>
          <w:rFonts w:ascii="Arial" w:cs="Arial" w:eastAsia="Arial" w:hAnsi="Arial"/>
          <w:sz w:val="16"/>
          <w:szCs w:val="16"/>
          <w:color w:val="auto"/>
        </w:rPr>
        <w:t>AbbVie has a track record of robust total stockholder returns, with strong performance relative to peers. Over the last decade, AbbVie’s TSR surpasses the cumulative total returns of the Standard &amp; Poor’s 500 Index and the NYSE Arca Pharmaceutical Index, as shown in the chart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Borders>
              <w:right w:val="single" w:sz="8" w:color="071D49"/>
            </w:tcBorders>
            <w:gridSpan w:val="2"/>
          </w:tcPr>
          <w:p>
            <w:pPr>
              <w:ind w:left="880"/>
              <w:spacing w:after="0"/>
              <w:rPr>
                <w:sz w:val="20"/>
                <w:szCs w:val="20"/>
                <w:color w:val="auto"/>
              </w:rPr>
            </w:pPr>
            <w:r>
              <w:rPr>
                <w:rFonts w:ascii="Arial" w:cs="Arial" w:eastAsia="Arial" w:hAnsi="Arial"/>
                <w:sz w:val="16"/>
                <w:szCs w:val="16"/>
                <w:b w:val="1"/>
                <w:bCs w:val="1"/>
                <w:color w:val="auto"/>
              </w:rPr>
              <w:t>1-Year</w:t>
            </w:r>
          </w:p>
        </w:tc>
        <w:tc>
          <w:tcPr>
            <w:tcW w:w="660" w:type="dxa"/>
            <w:vAlign w:val="bottom"/>
          </w:tcPr>
          <w:p>
            <w:pPr>
              <w:spacing w:after="0"/>
              <w:rPr>
                <w:sz w:val="16"/>
                <w:szCs w:val="16"/>
                <w:color w:val="auto"/>
              </w:rPr>
            </w:pPr>
          </w:p>
        </w:tc>
        <w:tc>
          <w:tcPr>
            <w:tcW w:w="1660" w:type="dxa"/>
            <w:vAlign w:val="bottom"/>
            <w:tcBorders>
              <w:right w:val="single" w:sz="8" w:color="071D49"/>
            </w:tcBorders>
            <w:gridSpan w:val="4"/>
          </w:tcPr>
          <w:p>
            <w:pPr>
              <w:jc w:val="center"/>
              <w:ind w:right="680"/>
              <w:spacing w:after="0"/>
              <w:rPr>
                <w:sz w:val="20"/>
                <w:szCs w:val="20"/>
                <w:color w:val="auto"/>
              </w:rPr>
            </w:pPr>
            <w:r>
              <w:rPr>
                <w:rFonts w:ascii="Arial" w:cs="Arial" w:eastAsia="Arial" w:hAnsi="Arial"/>
                <w:sz w:val="16"/>
                <w:szCs w:val="16"/>
                <w:b w:val="1"/>
                <w:bCs w:val="1"/>
                <w:color w:val="auto"/>
              </w:rPr>
              <w:t>3-Year</w:t>
            </w:r>
          </w:p>
        </w:tc>
        <w:tc>
          <w:tcPr>
            <w:tcW w:w="2320" w:type="dxa"/>
            <w:vAlign w:val="bottom"/>
            <w:tcBorders>
              <w:right w:val="single" w:sz="8" w:color="071D49"/>
            </w:tcBorders>
          </w:tcPr>
          <w:p>
            <w:pPr>
              <w:jc w:val="center"/>
              <w:spacing w:after="0"/>
              <w:rPr>
                <w:sz w:val="20"/>
                <w:szCs w:val="20"/>
                <w:color w:val="auto"/>
              </w:rPr>
            </w:pPr>
            <w:r>
              <w:rPr>
                <w:rFonts w:ascii="Arial" w:cs="Arial" w:eastAsia="Arial" w:hAnsi="Arial"/>
                <w:sz w:val="16"/>
                <w:szCs w:val="16"/>
                <w:b w:val="1"/>
                <w:bCs w:val="1"/>
                <w:color w:val="auto"/>
              </w:rPr>
              <w:t>5-Year</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rPr>
              <w:t>10-Year</w:t>
            </w:r>
          </w:p>
        </w:tc>
        <w:tc>
          <w:tcPr>
            <w:tcW w:w="0" w:type="dxa"/>
            <w:vAlign w:val="bottom"/>
          </w:tcPr>
          <w:p>
            <w:pPr>
              <w:spacing w:after="0"/>
              <w:rPr>
                <w:sz w:val="1"/>
                <w:szCs w:val="1"/>
                <w:color w:val="auto"/>
              </w:rPr>
            </w:pPr>
          </w:p>
        </w:tc>
      </w:tr>
      <w:tr>
        <w:trPr>
          <w:trHeight w:val="566"/>
        </w:trPr>
        <w:tc>
          <w:tcPr>
            <w:tcW w:w="2120" w:type="dxa"/>
            <w:vAlign w:val="bottom"/>
          </w:tcPr>
          <w:p>
            <w:pPr>
              <w:ind w:left="580"/>
              <w:spacing w:after="0"/>
              <w:rPr>
                <w:sz w:val="20"/>
                <w:szCs w:val="20"/>
                <w:color w:val="auto"/>
              </w:rPr>
            </w:pPr>
            <w:r>
              <w:rPr>
                <w:rFonts w:ascii="Arial" w:cs="Arial" w:eastAsia="Arial" w:hAnsi="Arial"/>
                <w:sz w:val="43"/>
                <w:szCs w:val="43"/>
                <w:color w:val="071D49"/>
              </w:rPr>
              <w:t>+33%</w:t>
            </w:r>
          </w:p>
        </w:tc>
        <w:tc>
          <w:tcPr>
            <w:tcW w:w="180" w:type="dxa"/>
            <w:vAlign w:val="bottom"/>
            <w:tcBorders>
              <w:right w:val="single" w:sz="8" w:color="071D49"/>
            </w:tcBorders>
          </w:tcPr>
          <w:p>
            <w:pPr>
              <w:spacing w:after="0"/>
              <w:rPr>
                <w:sz w:val="24"/>
                <w:szCs w:val="24"/>
                <w:color w:val="auto"/>
              </w:rPr>
            </w:pPr>
          </w:p>
        </w:tc>
        <w:tc>
          <w:tcPr>
            <w:tcW w:w="1940" w:type="dxa"/>
            <w:vAlign w:val="bottom"/>
            <w:gridSpan w:val="4"/>
          </w:tcPr>
          <w:p>
            <w:pPr>
              <w:jc w:val="right"/>
              <w:ind w:right="240"/>
              <w:spacing w:after="0"/>
              <w:rPr>
                <w:sz w:val="20"/>
                <w:szCs w:val="20"/>
                <w:color w:val="auto"/>
              </w:rPr>
            </w:pPr>
            <w:r>
              <w:rPr>
                <w:rFonts w:ascii="Arial" w:cs="Arial" w:eastAsia="Arial" w:hAnsi="Arial"/>
                <w:sz w:val="43"/>
                <w:szCs w:val="43"/>
                <w:color w:val="071D49"/>
              </w:rPr>
              <w:t>+58%</w:t>
            </w:r>
          </w:p>
        </w:tc>
        <w:tc>
          <w:tcPr>
            <w:tcW w:w="380" w:type="dxa"/>
            <w:vAlign w:val="bottom"/>
            <w:tcBorders>
              <w:right w:val="single" w:sz="8" w:color="071D49"/>
            </w:tcBorders>
          </w:tcPr>
          <w:p>
            <w:pPr>
              <w:spacing w:after="0"/>
              <w:rPr>
                <w:sz w:val="24"/>
                <w:szCs w:val="24"/>
                <w:color w:val="auto"/>
              </w:rPr>
            </w:pPr>
          </w:p>
        </w:tc>
        <w:tc>
          <w:tcPr>
            <w:tcW w:w="2320" w:type="dxa"/>
            <w:vAlign w:val="bottom"/>
            <w:tcBorders>
              <w:right w:val="single" w:sz="8" w:color="071D49"/>
            </w:tcBorders>
          </w:tcPr>
          <w:p>
            <w:pPr>
              <w:jc w:val="right"/>
              <w:ind w:right="374"/>
              <w:spacing w:after="0"/>
              <w:rPr>
                <w:sz w:val="20"/>
                <w:szCs w:val="20"/>
                <w:color w:val="auto"/>
              </w:rPr>
            </w:pPr>
            <w:r>
              <w:rPr>
                <w:rFonts w:ascii="Arial" w:cs="Arial" w:eastAsia="Arial" w:hAnsi="Arial"/>
                <w:sz w:val="43"/>
                <w:szCs w:val="43"/>
                <w:color w:val="071D49"/>
              </w:rPr>
              <w:t>+159%</w:t>
            </w:r>
          </w:p>
        </w:tc>
        <w:tc>
          <w:tcPr>
            <w:tcW w:w="2320" w:type="dxa"/>
            <w:vAlign w:val="bottom"/>
          </w:tcPr>
          <w:p>
            <w:pPr>
              <w:jc w:val="right"/>
              <w:ind w:right="352"/>
              <w:spacing w:after="0"/>
              <w:rPr>
                <w:sz w:val="20"/>
                <w:szCs w:val="20"/>
                <w:color w:val="auto"/>
              </w:rPr>
            </w:pPr>
            <w:r>
              <w:rPr>
                <w:rFonts w:ascii="Arial" w:cs="Arial" w:eastAsia="Arial" w:hAnsi="Arial"/>
                <w:sz w:val="43"/>
                <w:szCs w:val="43"/>
                <w:color w:val="071D49"/>
              </w:rPr>
              <w:t>+485%</w:t>
            </w:r>
          </w:p>
        </w:tc>
        <w:tc>
          <w:tcPr>
            <w:tcW w:w="0" w:type="dxa"/>
            <w:vAlign w:val="bottom"/>
          </w:tcPr>
          <w:p>
            <w:pPr>
              <w:spacing w:after="0"/>
              <w:rPr>
                <w:sz w:val="1"/>
                <w:szCs w:val="1"/>
                <w:color w:val="auto"/>
              </w:rPr>
            </w:pPr>
          </w:p>
        </w:tc>
      </w:tr>
      <w:tr>
        <w:trPr>
          <w:trHeight w:val="259"/>
        </w:trPr>
        <w:tc>
          <w:tcPr>
            <w:tcW w:w="2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120" w:type="dxa"/>
            <w:vAlign w:val="bottom"/>
            <w:shd w:val="clear" w:color="auto" w:fill="071D49"/>
          </w:tcPr>
          <w:p>
            <w:pPr>
              <w:spacing w:after="0"/>
              <w:rPr>
                <w:sz w:val="23"/>
                <w:szCs w:val="23"/>
                <w:color w:val="auto"/>
              </w:rPr>
            </w:pPr>
          </w:p>
        </w:tc>
        <w:tc>
          <w:tcPr>
            <w:tcW w:w="180" w:type="dxa"/>
            <w:vAlign w:val="bottom"/>
            <w:tcBorders>
              <w:right w:val="single" w:sz="8" w:color="071D49"/>
            </w:tcBorders>
            <w:shd w:val="clear" w:color="auto" w:fill="071D49"/>
          </w:tcPr>
          <w:p>
            <w:pPr>
              <w:spacing w:after="0"/>
              <w:rPr>
                <w:sz w:val="23"/>
                <w:szCs w:val="23"/>
                <w:color w:val="auto"/>
              </w:rPr>
            </w:pPr>
          </w:p>
        </w:tc>
        <w:tc>
          <w:tcPr>
            <w:tcW w:w="4640" w:type="dxa"/>
            <w:vAlign w:val="bottom"/>
            <w:tcBorders>
              <w:right w:val="single" w:sz="8" w:color="071D49"/>
            </w:tcBorders>
            <w:gridSpan w:val="6"/>
            <w:shd w:val="clear" w:color="auto" w:fill="071D49"/>
          </w:tcPr>
          <w:p>
            <w:pPr>
              <w:ind w:left="380"/>
              <w:spacing w:after="0"/>
              <w:rPr>
                <w:sz w:val="20"/>
                <w:szCs w:val="20"/>
                <w:color w:val="auto"/>
              </w:rPr>
            </w:pPr>
            <w:r>
              <w:rPr>
                <w:rFonts w:ascii="Arial" w:cs="Arial" w:eastAsia="Arial" w:hAnsi="Arial"/>
                <w:sz w:val="23"/>
                <w:szCs w:val="23"/>
                <w:b w:val="1"/>
                <w:bCs w:val="1"/>
                <w:color w:val="FFFFFF"/>
              </w:rPr>
              <w:t>AbbVie’s Relative TSR Performance</w:t>
            </w:r>
          </w:p>
        </w:tc>
        <w:tc>
          <w:tcPr>
            <w:tcW w:w="2320" w:type="dxa"/>
            <w:vAlign w:val="bottom"/>
            <w:shd w:val="clear" w:color="auto" w:fill="071D49"/>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620" w:type="dxa"/>
            <w:vAlign w:val="bottom"/>
            <w:gridSpan w:val="7"/>
          </w:tcPr>
          <w:p>
            <w:pPr>
              <w:ind w:left="920"/>
              <w:spacing w:after="0"/>
              <w:rPr>
                <w:sz w:val="20"/>
                <w:szCs w:val="20"/>
                <w:color w:val="auto"/>
              </w:rPr>
            </w:pPr>
            <w:r>
              <w:rPr>
                <w:rFonts w:ascii="Arial" w:cs="Arial" w:eastAsia="Arial" w:hAnsi="Arial"/>
                <w:sz w:val="16"/>
                <w:szCs w:val="16"/>
                <w:b w:val="1"/>
                <w:bCs w:val="1"/>
                <w:color w:val="auto"/>
              </w:rPr>
              <w:t>Versus Peer Group (Multi-Year)</w:t>
            </w:r>
          </w:p>
        </w:tc>
        <w:tc>
          <w:tcPr>
            <w:tcW w:w="4640" w:type="dxa"/>
            <w:vAlign w:val="bottom"/>
            <w:gridSpan w:val="2"/>
          </w:tcPr>
          <w:p>
            <w:pPr>
              <w:ind w:left="1260"/>
              <w:spacing w:after="0"/>
              <w:rPr>
                <w:sz w:val="20"/>
                <w:szCs w:val="20"/>
                <w:color w:val="auto"/>
              </w:rPr>
            </w:pPr>
            <w:r>
              <w:rPr>
                <w:rFonts w:ascii="Arial" w:cs="Arial" w:eastAsia="Arial" w:hAnsi="Arial"/>
                <w:sz w:val="16"/>
                <w:szCs w:val="16"/>
                <w:b w:val="1"/>
                <w:bCs w:val="1"/>
                <w:color w:val="auto"/>
              </w:rPr>
              <w:t>Versus Select Indices (10-Year)</w:t>
            </w:r>
          </w:p>
        </w:tc>
        <w:tc>
          <w:tcPr>
            <w:tcW w:w="0" w:type="dxa"/>
            <w:vAlign w:val="bottom"/>
          </w:tcPr>
          <w:p>
            <w:pPr>
              <w:spacing w:after="0"/>
              <w:rPr>
                <w:sz w:val="1"/>
                <w:szCs w:val="1"/>
                <w:color w:val="auto"/>
              </w:rPr>
            </w:pPr>
          </w:p>
        </w:tc>
      </w:tr>
      <w:tr>
        <w:trPr>
          <w:trHeight w:val="75"/>
        </w:trPr>
        <w:tc>
          <w:tcPr>
            <w:tcW w:w="2120" w:type="dxa"/>
            <w:vAlign w:val="bottom"/>
            <w:vMerge w:val="restart"/>
          </w:tcPr>
          <w:p>
            <w:pPr>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21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Borders>
              <w:right w:val="single" w:sz="8" w:color="071D49"/>
            </w:tcBorders>
          </w:tcPr>
          <w:p>
            <w:pPr>
              <w:spacing w:after="0"/>
              <w:rPr>
                <w:sz w:val="21"/>
                <w:szCs w:val="21"/>
                <w:color w:val="auto"/>
              </w:rPr>
            </w:pPr>
          </w:p>
        </w:tc>
        <w:tc>
          <w:tcPr>
            <w:tcW w:w="2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071D49"/>
          </w:tcPr>
          <w:p>
            <w:pPr>
              <w:spacing w:after="0"/>
              <w:rPr>
                <w:sz w:val="16"/>
                <w:szCs w:val="16"/>
                <w:color w:val="auto"/>
              </w:rPr>
            </w:pPr>
          </w:p>
        </w:tc>
        <w:tc>
          <w:tcPr>
            <w:tcW w:w="180" w:type="dxa"/>
            <w:vAlign w:val="bottom"/>
            <w:tcBorders>
              <w:right w:val="single" w:sz="8" w:color="BFBFBF"/>
            </w:tcBorders>
            <w:shd w:val="clear" w:color="auto" w:fill="BFBFBF"/>
          </w:tcPr>
          <w:p>
            <w:pPr>
              <w:spacing w:after="0"/>
              <w:rPr>
                <w:sz w:val="16"/>
                <w:szCs w:val="16"/>
                <w:color w:val="auto"/>
              </w:rPr>
            </w:pPr>
          </w:p>
        </w:tc>
        <w:tc>
          <w:tcPr>
            <w:tcW w:w="660" w:type="dxa"/>
            <w:vAlign w:val="bottom"/>
            <w:shd w:val="clear" w:color="auto" w:fill="BFBFBF"/>
          </w:tcPr>
          <w:p>
            <w:pPr>
              <w:spacing w:after="0"/>
              <w:rPr>
                <w:sz w:val="16"/>
                <w:szCs w:val="16"/>
                <w:color w:val="auto"/>
              </w:rPr>
            </w:pPr>
          </w:p>
        </w:tc>
        <w:tc>
          <w:tcPr>
            <w:tcW w:w="440" w:type="dxa"/>
            <w:vAlign w:val="bottom"/>
            <w:shd w:val="clear" w:color="auto" w:fill="BFBFBF"/>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80" w:type="dxa"/>
            <w:vAlign w:val="bottom"/>
            <w:tcBorders>
              <w:right w:val="single" w:sz="8" w:color="071D49"/>
            </w:tcBorders>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2120" w:type="dxa"/>
            <w:vAlign w:val="bottom"/>
          </w:tcPr>
          <w:p>
            <w:pPr>
              <w:spacing w:after="0"/>
              <w:rPr>
                <w:sz w:val="20"/>
                <w:szCs w:val="20"/>
                <w:color w:val="auto"/>
              </w:rPr>
            </w:pPr>
            <w:r>
              <w:rPr>
                <w:rFonts w:ascii="Arial" w:cs="Arial" w:eastAsia="Arial" w:hAnsi="Arial"/>
                <w:sz w:val="26"/>
                <w:szCs w:val="26"/>
                <w:b w:val="1"/>
                <w:bCs w:val="1"/>
                <w:color w:val="071D49"/>
              </w:rPr>
              <w:t>6</w:t>
            </w:r>
            <w:r>
              <w:rPr>
                <w:rFonts w:ascii="Arial" w:cs="Arial" w:eastAsia="Arial" w:hAnsi="Arial"/>
                <w:sz w:val="39"/>
                <w:szCs w:val="39"/>
                <w:b w:val="1"/>
                <w:bCs w:val="1"/>
                <w:color w:val="071D49"/>
                <w:vertAlign w:val="superscript"/>
              </w:rPr>
              <w:t>th</w:t>
            </w:r>
            <w:r>
              <w:rPr>
                <w:rFonts w:ascii="Arial" w:cs="Arial" w:eastAsia="Arial" w:hAnsi="Arial"/>
                <w:sz w:val="26"/>
                <w:szCs w:val="26"/>
                <w:b w:val="1"/>
                <w:bCs w:val="1"/>
                <w:color w:val="071D49"/>
              </w:rPr>
              <w:t xml:space="preserve"> </w:t>
            </w:r>
            <w:r>
              <w:rPr>
                <w:rFonts w:ascii="Arial" w:cs="Arial" w:eastAsia="Arial" w:hAnsi="Arial"/>
                <w:sz w:val="16"/>
                <w:szCs w:val="16"/>
                <w:color w:val="000000"/>
              </w:rPr>
              <w:t>place out of 10</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Borders>
              <w:right w:val="single" w:sz="8" w:color="071D49"/>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3 Years</w:t>
            </w: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right w:val="single" w:sz="8" w:color="071D49"/>
            </w:tcBorders>
          </w:tcPr>
          <w:p>
            <w:pPr>
              <w:spacing w:after="0"/>
              <w:rPr>
                <w:sz w:val="19"/>
                <w:szCs w:val="19"/>
                <w:color w:val="auto"/>
              </w:rPr>
            </w:pPr>
          </w:p>
        </w:tc>
        <w:tc>
          <w:tcPr>
            <w:tcW w:w="23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300" w:type="dxa"/>
            <w:vAlign w:val="bottom"/>
            <w:tcBorders>
              <w:right w:val="single" w:sz="8" w:color="071D49"/>
            </w:tcBorders>
            <w:gridSpan w:val="2"/>
            <w:shd w:val="clear" w:color="auto" w:fill="071D49"/>
          </w:tcPr>
          <w:p>
            <w:pPr>
              <w:spacing w:after="0"/>
              <w:rPr>
                <w:sz w:val="16"/>
                <w:szCs w:val="16"/>
                <w:color w:val="auto"/>
              </w:rPr>
            </w:pPr>
          </w:p>
        </w:tc>
        <w:tc>
          <w:tcPr>
            <w:tcW w:w="660" w:type="dxa"/>
            <w:vAlign w:val="bottom"/>
            <w:shd w:val="clear" w:color="auto" w:fill="071D49"/>
          </w:tcPr>
          <w:p>
            <w:pPr>
              <w:spacing w:after="0"/>
              <w:rPr>
                <w:sz w:val="16"/>
                <w:szCs w:val="16"/>
                <w:color w:val="auto"/>
              </w:rPr>
            </w:pPr>
          </w:p>
        </w:tc>
        <w:tc>
          <w:tcPr>
            <w:tcW w:w="440" w:type="dxa"/>
            <w:vAlign w:val="bottom"/>
            <w:shd w:val="clear" w:color="auto" w:fill="BFBFBF"/>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80" w:type="dxa"/>
            <w:vAlign w:val="bottom"/>
            <w:tcBorders>
              <w:right w:val="single" w:sz="8" w:color="071D49"/>
            </w:tcBorders>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2300" w:type="dxa"/>
            <w:vAlign w:val="bottom"/>
            <w:gridSpan w:val="2"/>
          </w:tcPr>
          <w:p>
            <w:pPr>
              <w:spacing w:after="0"/>
              <w:rPr>
                <w:sz w:val="20"/>
                <w:szCs w:val="20"/>
                <w:color w:val="auto"/>
              </w:rPr>
            </w:pPr>
            <w:r>
              <w:rPr>
                <w:rFonts w:ascii="Arial" w:cs="Arial" w:eastAsia="Arial" w:hAnsi="Arial"/>
                <w:sz w:val="26"/>
                <w:szCs w:val="26"/>
                <w:b w:val="1"/>
                <w:bCs w:val="1"/>
                <w:color w:val="071D49"/>
              </w:rPr>
              <w:t>4</w:t>
            </w:r>
            <w:r>
              <w:rPr>
                <w:rFonts w:ascii="Arial" w:cs="Arial" w:eastAsia="Arial" w:hAnsi="Arial"/>
                <w:sz w:val="39"/>
                <w:szCs w:val="39"/>
                <w:b w:val="1"/>
                <w:bCs w:val="1"/>
                <w:color w:val="071D49"/>
                <w:vertAlign w:val="superscript"/>
              </w:rPr>
              <w:t>th</w:t>
            </w:r>
            <w:r>
              <w:rPr>
                <w:rFonts w:ascii="Arial" w:cs="Arial" w:eastAsia="Arial" w:hAnsi="Arial"/>
                <w:sz w:val="26"/>
                <w:szCs w:val="26"/>
                <w:b w:val="1"/>
                <w:bCs w:val="1"/>
                <w:color w:val="071D49"/>
              </w:rPr>
              <w:t xml:space="preserve"> </w:t>
            </w:r>
            <w:r>
              <w:rPr>
                <w:rFonts w:ascii="Arial" w:cs="Arial" w:eastAsia="Arial" w:hAnsi="Arial"/>
                <w:sz w:val="16"/>
                <w:szCs w:val="16"/>
                <w:color w:val="000000"/>
              </w:rPr>
              <w:t>place out of 10</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Borders>
              <w:right w:val="single" w:sz="8" w:color="071D49"/>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5 Years</w:t>
            </w: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right w:val="single" w:sz="8" w:color="071D49"/>
            </w:tcBorders>
          </w:tcPr>
          <w:p>
            <w:pPr>
              <w:spacing w:after="0"/>
              <w:rPr>
                <w:sz w:val="19"/>
                <w:szCs w:val="19"/>
                <w:color w:val="auto"/>
              </w:rPr>
            </w:pPr>
          </w:p>
        </w:tc>
        <w:tc>
          <w:tcPr>
            <w:tcW w:w="23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300" w:type="dxa"/>
            <w:vAlign w:val="bottom"/>
            <w:tcBorders>
              <w:right w:val="single" w:sz="8" w:color="071D49"/>
            </w:tcBorders>
            <w:gridSpan w:val="2"/>
            <w:shd w:val="clear" w:color="auto" w:fill="071D49"/>
          </w:tcPr>
          <w:p>
            <w:pPr>
              <w:spacing w:after="0"/>
              <w:rPr>
                <w:sz w:val="16"/>
                <w:szCs w:val="16"/>
                <w:color w:val="auto"/>
              </w:rPr>
            </w:pPr>
          </w:p>
        </w:tc>
        <w:tc>
          <w:tcPr>
            <w:tcW w:w="660" w:type="dxa"/>
            <w:vAlign w:val="bottom"/>
            <w:shd w:val="clear" w:color="auto" w:fill="071D49"/>
          </w:tcPr>
          <w:p>
            <w:pPr>
              <w:spacing w:after="0"/>
              <w:rPr>
                <w:sz w:val="16"/>
                <w:szCs w:val="16"/>
                <w:color w:val="auto"/>
              </w:rPr>
            </w:pPr>
          </w:p>
        </w:tc>
        <w:tc>
          <w:tcPr>
            <w:tcW w:w="440" w:type="dxa"/>
            <w:vAlign w:val="bottom"/>
            <w:shd w:val="clear" w:color="auto" w:fill="071D49"/>
          </w:tcPr>
          <w:p>
            <w:pPr>
              <w:spacing w:after="0"/>
              <w:rPr>
                <w:sz w:val="16"/>
                <w:szCs w:val="16"/>
                <w:color w:val="auto"/>
              </w:rPr>
            </w:pPr>
          </w:p>
        </w:tc>
        <w:tc>
          <w:tcPr>
            <w:tcW w:w="420" w:type="dxa"/>
            <w:vAlign w:val="bottom"/>
            <w:shd w:val="clear" w:color="auto" w:fill="002060"/>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80" w:type="dxa"/>
            <w:vAlign w:val="bottom"/>
            <w:tcBorders>
              <w:right w:val="single" w:sz="8" w:color="071D49"/>
            </w:tcBorders>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9"/>
        </w:trPr>
        <w:tc>
          <w:tcPr>
            <w:tcW w:w="2300" w:type="dxa"/>
            <w:vAlign w:val="bottom"/>
            <w:gridSpan w:val="2"/>
          </w:tcPr>
          <w:p>
            <w:pPr>
              <w:spacing w:after="0" w:line="369" w:lineRule="exact"/>
              <w:rPr>
                <w:sz w:val="20"/>
                <w:szCs w:val="20"/>
                <w:color w:val="auto"/>
              </w:rPr>
            </w:pPr>
            <w:r>
              <w:rPr>
                <w:rFonts w:ascii="Arial" w:cs="Arial" w:eastAsia="Arial" w:hAnsi="Arial"/>
                <w:sz w:val="26"/>
                <w:szCs w:val="26"/>
                <w:b w:val="1"/>
                <w:bCs w:val="1"/>
                <w:color w:val="071D49"/>
              </w:rPr>
              <w:t>2</w:t>
            </w:r>
            <w:r>
              <w:rPr>
                <w:rFonts w:ascii="Arial" w:cs="Arial" w:eastAsia="Arial" w:hAnsi="Arial"/>
                <w:sz w:val="39"/>
                <w:szCs w:val="39"/>
                <w:b w:val="1"/>
                <w:bCs w:val="1"/>
                <w:color w:val="071D49"/>
                <w:vertAlign w:val="superscript"/>
              </w:rPr>
              <w:t>nd</w:t>
            </w:r>
            <w:r>
              <w:rPr>
                <w:rFonts w:ascii="Arial" w:cs="Arial" w:eastAsia="Arial" w:hAnsi="Arial"/>
                <w:sz w:val="26"/>
                <w:szCs w:val="26"/>
                <w:b w:val="1"/>
                <w:bCs w:val="1"/>
                <w:color w:val="071D49"/>
              </w:rPr>
              <w:t xml:space="preserve"> </w:t>
            </w:r>
            <w:r>
              <w:rPr>
                <w:rFonts w:ascii="Arial" w:cs="Arial" w:eastAsia="Arial" w:hAnsi="Arial"/>
                <w:sz w:val="16"/>
                <w:szCs w:val="16"/>
                <w:color w:val="000000"/>
              </w:rPr>
              <w:t>place out of 10</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Borders>
              <w:right w:val="single" w:sz="8" w:color="071D49"/>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10 Years</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071D49"/>
          </w:tcPr>
          <w:p>
            <w:pPr>
              <w:spacing w:after="0"/>
              <w:rPr>
                <w:sz w:val="16"/>
                <w:szCs w:val="16"/>
                <w:color w:val="auto"/>
              </w:rPr>
            </w:pPr>
          </w:p>
        </w:tc>
        <w:tc>
          <w:tcPr>
            <w:tcW w:w="180" w:type="dxa"/>
            <w:vAlign w:val="bottom"/>
            <w:tcBorders>
              <w:right w:val="single" w:sz="8" w:color="071D49"/>
            </w:tcBorders>
            <w:shd w:val="clear" w:color="auto" w:fill="071D49"/>
          </w:tcPr>
          <w:p>
            <w:pPr>
              <w:spacing w:after="0"/>
              <w:rPr>
                <w:sz w:val="16"/>
                <w:szCs w:val="16"/>
                <w:color w:val="auto"/>
              </w:rPr>
            </w:pPr>
          </w:p>
        </w:tc>
        <w:tc>
          <w:tcPr>
            <w:tcW w:w="660" w:type="dxa"/>
            <w:vAlign w:val="bottom"/>
            <w:shd w:val="clear" w:color="auto" w:fill="071D49"/>
          </w:tcPr>
          <w:p>
            <w:pPr>
              <w:spacing w:after="0"/>
              <w:rPr>
                <w:sz w:val="16"/>
                <w:szCs w:val="16"/>
                <w:color w:val="auto"/>
              </w:rPr>
            </w:pPr>
          </w:p>
        </w:tc>
        <w:tc>
          <w:tcPr>
            <w:tcW w:w="440" w:type="dxa"/>
            <w:vAlign w:val="bottom"/>
            <w:shd w:val="clear" w:color="auto" w:fill="071D49"/>
          </w:tcPr>
          <w:p>
            <w:pPr>
              <w:spacing w:after="0"/>
              <w:rPr>
                <w:sz w:val="16"/>
                <w:szCs w:val="16"/>
                <w:color w:val="auto"/>
              </w:rPr>
            </w:pPr>
          </w:p>
        </w:tc>
        <w:tc>
          <w:tcPr>
            <w:tcW w:w="420" w:type="dxa"/>
            <w:vAlign w:val="bottom"/>
            <w:shd w:val="clear" w:color="auto" w:fill="071D49"/>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-1891030</wp:posOffset>
            </wp:positionV>
            <wp:extent cx="5643880" cy="21259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43880" cy="2125980"/>
                    </a:xfrm>
                    <a:prstGeom prst="rect">
                      <a:avLst/>
                    </a:prstGeom>
                    <a:noFill/>
                  </pic:spPr>
                </pic:pic>
              </a:graphicData>
            </a:graphic>
          </wp:anchor>
        </w:drawing>
      </w:r>
    </w:p>
    <w:p>
      <w:pPr>
        <w:spacing w:after="0"/>
        <w:rPr>
          <w:sz w:val="20"/>
          <w:szCs w:val="20"/>
          <w:color w:val="auto"/>
        </w:rPr>
      </w:pPr>
      <w:r>
        <w:rPr>
          <w:rFonts w:ascii="Arial" w:cs="Arial" w:eastAsia="Arial" w:hAnsi="Arial"/>
          <w:sz w:val="26"/>
          <w:szCs w:val="26"/>
          <w:b w:val="1"/>
          <w:bCs w:val="1"/>
          <w:color w:val="071D49"/>
        </w:rPr>
        <w:t>2</w:t>
      </w:r>
      <w:r>
        <w:rPr>
          <w:rFonts w:ascii="Arial" w:cs="Arial" w:eastAsia="Arial" w:hAnsi="Arial"/>
          <w:sz w:val="39"/>
          <w:szCs w:val="39"/>
          <w:b w:val="1"/>
          <w:bCs w:val="1"/>
          <w:color w:val="071D49"/>
          <w:vertAlign w:val="superscript"/>
        </w:rPr>
        <w:t>nd</w:t>
      </w:r>
      <w:r>
        <w:rPr>
          <w:rFonts w:ascii="Arial" w:cs="Arial" w:eastAsia="Arial" w:hAnsi="Arial"/>
          <w:sz w:val="26"/>
          <w:szCs w:val="26"/>
          <w:b w:val="1"/>
          <w:bCs w:val="1"/>
          <w:color w:val="071D49"/>
        </w:rPr>
        <w:t xml:space="preserve"> </w:t>
      </w:r>
      <w:r>
        <w:rPr>
          <w:rFonts w:ascii="Arial" w:cs="Arial" w:eastAsia="Arial" w:hAnsi="Arial"/>
          <w:sz w:val="16"/>
          <w:szCs w:val="16"/>
          <w:color w:val="000000"/>
        </w:rPr>
        <w:t>place out of 10</w:t>
      </w:r>
    </w:p>
    <w:p>
      <w:pPr>
        <w:spacing w:after="0" w:line="36" w:lineRule="exact"/>
        <w:rPr>
          <w:sz w:val="20"/>
          <w:szCs w:val="20"/>
          <w:color w:val="auto"/>
        </w:rPr>
      </w:pPr>
    </w:p>
    <w:p>
      <w:pPr>
        <w:ind w:right="460"/>
        <w:spacing w:after="0" w:line="255" w:lineRule="auto"/>
        <w:rPr>
          <w:sz w:val="20"/>
          <w:szCs w:val="20"/>
          <w:color w:val="auto"/>
        </w:rPr>
      </w:pPr>
      <w:r>
        <w:rPr>
          <w:rFonts w:ascii="Arial" w:cs="Arial" w:eastAsia="Arial" w:hAnsi="Arial"/>
          <w:sz w:val="13"/>
          <w:szCs w:val="13"/>
          <w:b w:val="1"/>
          <w:bCs w:val="1"/>
          <w:color w:val="auto"/>
        </w:rPr>
        <w:t xml:space="preserve">AbbVie’s peer group above includes: </w:t>
      </w:r>
      <w:r>
        <w:rPr>
          <w:rFonts w:ascii="Arial" w:cs="Arial" w:eastAsia="Arial" w:hAnsi="Arial"/>
          <w:sz w:val="13"/>
          <w:szCs w:val="13"/>
          <w:color w:val="auto"/>
        </w:rPr>
        <w:t>Amgen, Inc; Bristol-Myers Squibb Company; Eli Lilly and Company; Gilead Sciences, Inc.; GlaxoSmithKline plc;</w:t>
      </w:r>
      <w:r>
        <w:rPr>
          <w:rFonts w:ascii="Arial" w:cs="Arial" w:eastAsia="Arial" w:hAnsi="Arial"/>
          <w:sz w:val="13"/>
          <w:szCs w:val="13"/>
          <w:b w:val="1"/>
          <w:bCs w:val="1"/>
          <w:color w:val="auto"/>
        </w:rPr>
        <w:t xml:space="preserve"> </w:t>
      </w:r>
      <w:r>
        <w:rPr>
          <w:rFonts w:ascii="Arial" w:cs="Arial" w:eastAsia="Arial" w:hAnsi="Arial"/>
          <w:sz w:val="13"/>
          <w:szCs w:val="13"/>
          <w:color w:val="auto"/>
        </w:rPr>
        <w:t>Johnson &amp; Johnson; Merck &amp; Company, Inc; Novartis AG; and Pfizer Inc. TSR measured as of 12/31/25.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34</w:t>
      </w:r>
      <w:r>
        <w:rPr>
          <w:sz w:val="20"/>
          <w:szCs w:val="20"/>
          <w:color w:val="auto"/>
        </w:rPr>
        <w:tab/>
      </w:r>
      <w:r>
        <w:rPr>
          <w:sz w:val="1"/>
          <w:szCs w:val="1"/>
          <w:color w:val="auto"/>
        </w:rPr>
        <w:drawing>
          <wp:inline distT="0" distB="0" distL="0" distR="0">
            <wp:extent cx="797560" cy="14859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234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6960"/>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STOCKHOLDER RETURN (TSR)</w:t>
      </w:r>
    </w:p>
    <w:p>
      <w:pPr>
        <w:spacing w:after="0" w:line="9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Over the last decade, AbbVie has delivered a total stockholder return of 485%, which places AbbVie in the top tier of its Health Care Peers and surpasses the cumulative total returns of the Standard &amp; Poor’s 500 Index and the NYSE Arca Pharmaceutical Index. The following graph covers the period from December 31, 2015 through December 31, 2025. This graph assumes $100 was invested in AbbVie common stock and each index on December 31, 2015 and also assumes the reinvestment of dividends. The stock price performance in the following graph is not necessarily indicative of future stock price performance.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Comparison of Cumulative Total Stockholder Return – Last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113030</wp:posOffset>
            </wp:positionV>
            <wp:extent cx="5252720" cy="27984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52720" cy="2798445"/>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ENGAGEMENT</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2025 Say on Pay Results</w:t>
      </w:r>
    </w:p>
    <w:p>
      <w:pPr>
        <w:spacing w:after="0" w:line="259" w:lineRule="exact"/>
        <w:rPr>
          <w:sz w:val="20"/>
          <w:szCs w:val="20"/>
          <w:color w:val="auto"/>
        </w:rPr>
      </w:pPr>
    </w:p>
    <w:p>
      <w:pPr>
        <w:jc w:val="both"/>
        <w:ind w:right="100"/>
        <w:spacing w:after="0" w:line="262" w:lineRule="auto"/>
        <w:rPr>
          <w:sz w:val="20"/>
          <w:szCs w:val="20"/>
          <w:color w:val="auto"/>
        </w:rPr>
      </w:pPr>
      <w:r>
        <w:rPr>
          <w:rFonts w:ascii="Arial" w:cs="Arial" w:eastAsia="Arial" w:hAnsi="Arial"/>
          <w:sz w:val="16"/>
          <w:szCs w:val="16"/>
          <w:color w:val="auto"/>
        </w:rPr>
        <w:t>At our 2025 Annual Meeting, the say on pay proposal received support from 93.1% of our stockholders. The Board and compensation committee are encouraged by the continued, consistent stockholder support for our executive compensation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46"/>
          <w:szCs w:val="46"/>
          <w:color w:val="071D49"/>
        </w:rPr>
        <w:t>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-354330</wp:posOffset>
            </wp:positionV>
            <wp:extent cx="1469390" cy="5391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69390" cy="5391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071D49"/>
        </w:rPr>
        <w:t>Say on Pay Results</w:t>
      </w:r>
    </w:p>
    <w:p>
      <w:pPr>
        <w:spacing w:after="0" w:line="157" w:lineRule="exact"/>
        <w:rPr>
          <w:sz w:val="20"/>
          <w:szCs w:val="20"/>
          <w:color w:val="auto"/>
        </w:rPr>
      </w:pPr>
    </w:p>
    <w:p>
      <w:pPr>
        <w:sectPr>
          <w:pgSz w:w="11900" w:h="16838" w:orient="portrait"/>
          <w:cols w:equalWidth="0" w:num="2">
            <w:col w:w="6560" w:space="720"/>
            <w:col w:w="1980"/>
          </w:cols>
          <w:pgMar w:left="1320" w:top="480" w:right="1319" w:bottom="1440" w:gutter="0" w:footer="0" w:header="0"/>
          <w:type w:val="continuous"/>
        </w:sectPr>
      </w:pPr>
    </w:p>
    <w:p>
      <w:pPr>
        <w:jc w:val="both"/>
        <w:ind w:right="160"/>
        <w:spacing w:after="0" w:line="262" w:lineRule="auto"/>
        <w:rPr>
          <w:sz w:val="20"/>
          <w:szCs w:val="20"/>
          <w:color w:val="auto"/>
        </w:rPr>
      </w:pPr>
      <w:r>
        <w:rPr>
          <w:rFonts w:ascii="Arial" w:cs="Arial" w:eastAsia="Arial" w:hAnsi="Arial"/>
          <w:sz w:val="16"/>
          <w:szCs w:val="16"/>
          <w:color w:val="auto"/>
        </w:rPr>
        <w:t>AbbVie is committed to regular, ongoing engagement with stockholders to ensure that we continue to understand stockholder feedback about our compensation program and incorporate that feedback into the compensation decision-making process. To that end, in 2025 AbbVie reached out to stockholders representing over 45% of the company’s outstanding shares.</w:t>
      </w:r>
    </w:p>
    <w:p>
      <w:pPr>
        <w:spacing w:after="0" w:line="50"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In these discussions, the aggregate feedback acknowledged the alignment of our executives’ pay with AbbVie’s performance and expressed support for our compensation program, consistent with the level of stockholder support for our say on pay proposals since inception. The feedback informs the compensation committee’s continuous assessment of the program design and ongoing discussions with stockholders, which contribute to the evolution of the programs.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-492125</wp:posOffset>
            </wp:positionV>
            <wp:extent cx="797560" cy="1409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97560" cy="14097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PROGRAM GOVERNANCE SUMMARY</w:t>
      </w:r>
    </w:p>
    <w:p>
      <w:pPr>
        <w:spacing w:after="0" w:line="99"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In addition to strong alignment of pay with the performance of the company and our NEOs, we maintain and are committed to good governance practices,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94615</wp:posOffset>
            </wp:positionV>
            <wp:extent cx="62230" cy="43072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230" cy="4307205"/>
                    </a:xfrm>
                    <a:prstGeom prst="rect">
                      <a:avLst/>
                    </a:prstGeom>
                    <a:noFill/>
                  </pic:spPr>
                </pic:pic>
              </a:graphicData>
            </a:graphic>
          </wp:anchor>
        </w:drawing>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3"/>
          <w:szCs w:val="23"/>
          <w:color w:val="auto"/>
        </w:rPr>
        <w:t>Good Governance Practices</w:t>
      </w:r>
    </w:p>
    <w:p>
      <w:pPr>
        <w:spacing w:after="0" w:line="81"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80" w:type="dxa"/>
            <w:vAlign w:val="bottom"/>
            <w:tcBorders>
              <w:top w:val="single" w:sz="8" w:color="071D49"/>
              <w:right w:val="single" w:sz="8" w:color="071D49"/>
            </w:tcBorders>
          </w:tcPr>
          <w:p>
            <w:pPr>
              <w:spacing w:after="0"/>
              <w:rPr>
                <w:sz w:val="16"/>
                <w:szCs w:val="16"/>
                <w:color w:val="auto"/>
              </w:rPr>
            </w:pPr>
          </w:p>
        </w:tc>
        <w:tc>
          <w:tcPr>
            <w:tcW w:w="6980" w:type="dxa"/>
            <w:vAlign w:val="bottom"/>
            <w:tcBorders>
              <w:top w:val="single" w:sz="8" w:color="071D49"/>
            </w:tcBorders>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Annual incentive plan includes financial, operational, and strategic metrics to assess</w:t>
            </w:r>
          </w:p>
        </w:tc>
        <w:tc>
          <w:tcPr>
            <w:tcW w:w="0" w:type="dxa"/>
            <w:vAlign w:val="bottom"/>
          </w:tcPr>
          <w:p>
            <w:pPr>
              <w:spacing w:after="0"/>
              <w:rPr>
                <w:sz w:val="1"/>
                <w:szCs w:val="1"/>
                <w:color w:val="auto"/>
              </w:rPr>
            </w:pPr>
          </w:p>
        </w:tc>
      </w:tr>
      <w:tr>
        <w:trPr>
          <w:trHeight w:val="155"/>
        </w:trPr>
        <w:tc>
          <w:tcPr>
            <w:tcW w:w="2080" w:type="dxa"/>
            <w:vAlign w:val="bottom"/>
            <w:tcBorders>
              <w:right w:val="single" w:sz="8" w:color="071D49"/>
            </w:tcBorders>
          </w:tcPr>
          <w:p>
            <w:pPr>
              <w:spacing w:after="0"/>
              <w:rPr>
                <w:sz w:val="13"/>
                <w:szCs w:val="13"/>
                <w:color w:val="auto"/>
              </w:rPr>
            </w:pPr>
          </w:p>
        </w:tc>
        <w:tc>
          <w:tcPr>
            <w:tcW w:w="6980" w:type="dxa"/>
            <w:vAlign w:val="bottom"/>
          </w:tcPr>
          <w:p>
            <w:pPr>
              <w:ind w:left="360"/>
              <w:spacing w:after="0" w:line="155" w:lineRule="exact"/>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202"/>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w w:val="99"/>
              </w:rPr>
              <w:t>Balanced Incentive</w:t>
            </w:r>
          </w:p>
        </w:tc>
        <w:tc>
          <w:tcPr>
            <w:tcW w:w="698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Annual incentive payout matrix used to define and cap the range for the committee’s</w:t>
            </w:r>
          </w:p>
        </w:tc>
        <w:tc>
          <w:tcPr>
            <w:tcW w:w="0" w:type="dxa"/>
            <w:vAlign w:val="bottom"/>
          </w:tcPr>
          <w:p>
            <w:pPr>
              <w:spacing w:after="0"/>
              <w:rPr>
                <w:sz w:val="1"/>
                <w:szCs w:val="1"/>
                <w:color w:val="auto"/>
              </w:rPr>
            </w:pPr>
          </w:p>
        </w:tc>
      </w:tr>
      <w:tr>
        <w:trPr>
          <w:trHeight w:val="155"/>
        </w:trPr>
        <w:tc>
          <w:tcPr>
            <w:tcW w:w="2080" w:type="dxa"/>
            <w:vAlign w:val="bottom"/>
            <w:tcBorders>
              <w:right w:val="single" w:sz="8" w:color="071D49"/>
            </w:tcBorders>
            <w:vMerge w:val="continue"/>
          </w:tcPr>
          <w:p>
            <w:pPr>
              <w:spacing w:after="0"/>
              <w:rPr>
                <w:sz w:val="13"/>
                <w:szCs w:val="13"/>
                <w:color w:val="auto"/>
              </w:rPr>
            </w:pPr>
          </w:p>
        </w:tc>
        <w:tc>
          <w:tcPr>
            <w:tcW w:w="6980" w:type="dxa"/>
            <w:vAlign w:val="bottom"/>
          </w:tcPr>
          <w:p>
            <w:pPr>
              <w:ind w:left="360"/>
              <w:spacing w:after="0" w:line="155" w:lineRule="exact"/>
              <w:rPr>
                <w:sz w:val="20"/>
                <w:szCs w:val="20"/>
                <w:color w:val="auto"/>
              </w:rPr>
            </w:pPr>
            <w:r>
              <w:rPr>
                <w:rFonts w:ascii="Arial" w:cs="Arial" w:eastAsia="Arial" w:hAnsi="Arial"/>
                <w:sz w:val="16"/>
                <w:szCs w:val="16"/>
                <w:color w:val="auto"/>
              </w:rPr>
              <w:t>determinations (at or below the plan maximum of 200% of target)</w:t>
            </w:r>
          </w:p>
        </w:tc>
        <w:tc>
          <w:tcPr>
            <w:tcW w:w="0" w:type="dxa"/>
            <w:vAlign w:val="bottom"/>
          </w:tcPr>
          <w:p>
            <w:pPr>
              <w:spacing w:after="0"/>
              <w:rPr>
                <w:sz w:val="1"/>
                <w:szCs w:val="1"/>
                <w:color w:val="auto"/>
              </w:rPr>
            </w:pPr>
          </w:p>
        </w:tc>
      </w:tr>
      <w:tr>
        <w:trPr>
          <w:trHeight w:val="202"/>
        </w:trPr>
        <w:tc>
          <w:tcPr>
            <w:tcW w:w="2080" w:type="dxa"/>
            <w:vAlign w:val="bottom"/>
            <w:tcBorders>
              <w:right w:val="single" w:sz="8" w:color="071D49"/>
            </w:tcBorders>
          </w:tcPr>
          <w:p>
            <w:pPr>
              <w:jc w:val="center"/>
              <w:spacing w:after="0" w:line="202" w:lineRule="exact"/>
              <w:rPr>
                <w:sz w:val="20"/>
                <w:szCs w:val="20"/>
                <w:color w:val="auto"/>
              </w:rPr>
            </w:pPr>
            <w:r>
              <w:rPr>
                <w:rFonts w:ascii="Arial" w:cs="Arial" w:eastAsia="Arial" w:hAnsi="Arial"/>
                <w:sz w:val="20"/>
                <w:szCs w:val="20"/>
                <w:color w:val="auto"/>
                <w:w w:val="98"/>
              </w:rPr>
              <w:t>Plan Design</w:t>
            </w:r>
          </w:p>
        </w:tc>
        <w:tc>
          <w:tcPr>
            <w:tcW w:w="698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w w:val="99"/>
              </w:rPr>
              <w:t>✓</w:t>
            </w:r>
            <w:r>
              <w:rPr>
                <w:rFonts w:ascii="Arial" w:cs="Arial" w:eastAsia="Arial" w:hAnsi="Arial"/>
                <w:sz w:val="16"/>
                <w:szCs w:val="16"/>
                <w:color w:val="auto"/>
                <w:w w:val="99"/>
              </w:rPr>
              <w:t xml:space="preserve"> Long-term incentive design emphasizing multiple, relative performance metrics and multi-year</w:t>
            </w:r>
          </w:p>
        </w:tc>
        <w:tc>
          <w:tcPr>
            <w:tcW w:w="0" w:type="dxa"/>
            <w:vAlign w:val="bottom"/>
          </w:tcPr>
          <w:p>
            <w:pPr>
              <w:spacing w:after="0"/>
              <w:rPr>
                <w:sz w:val="1"/>
                <w:szCs w:val="1"/>
                <w:color w:val="auto"/>
              </w:rPr>
            </w:pPr>
          </w:p>
        </w:tc>
      </w:tr>
      <w:tr>
        <w:trPr>
          <w:trHeight w:val="155"/>
        </w:trPr>
        <w:tc>
          <w:tcPr>
            <w:tcW w:w="2080" w:type="dxa"/>
            <w:vAlign w:val="bottom"/>
            <w:tcBorders>
              <w:right w:val="single" w:sz="8" w:color="071D49"/>
            </w:tcBorders>
          </w:tcPr>
          <w:p>
            <w:pPr>
              <w:spacing w:after="0"/>
              <w:rPr>
                <w:sz w:val="13"/>
                <w:szCs w:val="13"/>
                <w:color w:val="auto"/>
              </w:rPr>
            </w:pPr>
          </w:p>
        </w:tc>
        <w:tc>
          <w:tcPr>
            <w:tcW w:w="6980" w:type="dxa"/>
            <w:vAlign w:val="bottom"/>
          </w:tcPr>
          <w:p>
            <w:pPr>
              <w:ind w:left="360"/>
              <w:spacing w:after="0" w:line="155" w:lineRule="exact"/>
              <w:rPr>
                <w:sz w:val="20"/>
                <w:szCs w:val="20"/>
                <w:color w:val="auto"/>
              </w:rPr>
            </w:pPr>
            <w:r>
              <w:rPr>
                <w:rFonts w:ascii="Arial" w:cs="Arial" w:eastAsia="Arial" w:hAnsi="Arial"/>
                <w:sz w:val="16"/>
                <w:szCs w:val="16"/>
                <w:color w:val="auto"/>
              </w:rPr>
              <w:t>performance periods</w:t>
            </w:r>
          </w:p>
        </w:tc>
        <w:tc>
          <w:tcPr>
            <w:tcW w:w="0" w:type="dxa"/>
            <w:vAlign w:val="bottom"/>
          </w:tcPr>
          <w:p>
            <w:pPr>
              <w:spacing w:after="0"/>
              <w:rPr>
                <w:sz w:val="1"/>
                <w:szCs w:val="1"/>
                <w:color w:val="auto"/>
              </w:rPr>
            </w:pPr>
          </w:p>
        </w:tc>
      </w:tr>
      <w:tr>
        <w:trPr>
          <w:trHeight w:val="261"/>
        </w:trPr>
        <w:tc>
          <w:tcPr>
            <w:tcW w:w="2080" w:type="dxa"/>
            <w:vAlign w:val="bottom"/>
            <w:tcBorders>
              <w:right w:val="single" w:sz="8" w:color="071D49"/>
            </w:tcBorders>
          </w:tcPr>
          <w:p>
            <w:pPr>
              <w:spacing w:after="0"/>
              <w:rPr>
                <w:sz w:val="22"/>
                <w:szCs w:val="22"/>
                <w:color w:val="auto"/>
              </w:rPr>
            </w:pPr>
          </w:p>
        </w:tc>
        <w:tc>
          <w:tcPr>
            <w:tcW w:w="698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No duplication of performance metrics in short- and long-term incentives</w:t>
            </w:r>
          </w:p>
        </w:tc>
        <w:tc>
          <w:tcPr>
            <w:tcW w:w="0" w:type="dxa"/>
            <w:vAlign w:val="bottom"/>
          </w:tcPr>
          <w:p>
            <w:pPr>
              <w:spacing w:after="0"/>
              <w:rPr>
                <w:sz w:val="1"/>
                <w:szCs w:val="1"/>
                <w:color w:val="auto"/>
              </w:rPr>
            </w:pPr>
          </w:p>
        </w:tc>
      </w:tr>
      <w:tr>
        <w:trPr>
          <w:trHeight w:val="76"/>
        </w:trPr>
        <w:tc>
          <w:tcPr>
            <w:tcW w:w="2080" w:type="dxa"/>
            <w:vAlign w:val="bottom"/>
            <w:tcBorders>
              <w:bottom w:val="single" w:sz="8" w:color="071D49"/>
              <w:right w:val="single" w:sz="8" w:color="071D49"/>
            </w:tcBorders>
          </w:tcPr>
          <w:p>
            <w:pPr>
              <w:spacing w:after="0"/>
              <w:rPr>
                <w:sz w:val="6"/>
                <w:szCs w:val="6"/>
                <w:color w:val="auto"/>
              </w:rPr>
            </w:pPr>
          </w:p>
        </w:tc>
        <w:tc>
          <w:tcPr>
            <w:tcW w:w="6980" w:type="dxa"/>
            <w:vAlign w:val="bottom"/>
            <w:tcBorders>
              <w:bottom w:val="single" w:sz="8" w:color="071D49"/>
            </w:tcBorders>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2080" w:type="dxa"/>
            <w:vAlign w:val="bottom"/>
            <w:tcBorders>
              <w:right w:val="single" w:sz="8" w:color="071D49"/>
            </w:tcBorders>
          </w:tcPr>
          <w:p>
            <w:pPr>
              <w:jc w:val="center"/>
              <w:spacing w:after="0"/>
              <w:rPr>
                <w:sz w:val="20"/>
                <w:szCs w:val="20"/>
                <w:color w:val="auto"/>
              </w:rPr>
            </w:pPr>
            <w:r>
              <w:rPr>
                <w:rFonts w:ascii="Arial" w:cs="Arial" w:eastAsia="Arial" w:hAnsi="Arial"/>
                <w:sz w:val="20"/>
                <w:szCs w:val="20"/>
                <w:color w:val="auto"/>
                <w:w w:val="98"/>
              </w:rPr>
              <w:t>Pay Equity and</w:t>
            </w:r>
          </w:p>
        </w:tc>
        <w:tc>
          <w:tcPr>
            <w:tcW w:w="698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Commitment to pay equity and regular review of pay to ensure pay is fair and equitable</w:t>
            </w:r>
          </w:p>
        </w:tc>
        <w:tc>
          <w:tcPr>
            <w:tcW w:w="0" w:type="dxa"/>
            <w:vAlign w:val="bottom"/>
          </w:tcPr>
          <w:p>
            <w:pPr>
              <w:spacing w:after="0"/>
              <w:rPr>
                <w:sz w:val="1"/>
                <w:szCs w:val="1"/>
                <w:color w:val="auto"/>
              </w:rPr>
            </w:pPr>
          </w:p>
        </w:tc>
      </w:tr>
      <w:tr>
        <w:trPr>
          <w:trHeight w:val="222"/>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w w:val="98"/>
              </w:rPr>
              <w:t>Sustainability</w:t>
            </w:r>
          </w:p>
        </w:tc>
        <w:tc>
          <w:tcPr>
            <w:tcW w:w="698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Incorporation of ESG into the strategic/leadership goals within the annual incentive plan</w:t>
            </w:r>
          </w:p>
        </w:tc>
        <w:tc>
          <w:tcPr>
            <w:tcW w:w="0" w:type="dxa"/>
            <w:vAlign w:val="bottom"/>
          </w:tcPr>
          <w:p>
            <w:pPr>
              <w:spacing w:after="0"/>
              <w:rPr>
                <w:sz w:val="1"/>
                <w:szCs w:val="1"/>
                <w:color w:val="auto"/>
              </w:rPr>
            </w:pPr>
          </w:p>
        </w:tc>
      </w:tr>
      <w:tr>
        <w:trPr>
          <w:trHeight w:val="62"/>
        </w:trPr>
        <w:tc>
          <w:tcPr>
            <w:tcW w:w="2080" w:type="dxa"/>
            <w:vAlign w:val="bottom"/>
            <w:tcBorders>
              <w:right w:val="single" w:sz="8" w:color="071D49"/>
            </w:tcBorders>
            <w:vMerge w:val="continue"/>
          </w:tcPr>
          <w:p>
            <w:pPr>
              <w:spacing w:after="0"/>
              <w:rPr>
                <w:sz w:val="5"/>
                <w:szCs w:val="5"/>
                <w:color w:val="auto"/>
              </w:rPr>
            </w:pPr>
          </w:p>
        </w:tc>
        <w:tc>
          <w:tcPr>
            <w:tcW w:w="6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80" w:type="dxa"/>
            <w:vAlign w:val="bottom"/>
            <w:tcBorders>
              <w:bottom w:val="single" w:sz="8" w:color="071D49"/>
              <w:right w:val="single" w:sz="8" w:color="071D49"/>
            </w:tcBorders>
          </w:tcPr>
          <w:p>
            <w:pPr>
              <w:spacing w:after="0"/>
              <w:rPr>
                <w:sz w:val="7"/>
                <w:szCs w:val="7"/>
                <w:color w:val="auto"/>
              </w:rPr>
            </w:pPr>
          </w:p>
        </w:tc>
        <w:tc>
          <w:tcPr>
            <w:tcW w:w="698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80" w:type="dxa"/>
            <w:vAlign w:val="bottom"/>
            <w:tcBorders>
              <w:right w:val="single" w:sz="8" w:color="071D49"/>
            </w:tcBorders>
          </w:tcPr>
          <w:p>
            <w:pPr>
              <w:spacing w:after="0"/>
              <w:rPr>
                <w:sz w:val="14"/>
                <w:szCs w:val="14"/>
                <w:color w:val="auto"/>
              </w:rPr>
            </w:pPr>
          </w:p>
        </w:tc>
        <w:tc>
          <w:tcPr>
            <w:tcW w:w="6980" w:type="dxa"/>
            <w:vAlign w:val="bottom"/>
          </w:tcPr>
          <w:p>
            <w:pPr>
              <w:ind w:left="140"/>
              <w:spacing w:after="0" w:line="165"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Mandatory clawback of excess compensation in the event of a restatement, plus broad</w:t>
            </w:r>
          </w:p>
        </w:tc>
        <w:tc>
          <w:tcPr>
            <w:tcW w:w="0" w:type="dxa"/>
            <w:vAlign w:val="bottom"/>
          </w:tcPr>
          <w:p>
            <w:pPr>
              <w:spacing w:after="0"/>
              <w:rPr>
                <w:sz w:val="1"/>
                <w:szCs w:val="1"/>
                <w:color w:val="auto"/>
              </w:rPr>
            </w:pPr>
          </w:p>
        </w:tc>
      </w:tr>
      <w:tr>
        <w:trPr>
          <w:trHeight w:val="172"/>
        </w:trPr>
        <w:tc>
          <w:tcPr>
            <w:tcW w:w="2080" w:type="dxa"/>
            <w:vAlign w:val="bottom"/>
            <w:tcBorders>
              <w:right w:val="single" w:sz="8" w:color="071D49"/>
            </w:tcBorders>
          </w:tcPr>
          <w:p>
            <w:pPr>
              <w:spacing w:after="0"/>
              <w:rPr>
                <w:sz w:val="14"/>
                <w:szCs w:val="14"/>
                <w:color w:val="auto"/>
              </w:rPr>
            </w:pPr>
          </w:p>
        </w:tc>
        <w:tc>
          <w:tcPr>
            <w:tcW w:w="6980" w:type="dxa"/>
            <w:vAlign w:val="bottom"/>
          </w:tcPr>
          <w:p>
            <w:pPr>
              <w:ind w:left="360"/>
              <w:spacing w:after="0" w:line="172" w:lineRule="exact"/>
              <w:rPr>
                <w:sz w:val="20"/>
                <w:szCs w:val="20"/>
                <w:color w:val="auto"/>
              </w:rPr>
            </w:pPr>
            <w:r>
              <w:rPr>
                <w:rFonts w:ascii="Arial" w:cs="Arial" w:eastAsia="Arial" w:hAnsi="Arial"/>
                <w:sz w:val="16"/>
                <w:szCs w:val="16"/>
                <w:color w:val="auto"/>
              </w:rPr>
              <w:t>discretion to clawback compensation in the event of a material breach of the AbbVie Code of</w:t>
            </w:r>
          </w:p>
        </w:tc>
        <w:tc>
          <w:tcPr>
            <w:tcW w:w="0" w:type="dxa"/>
            <w:vAlign w:val="bottom"/>
          </w:tcPr>
          <w:p>
            <w:pPr>
              <w:spacing w:after="0"/>
              <w:rPr>
                <w:sz w:val="1"/>
                <w:szCs w:val="1"/>
                <w:color w:val="auto"/>
              </w:rPr>
            </w:pPr>
          </w:p>
        </w:tc>
      </w:tr>
      <w:tr>
        <w:trPr>
          <w:trHeight w:val="217"/>
        </w:trPr>
        <w:tc>
          <w:tcPr>
            <w:tcW w:w="2080" w:type="dxa"/>
            <w:vAlign w:val="bottom"/>
            <w:tcBorders>
              <w:right w:val="single" w:sz="8" w:color="071D49"/>
            </w:tcBorders>
          </w:tcPr>
          <w:p>
            <w:pPr>
              <w:jc w:val="center"/>
              <w:spacing w:after="0" w:line="217" w:lineRule="exact"/>
              <w:rPr>
                <w:sz w:val="20"/>
                <w:szCs w:val="20"/>
                <w:color w:val="auto"/>
              </w:rPr>
            </w:pPr>
            <w:r>
              <w:rPr>
                <w:rFonts w:ascii="Arial" w:cs="Arial" w:eastAsia="Arial" w:hAnsi="Arial"/>
                <w:sz w:val="20"/>
                <w:szCs w:val="20"/>
                <w:color w:val="auto"/>
                <w:w w:val="99"/>
              </w:rPr>
              <w:t>Strong Governance</w:t>
            </w:r>
          </w:p>
        </w:tc>
        <w:tc>
          <w:tcPr>
            <w:tcW w:w="6980" w:type="dxa"/>
            <w:vAlign w:val="bottom"/>
          </w:tcPr>
          <w:p>
            <w:pPr>
              <w:ind w:left="360"/>
              <w:spacing w:after="0"/>
              <w:rPr>
                <w:sz w:val="20"/>
                <w:szCs w:val="20"/>
                <w:color w:val="auto"/>
              </w:rPr>
            </w:pPr>
            <w:r>
              <w:rPr>
                <w:rFonts w:ascii="Arial" w:cs="Arial" w:eastAsia="Arial" w:hAnsi="Arial"/>
                <w:sz w:val="16"/>
                <w:szCs w:val="16"/>
                <w:color w:val="auto"/>
              </w:rPr>
              <w:t>Business Conduct</w:t>
            </w:r>
          </w:p>
        </w:tc>
        <w:tc>
          <w:tcPr>
            <w:tcW w:w="0" w:type="dxa"/>
            <w:vAlign w:val="bottom"/>
          </w:tcPr>
          <w:p>
            <w:pPr>
              <w:spacing w:after="0"/>
              <w:rPr>
                <w:sz w:val="1"/>
                <w:szCs w:val="1"/>
                <w:color w:val="auto"/>
              </w:rPr>
            </w:pPr>
          </w:p>
        </w:tc>
      </w:tr>
      <w:tr>
        <w:trPr>
          <w:trHeight w:val="129"/>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w w:val="97"/>
              </w:rPr>
              <w:t>Practices</w:t>
            </w:r>
          </w:p>
        </w:tc>
        <w:tc>
          <w:tcPr>
            <w:tcW w:w="6980" w:type="dxa"/>
            <w:vAlign w:val="bottom"/>
          </w:tcPr>
          <w:p>
            <w:pPr>
              <w:ind w:left="140"/>
              <w:spacing w:after="0" w:line="129" w:lineRule="exact"/>
              <w:rPr>
                <w:sz w:val="20"/>
                <w:szCs w:val="20"/>
                <w:color w:val="auto"/>
              </w:rPr>
            </w:pPr>
            <w:r>
              <w:rPr>
                <w:rFonts w:ascii="MS PGothic" w:cs="MS PGothic" w:eastAsia="MS PGothic" w:hAnsi="MS PGothic"/>
                <w:sz w:val="14"/>
                <w:szCs w:val="14"/>
                <w:color w:val="071D49"/>
              </w:rPr>
              <w:t>✓</w:t>
            </w:r>
            <w:r>
              <w:rPr>
                <w:rFonts w:ascii="Arial" w:cs="Arial" w:eastAsia="Arial" w:hAnsi="Arial"/>
                <w:sz w:val="14"/>
                <w:szCs w:val="14"/>
                <w:color w:val="auto"/>
              </w:rPr>
              <w:t xml:space="preserve"> Anti-hedging and anti-pledging policies</w:t>
            </w:r>
          </w:p>
        </w:tc>
        <w:tc>
          <w:tcPr>
            <w:tcW w:w="0" w:type="dxa"/>
            <w:vAlign w:val="bottom"/>
          </w:tcPr>
          <w:p>
            <w:pPr>
              <w:spacing w:after="0"/>
              <w:rPr>
                <w:sz w:val="1"/>
                <w:szCs w:val="1"/>
                <w:color w:val="auto"/>
              </w:rPr>
            </w:pPr>
          </w:p>
        </w:tc>
      </w:tr>
      <w:tr>
        <w:trPr>
          <w:trHeight w:val="154"/>
        </w:trPr>
        <w:tc>
          <w:tcPr>
            <w:tcW w:w="2080" w:type="dxa"/>
            <w:vAlign w:val="bottom"/>
            <w:tcBorders>
              <w:right w:val="single" w:sz="8" w:color="071D49"/>
            </w:tcBorders>
            <w:vMerge w:val="continue"/>
          </w:tcPr>
          <w:p>
            <w:pPr>
              <w:spacing w:after="0"/>
              <w:rPr>
                <w:sz w:val="13"/>
                <w:szCs w:val="13"/>
                <w:color w:val="auto"/>
              </w:rPr>
            </w:pPr>
          </w:p>
        </w:tc>
        <w:tc>
          <w:tcPr>
            <w:tcW w:w="6980" w:type="dxa"/>
            <w:vAlign w:val="bottom"/>
            <w:vMerge w:val="restart"/>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Annual comprehensive compensation program risk review</w:t>
            </w:r>
          </w:p>
        </w:tc>
        <w:tc>
          <w:tcPr>
            <w:tcW w:w="0" w:type="dxa"/>
            <w:vAlign w:val="bottom"/>
          </w:tcPr>
          <w:p>
            <w:pPr>
              <w:spacing w:after="0"/>
              <w:rPr>
                <w:sz w:val="1"/>
                <w:szCs w:val="1"/>
                <w:color w:val="auto"/>
              </w:rPr>
            </w:pPr>
          </w:p>
        </w:tc>
      </w:tr>
      <w:tr>
        <w:trPr>
          <w:trHeight w:val="43"/>
        </w:trPr>
        <w:tc>
          <w:tcPr>
            <w:tcW w:w="2080" w:type="dxa"/>
            <w:vAlign w:val="bottom"/>
            <w:tcBorders>
              <w:right w:val="single" w:sz="8" w:color="071D49"/>
            </w:tcBorders>
          </w:tcPr>
          <w:p>
            <w:pPr>
              <w:spacing w:after="0"/>
              <w:rPr>
                <w:sz w:val="3"/>
                <w:szCs w:val="3"/>
                <w:color w:val="auto"/>
              </w:rPr>
            </w:pPr>
          </w:p>
        </w:tc>
        <w:tc>
          <w:tcPr>
            <w:tcW w:w="6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80" w:type="dxa"/>
            <w:vAlign w:val="bottom"/>
            <w:tcBorders>
              <w:right w:val="single" w:sz="8" w:color="071D49"/>
            </w:tcBorders>
          </w:tcPr>
          <w:p>
            <w:pPr>
              <w:spacing w:after="0"/>
              <w:rPr>
                <w:sz w:val="22"/>
                <w:szCs w:val="22"/>
                <w:color w:val="auto"/>
              </w:rPr>
            </w:pPr>
          </w:p>
        </w:tc>
        <w:tc>
          <w:tcPr>
            <w:tcW w:w="698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Independent compensation consultant that performs no other work for the company</w:t>
            </w:r>
          </w:p>
        </w:tc>
        <w:tc>
          <w:tcPr>
            <w:tcW w:w="0" w:type="dxa"/>
            <w:vAlign w:val="bottom"/>
          </w:tcPr>
          <w:p>
            <w:pPr>
              <w:spacing w:after="0"/>
              <w:rPr>
                <w:sz w:val="1"/>
                <w:szCs w:val="1"/>
                <w:color w:val="auto"/>
              </w:rPr>
            </w:pPr>
          </w:p>
        </w:tc>
      </w:tr>
      <w:tr>
        <w:trPr>
          <w:trHeight w:val="82"/>
        </w:trPr>
        <w:tc>
          <w:tcPr>
            <w:tcW w:w="2080" w:type="dxa"/>
            <w:vAlign w:val="bottom"/>
            <w:tcBorders>
              <w:bottom w:val="single" w:sz="8" w:color="071D49"/>
              <w:right w:val="single" w:sz="8" w:color="071D49"/>
            </w:tcBorders>
          </w:tcPr>
          <w:p>
            <w:pPr>
              <w:spacing w:after="0"/>
              <w:rPr>
                <w:sz w:val="7"/>
                <w:szCs w:val="7"/>
                <w:color w:val="auto"/>
              </w:rPr>
            </w:pPr>
          </w:p>
        </w:tc>
        <w:tc>
          <w:tcPr>
            <w:tcW w:w="698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080" w:type="dxa"/>
            <w:vAlign w:val="bottom"/>
            <w:tcBorders>
              <w:right w:val="single" w:sz="8" w:color="071D49"/>
            </w:tcBorders>
          </w:tcPr>
          <w:p>
            <w:pPr>
              <w:jc w:val="center"/>
              <w:spacing w:after="0"/>
              <w:rPr>
                <w:sz w:val="20"/>
                <w:szCs w:val="20"/>
                <w:color w:val="auto"/>
              </w:rPr>
            </w:pPr>
            <w:r>
              <w:rPr>
                <w:rFonts w:ascii="Arial" w:cs="Arial" w:eastAsia="Arial" w:hAnsi="Arial"/>
                <w:sz w:val="20"/>
                <w:szCs w:val="20"/>
                <w:color w:val="auto"/>
                <w:w w:val="98"/>
              </w:rPr>
              <w:t>Pay for Performance</w:t>
            </w:r>
          </w:p>
        </w:tc>
        <w:tc>
          <w:tcPr>
            <w:tcW w:w="698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Short- and long-term incentive programs closely align with performance</w:t>
            </w:r>
          </w:p>
        </w:tc>
        <w:tc>
          <w:tcPr>
            <w:tcW w:w="0" w:type="dxa"/>
            <w:vAlign w:val="bottom"/>
          </w:tcPr>
          <w:p>
            <w:pPr>
              <w:spacing w:after="0"/>
              <w:rPr>
                <w:sz w:val="1"/>
                <w:szCs w:val="1"/>
                <w:color w:val="auto"/>
              </w:rPr>
            </w:pPr>
          </w:p>
        </w:tc>
      </w:tr>
      <w:tr>
        <w:trPr>
          <w:trHeight w:val="222"/>
        </w:trPr>
        <w:tc>
          <w:tcPr>
            <w:tcW w:w="2080" w:type="dxa"/>
            <w:vAlign w:val="bottom"/>
            <w:tcBorders>
              <w:right w:val="single" w:sz="8" w:color="071D49"/>
            </w:tcBorders>
          </w:tcPr>
          <w:p>
            <w:pPr>
              <w:jc w:val="center"/>
              <w:spacing w:after="0" w:line="222" w:lineRule="exact"/>
              <w:rPr>
                <w:sz w:val="20"/>
                <w:szCs w:val="20"/>
                <w:color w:val="auto"/>
              </w:rPr>
            </w:pPr>
            <w:r>
              <w:rPr>
                <w:rFonts w:ascii="Arial" w:cs="Arial" w:eastAsia="Arial" w:hAnsi="Arial"/>
                <w:sz w:val="20"/>
                <w:szCs w:val="20"/>
                <w:color w:val="auto"/>
                <w:w w:val="99"/>
              </w:rPr>
              <w:t>and Stockholder</w:t>
            </w:r>
          </w:p>
        </w:tc>
        <w:tc>
          <w:tcPr>
            <w:tcW w:w="698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Majority of NEO compensation tied to long-term performance</w:t>
            </w:r>
          </w:p>
        </w:tc>
        <w:tc>
          <w:tcPr>
            <w:tcW w:w="0" w:type="dxa"/>
            <w:vAlign w:val="bottom"/>
          </w:tcPr>
          <w:p>
            <w:pPr>
              <w:spacing w:after="0"/>
              <w:rPr>
                <w:sz w:val="1"/>
                <w:szCs w:val="1"/>
                <w:color w:val="auto"/>
              </w:rPr>
            </w:pPr>
          </w:p>
        </w:tc>
      </w:tr>
      <w:tr>
        <w:trPr>
          <w:trHeight w:val="222"/>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w w:val="98"/>
              </w:rPr>
              <w:t>Alignment</w:t>
            </w:r>
          </w:p>
        </w:tc>
        <w:tc>
          <w:tcPr>
            <w:tcW w:w="698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Proactive stockholder engagement process</w:t>
            </w:r>
          </w:p>
        </w:tc>
        <w:tc>
          <w:tcPr>
            <w:tcW w:w="0" w:type="dxa"/>
            <w:vAlign w:val="bottom"/>
          </w:tcPr>
          <w:p>
            <w:pPr>
              <w:spacing w:after="0"/>
              <w:rPr>
                <w:sz w:val="1"/>
                <w:szCs w:val="1"/>
                <w:color w:val="auto"/>
              </w:rPr>
            </w:pPr>
          </w:p>
        </w:tc>
      </w:tr>
      <w:tr>
        <w:trPr>
          <w:trHeight w:val="62"/>
        </w:trPr>
        <w:tc>
          <w:tcPr>
            <w:tcW w:w="2080" w:type="dxa"/>
            <w:vAlign w:val="bottom"/>
            <w:tcBorders>
              <w:right w:val="single" w:sz="8" w:color="071D49"/>
            </w:tcBorders>
            <w:vMerge w:val="continue"/>
          </w:tcPr>
          <w:p>
            <w:pPr>
              <w:spacing w:after="0"/>
              <w:rPr>
                <w:sz w:val="5"/>
                <w:szCs w:val="5"/>
                <w:color w:val="auto"/>
              </w:rPr>
            </w:pPr>
          </w:p>
        </w:tc>
        <w:tc>
          <w:tcPr>
            <w:tcW w:w="6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80" w:type="dxa"/>
            <w:vAlign w:val="bottom"/>
            <w:tcBorders>
              <w:bottom w:val="single" w:sz="8" w:color="071D49"/>
              <w:right w:val="single" w:sz="8" w:color="071D49"/>
            </w:tcBorders>
          </w:tcPr>
          <w:p>
            <w:pPr>
              <w:spacing w:after="0"/>
              <w:rPr>
                <w:sz w:val="7"/>
                <w:szCs w:val="7"/>
                <w:color w:val="auto"/>
              </w:rPr>
            </w:pPr>
          </w:p>
        </w:tc>
        <w:tc>
          <w:tcPr>
            <w:tcW w:w="698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080" w:type="dxa"/>
            <w:vAlign w:val="bottom"/>
            <w:tcBorders>
              <w:right w:val="single" w:sz="8" w:color="071D49"/>
            </w:tcBorders>
          </w:tcPr>
          <w:p>
            <w:pPr>
              <w:jc w:val="center"/>
              <w:spacing w:after="0"/>
              <w:rPr>
                <w:sz w:val="20"/>
                <w:szCs w:val="20"/>
                <w:color w:val="auto"/>
              </w:rPr>
            </w:pPr>
            <w:r>
              <w:rPr>
                <w:rFonts w:ascii="Arial" w:cs="Arial" w:eastAsia="Arial" w:hAnsi="Arial"/>
                <w:sz w:val="20"/>
                <w:szCs w:val="20"/>
                <w:color w:val="auto"/>
                <w:w w:val="97"/>
              </w:rPr>
              <w:t>Robust Stock</w:t>
            </w:r>
          </w:p>
        </w:tc>
        <w:tc>
          <w:tcPr>
            <w:tcW w:w="698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6x salary for the CEO and 3x salary for NEOs</w:t>
            </w:r>
          </w:p>
        </w:tc>
        <w:tc>
          <w:tcPr>
            <w:tcW w:w="0" w:type="dxa"/>
            <w:vAlign w:val="bottom"/>
          </w:tcPr>
          <w:p>
            <w:pPr>
              <w:spacing w:after="0"/>
              <w:rPr>
                <w:sz w:val="1"/>
                <w:szCs w:val="1"/>
                <w:color w:val="auto"/>
              </w:rPr>
            </w:pPr>
          </w:p>
        </w:tc>
      </w:tr>
      <w:tr>
        <w:trPr>
          <w:trHeight w:val="222"/>
        </w:trPr>
        <w:tc>
          <w:tcPr>
            <w:tcW w:w="2080" w:type="dxa"/>
            <w:vAlign w:val="bottom"/>
            <w:tcBorders>
              <w:right w:val="single" w:sz="8" w:color="071D49"/>
            </w:tcBorders>
          </w:tcPr>
          <w:p>
            <w:pPr>
              <w:jc w:val="center"/>
              <w:spacing w:after="0" w:line="222" w:lineRule="exact"/>
              <w:rPr>
                <w:sz w:val="20"/>
                <w:szCs w:val="20"/>
                <w:color w:val="auto"/>
              </w:rPr>
            </w:pPr>
            <w:r>
              <w:rPr>
                <w:rFonts w:ascii="Arial" w:cs="Arial" w:eastAsia="Arial" w:hAnsi="Arial"/>
                <w:sz w:val="20"/>
                <w:szCs w:val="20"/>
                <w:color w:val="auto"/>
                <w:w w:val="98"/>
              </w:rPr>
              <w:t>Ownership</w:t>
            </w:r>
          </w:p>
        </w:tc>
        <w:tc>
          <w:tcPr>
            <w:tcW w:w="698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5x annual fees for non-employee directors</w:t>
            </w:r>
          </w:p>
        </w:tc>
        <w:tc>
          <w:tcPr>
            <w:tcW w:w="0" w:type="dxa"/>
            <w:vAlign w:val="bottom"/>
          </w:tcPr>
          <w:p>
            <w:pPr>
              <w:spacing w:after="0"/>
              <w:rPr>
                <w:sz w:val="1"/>
                <w:szCs w:val="1"/>
                <w:color w:val="auto"/>
              </w:rPr>
            </w:pPr>
          </w:p>
        </w:tc>
      </w:tr>
      <w:tr>
        <w:trPr>
          <w:trHeight w:val="222"/>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w w:val="99"/>
              </w:rPr>
              <w:t>Requirements</w:t>
            </w:r>
          </w:p>
        </w:tc>
        <w:tc>
          <w:tcPr>
            <w:tcW w:w="698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w w:val="99"/>
              </w:rPr>
              <w:t>✓</w:t>
            </w:r>
            <w:r>
              <w:rPr>
                <w:rFonts w:ascii="Arial" w:cs="Arial" w:eastAsia="Arial" w:hAnsi="Arial"/>
                <w:sz w:val="16"/>
                <w:szCs w:val="16"/>
                <w:color w:val="auto"/>
                <w:w w:val="99"/>
              </w:rPr>
              <w:t xml:space="preserve"> NEOs must hold and not sell equity until the minimum stock ownership requirement is satisfied</w:t>
            </w:r>
          </w:p>
        </w:tc>
        <w:tc>
          <w:tcPr>
            <w:tcW w:w="0" w:type="dxa"/>
            <w:vAlign w:val="bottom"/>
          </w:tcPr>
          <w:p>
            <w:pPr>
              <w:spacing w:after="0"/>
              <w:rPr>
                <w:sz w:val="1"/>
                <w:szCs w:val="1"/>
                <w:color w:val="auto"/>
              </w:rPr>
            </w:pPr>
          </w:p>
        </w:tc>
      </w:tr>
      <w:tr>
        <w:trPr>
          <w:trHeight w:val="62"/>
        </w:trPr>
        <w:tc>
          <w:tcPr>
            <w:tcW w:w="2080" w:type="dxa"/>
            <w:vAlign w:val="bottom"/>
            <w:tcBorders>
              <w:right w:val="single" w:sz="8" w:color="071D49"/>
            </w:tcBorders>
            <w:vMerge w:val="continue"/>
          </w:tcPr>
          <w:p>
            <w:pPr>
              <w:spacing w:after="0"/>
              <w:rPr>
                <w:sz w:val="5"/>
                <w:szCs w:val="5"/>
                <w:color w:val="auto"/>
              </w:rPr>
            </w:pPr>
          </w:p>
        </w:tc>
        <w:tc>
          <w:tcPr>
            <w:tcW w:w="6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80" w:type="dxa"/>
            <w:vAlign w:val="bottom"/>
            <w:tcBorders>
              <w:bottom w:val="single" w:sz="8" w:color="071D49"/>
              <w:right w:val="single" w:sz="8" w:color="071D49"/>
            </w:tcBorders>
          </w:tcPr>
          <w:p>
            <w:pPr>
              <w:spacing w:after="0"/>
              <w:rPr>
                <w:sz w:val="7"/>
                <w:szCs w:val="7"/>
                <w:color w:val="auto"/>
              </w:rPr>
            </w:pPr>
          </w:p>
        </w:tc>
        <w:tc>
          <w:tcPr>
            <w:tcW w:w="698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080" w:type="dxa"/>
            <w:vAlign w:val="bottom"/>
            <w:tcBorders>
              <w:right w:val="single" w:sz="8" w:color="071D49"/>
            </w:tcBorders>
          </w:tcPr>
          <w:p>
            <w:pPr>
              <w:spacing w:after="0"/>
              <w:rPr>
                <w:sz w:val="13"/>
                <w:szCs w:val="13"/>
                <w:color w:val="auto"/>
              </w:rPr>
            </w:pPr>
          </w:p>
        </w:tc>
        <w:tc>
          <w:tcPr>
            <w:tcW w:w="6980" w:type="dxa"/>
            <w:vAlign w:val="bottom"/>
          </w:tcPr>
          <w:p>
            <w:pPr>
              <w:ind w:left="140"/>
              <w:spacing w:after="0" w:line="15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No single trigger vesting of equity or other benefits in the event of a change in control</w:t>
            </w:r>
          </w:p>
        </w:tc>
        <w:tc>
          <w:tcPr>
            <w:tcW w:w="0" w:type="dxa"/>
            <w:vAlign w:val="bottom"/>
          </w:tcPr>
          <w:p>
            <w:pPr>
              <w:spacing w:after="0"/>
              <w:rPr>
                <w:sz w:val="1"/>
                <w:szCs w:val="1"/>
                <w:color w:val="auto"/>
              </w:rPr>
            </w:pPr>
          </w:p>
        </w:tc>
      </w:tr>
      <w:tr>
        <w:trPr>
          <w:trHeight w:val="197"/>
        </w:trPr>
        <w:tc>
          <w:tcPr>
            <w:tcW w:w="2080" w:type="dxa"/>
            <w:vAlign w:val="bottom"/>
            <w:tcBorders>
              <w:right w:val="single" w:sz="8" w:color="071D49"/>
            </w:tcBorders>
          </w:tcPr>
          <w:p>
            <w:pPr>
              <w:spacing w:after="0"/>
              <w:rPr>
                <w:sz w:val="17"/>
                <w:szCs w:val="17"/>
                <w:color w:val="auto"/>
              </w:rPr>
            </w:pPr>
          </w:p>
        </w:tc>
        <w:tc>
          <w:tcPr>
            <w:tcW w:w="698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No repricing of stock options without express stockholder approval</w:t>
            </w:r>
          </w:p>
        </w:tc>
        <w:tc>
          <w:tcPr>
            <w:tcW w:w="0" w:type="dxa"/>
            <w:vAlign w:val="bottom"/>
          </w:tcPr>
          <w:p>
            <w:pPr>
              <w:spacing w:after="0"/>
              <w:rPr>
                <w:sz w:val="1"/>
                <w:szCs w:val="1"/>
                <w:color w:val="auto"/>
              </w:rPr>
            </w:pPr>
          </w:p>
        </w:tc>
      </w:tr>
      <w:tr>
        <w:trPr>
          <w:trHeight w:val="240"/>
        </w:trPr>
        <w:tc>
          <w:tcPr>
            <w:tcW w:w="2080" w:type="dxa"/>
            <w:vAlign w:val="bottom"/>
            <w:tcBorders>
              <w:right w:val="single" w:sz="8" w:color="071D49"/>
            </w:tcBorders>
          </w:tcPr>
          <w:p>
            <w:pPr>
              <w:jc w:val="center"/>
              <w:spacing w:after="0"/>
              <w:rPr>
                <w:sz w:val="20"/>
                <w:szCs w:val="20"/>
                <w:color w:val="auto"/>
              </w:rPr>
            </w:pPr>
            <w:r>
              <w:rPr>
                <w:rFonts w:ascii="Arial" w:cs="Arial" w:eastAsia="Arial" w:hAnsi="Arial"/>
                <w:sz w:val="20"/>
                <w:szCs w:val="20"/>
                <w:color w:val="auto"/>
                <w:w w:val="98"/>
              </w:rPr>
              <w:t>Responsible Pay</w:t>
            </w:r>
          </w:p>
        </w:tc>
        <w:tc>
          <w:tcPr>
            <w:tcW w:w="698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No tax gross-ups in executive compensation program</w:t>
            </w:r>
          </w:p>
        </w:tc>
        <w:tc>
          <w:tcPr>
            <w:tcW w:w="0" w:type="dxa"/>
            <w:vAlign w:val="bottom"/>
          </w:tcPr>
          <w:p>
            <w:pPr>
              <w:spacing w:after="0"/>
              <w:rPr>
                <w:sz w:val="1"/>
                <w:szCs w:val="1"/>
                <w:color w:val="auto"/>
              </w:rPr>
            </w:pPr>
          </w:p>
        </w:tc>
      </w:tr>
      <w:tr>
        <w:trPr>
          <w:trHeight w:val="154"/>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w w:val="97"/>
              </w:rPr>
              <w:t>Practices</w:t>
            </w:r>
          </w:p>
        </w:tc>
        <w:tc>
          <w:tcPr>
            <w:tcW w:w="6980" w:type="dxa"/>
            <w:vAlign w:val="bottom"/>
          </w:tcPr>
          <w:p>
            <w:pPr>
              <w:ind w:left="140"/>
              <w:spacing w:after="0" w:line="15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No employment contracts</w:t>
            </w:r>
          </w:p>
        </w:tc>
        <w:tc>
          <w:tcPr>
            <w:tcW w:w="0" w:type="dxa"/>
            <w:vAlign w:val="bottom"/>
          </w:tcPr>
          <w:p>
            <w:pPr>
              <w:spacing w:after="0"/>
              <w:rPr>
                <w:sz w:val="1"/>
                <w:szCs w:val="1"/>
                <w:color w:val="auto"/>
              </w:rPr>
            </w:pPr>
          </w:p>
        </w:tc>
      </w:tr>
      <w:tr>
        <w:trPr>
          <w:trHeight w:val="130"/>
        </w:trPr>
        <w:tc>
          <w:tcPr>
            <w:tcW w:w="2080" w:type="dxa"/>
            <w:vAlign w:val="bottom"/>
            <w:tcBorders>
              <w:right w:val="single" w:sz="8" w:color="071D49"/>
            </w:tcBorders>
            <w:vMerge w:val="continue"/>
          </w:tcPr>
          <w:p>
            <w:pPr>
              <w:spacing w:after="0"/>
              <w:rPr>
                <w:sz w:val="11"/>
                <w:szCs w:val="11"/>
                <w:color w:val="auto"/>
              </w:rPr>
            </w:pPr>
          </w:p>
        </w:tc>
        <w:tc>
          <w:tcPr>
            <w:tcW w:w="6980" w:type="dxa"/>
            <w:vAlign w:val="bottom"/>
            <w:vMerge w:val="restart"/>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No guaranteed short-term incentives or equity awards</w:t>
            </w:r>
          </w:p>
        </w:tc>
        <w:tc>
          <w:tcPr>
            <w:tcW w:w="0" w:type="dxa"/>
            <w:vAlign w:val="bottom"/>
          </w:tcPr>
          <w:p>
            <w:pPr>
              <w:spacing w:after="0"/>
              <w:rPr>
                <w:sz w:val="1"/>
                <w:szCs w:val="1"/>
                <w:color w:val="auto"/>
              </w:rPr>
            </w:pPr>
          </w:p>
        </w:tc>
      </w:tr>
      <w:tr>
        <w:trPr>
          <w:trHeight w:val="67"/>
        </w:trPr>
        <w:tc>
          <w:tcPr>
            <w:tcW w:w="2080" w:type="dxa"/>
            <w:vAlign w:val="bottom"/>
            <w:tcBorders>
              <w:right w:val="single" w:sz="8" w:color="071D49"/>
            </w:tcBorders>
          </w:tcPr>
          <w:p>
            <w:pPr>
              <w:spacing w:after="0"/>
              <w:rPr>
                <w:sz w:val="5"/>
                <w:szCs w:val="5"/>
                <w:color w:val="auto"/>
              </w:rPr>
            </w:pPr>
          </w:p>
        </w:tc>
        <w:tc>
          <w:tcPr>
            <w:tcW w:w="6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80" w:type="dxa"/>
            <w:vAlign w:val="bottom"/>
            <w:tcBorders>
              <w:right w:val="single" w:sz="8" w:color="071D49"/>
            </w:tcBorders>
          </w:tcPr>
          <w:p>
            <w:pPr>
              <w:spacing w:after="0"/>
              <w:rPr>
                <w:sz w:val="22"/>
                <w:szCs w:val="22"/>
                <w:color w:val="auto"/>
              </w:rPr>
            </w:pPr>
          </w:p>
        </w:tc>
        <w:tc>
          <w:tcPr>
            <w:tcW w:w="698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No dividends paid on unearned performance awards</w:t>
            </w:r>
          </w:p>
        </w:tc>
        <w:tc>
          <w:tcPr>
            <w:tcW w:w="0" w:type="dxa"/>
            <w:vAlign w:val="bottom"/>
          </w:tcPr>
          <w:p>
            <w:pPr>
              <w:spacing w:after="0"/>
              <w:rPr>
                <w:sz w:val="1"/>
                <w:szCs w:val="1"/>
                <w:color w:val="auto"/>
              </w:rPr>
            </w:pPr>
          </w:p>
        </w:tc>
      </w:tr>
      <w:tr>
        <w:trPr>
          <w:trHeight w:val="78"/>
        </w:trPr>
        <w:tc>
          <w:tcPr>
            <w:tcW w:w="2080" w:type="dxa"/>
            <w:vAlign w:val="bottom"/>
            <w:tcBorders>
              <w:right w:val="single" w:sz="8" w:color="071D49"/>
            </w:tcBorders>
          </w:tcPr>
          <w:p>
            <w:pPr>
              <w:spacing w:after="0"/>
              <w:rPr>
                <w:sz w:val="6"/>
                <w:szCs w:val="6"/>
                <w:color w:val="auto"/>
              </w:rPr>
            </w:pPr>
          </w:p>
        </w:tc>
        <w:tc>
          <w:tcPr>
            <w:tcW w:w="6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36</w:t>
      </w:r>
      <w:r>
        <w:rPr>
          <w:sz w:val="20"/>
          <w:szCs w:val="20"/>
          <w:color w:val="auto"/>
        </w:rPr>
        <w:tab/>
      </w:r>
      <w:r>
        <w:rPr>
          <w:sz w:val="1"/>
          <w:szCs w:val="1"/>
          <w:color w:val="auto"/>
        </w:rPr>
        <w:drawing>
          <wp:inline distT="0" distB="0" distL="0" distR="0">
            <wp:extent cx="797560" cy="14859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EXECUTIVE COMPENSATION</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71D49"/>
        </w:rPr>
        <w:t>Components of our Executive Compensation Program</w:t>
      </w:r>
    </w:p>
    <w:p>
      <w:pPr>
        <w:spacing w:after="0" w:line="161" w:lineRule="exact"/>
        <w:rPr>
          <w:sz w:val="20"/>
          <w:szCs w:val="20"/>
          <w:color w:val="auto"/>
        </w:rPr>
      </w:pPr>
    </w:p>
    <w:p>
      <w:pPr>
        <w:ind w:left="80" w:right="140"/>
        <w:spacing w:after="0" w:line="254" w:lineRule="auto"/>
        <w:rPr>
          <w:sz w:val="20"/>
          <w:szCs w:val="20"/>
          <w:color w:val="auto"/>
        </w:rPr>
      </w:pPr>
      <w:r>
        <w:rPr>
          <w:rFonts w:ascii="Arial" w:cs="Arial" w:eastAsia="Arial" w:hAnsi="Arial"/>
          <w:sz w:val="16"/>
          <w:szCs w:val="16"/>
          <w:color w:val="auto"/>
        </w:rPr>
        <w:t>The compensation committee of the Board oversees our executive compensation program, which includes several compensation elements that have each been tailored to incentivize and reward specific aspects of company performance the Board believes are central to delivering long-term stockholder value. Key components of our annual compensation program are listed below.</w:t>
      </w:r>
    </w:p>
    <w:p>
      <w:pPr>
        <w:sectPr>
          <w:pgSz w:w="11900" w:h="16838" w:orient="portrait"/>
          <w:cols w:equalWidth="0" w:num="1">
            <w:col w:w="9260"/>
          </w:cols>
          <w:pgMar w:left="1320" w:top="480" w:right="1319" w:bottom="1440" w:gutter="0" w:footer="0" w:header="0"/>
        </w:sectPr>
      </w:pPr>
    </w:p>
    <w:p>
      <w:pPr>
        <w:spacing w:after="0" w:line="1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71D49"/>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-144780</wp:posOffset>
            </wp:positionV>
            <wp:extent cx="1508760" cy="19386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08760" cy="1938655"/>
                    </a:xfrm>
                    <a:prstGeom prst="rect">
                      <a:avLst/>
                    </a:prstGeom>
                    <a:noFill/>
                  </pic:spPr>
                </pic:pic>
              </a:graphicData>
            </a:graphic>
          </wp:anchor>
        </w:drawing>
      </w:r>
    </w:p>
    <w:p>
      <w:pPr>
        <w:spacing w:after="0" w:line="84" w:lineRule="exact"/>
        <w:rPr>
          <w:sz w:val="20"/>
          <w:szCs w:val="20"/>
          <w:color w:val="auto"/>
        </w:rPr>
      </w:pPr>
    </w:p>
    <w:p>
      <w:pPr>
        <w:jc w:val="both"/>
        <w:ind w:left="80"/>
        <w:spacing w:after="0" w:line="281" w:lineRule="auto"/>
        <w:rPr>
          <w:sz w:val="20"/>
          <w:szCs w:val="20"/>
          <w:color w:val="auto"/>
        </w:rPr>
      </w:pPr>
      <w:r>
        <w:rPr>
          <w:rFonts w:ascii="Arial" w:cs="Arial" w:eastAsia="Arial" w:hAnsi="Arial"/>
          <w:sz w:val="14"/>
          <w:szCs w:val="14"/>
          <w:color w:val="auto"/>
        </w:rPr>
        <w:t>Designed to be competitive with market and industry norms, and to reflect individual performance</w:t>
      </w:r>
    </w:p>
    <w:p>
      <w:pPr>
        <w:spacing w:after="0" w:line="50" w:lineRule="exact"/>
        <w:rPr>
          <w:sz w:val="20"/>
          <w:szCs w:val="20"/>
          <w:color w:val="auto"/>
        </w:rPr>
      </w:pPr>
    </w:p>
    <w:p>
      <w:pPr>
        <w:ind w:left="80"/>
        <w:spacing w:after="0" w:line="265" w:lineRule="auto"/>
        <w:rPr>
          <w:sz w:val="20"/>
          <w:szCs w:val="20"/>
          <w:color w:val="auto"/>
        </w:rPr>
      </w:pPr>
      <w:r>
        <w:rPr>
          <w:rFonts w:ascii="Arial" w:cs="Arial" w:eastAsia="Arial" w:hAnsi="Arial"/>
          <w:sz w:val="14"/>
          <w:szCs w:val="14"/>
          <w:color w:val="auto"/>
        </w:rPr>
        <w:t>Individual salaries are established relative to market median based on each NEO’s individual performance, skills, and experience, and internal equity, as well as the company’s annual operating budget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-144780</wp:posOffset>
            </wp:positionV>
            <wp:extent cx="1367790" cy="19386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67790" cy="19386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71D49"/>
        </w:rPr>
        <w:t>Incentives</w:t>
      </w:r>
    </w:p>
    <w:p>
      <w:pPr>
        <w:spacing w:after="0" w:line="84" w:lineRule="exact"/>
        <w:rPr>
          <w:sz w:val="20"/>
          <w:szCs w:val="20"/>
          <w:color w:val="auto"/>
        </w:rPr>
      </w:pPr>
    </w:p>
    <w:p>
      <w:pPr>
        <w:spacing w:after="0" w:line="260" w:lineRule="auto"/>
        <w:rPr>
          <w:sz w:val="20"/>
          <w:szCs w:val="20"/>
          <w:color w:val="auto"/>
        </w:rPr>
      </w:pPr>
      <w:r>
        <w:rPr>
          <w:rFonts w:ascii="Arial" w:cs="Arial" w:eastAsia="Arial" w:hAnsi="Arial"/>
          <w:sz w:val="15"/>
          <w:szCs w:val="15"/>
          <w:b w:val="1"/>
          <w:bCs w:val="1"/>
          <w:color w:val="auto"/>
        </w:rPr>
        <w:t>Performance Incentive Plan (PIP)</w:t>
      </w:r>
    </w:p>
    <w:p>
      <w:pPr>
        <w:ind w:right="60"/>
        <w:spacing w:after="0" w:line="251" w:lineRule="auto"/>
        <w:rPr>
          <w:sz w:val="20"/>
          <w:szCs w:val="20"/>
          <w:color w:val="auto"/>
        </w:rPr>
      </w:pPr>
      <w:r>
        <w:rPr>
          <w:rFonts w:ascii="Arial" w:cs="Arial" w:eastAsia="Arial" w:hAnsi="Arial"/>
          <w:sz w:val="15"/>
          <w:szCs w:val="15"/>
          <w:color w:val="auto"/>
        </w:rPr>
        <w:t>Based on non-GAAP performance measures such as: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 Platform revenue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 Income before taxes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 Operating margin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 Return on assets</w:t>
      </w:r>
    </w:p>
    <w:p>
      <w:pPr>
        <w:spacing w:after="0" w:line="36" w:lineRule="exact"/>
        <w:rPr>
          <w:sz w:val="20"/>
          <w:szCs w:val="20"/>
          <w:color w:val="auto"/>
        </w:rPr>
      </w:pPr>
    </w:p>
    <w:p>
      <w:pPr>
        <w:ind w:right="140"/>
        <w:spacing w:after="0" w:line="269" w:lineRule="auto"/>
        <w:rPr>
          <w:sz w:val="20"/>
          <w:szCs w:val="20"/>
          <w:color w:val="auto"/>
        </w:rPr>
      </w:pPr>
      <w:r>
        <w:rPr>
          <w:rFonts w:ascii="Arial" w:cs="Arial" w:eastAsia="Arial" w:hAnsi="Arial"/>
          <w:sz w:val="15"/>
          <w:szCs w:val="15"/>
          <w:color w:val="auto"/>
        </w:rPr>
        <w:t>— Strategic and leadership goals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-144780</wp:posOffset>
            </wp:positionV>
            <wp:extent cx="1211580" cy="19386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11580" cy="19386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71D49"/>
        </w:rPr>
        <w:t>Incentives</w:t>
      </w:r>
    </w:p>
    <w:p>
      <w:pPr>
        <w:spacing w:after="0" w:line="8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color w:val="auto"/>
        </w:rPr>
        <w:t xml:space="preserve">80% </w:t>
      </w:r>
      <w:r>
        <w:rPr>
          <w:rFonts w:ascii="Arial" w:cs="Arial" w:eastAsia="Arial" w:hAnsi="Arial"/>
          <w:sz w:val="14"/>
          <w:szCs w:val="14"/>
          <w:color w:val="auto"/>
        </w:rPr>
        <w:t>Performance shares</w:t>
      </w:r>
      <w:r>
        <w:rPr>
          <w:rFonts w:ascii="Arial" w:cs="Arial" w:eastAsia="Arial" w:hAnsi="Arial"/>
          <w:sz w:val="14"/>
          <w:szCs w:val="14"/>
          <w:b w:val="1"/>
          <w:bCs w:val="1"/>
          <w:color w:val="auto"/>
        </w:rPr>
        <w:t xml:space="preserve"> </w:t>
      </w:r>
      <w:r>
        <w:rPr>
          <w:rFonts w:ascii="Arial" w:cs="Arial" w:eastAsia="Arial" w:hAnsi="Arial"/>
          <w:sz w:val="14"/>
          <w:szCs w:val="14"/>
          <w:color w:val="auto"/>
        </w:rPr>
        <w:t>and performance-vested restricted stock units</w:t>
      </w:r>
    </w:p>
    <w:p>
      <w:pPr>
        <w:spacing w:after="0" w:line="50"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b w:val="1"/>
          <w:bCs w:val="1"/>
          <w:color w:val="auto"/>
        </w:rPr>
        <w:t xml:space="preserve">20% </w:t>
      </w:r>
      <w:r>
        <w:rPr>
          <w:rFonts w:ascii="Arial" w:cs="Arial" w:eastAsia="Arial" w:hAnsi="Arial"/>
          <w:sz w:val="15"/>
          <w:szCs w:val="15"/>
          <w:color w:val="auto"/>
        </w:rPr>
        <w:t>Non-qualified stock</w:t>
      </w:r>
      <w:r>
        <w:rPr>
          <w:rFonts w:ascii="Arial" w:cs="Arial" w:eastAsia="Arial" w:hAnsi="Arial"/>
          <w:sz w:val="15"/>
          <w:szCs w:val="15"/>
          <w:b w:val="1"/>
          <w:bCs w:val="1"/>
          <w:color w:val="auto"/>
        </w:rPr>
        <w:t xml:space="preserve"> </w:t>
      </w:r>
      <w:r>
        <w:rPr>
          <w:rFonts w:ascii="Arial" w:cs="Arial" w:eastAsia="Arial" w:hAnsi="Arial"/>
          <w:sz w:val="15"/>
          <w:szCs w:val="15"/>
          <w:color w:val="auto"/>
        </w:rPr>
        <w:t>options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360"/>
        <w:spacing w:after="0" w:line="300" w:lineRule="auto"/>
        <w:rPr>
          <w:sz w:val="20"/>
          <w:szCs w:val="20"/>
          <w:color w:val="auto"/>
        </w:rPr>
      </w:pPr>
      <w:r>
        <w:rPr>
          <w:rFonts w:ascii="Arial" w:cs="Arial" w:eastAsia="Arial" w:hAnsi="Arial"/>
          <w:sz w:val="19"/>
          <w:szCs w:val="19"/>
          <w:b w:val="1"/>
          <w:bCs w:val="1"/>
          <w:color w:val="auto"/>
        </w:rPr>
        <w:t>Our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-345440</wp:posOffset>
            </wp:positionV>
            <wp:extent cx="1461770" cy="19386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61770" cy="1938655"/>
                    </a:xfrm>
                    <a:prstGeom prst="rect">
                      <a:avLst/>
                    </a:prstGeom>
                    <a:noFill/>
                  </pic:spPr>
                </pic:pic>
              </a:graphicData>
            </a:graphic>
          </wp:anchor>
        </w:drawing>
      </w:r>
    </w:p>
    <w:p>
      <w:pPr>
        <w:spacing w:after="0" w:line="88"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b w:val="1"/>
          <w:bCs w:val="1"/>
          <w:color w:val="auto"/>
        </w:rPr>
        <w:t xml:space="preserve">Align executive interests </w:t>
      </w:r>
      <w:r>
        <w:rPr>
          <w:rFonts w:ascii="Arial" w:cs="Arial" w:eastAsia="Arial" w:hAnsi="Arial"/>
          <w:sz w:val="15"/>
          <w:szCs w:val="15"/>
          <w:color w:val="auto"/>
        </w:rPr>
        <w:t>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drivers of stockholder returns and profitable growth</w:t>
      </w:r>
    </w:p>
    <w:p>
      <w:pPr>
        <w:spacing w:after="0" w:line="166"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 xml:space="preserve">Support achievement of the company’s </w:t>
      </w:r>
      <w:r>
        <w:rPr>
          <w:rFonts w:ascii="Arial" w:cs="Arial" w:eastAsia="Arial" w:hAnsi="Arial"/>
          <w:sz w:val="14"/>
          <w:szCs w:val="14"/>
          <w:b w:val="1"/>
          <w:bCs w:val="1"/>
          <w:color w:val="auto"/>
        </w:rPr>
        <w:t>primary business</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goals </w:t>
      </w:r>
      <w:r>
        <w:rPr>
          <w:rFonts w:ascii="Arial" w:cs="Arial" w:eastAsia="Arial" w:hAnsi="Arial"/>
          <w:sz w:val="14"/>
          <w:szCs w:val="14"/>
          <w:color w:val="auto"/>
        </w:rPr>
        <w:t>to have a remarkable</w:t>
      </w:r>
      <w:r>
        <w:rPr>
          <w:rFonts w:ascii="Arial" w:cs="Arial" w:eastAsia="Arial" w:hAnsi="Arial"/>
          <w:sz w:val="14"/>
          <w:szCs w:val="14"/>
          <w:b w:val="1"/>
          <w:bCs w:val="1"/>
          <w:color w:val="auto"/>
        </w:rPr>
        <w:t xml:space="preserve"> </w:t>
      </w:r>
      <w:r>
        <w:rPr>
          <w:rFonts w:ascii="Arial" w:cs="Arial" w:eastAsia="Arial" w:hAnsi="Arial"/>
          <w:sz w:val="14"/>
          <w:szCs w:val="14"/>
          <w:color w:val="auto"/>
        </w:rPr>
        <w:t>impact on patients’ lives</w:t>
      </w:r>
    </w:p>
    <w:p>
      <w:pPr>
        <w:spacing w:after="0" w:line="154"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b w:val="1"/>
          <w:bCs w:val="1"/>
          <w:color w:val="auto"/>
        </w:rPr>
        <w:t xml:space="preserve">Attract and retain world-class executives </w:t>
      </w:r>
      <w:r>
        <w:rPr>
          <w:rFonts w:ascii="Arial" w:cs="Arial" w:eastAsia="Arial" w:hAnsi="Arial"/>
          <w:sz w:val="14"/>
          <w:szCs w:val="14"/>
          <w:color w:val="auto"/>
        </w:rPr>
        <w:t>whose talents and</w:t>
      </w:r>
      <w:r>
        <w:rPr>
          <w:rFonts w:ascii="Arial" w:cs="Arial" w:eastAsia="Arial" w:hAnsi="Arial"/>
          <w:sz w:val="14"/>
          <w:szCs w:val="14"/>
          <w:b w:val="1"/>
          <w:bCs w:val="1"/>
          <w:color w:val="auto"/>
        </w:rPr>
        <w:t xml:space="preserve"> </w:t>
      </w:r>
      <w:r>
        <w:rPr>
          <w:rFonts w:ascii="Arial" w:cs="Arial" w:eastAsia="Arial" w:hAnsi="Arial"/>
          <w:sz w:val="14"/>
          <w:szCs w:val="14"/>
          <w:color w:val="auto"/>
        </w:rPr>
        <w:t>contributions sustain the growth in long-term stockholder value</w:t>
      </w:r>
    </w:p>
    <w:p>
      <w:pPr>
        <w:spacing w:after="0" w:line="200" w:lineRule="exact"/>
        <w:rPr>
          <w:sz w:val="20"/>
          <w:szCs w:val="20"/>
          <w:color w:val="auto"/>
        </w:rPr>
      </w:pPr>
    </w:p>
    <w:p>
      <w:pPr>
        <w:sectPr>
          <w:pgSz w:w="11900" w:h="16838" w:orient="portrait"/>
          <w:cols w:equalWidth="0" w:num="4">
            <w:col w:w="2180" w:space="480"/>
            <w:col w:w="1920" w:space="420"/>
            <w:col w:w="1660" w:space="480"/>
            <w:col w:w="2120"/>
          </w:cols>
          <w:pgMar w:left="1320" w:top="480" w:right="1319" w:bottom="1440" w:gutter="0" w:footer="0" w:header="0"/>
          <w:type w:val="continuous"/>
        </w:sectPr>
      </w:pPr>
    </w:p>
    <w:p>
      <w:pPr>
        <w:spacing w:after="0" w:line="35"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compensation committee is dedicated to ensuring that a substantial portion of executive compensation is “at-risk” and variable. Generally, more than three-fourths of our NEOs’ total direct compensation is variable and directly affected by both the company’s and the NEO’s performance,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159385</wp:posOffset>
            </wp:positionV>
            <wp:extent cx="5252720" cy="15240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52720" cy="152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Executive Compensation Process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COMMITMENT TO PERFORMANCE-BASED AWARDS</w:t>
      </w:r>
    </w:p>
    <w:p>
      <w:pPr>
        <w:spacing w:after="0" w:line="99"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As discussed above, the majority of AbbVie’s NEO pay is performance-based. Specific goals and targets are the foundation of our pay-for-performance process. The committee believes the use of non-GAAP metrics to measure company performance for incentive plan purposes is appropriate. The use of certain non-GAAP metrics aligns NEOs to performance objectives that are commonly used to evaluate the performance of the company, provide accountability, and avoid inappropriate windfalls or penalties due to factors outside of their control. Importantly, both the targets and the financial performance results are presented on a consistent non-GAAP basis.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797560" cy="148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Though quantitative metrics such as financial and operational results are a central part of our performance assessment, some goals such as leadership and progress against strategic and long-term objectives are difficult to measure using numeric or formulaic criteria. As such, the compensation committee also conducts a qualitative assessment of individual performance to ensure the overall assessment of performance and pay decisions are aligned with the company’s true performance over a period of time. A discussion of the decision-making criteria for each pay component is below in the section captioned “Compensation Plan Elements.”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 PROCESS FOR SETTING TOTAL COMPENSATION</w:t>
      </w:r>
    </w:p>
    <w:p>
      <w:pPr>
        <w:spacing w:after="0" w:line="16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Each February, the committee, with the assistance of its independent compensation consultant and AbbVie’s management team, determines pay levels for NEOs. The process starts with a consideration of compensation levels and the mix of compensation for comparable executives at companies in AbbVie’s Health Care Peer Group, which are listed below in the section captioned “Compensation Benchmarking.” After this benchmark review, the committee establishes NEO compensation —base salary adjustments, annual incentive awards, and long-term incentive awards—relative to the peer median in each instance. Awards can be differentiated from the peer compensation levels based on company performance, each NEO’s individual performance, leadership, and contributions to AbbVie’s business and strategic performance.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BENCHMARKING</w:t>
      </w:r>
    </w:p>
    <w:p>
      <w:pPr>
        <w:spacing w:after="0" w:line="16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To provide the appropriate context for executive pay decisions, the committee, in consultation with its independent compensation consultant, assesses the compensation practices and pay levels of AbbVie’s Health Care Peer Group. The committee chooses to focus on the Health Care Peer Group because its constituents share important characteristics with AbbVie, particularly the global emphasis on research-based pharmaceuticals and biopharmaceutical therapies and the regulatory environment within which they operate. Members of the Health Care Peer Group are AbbVie’s primary competitors for executive talent and are companies the committee believes chiefly represent our competitive market:</w:t>
      </w:r>
    </w:p>
    <w:p>
      <w:pPr>
        <w:spacing w:after="0" w:line="160"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071D49"/>
        </w:rPr>
        <w:t>Health Care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10795</wp:posOffset>
            </wp:positionV>
            <wp:extent cx="2938780" cy="1250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938780" cy="125095"/>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-113665</wp:posOffset>
            </wp:positionV>
            <wp:extent cx="293878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938780" cy="7620"/>
                    </a:xfrm>
                    <a:prstGeom prst="rect">
                      <a:avLst/>
                    </a:prstGeom>
                    <a:noFill/>
                  </pic:spPr>
                </pic:pic>
              </a:graphicData>
            </a:graphic>
          </wp:anchor>
        </w:drawing>
      </w:r>
    </w:p>
    <w:p>
      <w:pPr>
        <w:spacing w:after="0" w:line="9"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Amgen, Inc.</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Bristol-Myers Squibb Company</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-115570</wp:posOffset>
            </wp:positionV>
            <wp:extent cx="2938780" cy="1174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938780" cy="11747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6"/>
          <w:szCs w:val="16"/>
          <w:color w:val="auto"/>
        </w:rPr>
        <w:t>Gilead Sciences, Inc.</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GlaxoSmithKline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-115570</wp:posOffset>
            </wp:positionV>
            <wp:extent cx="2938780" cy="1174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938780" cy="11747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6"/>
          <w:szCs w:val="16"/>
          <w:color w:val="auto"/>
        </w:rPr>
        <w:t>Johnson &amp; Johnson</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Merck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-115570</wp:posOffset>
            </wp:positionV>
            <wp:extent cx="2938780" cy="1174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938780" cy="11747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6"/>
          <w:szCs w:val="16"/>
          <w:color w:val="auto"/>
        </w:rPr>
        <w:t>Novartis AG</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Pfizer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-115570</wp:posOffset>
            </wp:positionV>
            <wp:extent cx="2938780" cy="1250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938780" cy="12509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THE COMPENSATION CONSULTANT</w:t>
      </w:r>
    </w:p>
    <w:p>
      <w:pPr>
        <w:spacing w:after="0" w:line="19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compensation committee has engaged Semler Brossy as its independent compensation consultant. The committee’s independent consultant reports directly to the chair of the committee. The consultant meets regularly, and as needed, with the committee in executive sessions, has direct access to the chair during and between meetings, and performs no other services for AbbVie or its senior executives. In partnership with the consultant, the committee determines what variables it will consider, which include: peer groups against which performance and pay should be examined, metrics to be used to assess AbbVie’s performance, competitive incentive practices in the marketplace, and compensation levels relative to market benchmarks.</w:t>
      </w:r>
    </w:p>
    <w:p>
      <w:pPr>
        <w:spacing w:after="0" w:line="350"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38</w:t>
      </w:r>
      <w:r>
        <w:rPr>
          <w:sz w:val="20"/>
          <w:szCs w:val="20"/>
          <w:color w:val="auto"/>
        </w:rPr>
        <w:tab/>
      </w:r>
      <w:r>
        <w:rPr>
          <w:sz w:val="1"/>
          <w:szCs w:val="1"/>
          <w:color w:val="auto"/>
        </w:rPr>
        <w:drawing>
          <wp:inline distT="0" distB="0" distL="0" distR="0">
            <wp:extent cx="797560" cy="14859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140"/>
          </w:cols>
          <w:pgMar w:left="1320" w:top="480" w:right="14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RISK OVERSIGHT</w:t>
      </w:r>
    </w:p>
    <w:p>
      <w:pPr>
        <w:spacing w:after="0" w:line="198"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company has established, and the compensation committee endorses, several controls to address and mitigate compensation-related risk, such as employing a diverse set of performance metrics, maintaining robust stock ownership guidelines for its executives and non-employee directors, and retaining broad discretion to recover incentive awards in the event of misconduct that would constitute a material breach of the AbbVie Code of Business Conduct. The company’s clawback policy also requires recoupment of excess compensation in the event earnings are subsequently restated. The committee, in collaboration with its independent compensation consultant, identified no material risks in AbbVie’s compensation programs in 2025.</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When considering compensation-related risk, the committee is aware of certain risks associated with drug pricing decisions. The committee weighs these, as well as other risks material to the company, when designing AbbVie’s compensation programs. In addition, the committee, comprised entirely of independent directors, has discretion to adjust incentive payments, if needed, including to reflect decisions executives make that may impact AbbVie’s reputation and long-term sustainability.</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Compensation Plan Elements</w:t>
      </w:r>
    </w:p>
    <w:p>
      <w:pPr>
        <w:spacing w:after="0" w:line="198"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Three primary components make up AbbVie’s executive pay program: (1) base salary, (2) short-term incentives and (3) long-term incentives. The structure of each component is tailored to serve a specific function and purpose.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198"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The compensation committee sets appropriate levels of base salary to ensure that AbbVie can attract and retain a leadership team that will continue to meet our commitments to customers and patients and sustain long-term profitable growth for our stockholders. Generally, the committee considers the median of the Health Care Peer Group as an initial benchmark, but also references additional information as needed. Specific pay rates are then established for each NEO relative to their market benchmark based on the NEO’s performance, experience, unique skills, internal equity with others at AbbVie, and the company’s operating budget.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INCENTIVES AND 2025 RESULTS</w:t>
      </w:r>
    </w:p>
    <w:p>
      <w:pPr>
        <w:spacing w:after="0" w:line="19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Annual cash incentives are paid to NEOs through AbbVie’s Performance Incentive Plan (PIP), which rewards executives for achieving key financial and non-financial goals measured at the company and individual levels. AbbVie’s PIP structure is designed to align NEOs’ interests directly with AbbVie’s annual operating strategies to advance our mission, financial goals, and leadership behaviors. In doing so, it provides a direct link between the NEOs’ short-term incentives and the company’s and the NEOs’ annual performance results through measurable financial and operational performance followed by qualitative assessments of clearly defined strategic progress and leadership behaviors.</w:t>
      </w:r>
    </w:p>
    <w:p>
      <w:pPr>
        <w:spacing w:after="0" w:line="16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Determining actual incentive amounts is a multi-step process. An initial performance score is calculated for each NEO based on performance against weighted financial and strategic/leadership goals. This performance score results in a preliminary award amount of up to 100% of target only. Final awards are determined by the compensation committee based on a qualitative assessment of holistic performance and within the cap established from a payout matrix.</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-491490</wp:posOffset>
            </wp:positionV>
            <wp:extent cx="797560" cy="148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42" w:name="page43"/>
    <w:bookmarkEnd w:id="42"/>
    <w:p>
      <w:pPr>
        <w:ind w:left="20"/>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Illustration of 2025 Incentive Calculation</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312"/>
        </w:trPr>
        <w:tc>
          <w:tcPr>
            <w:tcW w:w="1360" w:type="dxa"/>
            <w:vAlign w:val="bottom"/>
            <w:tcBorders>
              <w:top w:val="single" w:sz="8" w:color="071D49"/>
              <w:left w:val="single" w:sz="8" w:color="071D49"/>
              <w:right w:val="single" w:sz="8" w:color="071D49"/>
            </w:tcBorders>
          </w:tcPr>
          <w:p>
            <w:pPr>
              <w:jc w:val="center"/>
              <w:spacing w:after="0"/>
              <w:rPr>
                <w:sz w:val="20"/>
                <w:szCs w:val="20"/>
                <w:color w:val="auto"/>
              </w:rPr>
            </w:pPr>
            <w:r>
              <w:rPr>
                <w:rFonts w:ascii="Arial" w:cs="Arial" w:eastAsia="Arial" w:hAnsi="Arial"/>
                <w:sz w:val="13"/>
                <w:szCs w:val="13"/>
                <w:b w:val="1"/>
                <w:bCs w:val="1"/>
                <w:color w:val="5F5F5F"/>
                <w:w w:val="95"/>
              </w:rPr>
              <w:t>Target</w:t>
            </w:r>
          </w:p>
        </w:tc>
        <w:tc>
          <w:tcPr>
            <w:tcW w:w="360" w:type="dxa"/>
            <w:vAlign w:val="bottom"/>
            <w:tcBorders>
              <w:right w:val="single" w:sz="8" w:color="071D49"/>
            </w:tcBorders>
          </w:tcPr>
          <w:p>
            <w:pPr>
              <w:ind w:left="120"/>
              <w:spacing w:after="0"/>
              <w:rPr>
                <w:sz w:val="20"/>
                <w:szCs w:val="20"/>
                <w:color w:val="auto"/>
              </w:rPr>
            </w:pPr>
            <w:r>
              <w:rPr>
                <w:rFonts w:ascii="Arial" w:cs="Arial" w:eastAsia="Arial" w:hAnsi="Arial"/>
                <w:sz w:val="13"/>
                <w:szCs w:val="13"/>
                <w:b w:val="1"/>
                <w:bCs w:val="1"/>
                <w:color w:val="5F5F5F"/>
              </w:rPr>
              <w:t>x</w:t>
            </w:r>
          </w:p>
        </w:tc>
        <w:tc>
          <w:tcPr>
            <w:tcW w:w="1320" w:type="dxa"/>
            <w:vAlign w:val="bottom"/>
            <w:tcBorders>
              <w:top w:val="single" w:sz="8" w:color="071D49"/>
              <w:right w:val="single" w:sz="8" w:color="071D49"/>
            </w:tcBorders>
          </w:tcPr>
          <w:p>
            <w:pPr>
              <w:jc w:val="center"/>
              <w:spacing w:after="0"/>
              <w:rPr>
                <w:sz w:val="20"/>
                <w:szCs w:val="20"/>
                <w:color w:val="auto"/>
              </w:rPr>
            </w:pPr>
            <w:r>
              <w:rPr>
                <w:rFonts w:ascii="Arial" w:cs="Arial" w:eastAsia="Arial" w:hAnsi="Arial"/>
                <w:sz w:val="13"/>
                <w:szCs w:val="13"/>
                <w:b w:val="1"/>
                <w:bCs w:val="1"/>
                <w:color w:val="5F5F5F"/>
              </w:rPr>
              <w:t>Performance</w:t>
            </w:r>
          </w:p>
        </w:tc>
        <w:tc>
          <w:tcPr>
            <w:tcW w:w="360" w:type="dxa"/>
            <w:vAlign w:val="bottom"/>
            <w:tcBorders>
              <w:right w:val="single" w:sz="8" w:color="071D49"/>
            </w:tcBorders>
          </w:tcPr>
          <w:p>
            <w:pPr>
              <w:jc w:val="right"/>
              <w:ind w:right="94"/>
              <w:spacing w:after="0"/>
              <w:rPr>
                <w:sz w:val="20"/>
                <w:szCs w:val="20"/>
                <w:color w:val="auto"/>
              </w:rPr>
            </w:pPr>
            <w:r>
              <w:rPr>
                <w:rFonts w:ascii="Arial" w:cs="Arial" w:eastAsia="Arial" w:hAnsi="Arial"/>
                <w:sz w:val="13"/>
                <w:szCs w:val="13"/>
                <w:b w:val="1"/>
                <w:bCs w:val="1"/>
                <w:color w:val="5F5F5F"/>
              </w:rPr>
              <w:t>=</w:t>
            </w:r>
          </w:p>
        </w:tc>
        <w:tc>
          <w:tcPr>
            <w:tcW w:w="1340" w:type="dxa"/>
            <w:vAlign w:val="bottom"/>
            <w:tcBorders>
              <w:top w:val="single" w:sz="8" w:color="071D49"/>
              <w:right w:val="single" w:sz="8" w:color="071D49"/>
            </w:tcBorders>
          </w:tcPr>
          <w:p>
            <w:pPr>
              <w:jc w:val="center"/>
              <w:spacing w:after="0"/>
              <w:rPr>
                <w:sz w:val="20"/>
                <w:szCs w:val="20"/>
                <w:color w:val="auto"/>
              </w:rPr>
            </w:pPr>
            <w:r>
              <w:rPr>
                <w:rFonts w:ascii="Arial" w:cs="Arial" w:eastAsia="Arial" w:hAnsi="Arial"/>
                <w:sz w:val="13"/>
                <w:szCs w:val="13"/>
                <w:b w:val="1"/>
                <w:bCs w:val="1"/>
                <w:color w:val="5F5F5F"/>
              </w:rPr>
              <w:t>Preliminary</w:t>
            </w:r>
          </w:p>
        </w:tc>
        <w:tc>
          <w:tcPr>
            <w:tcW w:w="360" w:type="dxa"/>
            <w:vAlign w:val="bottom"/>
            <w:tcBorders>
              <w:right w:val="single" w:sz="8" w:color="071D49"/>
            </w:tcBorders>
          </w:tcPr>
          <w:p>
            <w:pPr>
              <w:ind w:left="80"/>
              <w:spacing w:after="0"/>
              <w:rPr>
                <w:sz w:val="20"/>
                <w:szCs w:val="20"/>
                <w:color w:val="auto"/>
              </w:rPr>
            </w:pPr>
            <w:r>
              <w:rPr>
                <w:rFonts w:ascii="Arial" w:cs="Arial" w:eastAsia="Arial" w:hAnsi="Arial"/>
                <w:sz w:val="16"/>
                <w:szCs w:val="16"/>
                <w:b w:val="1"/>
                <w:bCs w:val="1"/>
                <w:color w:val="5F5F5F"/>
              </w:rPr>
              <w:t>→</w:t>
            </w:r>
          </w:p>
        </w:tc>
        <w:tc>
          <w:tcPr>
            <w:tcW w:w="1900" w:type="dxa"/>
            <w:vAlign w:val="bottom"/>
            <w:tcBorders>
              <w:top w:val="single" w:sz="8" w:color="071D49"/>
              <w:right w:val="single" w:sz="8" w:color="071D49"/>
            </w:tcBorders>
          </w:tcPr>
          <w:p>
            <w:pPr>
              <w:jc w:val="center"/>
              <w:spacing w:after="0"/>
              <w:rPr>
                <w:sz w:val="20"/>
                <w:szCs w:val="20"/>
                <w:color w:val="auto"/>
              </w:rPr>
            </w:pPr>
            <w:r>
              <w:rPr>
                <w:rFonts w:ascii="Arial" w:cs="Arial" w:eastAsia="Arial" w:hAnsi="Arial"/>
                <w:sz w:val="13"/>
                <w:szCs w:val="13"/>
                <w:b w:val="1"/>
                <w:bCs w:val="1"/>
                <w:color w:val="5F5F5F"/>
              </w:rPr>
              <w:t>Final Committee</w:t>
            </w:r>
          </w:p>
        </w:tc>
        <w:tc>
          <w:tcPr>
            <w:tcW w:w="380" w:type="dxa"/>
            <w:vAlign w:val="bottom"/>
            <w:tcBorders>
              <w:right w:val="single" w:sz="8" w:color="071D49"/>
            </w:tcBorders>
          </w:tcPr>
          <w:p>
            <w:pPr>
              <w:jc w:val="center"/>
              <w:spacing w:after="0"/>
              <w:rPr>
                <w:sz w:val="20"/>
                <w:szCs w:val="20"/>
                <w:color w:val="auto"/>
              </w:rPr>
            </w:pPr>
            <w:r>
              <w:rPr>
                <w:rFonts w:ascii="Arial" w:cs="Arial" w:eastAsia="Arial" w:hAnsi="Arial"/>
                <w:sz w:val="13"/>
                <w:szCs w:val="13"/>
                <w:b w:val="1"/>
                <w:bCs w:val="1"/>
                <w:color w:val="5F5F5F"/>
                <w:w w:val="78"/>
              </w:rPr>
              <w:t>=</w:t>
            </w:r>
          </w:p>
        </w:tc>
        <w:tc>
          <w:tcPr>
            <w:tcW w:w="680" w:type="dxa"/>
            <w:vAlign w:val="bottom"/>
            <w:tcBorders>
              <w:top w:val="single" w:sz="8" w:color="071D49"/>
            </w:tcBorders>
          </w:tcPr>
          <w:p>
            <w:pPr>
              <w:spacing w:after="0"/>
              <w:rPr>
                <w:sz w:val="24"/>
                <w:szCs w:val="24"/>
                <w:color w:val="auto"/>
              </w:rPr>
            </w:pPr>
          </w:p>
        </w:tc>
        <w:tc>
          <w:tcPr>
            <w:tcW w:w="1220" w:type="dxa"/>
            <w:vAlign w:val="bottom"/>
            <w:tcBorders>
              <w:top w:val="single" w:sz="8" w:color="071D49"/>
              <w:right w:val="single" w:sz="8" w:color="071D49"/>
            </w:tcBorders>
          </w:tcPr>
          <w:p>
            <w:pPr>
              <w:jc w:val="center"/>
              <w:ind w:right="654"/>
              <w:spacing w:after="0"/>
              <w:rPr>
                <w:sz w:val="20"/>
                <w:szCs w:val="20"/>
                <w:color w:val="auto"/>
              </w:rPr>
            </w:pPr>
            <w:r>
              <w:rPr>
                <w:rFonts w:ascii="Arial" w:cs="Arial" w:eastAsia="Arial" w:hAnsi="Arial"/>
                <w:sz w:val="13"/>
                <w:szCs w:val="13"/>
                <w:b w:val="1"/>
                <w:bCs w:val="1"/>
                <w:color w:val="5F5F5F"/>
                <w:w w:val="98"/>
              </w:rPr>
              <w:t>Final</w:t>
            </w:r>
          </w:p>
        </w:tc>
        <w:tc>
          <w:tcPr>
            <w:tcW w:w="0" w:type="dxa"/>
            <w:vAlign w:val="bottom"/>
          </w:tcPr>
          <w:p>
            <w:pPr>
              <w:spacing w:after="0"/>
              <w:rPr>
                <w:sz w:val="1"/>
                <w:szCs w:val="1"/>
                <w:color w:val="auto"/>
              </w:rPr>
            </w:pPr>
          </w:p>
        </w:tc>
      </w:tr>
      <w:tr>
        <w:trPr>
          <w:trHeight w:val="179"/>
        </w:trPr>
        <w:tc>
          <w:tcPr>
            <w:tcW w:w="1360" w:type="dxa"/>
            <w:vAlign w:val="bottom"/>
            <w:tcBorders>
              <w:left w:val="single" w:sz="8" w:color="071D49"/>
              <w:right w:val="single" w:sz="8" w:color="071D49"/>
            </w:tcBorders>
          </w:tcPr>
          <w:p>
            <w:pPr>
              <w:jc w:val="center"/>
              <w:spacing w:after="0"/>
              <w:rPr>
                <w:sz w:val="20"/>
                <w:szCs w:val="20"/>
                <w:color w:val="auto"/>
              </w:rPr>
            </w:pPr>
            <w:r>
              <w:rPr>
                <w:rFonts w:ascii="Arial" w:cs="Arial" w:eastAsia="Arial" w:hAnsi="Arial"/>
                <w:sz w:val="13"/>
                <w:szCs w:val="13"/>
                <w:b w:val="1"/>
                <w:bCs w:val="1"/>
                <w:color w:val="5F5F5F"/>
                <w:w w:val="95"/>
              </w:rPr>
              <w:t>Award</w:t>
            </w:r>
          </w:p>
        </w:tc>
        <w:tc>
          <w:tcPr>
            <w:tcW w:w="360" w:type="dxa"/>
            <w:vAlign w:val="bottom"/>
            <w:tcBorders>
              <w:right w:val="single" w:sz="8" w:color="071D49"/>
            </w:tcBorders>
          </w:tcPr>
          <w:p>
            <w:pPr>
              <w:spacing w:after="0"/>
              <w:rPr>
                <w:sz w:val="15"/>
                <w:szCs w:val="15"/>
                <w:color w:val="auto"/>
              </w:rPr>
            </w:pPr>
          </w:p>
        </w:tc>
        <w:tc>
          <w:tcPr>
            <w:tcW w:w="1320" w:type="dxa"/>
            <w:vAlign w:val="bottom"/>
            <w:tcBorders>
              <w:right w:val="single" w:sz="8" w:color="071D49"/>
            </w:tcBorders>
          </w:tcPr>
          <w:p>
            <w:pPr>
              <w:jc w:val="center"/>
              <w:spacing w:after="0"/>
              <w:rPr>
                <w:sz w:val="20"/>
                <w:szCs w:val="20"/>
                <w:color w:val="auto"/>
              </w:rPr>
            </w:pPr>
            <w:r>
              <w:rPr>
                <w:rFonts w:ascii="Arial" w:cs="Arial" w:eastAsia="Arial" w:hAnsi="Arial"/>
                <w:sz w:val="13"/>
                <w:szCs w:val="13"/>
                <w:b w:val="1"/>
                <w:bCs w:val="1"/>
                <w:color w:val="5F5F5F"/>
                <w:w w:val="99"/>
              </w:rPr>
              <w:t>Score</w:t>
            </w:r>
          </w:p>
        </w:tc>
        <w:tc>
          <w:tcPr>
            <w:tcW w:w="360" w:type="dxa"/>
            <w:vAlign w:val="bottom"/>
            <w:tcBorders>
              <w:right w:val="single" w:sz="8" w:color="071D49"/>
            </w:tcBorders>
          </w:tcPr>
          <w:p>
            <w:pPr>
              <w:spacing w:after="0"/>
              <w:rPr>
                <w:sz w:val="15"/>
                <w:szCs w:val="15"/>
                <w:color w:val="auto"/>
              </w:rPr>
            </w:pPr>
          </w:p>
        </w:tc>
        <w:tc>
          <w:tcPr>
            <w:tcW w:w="1340" w:type="dxa"/>
            <w:vAlign w:val="bottom"/>
            <w:tcBorders>
              <w:right w:val="single" w:sz="8" w:color="071D49"/>
            </w:tcBorders>
          </w:tcPr>
          <w:p>
            <w:pPr>
              <w:jc w:val="center"/>
              <w:spacing w:after="0"/>
              <w:rPr>
                <w:sz w:val="20"/>
                <w:szCs w:val="20"/>
                <w:color w:val="auto"/>
              </w:rPr>
            </w:pPr>
            <w:r>
              <w:rPr>
                <w:rFonts w:ascii="Arial" w:cs="Arial" w:eastAsia="Arial" w:hAnsi="Arial"/>
                <w:sz w:val="13"/>
                <w:szCs w:val="13"/>
                <w:b w:val="1"/>
                <w:bCs w:val="1"/>
                <w:color w:val="5F5F5F"/>
              </w:rPr>
              <w:t>Award</w:t>
            </w:r>
          </w:p>
        </w:tc>
        <w:tc>
          <w:tcPr>
            <w:tcW w:w="360" w:type="dxa"/>
            <w:vAlign w:val="bottom"/>
            <w:tcBorders>
              <w:right w:val="single" w:sz="8" w:color="071D49"/>
            </w:tcBorders>
          </w:tcPr>
          <w:p>
            <w:pPr>
              <w:spacing w:after="0"/>
              <w:rPr>
                <w:sz w:val="15"/>
                <w:szCs w:val="15"/>
                <w:color w:val="auto"/>
              </w:rPr>
            </w:pPr>
          </w:p>
        </w:tc>
        <w:tc>
          <w:tcPr>
            <w:tcW w:w="1900" w:type="dxa"/>
            <w:vAlign w:val="bottom"/>
            <w:tcBorders>
              <w:right w:val="single" w:sz="8" w:color="071D49"/>
            </w:tcBorders>
          </w:tcPr>
          <w:p>
            <w:pPr>
              <w:jc w:val="center"/>
              <w:spacing w:after="0"/>
              <w:rPr>
                <w:sz w:val="20"/>
                <w:szCs w:val="20"/>
                <w:color w:val="auto"/>
              </w:rPr>
            </w:pPr>
            <w:r>
              <w:rPr>
                <w:rFonts w:ascii="Arial" w:cs="Arial" w:eastAsia="Arial" w:hAnsi="Arial"/>
                <w:sz w:val="13"/>
                <w:szCs w:val="13"/>
                <w:b w:val="1"/>
                <w:bCs w:val="1"/>
                <w:color w:val="5F5F5F"/>
                <w:w w:val="99"/>
              </w:rPr>
              <w:t>Decision</w:t>
            </w:r>
          </w:p>
        </w:tc>
        <w:tc>
          <w:tcPr>
            <w:tcW w:w="380" w:type="dxa"/>
            <w:vAlign w:val="bottom"/>
            <w:tcBorders>
              <w:right w:val="single" w:sz="8" w:color="071D49"/>
            </w:tcBorders>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Borders>
              <w:right w:val="single" w:sz="8" w:color="071D49"/>
            </w:tcBorders>
          </w:tcPr>
          <w:p>
            <w:pPr>
              <w:jc w:val="center"/>
              <w:ind w:right="674"/>
              <w:spacing w:after="0"/>
              <w:rPr>
                <w:sz w:val="20"/>
                <w:szCs w:val="20"/>
                <w:color w:val="auto"/>
              </w:rPr>
            </w:pPr>
            <w:r>
              <w:rPr>
                <w:rFonts w:ascii="Arial" w:cs="Arial" w:eastAsia="Arial" w:hAnsi="Arial"/>
                <w:sz w:val="13"/>
                <w:szCs w:val="13"/>
                <w:b w:val="1"/>
                <w:bCs w:val="1"/>
                <w:color w:val="5F5F5F"/>
              </w:rPr>
              <w:t>Award</w:t>
            </w:r>
          </w:p>
        </w:tc>
        <w:tc>
          <w:tcPr>
            <w:tcW w:w="0" w:type="dxa"/>
            <w:vAlign w:val="bottom"/>
          </w:tcPr>
          <w:p>
            <w:pPr>
              <w:spacing w:after="0"/>
              <w:rPr>
                <w:sz w:val="1"/>
                <w:szCs w:val="1"/>
                <w:color w:val="auto"/>
              </w:rPr>
            </w:pPr>
          </w:p>
        </w:tc>
      </w:tr>
      <w:tr>
        <w:trPr>
          <w:trHeight w:val="112"/>
        </w:trPr>
        <w:tc>
          <w:tcPr>
            <w:tcW w:w="1360" w:type="dxa"/>
            <w:vAlign w:val="bottom"/>
            <w:tcBorders>
              <w:left w:val="single" w:sz="8" w:color="071D49"/>
              <w:bottom w:val="single" w:sz="8" w:color="071D49"/>
              <w:right w:val="single" w:sz="8" w:color="071D49"/>
            </w:tcBorders>
          </w:tcPr>
          <w:p>
            <w:pPr>
              <w:spacing w:after="0"/>
              <w:rPr>
                <w:sz w:val="9"/>
                <w:szCs w:val="9"/>
                <w:color w:val="auto"/>
              </w:rPr>
            </w:pPr>
          </w:p>
        </w:tc>
        <w:tc>
          <w:tcPr>
            <w:tcW w:w="360" w:type="dxa"/>
            <w:vAlign w:val="bottom"/>
            <w:tcBorders>
              <w:right w:val="single" w:sz="8" w:color="071D49"/>
            </w:tcBorders>
          </w:tcPr>
          <w:p>
            <w:pPr>
              <w:spacing w:after="0"/>
              <w:rPr>
                <w:sz w:val="9"/>
                <w:szCs w:val="9"/>
                <w:color w:val="auto"/>
              </w:rPr>
            </w:pPr>
          </w:p>
        </w:tc>
        <w:tc>
          <w:tcPr>
            <w:tcW w:w="1320" w:type="dxa"/>
            <w:vAlign w:val="bottom"/>
            <w:tcBorders>
              <w:bottom w:val="single" w:sz="8" w:color="071D49"/>
              <w:right w:val="single" w:sz="8" w:color="071D49"/>
            </w:tcBorders>
          </w:tcPr>
          <w:p>
            <w:pPr>
              <w:spacing w:after="0"/>
              <w:rPr>
                <w:sz w:val="9"/>
                <w:szCs w:val="9"/>
                <w:color w:val="auto"/>
              </w:rPr>
            </w:pPr>
          </w:p>
        </w:tc>
        <w:tc>
          <w:tcPr>
            <w:tcW w:w="360" w:type="dxa"/>
            <w:vAlign w:val="bottom"/>
            <w:tcBorders>
              <w:right w:val="single" w:sz="8" w:color="071D49"/>
            </w:tcBorders>
          </w:tcPr>
          <w:p>
            <w:pPr>
              <w:spacing w:after="0"/>
              <w:rPr>
                <w:sz w:val="9"/>
                <w:szCs w:val="9"/>
                <w:color w:val="auto"/>
              </w:rPr>
            </w:pPr>
          </w:p>
        </w:tc>
        <w:tc>
          <w:tcPr>
            <w:tcW w:w="1340" w:type="dxa"/>
            <w:vAlign w:val="bottom"/>
            <w:tcBorders>
              <w:bottom w:val="single" w:sz="8" w:color="071D49"/>
              <w:right w:val="single" w:sz="8" w:color="071D49"/>
            </w:tcBorders>
          </w:tcPr>
          <w:p>
            <w:pPr>
              <w:spacing w:after="0"/>
              <w:rPr>
                <w:sz w:val="9"/>
                <w:szCs w:val="9"/>
                <w:color w:val="auto"/>
              </w:rPr>
            </w:pPr>
          </w:p>
        </w:tc>
        <w:tc>
          <w:tcPr>
            <w:tcW w:w="360" w:type="dxa"/>
            <w:vAlign w:val="bottom"/>
            <w:tcBorders>
              <w:right w:val="single" w:sz="8" w:color="071D49"/>
            </w:tcBorders>
          </w:tcPr>
          <w:p>
            <w:pPr>
              <w:spacing w:after="0"/>
              <w:rPr>
                <w:sz w:val="9"/>
                <w:szCs w:val="9"/>
                <w:color w:val="auto"/>
              </w:rPr>
            </w:pPr>
          </w:p>
        </w:tc>
        <w:tc>
          <w:tcPr>
            <w:tcW w:w="1900" w:type="dxa"/>
            <w:vAlign w:val="bottom"/>
            <w:tcBorders>
              <w:bottom w:val="single" w:sz="8" w:color="071D49"/>
              <w:right w:val="single" w:sz="8" w:color="071D49"/>
            </w:tcBorders>
          </w:tcPr>
          <w:p>
            <w:pPr>
              <w:spacing w:after="0"/>
              <w:rPr>
                <w:sz w:val="9"/>
                <w:szCs w:val="9"/>
                <w:color w:val="auto"/>
              </w:rPr>
            </w:pPr>
          </w:p>
        </w:tc>
        <w:tc>
          <w:tcPr>
            <w:tcW w:w="380" w:type="dxa"/>
            <w:vAlign w:val="bottom"/>
            <w:tcBorders>
              <w:right w:val="single" w:sz="8" w:color="071D49"/>
            </w:tcBorders>
          </w:tcPr>
          <w:p>
            <w:pPr>
              <w:spacing w:after="0"/>
              <w:rPr>
                <w:sz w:val="9"/>
                <w:szCs w:val="9"/>
                <w:color w:val="auto"/>
              </w:rPr>
            </w:pPr>
          </w:p>
        </w:tc>
        <w:tc>
          <w:tcPr>
            <w:tcW w:w="680" w:type="dxa"/>
            <w:vAlign w:val="bottom"/>
            <w:tcBorders>
              <w:bottom w:val="single" w:sz="8" w:color="071D49"/>
            </w:tcBorders>
          </w:tcPr>
          <w:p>
            <w:pPr>
              <w:spacing w:after="0"/>
              <w:rPr>
                <w:sz w:val="9"/>
                <w:szCs w:val="9"/>
                <w:color w:val="auto"/>
              </w:rPr>
            </w:pPr>
          </w:p>
        </w:tc>
        <w:tc>
          <w:tcPr>
            <w:tcW w:w="1220" w:type="dxa"/>
            <w:vAlign w:val="bottom"/>
            <w:tcBorders>
              <w:bottom w:val="single" w:sz="8" w:color="071D49"/>
              <w:right w:val="single" w:sz="8" w:color="071D49"/>
            </w:tcBorders>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360" w:type="dxa"/>
            <w:vAlign w:val="bottom"/>
            <w:tcBorders>
              <w:bottom w:val="single" w:sz="8" w:color="F2F2F2"/>
            </w:tcBorders>
          </w:tcPr>
          <w:p>
            <w:pPr>
              <w:spacing w:after="0"/>
              <w:rPr>
                <w:sz w:val="15"/>
                <w:szCs w:val="15"/>
                <w:color w:val="auto"/>
              </w:rPr>
            </w:pPr>
          </w:p>
        </w:tc>
        <w:tc>
          <w:tcPr>
            <w:tcW w:w="360" w:type="dxa"/>
            <w:vAlign w:val="bottom"/>
            <w:tcBorders>
              <w:bottom w:val="single" w:sz="8" w:color="F2F2F2"/>
            </w:tcBorders>
          </w:tcPr>
          <w:p>
            <w:pPr>
              <w:spacing w:after="0"/>
              <w:rPr>
                <w:sz w:val="15"/>
                <w:szCs w:val="15"/>
                <w:color w:val="auto"/>
              </w:rPr>
            </w:pPr>
          </w:p>
        </w:tc>
        <w:tc>
          <w:tcPr>
            <w:tcW w:w="1320" w:type="dxa"/>
            <w:vAlign w:val="bottom"/>
            <w:tcBorders>
              <w:bottom w:val="single" w:sz="8" w:color="F2F2F2"/>
            </w:tcBorders>
          </w:tcPr>
          <w:p>
            <w:pPr>
              <w:spacing w:after="0"/>
              <w:rPr>
                <w:sz w:val="15"/>
                <w:szCs w:val="15"/>
                <w:color w:val="auto"/>
              </w:rPr>
            </w:pPr>
          </w:p>
        </w:tc>
        <w:tc>
          <w:tcPr>
            <w:tcW w:w="360" w:type="dxa"/>
            <w:vAlign w:val="bottom"/>
            <w:tcBorders>
              <w:bottom w:val="single" w:sz="8" w:color="F2F2F2"/>
            </w:tcBorders>
          </w:tcPr>
          <w:p>
            <w:pPr>
              <w:spacing w:after="0"/>
              <w:rPr>
                <w:sz w:val="15"/>
                <w:szCs w:val="15"/>
                <w:color w:val="auto"/>
              </w:rPr>
            </w:pPr>
          </w:p>
        </w:tc>
        <w:tc>
          <w:tcPr>
            <w:tcW w:w="1340" w:type="dxa"/>
            <w:vAlign w:val="bottom"/>
            <w:tcBorders>
              <w:bottom w:val="single" w:sz="8" w:color="071D49"/>
            </w:tcBorders>
          </w:tcPr>
          <w:p>
            <w:pPr>
              <w:spacing w:after="0"/>
              <w:rPr>
                <w:sz w:val="15"/>
                <w:szCs w:val="15"/>
                <w:color w:val="auto"/>
              </w:rPr>
            </w:pPr>
          </w:p>
        </w:tc>
        <w:tc>
          <w:tcPr>
            <w:tcW w:w="360" w:type="dxa"/>
            <w:vAlign w:val="bottom"/>
            <w:tcBorders>
              <w:bottom w:val="single" w:sz="8" w:color="F2F2F2"/>
            </w:tcBorders>
          </w:tcPr>
          <w:p>
            <w:pPr>
              <w:spacing w:after="0"/>
              <w:rPr>
                <w:sz w:val="15"/>
                <w:szCs w:val="15"/>
                <w:color w:val="auto"/>
              </w:rPr>
            </w:pPr>
          </w:p>
        </w:tc>
        <w:tc>
          <w:tcPr>
            <w:tcW w:w="1900" w:type="dxa"/>
            <w:vAlign w:val="bottom"/>
            <w:tcBorders>
              <w:bottom w:val="single" w:sz="8" w:color="071D49"/>
            </w:tcBorders>
          </w:tcPr>
          <w:p>
            <w:pPr>
              <w:spacing w:after="0"/>
              <w:rPr>
                <w:sz w:val="15"/>
                <w:szCs w:val="15"/>
                <w:color w:val="auto"/>
              </w:rPr>
            </w:pPr>
          </w:p>
        </w:tc>
        <w:tc>
          <w:tcPr>
            <w:tcW w:w="380" w:type="dxa"/>
            <w:vAlign w:val="bottom"/>
            <w:tcBorders>
              <w:bottom w:val="single" w:sz="8" w:color="071D49"/>
            </w:tcBorders>
          </w:tcPr>
          <w:p>
            <w:pPr>
              <w:spacing w:after="0"/>
              <w:rPr>
                <w:sz w:val="15"/>
                <w:szCs w:val="15"/>
                <w:color w:val="auto"/>
              </w:rPr>
            </w:pPr>
          </w:p>
        </w:tc>
        <w:tc>
          <w:tcPr>
            <w:tcW w:w="680" w:type="dxa"/>
            <w:vAlign w:val="bottom"/>
            <w:tcBorders>
              <w:bottom w:val="single" w:sz="8" w:color="071D49"/>
            </w:tcBorders>
          </w:tcPr>
          <w:p>
            <w:pPr>
              <w:spacing w:after="0"/>
              <w:rPr>
                <w:sz w:val="15"/>
                <w:szCs w:val="15"/>
                <w:color w:val="auto"/>
              </w:rPr>
            </w:pPr>
          </w:p>
        </w:tc>
        <w:tc>
          <w:tcPr>
            <w:tcW w:w="1220" w:type="dxa"/>
            <w:vAlign w:val="bottom"/>
            <w:tcBorders>
              <w:bottom w:val="single" w:sz="8" w:color="071D49"/>
            </w:tcBorders>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1360" w:type="dxa"/>
            <w:vAlign w:val="bottom"/>
            <w:tcBorders>
              <w:left w:val="single" w:sz="8" w:color="F2F2F2"/>
              <w:right w:val="single" w:sz="8" w:color="F2F2F2"/>
            </w:tcBorders>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rPr>
              <w:t>Plan Governance:</w:t>
            </w:r>
          </w:p>
        </w:tc>
        <w:tc>
          <w:tcPr>
            <w:tcW w:w="360" w:type="dxa"/>
            <w:vAlign w:val="bottom"/>
            <w:tcBorders>
              <w:right w:val="single" w:sz="8" w:color="F2F2F2"/>
            </w:tcBorders>
            <w:shd w:val="clear" w:color="auto" w:fill="F2F2F2"/>
          </w:tcPr>
          <w:p>
            <w:pPr>
              <w:spacing w:after="0"/>
              <w:rPr>
                <w:sz w:val="24"/>
                <w:szCs w:val="24"/>
                <w:color w:val="auto"/>
              </w:rPr>
            </w:pPr>
          </w:p>
        </w:tc>
        <w:tc>
          <w:tcPr>
            <w:tcW w:w="1320" w:type="dxa"/>
            <w:vAlign w:val="bottom"/>
            <w:tcBorders>
              <w:right w:val="single" w:sz="8" w:color="F2F2F2"/>
            </w:tcBorders>
            <w:shd w:val="clear" w:color="auto" w:fill="F2F2F2"/>
          </w:tcPr>
          <w:p>
            <w:pPr>
              <w:spacing w:after="0"/>
              <w:rPr>
                <w:sz w:val="24"/>
                <w:szCs w:val="24"/>
                <w:color w:val="auto"/>
              </w:rPr>
            </w:pPr>
          </w:p>
        </w:tc>
        <w:tc>
          <w:tcPr>
            <w:tcW w:w="360" w:type="dxa"/>
            <w:vAlign w:val="bottom"/>
            <w:tcBorders>
              <w:right w:val="single" w:sz="8" w:color="071D49"/>
            </w:tcBorders>
            <w:shd w:val="clear" w:color="auto" w:fill="F2F2F2"/>
          </w:tcPr>
          <w:p>
            <w:pPr>
              <w:spacing w:after="0"/>
              <w:rPr>
                <w:sz w:val="24"/>
                <w:szCs w:val="24"/>
                <w:color w:val="auto"/>
              </w:rPr>
            </w:pPr>
          </w:p>
        </w:tc>
        <w:tc>
          <w:tcPr>
            <w:tcW w:w="1340" w:type="dxa"/>
            <w:vAlign w:val="bottom"/>
            <w:tcBorders>
              <w:right w:val="single" w:sz="8" w:color="071D49"/>
            </w:tcBorders>
            <w:shd w:val="clear" w:color="auto" w:fill="F2F2F2"/>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360" w:type="dxa"/>
            <w:vAlign w:val="bottom"/>
            <w:tcBorders>
              <w:right w:val="single" w:sz="8" w:color="071D49"/>
            </w:tcBorders>
            <w:shd w:val="clear" w:color="auto" w:fill="F2F2F2"/>
          </w:tcPr>
          <w:p>
            <w:pPr>
              <w:spacing w:after="0"/>
              <w:rPr>
                <w:sz w:val="24"/>
                <w:szCs w:val="24"/>
                <w:color w:val="auto"/>
              </w:rPr>
            </w:pPr>
          </w:p>
        </w:tc>
        <w:tc>
          <w:tcPr>
            <w:tcW w:w="2960" w:type="dxa"/>
            <w:vAlign w:val="bottom"/>
            <w:gridSpan w:val="3"/>
            <w:vMerge w:val="restart"/>
            <w:shd w:val="clear" w:color="auto" w:fill="F2F2F2"/>
          </w:tcPr>
          <w:p>
            <w:pPr>
              <w:jc w:val="center"/>
              <w:ind w:left="1134"/>
              <w:spacing w:after="0"/>
              <w:rPr>
                <w:sz w:val="20"/>
                <w:szCs w:val="20"/>
                <w:color w:val="auto"/>
              </w:rPr>
            </w:pPr>
            <w:r>
              <w:rPr>
                <w:rFonts w:ascii="Arial" w:cs="Arial" w:eastAsia="Arial" w:hAnsi="Arial"/>
                <w:sz w:val="13"/>
                <w:szCs w:val="13"/>
                <w:b w:val="1"/>
                <w:bCs w:val="1"/>
                <w:color w:val="auto"/>
              </w:rPr>
              <w:t>2025 Performance results:</w:t>
            </w:r>
          </w:p>
        </w:tc>
        <w:tc>
          <w:tcPr>
            <w:tcW w:w="1220" w:type="dxa"/>
            <w:vAlign w:val="bottom"/>
            <w:tcBorders>
              <w:right w:val="single" w:sz="8" w:color="071D49"/>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60" w:type="dxa"/>
            <w:vAlign w:val="bottom"/>
            <w:tcBorders>
              <w:left w:val="single" w:sz="8" w:color="F2F2F2"/>
              <w:right w:val="single" w:sz="8" w:color="F2F2F2"/>
            </w:tcBorders>
            <w:vMerge w:val="continue"/>
            <w:shd w:val="clear" w:color="auto" w:fill="F2F2F2"/>
          </w:tcPr>
          <w:p>
            <w:pPr>
              <w:spacing w:after="0"/>
              <w:rPr>
                <w:sz w:val="6"/>
                <w:szCs w:val="6"/>
                <w:color w:val="auto"/>
              </w:rPr>
            </w:pPr>
          </w:p>
        </w:tc>
        <w:tc>
          <w:tcPr>
            <w:tcW w:w="360" w:type="dxa"/>
            <w:vAlign w:val="bottom"/>
            <w:tcBorders>
              <w:right w:val="single" w:sz="8" w:color="F2F2F2"/>
            </w:tcBorders>
            <w:shd w:val="clear" w:color="auto" w:fill="F2F2F2"/>
          </w:tcPr>
          <w:p>
            <w:pPr>
              <w:spacing w:after="0"/>
              <w:rPr>
                <w:sz w:val="6"/>
                <w:szCs w:val="6"/>
                <w:color w:val="auto"/>
              </w:rPr>
            </w:pPr>
          </w:p>
        </w:tc>
        <w:tc>
          <w:tcPr>
            <w:tcW w:w="1320" w:type="dxa"/>
            <w:vAlign w:val="bottom"/>
            <w:tcBorders>
              <w:right w:val="single" w:sz="8" w:color="F2F2F2"/>
            </w:tcBorders>
            <w:shd w:val="clear" w:color="auto" w:fill="F2F2F2"/>
          </w:tcPr>
          <w:p>
            <w:pPr>
              <w:spacing w:after="0"/>
              <w:rPr>
                <w:sz w:val="6"/>
                <w:szCs w:val="6"/>
                <w:color w:val="auto"/>
              </w:rPr>
            </w:pPr>
          </w:p>
        </w:tc>
        <w:tc>
          <w:tcPr>
            <w:tcW w:w="360" w:type="dxa"/>
            <w:vAlign w:val="bottom"/>
            <w:tcBorders>
              <w:right w:val="single" w:sz="8" w:color="071D49"/>
            </w:tcBorders>
            <w:shd w:val="clear" w:color="auto" w:fill="F2F2F2"/>
          </w:tcPr>
          <w:p>
            <w:pPr>
              <w:spacing w:after="0"/>
              <w:rPr>
                <w:sz w:val="6"/>
                <w:szCs w:val="6"/>
                <w:color w:val="auto"/>
              </w:rPr>
            </w:pPr>
          </w:p>
        </w:tc>
        <w:tc>
          <w:tcPr>
            <w:tcW w:w="1340" w:type="dxa"/>
            <w:vAlign w:val="bottom"/>
            <w:tcBorders>
              <w:right w:val="single" w:sz="8" w:color="071D49"/>
            </w:tcBorders>
            <w:vMerge w:val="restart"/>
            <w:shd w:val="clear" w:color="auto" w:fill="F2F2F2"/>
          </w:tcPr>
          <w:p>
            <w:pPr>
              <w:jc w:val="center"/>
              <w:spacing w:after="0" w:line="148" w:lineRule="exact"/>
              <w:rPr>
                <w:sz w:val="20"/>
                <w:szCs w:val="20"/>
                <w:color w:val="auto"/>
              </w:rPr>
            </w:pPr>
            <w:r>
              <w:rPr>
                <w:rFonts w:ascii="Arial" w:cs="Arial" w:eastAsia="Arial" w:hAnsi="Arial"/>
                <w:sz w:val="13"/>
                <w:szCs w:val="13"/>
                <w:b w:val="1"/>
                <w:bCs w:val="1"/>
                <w:color w:val="auto"/>
                <w:w w:val="99"/>
              </w:rPr>
              <w:t>100% of Target</w:t>
            </w:r>
          </w:p>
        </w:tc>
        <w:tc>
          <w:tcPr>
            <w:tcW w:w="360" w:type="dxa"/>
            <w:vAlign w:val="bottom"/>
            <w:tcBorders>
              <w:right w:val="single" w:sz="8" w:color="071D49"/>
            </w:tcBorders>
            <w:shd w:val="clear" w:color="auto" w:fill="F2F2F2"/>
          </w:tcPr>
          <w:p>
            <w:pPr>
              <w:spacing w:after="0"/>
              <w:rPr>
                <w:sz w:val="6"/>
                <w:szCs w:val="6"/>
                <w:color w:val="auto"/>
              </w:rPr>
            </w:pPr>
          </w:p>
        </w:tc>
        <w:tc>
          <w:tcPr>
            <w:tcW w:w="2960" w:type="dxa"/>
            <w:vAlign w:val="bottom"/>
            <w:gridSpan w:val="3"/>
            <w:vMerge w:val="continue"/>
            <w:shd w:val="clear" w:color="auto" w:fill="F2F2F2"/>
          </w:tcPr>
          <w:p>
            <w:pPr>
              <w:spacing w:after="0"/>
              <w:rPr>
                <w:sz w:val="6"/>
                <w:szCs w:val="6"/>
                <w:color w:val="auto"/>
              </w:rPr>
            </w:pPr>
          </w:p>
        </w:tc>
        <w:tc>
          <w:tcPr>
            <w:tcW w:w="1220" w:type="dxa"/>
            <w:vAlign w:val="bottom"/>
            <w:tcBorders>
              <w:right w:val="single" w:sz="8" w:color="071D49"/>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360" w:type="dxa"/>
            <w:vAlign w:val="bottom"/>
            <w:tcBorders>
              <w:left w:val="single" w:sz="8" w:color="F2F2F2"/>
              <w:right w:val="single" w:sz="8" w:color="F2F2F2"/>
            </w:tcBorders>
            <w:vMerge w:val="continue"/>
            <w:shd w:val="clear" w:color="auto" w:fill="F2F2F2"/>
          </w:tcPr>
          <w:p>
            <w:pPr>
              <w:spacing w:after="0"/>
              <w:rPr>
                <w:sz w:val="6"/>
                <w:szCs w:val="6"/>
                <w:color w:val="auto"/>
              </w:rPr>
            </w:pPr>
          </w:p>
        </w:tc>
        <w:tc>
          <w:tcPr>
            <w:tcW w:w="360" w:type="dxa"/>
            <w:vAlign w:val="bottom"/>
            <w:tcBorders>
              <w:right w:val="single" w:sz="8" w:color="F2F2F2"/>
            </w:tcBorders>
            <w:shd w:val="clear" w:color="auto" w:fill="F2F2F2"/>
          </w:tcPr>
          <w:p>
            <w:pPr>
              <w:spacing w:after="0"/>
              <w:rPr>
                <w:sz w:val="6"/>
                <w:szCs w:val="6"/>
                <w:color w:val="auto"/>
              </w:rPr>
            </w:pPr>
          </w:p>
        </w:tc>
        <w:tc>
          <w:tcPr>
            <w:tcW w:w="1320" w:type="dxa"/>
            <w:vAlign w:val="bottom"/>
            <w:tcBorders>
              <w:right w:val="single" w:sz="8" w:color="F2F2F2"/>
            </w:tcBorders>
            <w:shd w:val="clear" w:color="auto" w:fill="F2F2F2"/>
          </w:tcPr>
          <w:p>
            <w:pPr>
              <w:spacing w:after="0"/>
              <w:rPr>
                <w:sz w:val="6"/>
                <w:szCs w:val="6"/>
                <w:color w:val="auto"/>
              </w:rPr>
            </w:pPr>
          </w:p>
        </w:tc>
        <w:tc>
          <w:tcPr>
            <w:tcW w:w="360" w:type="dxa"/>
            <w:vAlign w:val="bottom"/>
            <w:tcBorders>
              <w:right w:val="single" w:sz="8" w:color="071D49"/>
            </w:tcBorders>
            <w:shd w:val="clear" w:color="auto" w:fill="F2F2F2"/>
          </w:tcPr>
          <w:p>
            <w:pPr>
              <w:spacing w:after="0"/>
              <w:rPr>
                <w:sz w:val="6"/>
                <w:szCs w:val="6"/>
                <w:color w:val="auto"/>
              </w:rPr>
            </w:pPr>
          </w:p>
        </w:tc>
        <w:tc>
          <w:tcPr>
            <w:tcW w:w="1340" w:type="dxa"/>
            <w:vAlign w:val="bottom"/>
            <w:tcBorders>
              <w:right w:val="single" w:sz="8" w:color="071D49"/>
            </w:tcBorders>
            <w:vMerge w:val="continue"/>
            <w:shd w:val="clear" w:color="auto" w:fill="F2F2F2"/>
          </w:tcPr>
          <w:p>
            <w:pPr>
              <w:spacing w:after="0"/>
              <w:rPr>
                <w:sz w:val="6"/>
                <w:szCs w:val="6"/>
                <w:color w:val="auto"/>
              </w:rPr>
            </w:pPr>
          </w:p>
        </w:tc>
        <w:tc>
          <w:tcPr>
            <w:tcW w:w="360" w:type="dxa"/>
            <w:vAlign w:val="bottom"/>
            <w:tcBorders>
              <w:right w:val="single" w:sz="8" w:color="071D49"/>
            </w:tcBorders>
            <w:shd w:val="clear" w:color="auto" w:fill="F2F2F2"/>
          </w:tcPr>
          <w:p>
            <w:pPr>
              <w:spacing w:after="0"/>
              <w:rPr>
                <w:sz w:val="6"/>
                <w:szCs w:val="6"/>
                <w:color w:val="auto"/>
              </w:rPr>
            </w:pPr>
          </w:p>
        </w:tc>
        <w:tc>
          <w:tcPr>
            <w:tcW w:w="4180" w:type="dxa"/>
            <w:vAlign w:val="bottom"/>
            <w:tcBorders>
              <w:right w:val="single" w:sz="8" w:color="071D49"/>
            </w:tcBorders>
            <w:gridSpan w:val="4"/>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rPr>
              <w:t>Capped at plan maximum of 200% of Target per payout matrix</w:t>
            </w:r>
          </w:p>
        </w:tc>
        <w:tc>
          <w:tcPr>
            <w:tcW w:w="0" w:type="dxa"/>
            <w:vAlign w:val="bottom"/>
          </w:tcPr>
          <w:p>
            <w:pPr>
              <w:spacing w:after="0"/>
              <w:rPr>
                <w:sz w:val="1"/>
                <w:szCs w:val="1"/>
                <w:color w:val="auto"/>
              </w:rPr>
            </w:pPr>
          </w:p>
        </w:tc>
      </w:tr>
      <w:tr>
        <w:trPr>
          <w:trHeight w:val="105"/>
        </w:trPr>
        <w:tc>
          <w:tcPr>
            <w:tcW w:w="1360" w:type="dxa"/>
            <w:vAlign w:val="bottom"/>
            <w:tcBorders>
              <w:left w:val="single" w:sz="8" w:color="F2F2F2"/>
              <w:right w:val="single" w:sz="8" w:color="F2F2F2"/>
            </w:tcBorders>
            <w:shd w:val="clear" w:color="auto" w:fill="F2F2F2"/>
          </w:tcPr>
          <w:p>
            <w:pPr>
              <w:spacing w:after="0"/>
              <w:rPr>
                <w:sz w:val="9"/>
                <w:szCs w:val="9"/>
                <w:color w:val="auto"/>
              </w:rPr>
            </w:pPr>
          </w:p>
        </w:tc>
        <w:tc>
          <w:tcPr>
            <w:tcW w:w="360" w:type="dxa"/>
            <w:vAlign w:val="bottom"/>
            <w:tcBorders>
              <w:right w:val="single" w:sz="8" w:color="F2F2F2"/>
            </w:tcBorders>
            <w:shd w:val="clear" w:color="auto" w:fill="F2F2F2"/>
          </w:tcPr>
          <w:p>
            <w:pPr>
              <w:spacing w:after="0"/>
              <w:rPr>
                <w:sz w:val="9"/>
                <w:szCs w:val="9"/>
                <w:color w:val="auto"/>
              </w:rPr>
            </w:pPr>
          </w:p>
        </w:tc>
        <w:tc>
          <w:tcPr>
            <w:tcW w:w="1320" w:type="dxa"/>
            <w:vAlign w:val="bottom"/>
            <w:tcBorders>
              <w:right w:val="single" w:sz="8" w:color="F2F2F2"/>
            </w:tcBorders>
            <w:shd w:val="clear" w:color="auto" w:fill="F2F2F2"/>
          </w:tcPr>
          <w:p>
            <w:pPr>
              <w:spacing w:after="0"/>
              <w:rPr>
                <w:sz w:val="9"/>
                <w:szCs w:val="9"/>
                <w:color w:val="auto"/>
              </w:rPr>
            </w:pPr>
          </w:p>
        </w:tc>
        <w:tc>
          <w:tcPr>
            <w:tcW w:w="360" w:type="dxa"/>
            <w:vAlign w:val="bottom"/>
            <w:tcBorders>
              <w:right w:val="single" w:sz="8" w:color="071D49"/>
            </w:tcBorders>
            <w:shd w:val="clear" w:color="auto" w:fill="F2F2F2"/>
          </w:tcPr>
          <w:p>
            <w:pPr>
              <w:spacing w:after="0"/>
              <w:rPr>
                <w:sz w:val="9"/>
                <w:szCs w:val="9"/>
                <w:color w:val="auto"/>
              </w:rPr>
            </w:pPr>
          </w:p>
        </w:tc>
        <w:tc>
          <w:tcPr>
            <w:tcW w:w="1340" w:type="dxa"/>
            <w:vAlign w:val="bottom"/>
            <w:tcBorders>
              <w:right w:val="single" w:sz="8" w:color="071D49"/>
            </w:tcBorders>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rPr>
              <w:t>per plan design</w:t>
            </w:r>
          </w:p>
        </w:tc>
        <w:tc>
          <w:tcPr>
            <w:tcW w:w="360" w:type="dxa"/>
            <w:vAlign w:val="bottom"/>
            <w:tcBorders>
              <w:right w:val="single" w:sz="8" w:color="071D49"/>
            </w:tcBorders>
            <w:shd w:val="clear" w:color="auto" w:fill="F2F2F2"/>
          </w:tcPr>
          <w:p>
            <w:pPr>
              <w:spacing w:after="0"/>
              <w:rPr>
                <w:sz w:val="9"/>
                <w:szCs w:val="9"/>
                <w:color w:val="auto"/>
              </w:rPr>
            </w:pPr>
          </w:p>
        </w:tc>
        <w:tc>
          <w:tcPr>
            <w:tcW w:w="4180" w:type="dxa"/>
            <w:vAlign w:val="bottom"/>
            <w:tcBorders>
              <w:right w:val="single" w:sz="8" w:color="071D49"/>
            </w:tcBorders>
            <w:gridSpan w:val="4"/>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360" w:type="dxa"/>
            <w:vAlign w:val="bottom"/>
            <w:tcBorders>
              <w:left w:val="single" w:sz="8" w:color="F2F2F2"/>
              <w:right w:val="single" w:sz="8" w:color="F2F2F2"/>
            </w:tcBorders>
            <w:shd w:val="clear" w:color="auto" w:fill="F2F2F2"/>
          </w:tcPr>
          <w:p>
            <w:pPr>
              <w:spacing w:after="0"/>
              <w:rPr>
                <w:sz w:val="6"/>
                <w:szCs w:val="6"/>
                <w:color w:val="auto"/>
              </w:rPr>
            </w:pPr>
          </w:p>
        </w:tc>
        <w:tc>
          <w:tcPr>
            <w:tcW w:w="360" w:type="dxa"/>
            <w:vAlign w:val="bottom"/>
            <w:tcBorders>
              <w:right w:val="single" w:sz="8" w:color="F2F2F2"/>
            </w:tcBorders>
            <w:shd w:val="clear" w:color="auto" w:fill="F2F2F2"/>
          </w:tcPr>
          <w:p>
            <w:pPr>
              <w:spacing w:after="0"/>
              <w:rPr>
                <w:sz w:val="6"/>
                <w:szCs w:val="6"/>
                <w:color w:val="auto"/>
              </w:rPr>
            </w:pPr>
          </w:p>
        </w:tc>
        <w:tc>
          <w:tcPr>
            <w:tcW w:w="1320" w:type="dxa"/>
            <w:vAlign w:val="bottom"/>
            <w:tcBorders>
              <w:right w:val="single" w:sz="8" w:color="F2F2F2"/>
            </w:tcBorders>
            <w:shd w:val="clear" w:color="auto" w:fill="F2F2F2"/>
          </w:tcPr>
          <w:p>
            <w:pPr>
              <w:spacing w:after="0"/>
              <w:rPr>
                <w:sz w:val="6"/>
                <w:szCs w:val="6"/>
                <w:color w:val="auto"/>
              </w:rPr>
            </w:pPr>
          </w:p>
        </w:tc>
        <w:tc>
          <w:tcPr>
            <w:tcW w:w="360" w:type="dxa"/>
            <w:vAlign w:val="bottom"/>
            <w:tcBorders>
              <w:right w:val="single" w:sz="8" w:color="071D49"/>
            </w:tcBorders>
            <w:shd w:val="clear" w:color="auto" w:fill="F2F2F2"/>
          </w:tcPr>
          <w:p>
            <w:pPr>
              <w:spacing w:after="0"/>
              <w:rPr>
                <w:sz w:val="6"/>
                <w:szCs w:val="6"/>
                <w:color w:val="auto"/>
              </w:rPr>
            </w:pPr>
          </w:p>
        </w:tc>
        <w:tc>
          <w:tcPr>
            <w:tcW w:w="1340" w:type="dxa"/>
            <w:vAlign w:val="bottom"/>
            <w:tcBorders>
              <w:right w:val="single" w:sz="8" w:color="071D49"/>
            </w:tcBorders>
            <w:vMerge w:val="continue"/>
            <w:shd w:val="clear" w:color="auto" w:fill="F2F2F2"/>
          </w:tcPr>
          <w:p>
            <w:pPr>
              <w:spacing w:after="0"/>
              <w:rPr>
                <w:sz w:val="6"/>
                <w:szCs w:val="6"/>
                <w:color w:val="auto"/>
              </w:rPr>
            </w:pPr>
          </w:p>
        </w:tc>
        <w:tc>
          <w:tcPr>
            <w:tcW w:w="360" w:type="dxa"/>
            <w:vAlign w:val="bottom"/>
            <w:tcBorders>
              <w:right w:val="single" w:sz="8" w:color="071D49"/>
            </w:tcBorders>
            <w:shd w:val="clear" w:color="auto" w:fill="F2F2F2"/>
          </w:tcPr>
          <w:p>
            <w:pPr>
              <w:spacing w:after="0"/>
              <w:rPr>
                <w:sz w:val="6"/>
                <w:szCs w:val="6"/>
                <w:color w:val="auto"/>
              </w:rPr>
            </w:pPr>
          </w:p>
        </w:tc>
        <w:tc>
          <w:tcPr>
            <w:tcW w:w="1900" w:type="dxa"/>
            <w:vAlign w:val="bottom"/>
            <w:tcBorders>
              <w:right w:val="single" w:sz="8" w:color="F2F2F2"/>
            </w:tcBorders>
            <w:shd w:val="clear" w:color="auto" w:fill="F2F2F2"/>
          </w:tcPr>
          <w:p>
            <w:pPr>
              <w:spacing w:after="0"/>
              <w:rPr>
                <w:sz w:val="6"/>
                <w:szCs w:val="6"/>
                <w:color w:val="auto"/>
              </w:rPr>
            </w:pPr>
          </w:p>
        </w:tc>
        <w:tc>
          <w:tcPr>
            <w:tcW w:w="380" w:type="dxa"/>
            <w:vAlign w:val="bottom"/>
            <w:tcBorders>
              <w:right w:val="single" w:sz="8" w:color="F2F2F2"/>
            </w:tcBorders>
            <w:shd w:val="clear" w:color="auto" w:fill="F2F2F2"/>
          </w:tcPr>
          <w:p>
            <w:pPr>
              <w:spacing w:after="0"/>
              <w:rPr>
                <w:sz w:val="6"/>
                <w:szCs w:val="6"/>
                <w:color w:val="auto"/>
              </w:rPr>
            </w:pPr>
          </w:p>
        </w:tc>
        <w:tc>
          <w:tcPr>
            <w:tcW w:w="680" w:type="dxa"/>
            <w:vAlign w:val="bottom"/>
            <w:shd w:val="clear" w:color="auto" w:fill="F2F2F2"/>
          </w:tcPr>
          <w:p>
            <w:pPr>
              <w:spacing w:after="0"/>
              <w:rPr>
                <w:sz w:val="6"/>
                <w:szCs w:val="6"/>
                <w:color w:val="auto"/>
              </w:rPr>
            </w:pPr>
          </w:p>
        </w:tc>
        <w:tc>
          <w:tcPr>
            <w:tcW w:w="1220" w:type="dxa"/>
            <w:vAlign w:val="bottom"/>
            <w:tcBorders>
              <w:right w:val="single" w:sz="8" w:color="071D49"/>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360" w:type="dxa"/>
            <w:vAlign w:val="bottom"/>
            <w:tcBorders>
              <w:left w:val="single" w:sz="8" w:color="F2F2F2"/>
              <w:right w:val="single" w:sz="8" w:color="F2F2F2"/>
            </w:tcBorders>
            <w:shd w:val="clear" w:color="auto" w:fill="F2F2F2"/>
          </w:tcPr>
          <w:p>
            <w:pPr>
              <w:spacing w:after="0"/>
              <w:rPr>
                <w:sz w:val="10"/>
                <w:szCs w:val="10"/>
                <w:color w:val="auto"/>
              </w:rPr>
            </w:pPr>
          </w:p>
        </w:tc>
        <w:tc>
          <w:tcPr>
            <w:tcW w:w="360" w:type="dxa"/>
            <w:vAlign w:val="bottom"/>
            <w:tcBorders>
              <w:right w:val="single" w:sz="8" w:color="F2F2F2"/>
            </w:tcBorders>
            <w:shd w:val="clear" w:color="auto" w:fill="F2F2F2"/>
          </w:tcPr>
          <w:p>
            <w:pPr>
              <w:spacing w:after="0"/>
              <w:rPr>
                <w:sz w:val="10"/>
                <w:szCs w:val="10"/>
                <w:color w:val="auto"/>
              </w:rPr>
            </w:pPr>
          </w:p>
        </w:tc>
        <w:tc>
          <w:tcPr>
            <w:tcW w:w="1320" w:type="dxa"/>
            <w:vAlign w:val="bottom"/>
            <w:tcBorders>
              <w:right w:val="single" w:sz="8" w:color="F2F2F2"/>
            </w:tcBorders>
            <w:shd w:val="clear" w:color="auto" w:fill="F2F2F2"/>
          </w:tcPr>
          <w:p>
            <w:pPr>
              <w:spacing w:after="0"/>
              <w:rPr>
                <w:sz w:val="10"/>
                <w:szCs w:val="10"/>
                <w:color w:val="auto"/>
              </w:rPr>
            </w:pPr>
          </w:p>
        </w:tc>
        <w:tc>
          <w:tcPr>
            <w:tcW w:w="360" w:type="dxa"/>
            <w:vAlign w:val="bottom"/>
            <w:tcBorders>
              <w:right w:val="single" w:sz="8" w:color="071D49"/>
            </w:tcBorders>
            <w:shd w:val="clear" w:color="auto" w:fill="F2F2F2"/>
          </w:tcPr>
          <w:p>
            <w:pPr>
              <w:spacing w:after="0"/>
              <w:rPr>
                <w:sz w:val="10"/>
                <w:szCs w:val="10"/>
                <w:color w:val="auto"/>
              </w:rPr>
            </w:pPr>
          </w:p>
        </w:tc>
        <w:tc>
          <w:tcPr>
            <w:tcW w:w="1340" w:type="dxa"/>
            <w:vAlign w:val="bottom"/>
            <w:tcBorders>
              <w:bottom w:val="single" w:sz="8" w:color="071D49"/>
              <w:right w:val="single" w:sz="8" w:color="071D49"/>
            </w:tcBorders>
            <w:shd w:val="clear" w:color="auto" w:fill="F2F2F2"/>
          </w:tcPr>
          <w:p>
            <w:pPr>
              <w:spacing w:after="0"/>
              <w:rPr>
                <w:sz w:val="10"/>
                <w:szCs w:val="10"/>
                <w:color w:val="auto"/>
              </w:rPr>
            </w:pPr>
          </w:p>
        </w:tc>
        <w:tc>
          <w:tcPr>
            <w:tcW w:w="360" w:type="dxa"/>
            <w:vAlign w:val="bottom"/>
            <w:tcBorders>
              <w:right w:val="single" w:sz="8" w:color="071D49"/>
            </w:tcBorders>
            <w:shd w:val="clear" w:color="auto" w:fill="F2F2F2"/>
          </w:tcPr>
          <w:p>
            <w:pPr>
              <w:spacing w:after="0"/>
              <w:rPr>
                <w:sz w:val="10"/>
                <w:szCs w:val="10"/>
                <w:color w:val="auto"/>
              </w:rPr>
            </w:pPr>
          </w:p>
        </w:tc>
        <w:tc>
          <w:tcPr>
            <w:tcW w:w="1900" w:type="dxa"/>
            <w:vAlign w:val="bottom"/>
            <w:tcBorders>
              <w:bottom w:val="single" w:sz="8" w:color="071D49"/>
              <w:right w:val="single" w:sz="8" w:color="F2F2F2"/>
            </w:tcBorders>
            <w:shd w:val="clear" w:color="auto" w:fill="F2F2F2"/>
          </w:tcPr>
          <w:p>
            <w:pPr>
              <w:spacing w:after="0"/>
              <w:rPr>
                <w:sz w:val="10"/>
                <w:szCs w:val="10"/>
                <w:color w:val="auto"/>
              </w:rPr>
            </w:pPr>
          </w:p>
        </w:tc>
        <w:tc>
          <w:tcPr>
            <w:tcW w:w="380" w:type="dxa"/>
            <w:vAlign w:val="bottom"/>
            <w:tcBorders>
              <w:bottom w:val="single" w:sz="8" w:color="071D49"/>
              <w:right w:val="single" w:sz="8" w:color="F2F2F2"/>
            </w:tcBorders>
            <w:shd w:val="clear" w:color="auto" w:fill="F2F2F2"/>
          </w:tcPr>
          <w:p>
            <w:pPr>
              <w:spacing w:after="0"/>
              <w:rPr>
                <w:sz w:val="10"/>
                <w:szCs w:val="10"/>
                <w:color w:val="auto"/>
              </w:rPr>
            </w:pPr>
          </w:p>
        </w:tc>
        <w:tc>
          <w:tcPr>
            <w:tcW w:w="680" w:type="dxa"/>
            <w:vAlign w:val="bottom"/>
            <w:tcBorders>
              <w:bottom w:val="single" w:sz="8" w:color="071D49"/>
            </w:tcBorders>
            <w:shd w:val="clear" w:color="auto" w:fill="F2F2F2"/>
          </w:tcPr>
          <w:p>
            <w:pPr>
              <w:spacing w:after="0"/>
              <w:rPr>
                <w:sz w:val="10"/>
                <w:szCs w:val="10"/>
                <w:color w:val="auto"/>
              </w:rPr>
            </w:pPr>
          </w:p>
        </w:tc>
        <w:tc>
          <w:tcPr>
            <w:tcW w:w="1220" w:type="dxa"/>
            <w:vAlign w:val="bottom"/>
            <w:tcBorders>
              <w:bottom w:val="single" w:sz="8" w:color="071D49"/>
              <w:right w:val="single" w:sz="8" w:color="071D49"/>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left="20" w:right="500"/>
        <w:spacing w:after="0" w:line="262" w:lineRule="auto"/>
        <w:rPr>
          <w:sz w:val="20"/>
          <w:szCs w:val="20"/>
          <w:color w:val="auto"/>
        </w:rPr>
      </w:pPr>
      <w:r>
        <w:rPr>
          <w:rFonts w:ascii="Arial" w:cs="Arial" w:eastAsia="Arial" w:hAnsi="Arial"/>
          <w:sz w:val="16"/>
          <w:szCs w:val="16"/>
          <w:color w:val="auto"/>
        </w:rPr>
        <w:t>The short-term incentive goals and their respective weightings are summarized in the chart below. The specific goals and weightings for each NEO are established at the start of each performance year based on the NEO’s role and anticipated contributions to the company’s annual objectives.</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0" w:type="dxa"/>
            <w:vAlign w:val="bottom"/>
            <w:gridSpan w:val="4"/>
          </w:tcPr>
          <w:p>
            <w:pPr>
              <w:ind w:left="520"/>
              <w:spacing w:after="0"/>
              <w:rPr>
                <w:sz w:val="20"/>
                <w:szCs w:val="20"/>
                <w:color w:val="auto"/>
              </w:rPr>
            </w:pPr>
            <w:r>
              <w:rPr>
                <w:rFonts w:ascii="Arial" w:cs="Arial" w:eastAsia="Arial" w:hAnsi="Arial"/>
                <w:sz w:val="13"/>
                <w:szCs w:val="13"/>
                <w:b w:val="1"/>
                <w:bCs w:val="1"/>
                <w:color w:val="071D49"/>
              </w:rPr>
              <w:t>Financial Goals</w:t>
            </w:r>
          </w:p>
        </w:tc>
        <w:tc>
          <w:tcPr>
            <w:tcW w:w="2760" w:type="dxa"/>
            <w:vAlign w:val="bottom"/>
            <w:gridSpan w:val="4"/>
          </w:tcPr>
          <w:p>
            <w:pPr>
              <w:ind w:left="680"/>
              <w:spacing w:after="0"/>
              <w:rPr>
                <w:sz w:val="20"/>
                <w:szCs w:val="20"/>
                <w:color w:val="auto"/>
              </w:rPr>
            </w:pPr>
            <w:r>
              <w:rPr>
                <w:rFonts w:ascii="Arial" w:cs="Arial" w:eastAsia="Arial" w:hAnsi="Arial"/>
                <w:sz w:val="13"/>
                <w:szCs w:val="13"/>
                <w:b w:val="1"/>
                <w:bCs w:val="1"/>
                <w:color w:val="071D49"/>
              </w:rPr>
              <w:t>Strategic and Leadership Goals</w:t>
            </w:r>
          </w:p>
        </w:tc>
        <w:tc>
          <w:tcPr>
            <w:tcW w:w="600" w:type="dxa"/>
            <w:vAlign w:val="bottom"/>
          </w:tcPr>
          <w:p>
            <w:pPr>
              <w:spacing w:after="0"/>
              <w:rPr>
                <w:sz w:val="13"/>
                <w:szCs w:val="13"/>
                <w:color w:val="auto"/>
              </w:rPr>
            </w:pPr>
          </w:p>
        </w:tc>
      </w:tr>
      <w:tr>
        <w:trPr>
          <w:trHeight w:val="132"/>
        </w:trPr>
        <w:tc>
          <w:tcPr>
            <w:tcW w:w="2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right"/>
              <w:ind w:right="186"/>
              <w:spacing w:after="0" w:line="133" w:lineRule="exact"/>
              <w:rPr>
                <w:sz w:val="20"/>
                <w:szCs w:val="20"/>
                <w:color w:val="auto"/>
              </w:rPr>
            </w:pPr>
            <w:r>
              <w:rPr>
                <w:rFonts w:ascii="Arial" w:cs="Arial" w:eastAsia="Arial" w:hAnsi="Arial"/>
                <w:sz w:val="13"/>
                <w:szCs w:val="13"/>
                <w:b w:val="1"/>
                <w:bCs w:val="1"/>
                <w:color w:val="071D49"/>
              </w:rPr>
              <w:t>Platform Revenue,</w:t>
            </w: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48"/>
        </w:trPr>
        <w:tc>
          <w:tcPr>
            <w:tcW w:w="2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right"/>
              <w:ind w:right="210"/>
              <w:spacing w:after="0" w:line="148" w:lineRule="exact"/>
              <w:rPr>
                <w:sz w:val="20"/>
                <w:szCs w:val="20"/>
                <w:color w:val="auto"/>
              </w:rPr>
            </w:pPr>
            <w:r>
              <w:rPr>
                <w:rFonts w:ascii="Arial" w:cs="Arial" w:eastAsia="Arial" w:hAnsi="Arial"/>
                <w:sz w:val="13"/>
                <w:szCs w:val="13"/>
                <w:b w:val="1"/>
                <w:bCs w:val="1"/>
                <w:color w:val="071D49"/>
              </w:rPr>
              <w:t>Income</w:t>
            </w:r>
          </w:p>
        </w:tc>
        <w:tc>
          <w:tcPr>
            <w:tcW w:w="1640" w:type="dxa"/>
            <w:vAlign w:val="bottom"/>
            <w:gridSpan w:val="3"/>
          </w:tcPr>
          <w:p>
            <w:pPr>
              <w:jc w:val="right"/>
              <w:ind w:right="380"/>
              <w:spacing w:after="0" w:line="148" w:lineRule="exact"/>
              <w:rPr>
                <w:sz w:val="20"/>
                <w:szCs w:val="20"/>
                <w:color w:val="auto"/>
              </w:rPr>
            </w:pPr>
            <w:r>
              <w:rPr>
                <w:rFonts w:ascii="Arial" w:cs="Arial" w:eastAsia="Arial" w:hAnsi="Arial"/>
                <w:sz w:val="13"/>
                <w:szCs w:val="13"/>
                <w:b w:val="1"/>
                <w:bCs w:val="1"/>
                <w:color w:val="071D49"/>
              </w:rPr>
              <w:t>Operating Margin,</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1"/>
        </w:trPr>
        <w:tc>
          <w:tcPr>
            <w:tcW w:w="2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210"/>
              <w:spacing w:after="0" w:line="131" w:lineRule="exact"/>
              <w:rPr>
                <w:sz w:val="20"/>
                <w:szCs w:val="20"/>
                <w:color w:val="auto"/>
              </w:rPr>
            </w:pPr>
            <w:r>
              <w:rPr>
                <w:rFonts w:ascii="Arial" w:cs="Arial" w:eastAsia="Arial" w:hAnsi="Arial"/>
                <w:sz w:val="13"/>
                <w:szCs w:val="13"/>
                <w:b w:val="1"/>
                <w:bCs w:val="1"/>
                <w:color w:val="071D49"/>
              </w:rPr>
              <w:t>Before</w:t>
            </w:r>
          </w:p>
        </w:tc>
        <w:tc>
          <w:tcPr>
            <w:tcW w:w="1640" w:type="dxa"/>
            <w:vAlign w:val="bottom"/>
            <w:gridSpan w:val="3"/>
          </w:tcPr>
          <w:p>
            <w:pPr>
              <w:jc w:val="right"/>
              <w:ind w:right="380"/>
              <w:spacing w:after="0" w:line="131" w:lineRule="exact"/>
              <w:rPr>
                <w:sz w:val="20"/>
                <w:szCs w:val="20"/>
                <w:color w:val="auto"/>
              </w:rPr>
            </w:pPr>
            <w:r>
              <w:rPr>
                <w:rFonts w:ascii="Arial" w:cs="Arial" w:eastAsia="Arial" w:hAnsi="Arial"/>
                <w:sz w:val="13"/>
                <w:szCs w:val="13"/>
                <w:b w:val="1"/>
                <w:bCs w:val="1"/>
                <w:color w:val="071D49"/>
              </w:rPr>
              <w:t>and Return on</w:t>
            </w:r>
          </w:p>
        </w:tc>
        <w:tc>
          <w:tcPr>
            <w:tcW w:w="1100" w:type="dxa"/>
            <w:vAlign w:val="bottom"/>
            <w:gridSpan w:val="2"/>
          </w:tcPr>
          <w:p>
            <w:pPr>
              <w:jc w:val="right"/>
              <w:ind w:right="220"/>
              <w:spacing w:after="0" w:line="131" w:lineRule="exact"/>
              <w:rPr>
                <w:sz w:val="20"/>
                <w:szCs w:val="20"/>
                <w:color w:val="auto"/>
              </w:rPr>
            </w:pPr>
            <w:r>
              <w:rPr>
                <w:rFonts w:ascii="Arial" w:cs="Arial" w:eastAsia="Arial" w:hAnsi="Arial"/>
                <w:sz w:val="13"/>
                <w:szCs w:val="13"/>
                <w:b w:val="1"/>
                <w:bCs w:val="1"/>
                <w:color w:val="071D49"/>
              </w:rPr>
              <w:t>R&amp;D/</w:t>
            </w:r>
          </w:p>
        </w:tc>
        <w:tc>
          <w:tcPr>
            <w:tcW w:w="1100" w:type="dxa"/>
            <w:vAlign w:val="bottom"/>
          </w:tcPr>
          <w:p>
            <w:pPr>
              <w:jc w:val="right"/>
              <w:ind w:right="130"/>
              <w:spacing w:after="0" w:line="131" w:lineRule="exact"/>
              <w:rPr>
                <w:sz w:val="20"/>
                <w:szCs w:val="20"/>
                <w:color w:val="auto"/>
              </w:rPr>
            </w:pPr>
            <w:r>
              <w:rPr>
                <w:rFonts w:ascii="Arial" w:cs="Arial" w:eastAsia="Arial" w:hAnsi="Arial"/>
                <w:sz w:val="13"/>
                <w:szCs w:val="13"/>
                <w:b w:val="1"/>
                <w:bCs w:val="1"/>
                <w:color w:val="071D49"/>
              </w:rPr>
              <w:t>Business</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2"/>
        </w:trPr>
        <w:tc>
          <w:tcPr>
            <w:tcW w:w="2300" w:type="dxa"/>
            <w:vAlign w:val="bottom"/>
          </w:tcPr>
          <w:p>
            <w:pPr>
              <w:spacing w:after="0"/>
              <w:rPr>
                <w:sz w:val="14"/>
                <w:szCs w:val="14"/>
                <w:color w:val="auto"/>
              </w:rPr>
            </w:pPr>
          </w:p>
        </w:tc>
        <w:tc>
          <w:tcPr>
            <w:tcW w:w="1200" w:type="dxa"/>
            <w:vAlign w:val="bottom"/>
            <w:gridSpan w:val="2"/>
          </w:tcPr>
          <w:p>
            <w:pPr>
              <w:ind w:left="1080"/>
              <w:spacing w:after="0"/>
              <w:rPr>
                <w:sz w:val="20"/>
                <w:szCs w:val="20"/>
                <w:color w:val="auto"/>
              </w:rPr>
            </w:pPr>
            <w:r>
              <w:rPr>
                <w:rFonts w:ascii="Arial" w:cs="Arial" w:eastAsia="Arial" w:hAnsi="Arial"/>
                <w:sz w:val="13"/>
                <w:szCs w:val="13"/>
                <w:b w:val="1"/>
                <w:bCs w:val="1"/>
                <w:color w:val="071D49"/>
              </w:rPr>
              <w:t>​​​</w:t>
            </w:r>
          </w:p>
        </w:tc>
        <w:tc>
          <w:tcPr>
            <w:tcW w:w="760" w:type="dxa"/>
            <w:vAlign w:val="bottom"/>
          </w:tcPr>
          <w:p>
            <w:pPr>
              <w:jc w:val="right"/>
              <w:ind w:right="210"/>
              <w:spacing w:after="0"/>
              <w:rPr>
                <w:sz w:val="20"/>
                <w:szCs w:val="20"/>
                <w:color w:val="auto"/>
              </w:rPr>
            </w:pPr>
            <w:r>
              <w:rPr>
                <w:rFonts w:ascii="Arial" w:cs="Arial" w:eastAsia="Arial" w:hAnsi="Arial"/>
                <w:sz w:val="13"/>
                <w:szCs w:val="13"/>
                <w:b w:val="1"/>
                <w:bCs w:val="1"/>
                <w:color w:val="071D49"/>
              </w:rPr>
              <w:t>Taxes</w:t>
            </w:r>
          </w:p>
        </w:tc>
        <w:tc>
          <w:tcPr>
            <w:tcW w:w="1640" w:type="dxa"/>
            <w:vAlign w:val="bottom"/>
            <w:gridSpan w:val="3"/>
          </w:tcPr>
          <w:p>
            <w:pPr>
              <w:jc w:val="right"/>
              <w:ind w:right="380"/>
              <w:spacing w:after="0" w:line="173" w:lineRule="exact"/>
              <w:rPr>
                <w:sz w:val="20"/>
                <w:szCs w:val="20"/>
                <w:color w:val="auto"/>
              </w:rPr>
            </w:pPr>
            <w:r>
              <w:rPr>
                <w:rFonts w:ascii="Arial" w:cs="Arial" w:eastAsia="Arial" w:hAnsi="Arial"/>
                <w:sz w:val="13"/>
                <w:szCs w:val="13"/>
                <w:b w:val="1"/>
                <w:bCs w:val="1"/>
                <w:color w:val="071D49"/>
              </w:rPr>
              <w:t>Assets</w:t>
            </w:r>
            <w:r>
              <w:rPr>
                <w:rFonts w:ascii="Arial" w:cs="Arial" w:eastAsia="Arial" w:hAnsi="Arial"/>
                <w:sz w:val="19"/>
                <w:szCs w:val="19"/>
                <w:b w:val="1"/>
                <w:bCs w:val="1"/>
                <w:color w:val="071D49"/>
                <w:vertAlign w:val="superscript"/>
              </w:rPr>
              <w:t>(1)</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071D49"/>
              </w:rPr>
              <w:t>Innovation</w:t>
            </w:r>
          </w:p>
        </w:tc>
        <w:tc>
          <w:tcPr>
            <w:tcW w:w="1100" w:type="dxa"/>
            <w:vAlign w:val="bottom"/>
          </w:tcPr>
          <w:p>
            <w:pPr>
              <w:jc w:val="right"/>
              <w:ind w:right="130"/>
              <w:spacing w:after="0"/>
              <w:rPr>
                <w:sz w:val="20"/>
                <w:szCs w:val="20"/>
                <w:color w:val="auto"/>
              </w:rPr>
            </w:pPr>
            <w:r>
              <w:rPr>
                <w:rFonts w:ascii="Arial" w:cs="Arial" w:eastAsia="Arial" w:hAnsi="Arial"/>
                <w:sz w:val="13"/>
                <w:szCs w:val="13"/>
                <w:b w:val="1"/>
                <w:bCs w:val="1"/>
                <w:color w:val="071D49"/>
              </w:rPr>
              <w:t>Development</w:t>
            </w:r>
          </w:p>
        </w:tc>
        <w:tc>
          <w:tcPr>
            <w:tcW w:w="560" w:type="dxa"/>
            <w:vAlign w:val="bottom"/>
          </w:tcPr>
          <w:p>
            <w:pPr>
              <w:jc w:val="right"/>
              <w:ind w:right="148"/>
              <w:spacing w:after="0"/>
              <w:rPr>
                <w:sz w:val="20"/>
                <w:szCs w:val="20"/>
                <w:color w:val="auto"/>
              </w:rPr>
            </w:pPr>
            <w:r>
              <w:rPr>
                <w:rFonts w:ascii="Arial" w:cs="Arial" w:eastAsia="Arial" w:hAnsi="Arial"/>
                <w:sz w:val="13"/>
                <w:szCs w:val="13"/>
                <w:b w:val="1"/>
                <w:bCs w:val="1"/>
                <w:color w:val="071D49"/>
              </w:rPr>
              <w:t>ESG</w:t>
            </w:r>
          </w:p>
        </w:tc>
        <w:tc>
          <w:tcPr>
            <w:tcW w:w="600" w:type="dxa"/>
            <w:vAlign w:val="bottom"/>
          </w:tcPr>
          <w:p>
            <w:pPr>
              <w:jc w:val="right"/>
              <w:ind w:right="128"/>
              <w:spacing w:after="0"/>
              <w:rPr>
                <w:sz w:val="20"/>
                <w:szCs w:val="20"/>
                <w:color w:val="auto"/>
              </w:rPr>
            </w:pPr>
            <w:r>
              <w:rPr>
                <w:rFonts w:ascii="Arial" w:cs="Arial" w:eastAsia="Arial" w:hAnsi="Arial"/>
                <w:sz w:val="13"/>
                <w:szCs w:val="13"/>
                <w:b w:val="1"/>
                <w:bCs w:val="1"/>
                <w:color w:val="071D49"/>
              </w:rPr>
              <w:t>Other</w:t>
            </w:r>
          </w:p>
        </w:tc>
      </w:tr>
      <w:tr>
        <w:trPr>
          <w:trHeight w:val="165"/>
        </w:trPr>
        <w:tc>
          <w:tcPr>
            <w:tcW w:w="3500" w:type="dxa"/>
            <w:vAlign w:val="bottom"/>
            <w:tcBorders>
              <w:top w:val="single" w:sz="8" w:color="071D49"/>
            </w:tcBorders>
            <w:gridSpan w:val="3"/>
            <w:shd w:val="clear" w:color="auto" w:fill="D9D9D9"/>
          </w:tcPr>
          <w:p>
            <w:pPr>
              <w:spacing w:after="0" w:line="165" w:lineRule="exact"/>
              <w:rPr>
                <w:sz w:val="20"/>
                <w:szCs w:val="20"/>
                <w:color w:val="auto"/>
              </w:rPr>
            </w:pPr>
            <w:r>
              <w:rPr>
                <w:rFonts w:ascii="Arial" w:cs="Arial" w:eastAsia="Arial" w:hAnsi="Arial"/>
                <w:sz w:val="15"/>
                <w:szCs w:val="15"/>
                <w:color w:val="auto"/>
              </w:rPr>
              <w:t>Robert A. Michael</w:t>
            </w:r>
          </w:p>
        </w:tc>
        <w:tc>
          <w:tcPr>
            <w:tcW w:w="760" w:type="dxa"/>
            <w:vAlign w:val="bottom"/>
            <w:tcBorders>
              <w:top w:val="single" w:sz="8" w:color="071D49"/>
            </w:tcBorders>
            <w:shd w:val="clear" w:color="auto" w:fill="D9D9D9"/>
          </w:tcPr>
          <w:p>
            <w:pPr>
              <w:jc w:val="right"/>
              <w:ind w:right="50"/>
              <w:spacing w:after="0" w:line="165" w:lineRule="exact"/>
              <w:rPr>
                <w:sz w:val="20"/>
                <w:szCs w:val="20"/>
                <w:color w:val="auto"/>
              </w:rPr>
            </w:pPr>
            <w:r>
              <w:rPr>
                <w:rFonts w:ascii="Arial" w:cs="Arial" w:eastAsia="Arial" w:hAnsi="Arial"/>
                <w:sz w:val="15"/>
                <w:szCs w:val="15"/>
                <w:color w:val="auto"/>
              </w:rPr>
              <w:t>20 %</w:t>
            </w:r>
          </w:p>
        </w:tc>
        <w:tc>
          <w:tcPr>
            <w:tcW w:w="1320" w:type="dxa"/>
            <w:vAlign w:val="bottom"/>
            <w:tcBorders>
              <w:top w:val="single" w:sz="8" w:color="071D49"/>
            </w:tcBorders>
            <w:shd w:val="clear" w:color="auto" w:fill="D9D9D9"/>
          </w:tcPr>
          <w:p>
            <w:pPr>
              <w:jc w:val="right"/>
              <w:ind w:right="10"/>
              <w:spacing w:after="0" w:line="165" w:lineRule="exact"/>
              <w:rPr>
                <w:sz w:val="20"/>
                <w:szCs w:val="20"/>
                <w:color w:val="auto"/>
              </w:rPr>
            </w:pPr>
            <w:r>
              <w:rPr>
                <w:rFonts w:ascii="Arial" w:cs="Arial" w:eastAsia="Arial" w:hAnsi="Arial"/>
                <w:sz w:val="15"/>
                <w:szCs w:val="15"/>
                <w:color w:val="auto"/>
              </w:rPr>
              <w:t>60</w:t>
            </w:r>
          </w:p>
        </w:tc>
        <w:tc>
          <w:tcPr>
            <w:tcW w:w="200" w:type="dxa"/>
            <w:vAlign w:val="bottom"/>
            <w:tcBorders>
              <w:top w:val="single" w:sz="8" w:color="auto"/>
            </w:tcBorders>
            <w:shd w:val="clear" w:color="auto" w:fill="D9D9D9"/>
          </w:tcPr>
          <w:p>
            <w:pPr>
              <w:jc w:val="right"/>
              <w:ind w:right="6"/>
              <w:spacing w:after="0" w:line="165" w:lineRule="exact"/>
              <w:rPr>
                <w:sz w:val="20"/>
                <w:szCs w:val="20"/>
                <w:color w:val="auto"/>
              </w:rPr>
            </w:pPr>
            <w:r>
              <w:rPr>
                <w:rFonts w:ascii="Arial" w:cs="Arial" w:eastAsia="Arial" w:hAnsi="Arial"/>
                <w:sz w:val="15"/>
                <w:szCs w:val="15"/>
                <w:color w:val="auto"/>
                <w:w w:val="74"/>
              </w:rPr>
              <w:t>%</w:t>
            </w:r>
          </w:p>
        </w:tc>
        <w:tc>
          <w:tcPr>
            <w:tcW w:w="120" w:type="dxa"/>
            <w:vAlign w:val="bottom"/>
            <w:tcBorders>
              <w:top w:val="single" w:sz="8" w:color="auto"/>
            </w:tcBorders>
            <w:shd w:val="clear" w:color="auto" w:fill="D9D9D9"/>
          </w:tcPr>
          <w:p>
            <w:pPr>
              <w:spacing w:after="0"/>
              <w:rPr>
                <w:sz w:val="14"/>
                <w:szCs w:val="14"/>
                <w:color w:val="auto"/>
              </w:rPr>
            </w:pPr>
          </w:p>
        </w:tc>
        <w:tc>
          <w:tcPr>
            <w:tcW w:w="920" w:type="dxa"/>
            <w:vAlign w:val="bottom"/>
            <w:tcBorders>
              <w:top w:val="single" w:sz="8" w:color="auto"/>
            </w:tcBorders>
            <w:shd w:val="clear" w:color="auto" w:fill="D9D9D9"/>
          </w:tcPr>
          <w:p>
            <w:pPr>
              <w:spacing w:after="0"/>
              <w:rPr>
                <w:sz w:val="14"/>
                <w:szCs w:val="14"/>
                <w:color w:val="auto"/>
              </w:rPr>
            </w:pPr>
          </w:p>
        </w:tc>
        <w:tc>
          <w:tcPr>
            <w:tcW w:w="180" w:type="dxa"/>
            <w:vAlign w:val="bottom"/>
            <w:tcBorders>
              <w:top w:val="single" w:sz="8" w:color="071D49"/>
            </w:tcBorders>
            <w:shd w:val="clear" w:color="auto" w:fill="D9D9D9"/>
          </w:tcPr>
          <w:p>
            <w:pPr>
              <w:spacing w:after="0"/>
              <w:rPr>
                <w:sz w:val="14"/>
                <w:szCs w:val="14"/>
                <w:color w:val="auto"/>
              </w:rPr>
            </w:pPr>
          </w:p>
        </w:tc>
        <w:tc>
          <w:tcPr>
            <w:tcW w:w="1100" w:type="dxa"/>
            <w:vAlign w:val="bottom"/>
            <w:tcBorders>
              <w:top w:val="single" w:sz="8" w:color="071D49"/>
            </w:tcBorders>
            <w:shd w:val="clear" w:color="auto" w:fill="D9D9D9"/>
          </w:tcPr>
          <w:p>
            <w:pPr>
              <w:jc w:val="right"/>
              <w:spacing w:after="0" w:line="165" w:lineRule="exact"/>
              <w:rPr>
                <w:sz w:val="20"/>
                <w:szCs w:val="20"/>
                <w:color w:val="auto"/>
              </w:rPr>
            </w:pPr>
            <w:r>
              <w:rPr>
                <w:rFonts w:ascii="Arial" w:cs="Arial" w:eastAsia="Arial" w:hAnsi="Arial"/>
                <w:sz w:val="15"/>
                <w:szCs w:val="15"/>
                <w:color w:val="auto"/>
              </w:rPr>
              <w:t>10 %</w:t>
            </w:r>
          </w:p>
        </w:tc>
        <w:tc>
          <w:tcPr>
            <w:tcW w:w="560" w:type="dxa"/>
            <w:vAlign w:val="bottom"/>
            <w:tcBorders>
              <w:top w:val="single" w:sz="8" w:color="071D49"/>
            </w:tcBorders>
            <w:shd w:val="clear" w:color="auto" w:fill="D9D9D9"/>
          </w:tcPr>
          <w:p>
            <w:pPr>
              <w:jc w:val="right"/>
              <w:spacing w:after="0" w:line="165" w:lineRule="exact"/>
              <w:rPr>
                <w:sz w:val="20"/>
                <w:szCs w:val="20"/>
                <w:color w:val="auto"/>
              </w:rPr>
            </w:pPr>
            <w:r>
              <w:rPr>
                <w:rFonts w:ascii="Arial" w:cs="Arial" w:eastAsia="Arial" w:hAnsi="Arial"/>
                <w:sz w:val="15"/>
                <w:szCs w:val="15"/>
                <w:color w:val="auto"/>
              </w:rPr>
              <w:t>10 %</w:t>
            </w:r>
          </w:p>
        </w:tc>
        <w:tc>
          <w:tcPr>
            <w:tcW w:w="600" w:type="dxa"/>
            <w:vAlign w:val="bottom"/>
            <w:tcBorders>
              <w:top w:val="single" w:sz="8" w:color="071D49"/>
            </w:tcBorders>
            <w:shd w:val="clear" w:color="auto" w:fill="D9D9D9"/>
          </w:tcPr>
          <w:p>
            <w:pPr>
              <w:spacing w:after="0"/>
              <w:rPr>
                <w:sz w:val="14"/>
                <w:szCs w:val="14"/>
                <w:color w:val="auto"/>
              </w:rPr>
            </w:pPr>
          </w:p>
        </w:tc>
      </w:tr>
      <w:tr>
        <w:trPr>
          <w:trHeight w:val="172"/>
        </w:trPr>
        <w:tc>
          <w:tcPr>
            <w:tcW w:w="3500" w:type="dxa"/>
            <w:vAlign w:val="bottom"/>
            <w:gridSpan w:val="3"/>
          </w:tcPr>
          <w:p>
            <w:pPr>
              <w:spacing w:after="0"/>
              <w:rPr>
                <w:sz w:val="20"/>
                <w:szCs w:val="20"/>
                <w:color w:val="auto"/>
              </w:rPr>
            </w:pPr>
            <w:r>
              <w:rPr>
                <w:rFonts w:ascii="Arial" w:cs="Arial" w:eastAsia="Arial" w:hAnsi="Arial"/>
                <w:sz w:val="15"/>
                <w:szCs w:val="15"/>
                <w:color w:val="auto"/>
              </w:rPr>
              <w:t>Scott T. Reents</w:t>
            </w:r>
          </w:p>
        </w:tc>
        <w:tc>
          <w:tcPr>
            <w:tcW w:w="760" w:type="dxa"/>
            <w:vAlign w:val="bottom"/>
          </w:tcPr>
          <w:p>
            <w:pPr>
              <w:jc w:val="right"/>
              <w:ind w:right="50"/>
              <w:spacing w:after="0"/>
              <w:rPr>
                <w:sz w:val="20"/>
                <w:szCs w:val="20"/>
                <w:color w:val="auto"/>
              </w:rPr>
            </w:pPr>
            <w:r>
              <w:rPr>
                <w:rFonts w:ascii="Arial" w:cs="Arial" w:eastAsia="Arial" w:hAnsi="Arial"/>
                <w:sz w:val="15"/>
                <w:szCs w:val="15"/>
                <w:color w:val="auto"/>
              </w:rPr>
              <w:t>20 %</w:t>
            </w:r>
          </w:p>
        </w:tc>
        <w:tc>
          <w:tcPr>
            <w:tcW w:w="1520" w:type="dxa"/>
            <w:vAlign w:val="bottom"/>
            <w:gridSpan w:val="2"/>
          </w:tcPr>
          <w:p>
            <w:pPr>
              <w:jc w:val="right"/>
              <w:ind w:right="6"/>
              <w:spacing w:after="0"/>
              <w:rPr>
                <w:sz w:val="20"/>
                <w:szCs w:val="20"/>
                <w:color w:val="auto"/>
              </w:rPr>
            </w:pPr>
            <w:r>
              <w:rPr>
                <w:rFonts w:ascii="Arial" w:cs="Arial" w:eastAsia="Arial" w:hAnsi="Arial"/>
                <w:sz w:val="15"/>
                <w:szCs w:val="15"/>
                <w:color w:val="auto"/>
              </w:rPr>
              <w:t>60 %</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10 %</w:t>
            </w:r>
          </w:p>
        </w:tc>
        <w:tc>
          <w:tcPr>
            <w:tcW w:w="600" w:type="dxa"/>
            <w:vAlign w:val="bottom"/>
          </w:tcPr>
          <w:p>
            <w:pPr>
              <w:jc w:val="right"/>
              <w:spacing w:after="0"/>
              <w:rPr>
                <w:sz w:val="20"/>
                <w:szCs w:val="20"/>
                <w:color w:val="auto"/>
              </w:rPr>
            </w:pPr>
            <w:r>
              <w:rPr>
                <w:rFonts w:ascii="Arial" w:cs="Arial" w:eastAsia="Arial" w:hAnsi="Arial"/>
                <w:sz w:val="15"/>
                <w:szCs w:val="15"/>
                <w:color w:val="auto"/>
              </w:rPr>
              <w:t>10 %</w:t>
            </w:r>
          </w:p>
        </w:tc>
      </w:tr>
      <w:tr>
        <w:trPr>
          <w:trHeight w:val="172"/>
        </w:trPr>
        <w:tc>
          <w:tcPr>
            <w:tcW w:w="3500" w:type="dxa"/>
            <w:vAlign w:val="bottom"/>
            <w:gridSpan w:val="3"/>
            <w:shd w:val="clear" w:color="auto" w:fill="D9D9D9"/>
          </w:tcPr>
          <w:p>
            <w:pPr>
              <w:spacing w:after="0"/>
              <w:rPr>
                <w:sz w:val="20"/>
                <w:szCs w:val="20"/>
                <w:color w:val="auto"/>
              </w:rPr>
            </w:pPr>
            <w:r>
              <w:rPr>
                <w:rFonts w:ascii="Arial" w:cs="Arial" w:eastAsia="Arial" w:hAnsi="Arial"/>
                <w:sz w:val="15"/>
                <w:szCs w:val="15"/>
                <w:color w:val="auto"/>
              </w:rPr>
              <w:t>Jeffrey R. Stewart</w:t>
            </w:r>
          </w:p>
        </w:tc>
        <w:tc>
          <w:tcPr>
            <w:tcW w:w="760" w:type="dxa"/>
            <w:vAlign w:val="bottom"/>
            <w:shd w:val="clear" w:color="auto" w:fill="D9D9D9"/>
          </w:tcPr>
          <w:p>
            <w:pPr>
              <w:jc w:val="right"/>
              <w:ind w:right="50"/>
              <w:spacing w:after="0"/>
              <w:rPr>
                <w:sz w:val="20"/>
                <w:szCs w:val="20"/>
                <w:color w:val="auto"/>
              </w:rPr>
            </w:pPr>
            <w:r>
              <w:rPr>
                <w:rFonts w:ascii="Arial" w:cs="Arial" w:eastAsia="Arial" w:hAnsi="Arial"/>
                <w:sz w:val="15"/>
                <w:szCs w:val="15"/>
                <w:color w:val="auto"/>
              </w:rPr>
              <w:t>20 %</w:t>
            </w:r>
          </w:p>
        </w:tc>
        <w:tc>
          <w:tcPr>
            <w:tcW w:w="1520" w:type="dxa"/>
            <w:vAlign w:val="bottom"/>
            <w:gridSpan w:val="2"/>
            <w:shd w:val="clear" w:color="auto" w:fill="D9D9D9"/>
          </w:tcPr>
          <w:p>
            <w:pPr>
              <w:jc w:val="right"/>
              <w:ind w:right="6"/>
              <w:spacing w:after="0"/>
              <w:rPr>
                <w:sz w:val="20"/>
                <w:szCs w:val="20"/>
                <w:color w:val="auto"/>
              </w:rPr>
            </w:pPr>
            <w:r>
              <w:rPr>
                <w:rFonts w:ascii="Arial" w:cs="Arial" w:eastAsia="Arial" w:hAnsi="Arial"/>
                <w:sz w:val="15"/>
                <w:szCs w:val="15"/>
                <w:color w:val="auto"/>
              </w:rPr>
              <w:t>50 %</w:t>
            </w:r>
          </w:p>
        </w:tc>
        <w:tc>
          <w:tcPr>
            <w:tcW w:w="120" w:type="dxa"/>
            <w:vAlign w:val="bottom"/>
            <w:shd w:val="clear" w:color="auto" w:fill="D9D9D9"/>
          </w:tcPr>
          <w:p>
            <w:pPr>
              <w:spacing w:after="0"/>
              <w:rPr>
                <w:sz w:val="14"/>
                <w:szCs w:val="14"/>
                <w:color w:val="auto"/>
              </w:rPr>
            </w:pPr>
          </w:p>
        </w:tc>
        <w:tc>
          <w:tcPr>
            <w:tcW w:w="92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100" w:type="dxa"/>
            <w:vAlign w:val="bottom"/>
            <w:shd w:val="clear" w:color="auto" w:fill="D9D9D9"/>
          </w:tcPr>
          <w:p>
            <w:pPr>
              <w:spacing w:after="0"/>
              <w:rPr>
                <w:sz w:val="14"/>
                <w:szCs w:val="14"/>
                <w:color w:val="auto"/>
              </w:rPr>
            </w:pPr>
          </w:p>
        </w:tc>
        <w:tc>
          <w:tcPr>
            <w:tcW w:w="5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10 %</w:t>
            </w:r>
          </w:p>
        </w:tc>
        <w:tc>
          <w:tcPr>
            <w:tcW w:w="6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20 %</w:t>
            </w:r>
          </w:p>
        </w:tc>
      </w:tr>
      <w:tr>
        <w:trPr>
          <w:trHeight w:val="172"/>
        </w:trPr>
        <w:tc>
          <w:tcPr>
            <w:tcW w:w="3500" w:type="dxa"/>
            <w:vAlign w:val="bottom"/>
            <w:gridSpan w:val="3"/>
          </w:tcPr>
          <w:p>
            <w:pPr>
              <w:spacing w:after="0"/>
              <w:rPr>
                <w:sz w:val="20"/>
                <w:szCs w:val="20"/>
                <w:color w:val="auto"/>
              </w:rPr>
            </w:pPr>
            <w:r>
              <w:rPr>
                <w:rFonts w:ascii="Arial" w:cs="Arial" w:eastAsia="Arial" w:hAnsi="Arial"/>
                <w:sz w:val="15"/>
                <w:szCs w:val="15"/>
                <w:color w:val="auto"/>
              </w:rPr>
              <w:t>Azita Saleki-Gerhardt</w:t>
            </w:r>
          </w:p>
        </w:tc>
        <w:tc>
          <w:tcPr>
            <w:tcW w:w="760" w:type="dxa"/>
            <w:vAlign w:val="bottom"/>
          </w:tcPr>
          <w:p>
            <w:pPr>
              <w:jc w:val="right"/>
              <w:ind w:right="50"/>
              <w:spacing w:after="0"/>
              <w:rPr>
                <w:sz w:val="20"/>
                <w:szCs w:val="20"/>
                <w:color w:val="auto"/>
              </w:rPr>
            </w:pPr>
            <w:r>
              <w:rPr>
                <w:rFonts w:ascii="Arial" w:cs="Arial" w:eastAsia="Arial" w:hAnsi="Arial"/>
                <w:sz w:val="15"/>
                <w:szCs w:val="15"/>
                <w:color w:val="auto"/>
              </w:rPr>
              <w:t>20 %</w:t>
            </w:r>
          </w:p>
        </w:tc>
        <w:tc>
          <w:tcPr>
            <w:tcW w:w="1520" w:type="dxa"/>
            <w:vAlign w:val="bottom"/>
            <w:gridSpan w:val="2"/>
          </w:tcPr>
          <w:p>
            <w:pPr>
              <w:jc w:val="right"/>
              <w:ind w:right="6"/>
              <w:spacing w:after="0"/>
              <w:rPr>
                <w:sz w:val="20"/>
                <w:szCs w:val="20"/>
                <w:color w:val="auto"/>
              </w:rPr>
            </w:pPr>
            <w:r>
              <w:rPr>
                <w:rFonts w:ascii="Arial" w:cs="Arial" w:eastAsia="Arial" w:hAnsi="Arial"/>
                <w:sz w:val="15"/>
                <w:szCs w:val="15"/>
                <w:color w:val="auto"/>
              </w:rPr>
              <w:t>10 %</w:t>
            </w:r>
          </w:p>
        </w:tc>
        <w:tc>
          <w:tcPr>
            <w:tcW w:w="120" w:type="dxa"/>
            <w:vAlign w:val="bottom"/>
          </w:tcPr>
          <w:p>
            <w:pPr>
              <w:spacing w:after="0"/>
              <w:rPr>
                <w:sz w:val="14"/>
                <w:szCs w:val="14"/>
                <w:color w:val="auto"/>
              </w:rPr>
            </w:pPr>
          </w:p>
        </w:tc>
        <w:tc>
          <w:tcPr>
            <w:tcW w:w="1100" w:type="dxa"/>
            <w:vAlign w:val="bottom"/>
            <w:gridSpan w:val="2"/>
          </w:tcPr>
          <w:p>
            <w:pPr>
              <w:ind w:left="680"/>
              <w:spacing w:after="0"/>
              <w:rPr>
                <w:sz w:val="20"/>
                <w:szCs w:val="20"/>
                <w:color w:val="auto"/>
              </w:rPr>
            </w:pPr>
            <w:r>
              <w:rPr>
                <w:rFonts w:ascii="Arial" w:cs="Arial" w:eastAsia="Arial" w:hAnsi="Arial"/>
                <w:sz w:val="15"/>
                <w:szCs w:val="15"/>
                <w:color w:val="auto"/>
              </w:rPr>
              <w:t>10 %</w:t>
            </w:r>
          </w:p>
        </w:tc>
        <w:tc>
          <w:tcPr>
            <w:tcW w:w="1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10 %</w:t>
            </w:r>
          </w:p>
        </w:tc>
        <w:tc>
          <w:tcPr>
            <w:tcW w:w="600" w:type="dxa"/>
            <w:vAlign w:val="bottom"/>
          </w:tcPr>
          <w:p>
            <w:pPr>
              <w:jc w:val="right"/>
              <w:spacing w:after="0"/>
              <w:rPr>
                <w:sz w:val="20"/>
                <w:szCs w:val="20"/>
                <w:color w:val="auto"/>
              </w:rPr>
            </w:pPr>
            <w:r>
              <w:rPr>
                <w:rFonts w:ascii="Arial" w:cs="Arial" w:eastAsia="Arial" w:hAnsi="Arial"/>
                <w:sz w:val="15"/>
                <w:szCs w:val="15"/>
                <w:color w:val="auto"/>
              </w:rPr>
              <w:t>50 %</w:t>
            </w:r>
          </w:p>
        </w:tc>
      </w:tr>
      <w:tr>
        <w:trPr>
          <w:trHeight w:val="172"/>
        </w:trPr>
        <w:tc>
          <w:tcPr>
            <w:tcW w:w="3500" w:type="dxa"/>
            <w:vAlign w:val="bottom"/>
            <w:gridSpan w:val="3"/>
            <w:shd w:val="clear" w:color="auto" w:fill="D9D9D9"/>
          </w:tcPr>
          <w:p>
            <w:pPr>
              <w:spacing w:after="0"/>
              <w:rPr>
                <w:sz w:val="20"/>
                <w:szCs w:val="20"/>
                <w:color w:val="auto"/>
              </w:rPr>
            </w:pPr>
            <w:r>
              <w:rPr>
                <w:rFonts w:ascii="Arial" w:cs="Arial" w:eastAsia="Arial" w:hAnsi="Arial"/>
                <w:sz w:val="15"/>
                <w:szCs w:val="15"/>
                <w:color w:val="auto"/>
              </w:rPr>
              <w:t>Roopal B. Thakkar</w:t>
            </w:r>
          </w:p>
        </w:tc>
        <w:tc>
          <w:tcPr>
            <w:tcW w:w="760" w:type="dxa"/>
            <w:vAlign w:val="bottom"/>
            <w:shd w:val="clear" w:color="auto" w:fill="D9D9D9"/>
          </w:tcPr>
          <w:p>
            <w:pPr>
              <w:jc w:val="right"/>
              <w:ind w:right="50"/>
              <w:spacing w:after="0"/>
              <w:rPr>
                <w:sz w:val="20"/>
                <w:szCs w:val="20"/>
                <w:color w:val="auto"/>
              </w:rPr>
            </w:pPr>
            <w:r>
              <w:rPr>
                <w:rFonts w:ascii="Arial" w:cs="Arial" w:eastAsia="Arial" w:hAnsi="Arial"/>
                <w:sz w:val="15"/>
                <w:szCs w:val="15"/>
                <w:color w:val="auto"/>
              </w:rPr>
              <w:t>10 %</w:t>
            </w:r>
          </w:p>
        </w:tc>
        <w:tc>
          <w:tcPr>
            <w:tcW w:w="1520" w:type="dxa"/>
            <w:vAlign w:val="bottom"/>
            <w:gridSpan w:val="2"/>
            <w:shd w:val="clear" w:color="auto" w:fill="D9D9D9"/>
          </w:tcPr>
          <w:p>
            <w:pPr>
              <w:jc w:val="right"/>
              <w:ind w:right="6"/>
              <w:spacing w:after="0"/>
              <w:rPr>
                <w:sz w:val="20"/>
                <w:szCs w:val="20"/>
                <w:color w:val="auto"/>
              </w:rPr>
            </w:pPr>
            <w:r>
              <w:rPr>
                <w:rFonts w:ascii="Arial" w:cs="Arial" w:eastAsia="Arial" w:hAnsi="Arial"/>
                <w:sz w:val="15"/>
                <w:szCs w:val="15"/>
                <w:color w:val="auto"/>
              </w:rPr>
              <w:t>10 %</w:t>
            </w:r>
          </w:p>
        </w:tc>
        <w:tc>
          <w:tcPr>
            <w:tcW w:w="120" w:type="dxa"/>
            <w:vAlign w:val="bottom"/>
            <w:shd w:val="clear" w:color="auto" w:fill="D9D9D9"/>
          </w:tcPr>
          <w:p>
            <w:pPr>
              <w:spacing w:after="0"/>
              <w:rPr>
                <w:sz w:val="14"/>
                <w:szCs w:val="14"/>
                <w:color w:val="auto"/>
              </w:rPr>
            </w:pPr>
          </w:p>
        </w:tc>
        <w:tc>
          <w:tcPr>
            <w:tcW w:w="1100" w:type="dxa"/>
            <w:vAlign w:val="bottom"/>
            <w:gridSpan w:val="2"/>
            <w:shd w:val="clear" w:color="auto" w:fill="D9D9D9"/>
          </w:tcPr>
          <w:p>
            <w:pPr>
              <w:ind w:left="680"/>
              <w:spacing w:after="0"/>
              <w:rPr>
                <w:sz w:val="20"/>
                <w:szCs w:val="20"/>
                <w:color w:val="auto"/>
              </w:rPr>
            </w:pPr>
            <w:r>
              <w:rPr>
                <w:rFonts w:ascii="Arial" w:cs="Arial" w:eastAsia="Arial" w:hAnsi="Arial"/>
                <w:sz w:val="15"/>
                <w:szCs w:val="15"/>
                <w:color w:val="auto"/>
              </w:rPr>
              <w:t>50 %</w:t>
            </w:r>
          </w:p>
        </w:tc>
        <w:tc>
          <w:tcPr>
            <w:tcW w:w="11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20 %</w:t>
            </w:r>
          </w:p>
        </w:tc>
        <w:tc>
          <w:tcPr>
            <w:tcW w:w="5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10 %</w:t>
            </w:r>
          </w:p>
        </w:tc>
        <w:tc>
          <w:tcPr>
            <w:tcW w:w="600" w:type="dxa"/>
            <w:vAlign w:val="bottom"/>
            <w:shd w:val="clear" w:color="auto" w:fill="D9D9D9"/>
          </w:tcPr>
          <w:p>
            <w:pPr>
              <w:spacing w:after="0"/>
              <w:rPr>
                <w:sz w:val="14"/>
                <w:szCs w:val="14"/>
                <w:color w:val="auto"/>
              </w:rPr>
            </w:pPr>
          </w:p>
        </w:tc>
      </w:tr>
      <w:tr>
        <w:trPr>
          <w:trHeight w:val="98"/>
        </w:trPr>
        <w:tc>
          <w:tcPr>
            <w:tcW w:w="230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Financial goals are equally weighted.</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Short-Term Incentive Financial Goals</w:t>
      </w:r>
    </w:p>
    <w:p>
      <w:pPr>
        <w:spacing w:after="0" w:line="99" w:lineRule="exact"/>
        <w:rPr>
          <w:sz w:val="20"/>
          <w:szCs w:val="20"/>
          <w:color w:val="auto"/>
        </w:rPr>
      </w:pPr>
    </w:p>
    <w:p>
      <w:pPr>
        <w:ind w:left="20" w:right="60"/>
        <w:spacing w:after="0" w:line="252" w:lineRule="auto"/>
        <w:rPr>
          <w:sz w:val="20"/>
          <w:szCs w:val="20"/>
          <w:color w:val="auto"/>
        </w:rPr>
      </w:pPr>
      <w:r>
        <w:rPr>
          <w:rFonts w:ascii="Arial" w:cs="Arial" w:eastAsia="Arial" w:hAnsi="Arial"/>
          <w:sz w:val="16"/>
          <w:szCs w:val="16"/>
          <w:color w:val="auto"/>
        </w:rPr>
        <w:t>The committee reviews and ensures all financial goals are appropriately rigorous and consistent with driving top-tier performance for the sector in both the short and long term. The performance targets for each goal are calibrated to a range of potential outcomes, with above target payouts for strong performance and below target payouts (including no payout) for below target performance. Targets are based on expected business, market and regulatory conditions, including expectations for our pipeline.</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600" w:type="dxa"/>
            <w:vAlign w:val="bottom"/>
            <w:vMerge w:val="restart"/>
          </w:tcPr>
          <w:p>
            <w:pPr>
              <w:spacing w:after="0"/>
              <w:rPr>
                <w:sz w:val="20"/>
                <w:szCs w:val="20"/>
                <w:color w:val="auto"/>
              </w:rPr>
            </w:pPr>
            <w:r>
              <w:rPr>
                <w:rFonts w:ascii="Arial" w:cs="Arial" w:eastAsia="Arial" w:hAnsi="Arial"/>
                <w:sz w:val="13"/>
                <w:szCs w:val="13"/>
                <w:b w:val="1"/>
                <w:bCs w:val="1"/>
                <w:color w:val="071D49"/>
              </w:rPr>
              <w:t>Goal</w:t>
            </w:r>
            <w:r>
              <w:rPr>
                <w:rFonts w:ascii="Arial" w:cs="Arial" w:eastAsia="Arial" w:hAnsi="Arial"/>
                <w:sz w:val="19"/>
                <w:szCs w:val="19"/>
                <w:b w:val="1"/>
                <w:bCs w:val="1"/>
                <w:color w:val="071D49"/>
                <w:vertAlign w:val="superscript"/>
              </w:rPr>
              <w:t>(1)</w:t>
            </w: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jc w:val="right"/>
              <w:ind w:right="114"/>
              <w:spacing w:after="0"/>
              <w:rPr>
                <w:sz w:val="20"/>
                <w:szCs w:val="20"/>
                <w:color w:val="auto"/>
              </w:rPr>
            </w:pPr>
            <w:r>
              <w:rPr>
                <w:rFonts w:ascii="Arial" w:cs="Arial" w:eastAsia="Arial" w:hAnsi="Arial"/>
                <w:sz w:val="13"/>
                <w:szCs w:val="13"/>
                <w:b w:val="1"/>
                <w:bCs w:val="1"/>
                <w:color w:val="071D49"/>
              </w:rPr>
              <w:t>2025 Target vs.</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jc w:val="right"/>
              <w:ind w:right="94"/>
              <w:spacing w:after="0"/>
              <w:rPr>
                <w:sz w:val="20"/>
                <w:szCs w:val="20"/>
                <w:color w:val="auto"/>
              </w:rPr>
            </w:pPr>
            <w:r>
              <w:rPr>
                <w:rFonts w:ascii="Arial" w:cs="Arial" w:eastAsia="Arial" w:hAnsi="Arial"/>
                <w:sz w:val="13"/>
                <w:szCs w:val="13"/>
                <w:b w:val="1"/>
                <w:bCs w:val="1"/>
                <w:color w:val="071D49"/>
              </w:rPr>
              <w:t>2025 Actual vs.</w:t>
            </w:r>
          </w:p>
        </w:tc>
        <w:tc>
          <w:tcPr>
            <w:tcW w:w="0" w:type="dxa"/>
            <w:vAlign w:val="bottom"/>
          </w:tcPr>
          <w:p>
            <w:pPr>
              <w:spacing w:after="0"/>
              <w:rPr>
                <w:sz w:val="1"/>
                <w:szCs w:val="1"/>
                <w:color w:val="auto"/>
              </w:rPr>
            </w:pPr>
          </w:p>
        </w:tc>
      </w:tr>
      <w:tr>
        <w:trPr>
          <w:trHeight w:val="155"/>
        </w:trPr>
        <w:tc>
          <w:tcPr>
            <w:tcW w:w="2600" w:type="dxa"/>
            <w:vAlign w:val="bottom"/>
            <w:tcBorders>
              <w:bottom w:val="single" w:sz="8" w:color="071D49"/>
            </w:tcBorders>
            <w:vMerge w:val="continue"/>
          </w:tcPr>
          <w:p>
            <w:pPr>
              <w:spacing w:after="0"/>
              <w:rPr>
                <w:sz w:val="13"/>
                <w:szCs w:val="13"/>
                <w:color w:val="auto"/>
              </w:rPr>
            </w:pPr>
          </w:p>
        </w:tc>
        <w:tc>
          <w:tcPr>
            <w:tcW w:w="660" w:type="dxa"/>
            <w:vAlign w:val="bottom"/>
            <w:tcBorders>
              <w:bottom w:val="single" w:sz="8" w:color="071D49"/>
            </w:tcBorders>
          </w:tcPr>
          <w:p>
            <w:pPr>
              <w:jc w:val="right"/>
              <w:ind w:right="14"/>
              <w:spacing w:after="0"/>
              <w:rPr>
                <w:sz w:val="20"/>
                <w:szCs w:val="20"/>
                <w:color w:val="auto"/>
              </w:rPr>
            </w:pPr>
            <w:r>
              <w:rPr>
                <w:rFonts w:ascii="Arial" w:cs="Arial" w:eastAsia="Arial" w:hAnsi="Arial"/>
                <w:sz w:val="13"/>
                <w:szCs w:val="13"/>
                <w:b w:val="1"/>
                <w:bCs w:val="1"/>
                <w:color w:val="071D49"/>
              </w:rPr>
              <w:t>​​</w:t>
            </w:r>
          </w:p>
        </w:tc>
        <w:tc>
          <w:tcPr>
            <w:tcW w:w="940" w:type="dxa"/>
            <w:vAlign w:val="bottom"/>
            <w:tcBorders>
              <w:bottom w:val="single" w:sz="8" w:color="071D49"/>
            </w:tcBorders>
          </w:tcPr>
          <w:p>
            <w:pPr>
              <w:spacing w:after="0"/>
              <w:rPr>
                <w:sz w:val="20"/>
                <w:szCs w:val="20"/>
                <w:color w:val="auto"/>
              </w:rPr>
            </w:pPr>
            <w:r>
              <w:rPr>
                <w:rFonts w:ascii="Arial" w:cs="Arial" w:eastAsia="Arial" w:hAnsi="Arial"/>
                <w:sz w:val="13"/>
                <w:szCs w:val="13"/>
                <w:b w:val="1"/>
                <w:bCs w:val="1"/>
                <w:color w:val="071D49"/>
              </w:rPr>
              <w:t>2024 Actual</w:t>
            </w:r>
          </w:p>
        </w:tc>
        <w:tc>
          <w:tcPr>
            <w:tcW w:w="200" w:type="dxa"/>
            <w:vAlign w:val="bottom"/>
            <w:tcBorders>
              <w:bottom w:val="single" w:sz="8" w:color="071D49"/>
            </w:tcBorders>
          </w:tcPr>
          <w:p>
            <w:pPr>
              <w:jc w:val="right"/>
              <w:ind w:right="34"/>
              <w:spacing w:after="0"/>
              <w:rPr>
                <w:sz w:val="20"/>
                <w:szCs w:val="20"/>
                <w:color w:val="auto"/>
              </w:rPr>
            </w:pPr>
            <w:r>
              <w:rPr>
                <w:rFonts w:ascii="Arial" w:cs="Arial" w:eastAsia="Arial" w:hAnsi="Arial"/>
                <w:sz w:val="13"/>
                <w:szCs w:val="13"/>
                <w:b w:val="1"/>
                <w:bCs w:val="1"/>
                <w:color w:val="071D49"/>
              </w:rPr>
              <w:t>​​</w:t>
            </w:r>
          </w:p>
        </w:tc>
        <w:tc>
          <w:tcPr>
            <w:tcW w:w="1040" w:type="dxa"/>
            <w:vAlign w:val="bottom"/>
            <w:tcBorders>
              <w:bottom w:val="single" w:sz="8" w:color="071D49"/>
            </w:tcBorders>
          </w:tcPr>
          <w:p>
            <w:pPr>
              <w:jc w:val="center"/>
              <w:spacing w:after="0"/>
              <w:rPr>
                <w:sz w:val="20"/>
                <w:szCs w:val="20"/>
                <w:color w:val="auto"/>
              </w:rPr>
            </w:pPr>
            <w:r>
              <w:rPr>
                <w:rFonts w:ascii="Arial" w:cs="Arial" w:eastAsia="Arial" w:hAnsi="Arial"/>
                <w:sz w:val="13"/>
                <w:szCs w:val="13"/>
                <w:b w:val="1"/>
                <w:bCs w:val="1"/>
                <w:color w:val="071D49"/>
              </w:rPr>
              <w:t>2025 Target   ​​</w:t>
            </w:r>
          </w:p>
        </w:tc>
        <w:tc>
          <w:tcPr>
            <w:tcW w:w="1200" w:type="dxa"/>
            <w:vAlign w:val="bottom"/>
            <w:tcBorders>
              <w:bottom w:val="single" w:sz="8" w:color="071D49"/>
            </w:tcBorders>
          </w:tcPr>
          <w:p>
            <w:pPr>
              <w:jc w:val="right"/>
              <w:ind w:right="114"/>
              <w:spacing w:after="0"/>
              <w:rPr>
                <w:sz w:val="20"/>
                <w:szCs w:val="20"/>
                <w:color w:val="auto"/>
              </w:rPr>
            </w:pPr>
            <w:r>
              <w:rPr>
                <w:rFonts w:ascii="Arial" w:cs="Arial" w:eastAsia="Arial" w:hAnsi="Arial"/>
                <w:sz w:val="13"/>
                <w:szCs w:val="13"/>
                <w:b w:val="1"/>
                <w:bCs w:val="1"/>
                <w:color w:val="071D49"/>
              </w:rPr>
              <w:t>2024 Actual</w:t>
            </w:r>
          </w:p>
        </w:tc>
        <w:tc>
          <w:tcPr>
            <w:tcW w:w="180" w:type="dxa"/>
            <w:vAlign w:val="bottom"/>
            <w:tcBorders>
              <w:bottom w:val="single" w:sz="8" w:color="071D49"/>
            </w:tcBorders>
          </w:tcPr>
          <w:p>
            <w:pPr>
              <w:jc w:val="right"/>
              <w:ind w:right="14"/>
              <w:spacing w:after="0"/>
              <w:rPr>
                <w:sz w:val="20"/>
                <w:szCs w:val="20"/>
                <w:color w:val="auto"/>
              </w:rPr>
            </w:pPr>
            <w:r>
              <w:rPr>
                <w:rFonts w:ascii="Arial" w:cs="Arial" w:eastAsia="Arial" w:hAnsi="Arial"/>
                <w:sz w:val="13"/>
                <w:szCs w:val="13"/>
                <w:b w:val="1"/>
                <w:bCs w:val="1"/>
                <w:color w:val="071D49"/>
              </w:rPr>
              <w:t>​​</w:t>
            </w:r>
          </w:p>
        </w:tc>
        <w:tc>
          <w:tcPr>
            <w:tcW w:w="1120" w:type="dxa"/>
            <w:vAlign w:val="bottom"/>
            <w:tcBorders>
              <w:bottom w:val="single" w:sz="8" w:color="071D49"/>
            </w:tcBorders>
          </w:tcPr>
          <w:p>
            <w:pPr>
              <w:ind w:left="20"/>
              <w:spacing w:after="0"/>
              <w:rPr>
                <w:sz w:val="20"/>
                <w:szCs w:val="20"/>
                <w:color w:val="auto"/>
              </w:rPr>
            </w:pPr>
            <w:r>
              <w:rPr>
                <w:rFonts w:ascii="Arial" w:cs="Arial" w:eastAsia="Arial" w:hAnsi="Arial"/>
                <w:sz w:val="13"/>
                <w:szCs w:val="13"/>
                <w:b w:val="1"/>
                <w:bCs w:val="1"/>
                <w:color w:val="071D49"/>
              </w:rPr>
              <w:t>2025 Actual   ​​</w:t>
            </w:r>
          </w:p>
        </w:tc>
        <w:tc>
          <w:tcPr>
            <w:tcW w:w="1180" w:type="dxa"/>
            <w:vAlign w:val="bottom"/>
            <w:tcBorders>
              <w:bottom w:val="single" w:sz="8" w:color="071D49"/>
            </w:tcBorders>
          </w:tcPr>
          <w:p>
            <w:pPr>
              <w:jc w:val="right"/>
              <w:ind w:right="94"/>
              <w:spacing w:after="0"/>
              <w:rPr>
                <w:sz w:val="20"/>
                <w:szCs w:val="20"/>
                <w:color w:val="auto"/>
              </w:rPr>
            </w:pPr>
            <w:r>
              <w:rPr>
                <w:rFonts w:ascii="Arial" w:cs="Arial" w:eastAsia="Arial" w:hAnsi="Arial"/>
                <w:sz w:val="13"/>
                <w:szCs w:val="13"/>
                <w:b w:val="1"/>
                <w:bCs w:val="1"/>
                <w:color w:val="071D49"/>
              </w:rPr>
              <w:t>2025 Target</w:t>
            </w:r>
          </w:p>
        </w:tc>
        <w:tc>
          <w:tcPr>
            <w:tcW w:w="0" w:type="dxa"/>
            <w:vAlign w:val="bottom"/>
          </w:tcPr>
          <w:p>
            <w:pPr>
              <w:spacing w:after="0"/>
              <w:rPr>
                <w:sz w:val="1"/>
                <w:szCs w:val="1"/>
                <w:color w:val="auto"/>
              </w:rPr>
            </w:pPr>
          </w:p>
        </w:tc>
      </w:tr>
      <w:tr>
        <w:trPr>
          <w:trHeight w:val="140"/>
        </w:trPr>
        <w:tc>
          <w:tcPr>
            <w:tcW w:w="2600" w:type="dxa"/>
            <w:vAlign w:val="bottom"/>
            <w:shd w:val="clear" w:color="auto" w:fill="D9D9D9"/>
          </w:tcPr>
          <w:p>
            <w:pPr>
              <w:spacing w:after="0" w:line="140" w:lineRule="exact"/>
              <w:rPr>
                <w:sz w:val="20"/>
                <w:szCs w:val="20"/>
                <w:color w:val="auto"/>
              </w:rPr>
            </w:pPr>
            <w:r>
              <w:rPr>
                <w:rFonts w:ascii="Arial" w:cs="Arial" w:eastAsia="Arial" w:hAnsi="Arial"/>
                <w:sz w:val="11"/>
                <w:szCs w:val="11"/>
                <w:color w:val="auto"/>
              </w:rPr>
              <w:t>A. Platform Revenue</w:t>
            </w:r>
            <w:r>
              <w:rPr>
                <w:rFonts w:ascii="Arial" w:cs="Arial" w:eastAsia="Arial" w:hAnsi="Arial"/>
                <w:sz w:val="16"/>
                <w:szCs w:val="16"/>
                <w:color w:val="auto"/>
                <w:vertAlign w:val="superscript"/>
              </w:rPr>
              <w:t>(2)</w:t>
            </w:r>
          </w:p>
        </w:tc>
        <w:tc>
          <w:tcPr>
            <w:tcW w:w="660" w:type="dxa"/>
            <w:vAlign w:val="bottom"/>
            <w:shd w:val="clear" w:color="auto" w:fill="D9D9D9"/>
          </w:tcPr>
          <w:p>
            <w:pPr>
              <w:jc w:val="right"/>
              <w:spacing w:after="0" w:line="140" w:lineRule="exact"/>
              <w:rPr>
                <w:sz w:val="20"/>
                <w:szCs w:val="20"/>
                <w:color w:val="auto"/>
              </w:rPr>
            </w:pPr>
            <w:r>
              <w:rPr>
                <w:rFonts w:ascii="Arial" w:cs="Arial" w:eastAsia="Arial" w:hAnsi="Arial"/>
                <w:sz w:val="13"/>
                <w:szCs w:val="13"/>
                <w:color w:val="auto"/>
              </w:rPr>
              <w:t>$</w:t>
            </w:r>
          </w:p>
        </w:tc>
        <w:tc>
          <w:tcPr>
            <w:tcW w:w="940" w:type="dxa"/>
            <w:vAlign w:val="bottom"/>
            <w:shd w:val="clear" w:color="auto" w:fill="D9D9D9"/>
          </w:tcPr>
          <w:p>
            <w:pPr>
              <w:ind w:left="260"/>
              <w:spacing w:after="0" w:line="140" w:lineRule="exact"/>
              <w:rPr>
                <w:sz w:val="20"/>
                <w:szCs w:val="20"/>
                <w:color w:val="auto"/>
              </w:rPr>
            </w:pPr>
            <w:r>
              <w:rPr>
                <w:rFonts w:ascii="Arial" w:cs="Arial" w:eastAsia="Arial" w:hAnsi="Arial"/>
                <w:sz w:val="11"/>
                <w:szCs w:val="11"/>
                <w:color w:val="auto"/>
              </w:rPr>
              <w:t xml:space="preserve">47.3 BN </w:t>
            </w:r>
            <w:r>
              <w:rPr>
                <w:rFonts w:ascii="Arial" w:cs="Arial" w:eastAsia="Arial" w:hAnsi="Arial"/>
                <w:sz w:val="16"/>
                <w:szCs w:val="16"/>
                <w:color w:val="auto"/>
                <w:vertAlign w:val="superscript"/>
              </w:rPr>
              <w:t>(2)</w:t>
            </w:r>
          </w:p>
        </w:tc>
        <w:tc>
          <w:tcPr>
            <w:tcW w:w="200" w:type="dxa"/>
            <w:vAlign w:val="bottom"/>
            <w:shd w:val="clear" w:color="auto" w:fill="D9D9D9"/>
          </w:tcPr>
          <w:p>
            <w:pPr>
              <w:jc w:val="right"/>
              <w:spacing w:after="0" w:line="140" w:lineRule="exact"/>
              <w:rPr>
                <w:sz w:val="20"/>
                <w:szCs w:val="20"/>
                <w:color w:val="auto"/>
              </w:rPr>
            </w:pPr>
            <w:r>
              <w:rPr>
                <w:rFonts w:ascii="Arial" w:cs="Arial" w:eastAsia="Arial" w:hAnsi="Arial"/>
                <w:sz w:val="13"/>
                <w:szCs w:val="13"/>
                <w:color w:val="auto"/>
              </w:rPr>
              <w:t>$</w:t>
            </w:r>
          </w:p>
        </w:tc>
        <w:tc>
          <w:tcPr>
            <w:tcW w:w="1040" w:type="dxa"/>
            <w:vAlign w:val="bottom"/>
            <w:shd w:val="clear" w:color="auto" w:fill="D9D9D9"/>
          </w:tcPr>
          <w:p>
            <w:pPr>
              <w:jc w:val="center"/>
              <w:ind w:right="14"/>
              <w:spacing w:after="0" w:line="140" w:lineRule="exact"/>
              <w:rPr>
                <w:sz w:val="20"/>
                <w:szCs w:val="20"/>
                <w:color w:val="auto"/>
              </w:rPr>
            </w:pPr>
            <w:r>
              <w:rPr>
                <w:rFonts w:ascii="Arial" w:cs="Arial" w:eastAsia="Arial" w:hAnsi="Arial"/>
                <w:sz w:val="13"/>
                <w:szCs w:val="13"/>
                <w:color w:val="071D49"/>
              </w:rPr>
              <w:t>53.7 BN</w:t>
            </w:r>
          </w:p>
        </w:tc>
        <w:tc>
          <w:tcPr>
            <w:tcW w:w="1200" w:type="dxa"/>
            <w:vAlign w:val="bottom"/>
            <w:shd w:val="clear" w:color="auto" w:fill="D9D9D9"/>
          </w:tcPr>
          <w:p>
            <w:pPr>
              <w:jc w:val="right"/>
              <w:spacing w:after="0" w:line="140" w:lineRule="exact"/>
              <w:rPr>
                <w:sz w:val="20"/>
                <w:szCs w:val="20"/>
                <w:color w:val="auto"/>
              </w:rPr>
            </w:pPr>
            <w:r>
              <w:rPr>
                <w:rFonts w:ascii="Arial" w:cs="Arial" w:eastAsia="Arial" w:hAnsi="Arial"/>
                <w:sz w:val="13"/>
                <w:szCs w:val="13"/>
                <w:color w:val="071D49"/>
              </w:rPr>
              <w:t xml:space="preserve">114 </w:t>
            </w:r>
            <w:r>
              <w:rPr>
                <w:rFonts w:ascii="Arial" w:cs="Arial" w:eastAsia="Arial" w:hAnsi="Arial"/>
                <w:sz w:val="13"/>
                <w:szCs w:val="13"/>
                <w:color w:val="000000"/>
              </w:rPr>
              <w:t>%</w:t>
            </w:r>
          </w:p>
        </w:tc>
        <w:tc>
          <w:tcPr>
            <w:tcW w:w="180" w:type="dxa"/>
            <w:vAlign w:val="bottom"/>
            <w:shd w:val="clear" w:color="auto" w:fill="D9D9D9"/>
          </w:tcPr>
          <w:p>
            <w:pPr>
              <w:jc w:val="right"/>
              <w:spacing w:after="0" w:line="140" w:lineRule="exact"/>
              <w:rPr>
                <w:sz w:val="20"/>
                <w:szCs w:val="20"/>
                <w:color w:val="auto"/>
              </w:rPr>
            </w:pPr>
            <w:r>
              <w:rPr>
                <w:rFonts w:ascii="Arial" w:cs="Arial" w:eastAsia="Arial" w:hAnsi="Arial"/>
                <w:sz w:val="13"/>
                <w:szCs w:val="13"/>
                <w:color w:val="auto"/>
              </w:rPr>
              <w:t>$</w:t>
            </w:r>
          </w:p>
        </w:tc>
        <w:tc>
          <w:tcPr>
            <w:tcW w:w="1120" w:type="dxa"/>
            <w:vAlign w:val="bottom"/>
            <w:shd w:val="clear" w:color="auto" w:fill="D9D9D9"/>
          </w:tcPr>
          <w:p>
            <w:pPr>
              <w:ind w:left="260"/>
              <w:spacing w:after="0" w:line="140" w:lineRule="exact"/>
              <w:rPr>
                <w:sz w:val="20"/>
                <w:szCs w:val="20"/>
                <w:color w:val="auto"/>
              </w:rPr>
            </w:pPr>
            <w:r>
              <w:rPr>
                <w:rFonts w:ascii="Arial" w:cs="Arial" w:eastAsia="Arial" w:hAnsi="Arial"/>
                <w:sz w:val="11"/>
                <w:szCs w:val="11"/>
                <w:color w:val="auto"/>
              </w:rPr>
              <w:t xml:space="preserve">56.3 BN </w:t>
            </w:r>
            <w:r>
              <w:rPr>
                <w:rFonts w:ascii="Arial" w:cs="Arial" w:eastAsia="Arial" w:hAnsi="Arial"/>
                <w:sz w:val="16"/>
                <w:szCs w:val="16"/>
                <w:color w:val="auto"/>
                <w:vertAlign w:val="superscript"/>
              </w:rPr>
              <w:t>(2)</w:t>
            </w:r>
          </w:p>
        </w:tc>
        <w:tc>
          <w:tcPr>
            <w:tcW w:w="1180" w:type="dxa"/>
            <w:vAlign w:val="bottom"/>
            <w:shd w:val="clear" w:color="auto" w:fill="D9D9D9"/>
          </w:tcPr>
          <w:p>
            <w:pPr>
              <w:jc w:val="right"/>
              <w:spacing w:after="0" w:line="140" w:lineRule="exact"/>
              <w:rPr>
                <w:sz w:val="20"/>
                <w:szCs w:val="20"/>
                <w:color w:val="auto"/>
              </w:rPr>
            </w:pPr>
            <w:r>
              <w:rPr>
                <w:rFonts w:ascii="Arial" w:cs="Arial" w:eastAsia="Arial" w:hAnsi="Arial"/>
                <w:sz w:val="13"/>
                <w:szCs w:val="13"/>
                <w:color w:val="auto"/>
              </w:rPr>
              <w:t>105 %</w:t>
            </w:r>
          </w:p>
        </w:tc>
        <w:tc>
          <w:tcPr>
            <w:tcW w:w="0" w:type="dxa"/>
            <w:vAlign w:val="bottom"/>
          </w:tcPr>
          <w:p>
            <w:pPr>
              <w:spacing w:after="0"/>
              <w:rPr>
                <w:sz w:val="1"/>
                <w:szCs w:val="1"/>
                <w:color w:val="auto"/>
              </w:rPr>
            </w:pPr>
          </w:p>
        </w:tc>
      </w:tr>
      <w:tr>
        <w:trPr>
          <w:trHeight w:val="148"/>
        </w:trPr>
        <w:tc>
          <w:tcPr>
            <w:tcW w:w="2600" w:type="dxa"/>
            <w:vAlign w:val="bottom"/>
          </w:tcPr>
          <w:p>
            <w:pPr>
              <w:spacing w:after="0" w:line="148" w:lineRule="exact"/>
              <w:rPr>
                <w:sz w:val="20"/>
                <w:szCs w:val="20"/>
                <w:color w:val="auto"/>
              </w:rPr>
            </w:pPr>
            <w:r>
              <w:rPr>
                <w:rFonts w:ascii="Arial" w:cs="Arial" w:eastAsia="Arial" w:hAnsi="Arial"/>
                <w:sz w:val="13"/>
                <w:szCs w:val="13"/>
                <w:color w:val="auto"/>
              </w:rPr>
              <w:t>B. Non</w:t>
            </w:r>
            <w:r>
              <w:rPr>
                <w:rFonts w:ascii="Times New Roman" w:cs="Times New Roman" w:eastAsia="Times New Roman" w:hAnsi="Times New Roman"/>
                <w:sz w:val="13"/>
                <w:szCs w:val="13"/>
                <w:color w:val="auto"/>
              </w:rPr>
              <w:t>-</w:t>
            </w:r>
            <w:r>
              <w:rPr>
                <w:rFonts w:ascii="Arial" w:cs="Arial" w:eastAsia="Arial" w:hAnsi="Arial"/>
                <w:sz w:val="13"/>
                <w:szCs w:val="13"/>
                <w:color w:val="auto"/>
              </w:rPr>
              <w:t>GAAP Income Before Taxes</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40" w:type="dxa"/>
            <w:vAlign w:val="bottom"/>
          </w:tcPr>
          <w:p>
            <w:pPr>
              <w:ind w:left="260"/>
              <w:spacing w:after="0" w:line="148" w:lineRule="exact"/>
              <w:rPr>
                <w:sz w:val="20"/>
                <w:szCs w:val="20"/>
                <w:color w:val="auto"/>
              </w:rPr>
            </w:pPr>
            <w:r>
              <w:rPr>
                <w:rFonts w:ascii="Arial" w:cs="Arial" w:eastAsia="Arial" w:hAnsi="Arial"/>
                <w:sz w:val="12"/>
                <w:szCs w:val="12"/>
                <w:color w:val="auto"/>
              </w:rPr>
              <w:t xml:space="preserve">24.6 BN </w:t>
            </w:r>
            <w:r>
              <w:rPr>
                <w:rFonts w:ascii="Arial" w:cs="Arial" w:eastAsia="Arial" w:hAnsi="Arial"/>
                <w:sz w:val="17"/>
                <w:szCs w:val="17"/>
                <w:color w:val="auto"/>
                <w:vertAlign w:val="superscript"/>
              </w:rPr>
              <w:t>(3)</w:t>
            </w:r>
          </w:p>
        </w:tc>
        <w:tc>
          <w:tcPr>
            <w:tcW w:w="2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40" w:type="dxa"/>
            <w:vAlign w:val="bottom"/>
          </w:tcPr>
          <w:p>
            <w:pPr>
              <w:jc w:val="center"/>
              <w:ind w:right="14"/>
              <w:spacing w:after="0" w:line="148" w:lineRule="exact"/>
              <w:rPr>
                <w:sz w:val="20"/>
                <w:szCs w:val="20"/>
                <w:color w:val="auto"/>
              </w:rPr>
            </w:pPr>
            <w:r>
              <w:rPr>
                <w:rFonts w:ascii="Arial" w:cs="Arial" w:eastAsia="Arial" w:hAnsi="Arial"/>
                <w:sz w:val="13"/>
                <w:szCs w:val="13"/>
                <w:color w:val="071D49"/>
              </w:rPr>
              <w:t>25.7 BN</w:t>
            </w:r>
          </w:p>
        </w:tc>
        <w:tc>
          <w:tcPr>
            <w:tcW w:w="1200" w:type="dxa"/>
            <w:vAlign w:val="bottom"/>
          </w:tcPr>
          <w:p>
            <w:pPr>
              <w:jc w:val="right"/>
              <w:spacing w:after="0" w:line="148" w:lineRule="exact"/>
              <w:rPr>
                <w:sz w:val="20"/>
                <w:szCs w:val="20"/>
                <w:color w:val="auto"/>
              </w:rPr>
            </w:pPr>
            <w:r>
              <w:rPr>
                <w:rFonts w:ascii="Arial" w:cs="Arial" w:eastAsia="Arial" w:hAnsi="Arial"/>
                <w:sz w:val="13"/>
                <w:szCs w:val="13"/>
                <w:color w:val="071D49"/>
              </w:rPr>
              <w:t xml:space="preserve">104 </w:t>
            </w:r>
            <w:r>
              <w:rPr>
                <w:rFonts w:ascii="Arial" w:cs="Arial" w:eastAsia="Arial" w:hAnsi="Arial"/>
                <w:sz w:val="13"/>
                <w:szCs w:val="13"/>
                <w:color w:val="000000"/>
              </w:rPr>
              <w:t>%</w:t>
            </w: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120" w:type="dxa"/>
            <w:vAlign w:val="bottom"/>
          </w:tcPr>
          <w:p>
            <w:pPr>
              <w:ind w:left="260"/>
              <w:spacing w:after="0" w:line="148" w:lineRule="exact"/>
              <w:rPr>
                <w:sz w:val="20"/>
                <w:szCs w:val="20"/>
                <w:color w:val="auto"/>
              </w:rPr>
            </w:pPr>
            <w:r>
              <w:rPr>
                <w:rFonts w:ascii="Arial" w:cs="Arial" w:eastAsia="Arial" w:hAnsi="Arial"/>
                <w:sz w:val="12"/>
                <w:szCs w:val="12"/>
                <w:color w:val="auto"/>
              </w:rPr>
              <w:t xml:space="preserve">26.9 BN </w:t>
            </w:r>
            <w:r>
              <w:rPr>
                <w:rFonts w:ascii="Arial" w:cs="Arial" w:eastAsia="Arial" w:hAnsi="Arial"/>
                <w:sz w:val="17"/>
                <w:szCs w:val="17"/>
                <w:color w:val="auto"/>
                <w:vertAlign w:val="superscript"/>
              </w:rPr>
              <w:t>(3)</w:t>
            </w:r>
          </w:p>
        </w:tc>
        <w:tc>
          <w:tcPr>
            <w:tcW w:w="1180" w:type="dxa"/>
            <w:vAlign w:val="bottom"/>
          </w:tcPr>
          <w:p>
            <w:pPr>
              <w:jc w:val="right"/>
              <w:spacing w:after="0" w:line="148" w:lineRule="exact"/>
              <w:rPr>
                <w:sz w:val="20"/>
                <w:szCs w:val="20"/>
                <w:color w:val="auto"/>
              </w:rPr>
            </w:pPr>
            <w:r>
              <w:rPr>
                <w:rFonts w:ascii="Arial" w:cs="Arial" w:eastAsia="Arial" w:hAnsi="Arial"/>
                <w:sz w:val="13"/>
                <w:szCs w:val="13"/>
                <w:color w:val="auto"/>
              </w:rPr>
              <w:t>105 %</w:t>
            </w:r>
          </w:p>
        </w:tc>
        <w:tc>
          <w:tcPr>
            <w:tcW w:w="0" w:type="dxa"/>
            <w:vAlign w:val="bottom"/>
          </w:tcPr>
          <w:p>
            <w:pPr>
              <w:spacing w:after="0"/>
              <w:rPr>
                <w:sz w:val="1"/>
                <w:szCs w:val="1"/>
                <w:color w:val="auto"/>
              </w:rPr>
            </w:pPr>
          </w:p>
        </w:tc>
      </w:tr>
      <w:tr>
        <w:trPr>
          <w:trHeight w:val="148"/>
        </w:trPr>
        <w:tc>
          <w:tcPr>
            <w:tcW w:w="2600" w:type="dxa"/>
            <w:vAlign w:val="bottom"/>
            <w:shd w:val="clear" w:color="auto" w:fill="D9D9D9"/>
          </w:tcPr>
          <w:p>
            <w:pPr>
              <w:spacing w:after="0" w:line="148" w:lineRule="exact"/>
              <w:rPr>
                <w:sz w:val="20"/>
                <w:szCs w:val="20"/>
                <w:color w:val="auto"/>
              </w:rPr>
            </w:pPr>
            <w:r>
              <w:rPr>
                <w:rFonts w:ascii="Arial" w:cs="Arial" w:eastAsia="Arial" w:hAnsi="Arial"/>
                <w:sz w:val="12"/>
                <w:szCs w:val="12"/>
                <w:color w:val="auto"/>
              </w:rPr>
              <w:t>C. Adjusted Return on Assets</w:t>
            </w:r>
            <w:r>
              <w:rPr>
                <w:rFonts w:ascii="Arial" w:cs="Arial" w:eastAsia="Arial" w:hAnsi="Arial"/>
                <w:sz w:val="17"/>
                <w:szCs w:val="17"/>
                <w:color w:val="auto"/>
                <w:vertAlign w:val="superscript"/>
              </w:rPr>
              <w:t>(4)</w:t>
            </w:r>
          </w:p>
        </w:tc>
        <w:tc>
          <w:tcPr>
            <w:tcW w:w="660" w:type="dxa"/>
            <w:vAlign w:val="bottom"/>
            <w:shd w:val="clear" w:color="auto" w:fill="D9D9D9"/>
          </w:tcPr>
          <w:p>
            <w:pPr>
              <w:spacing w:after="0"/>
              <w:rPr>
                <w:sz w:val="12"/>
                <w:szCs w:val="12"/>
                <w:color w:val="auto"/>
              </w:rPr>
            </w:pPr>
          </w:p>
        </w:tc>
        <w:tc>
          <w:tcPr>
            <w:tcW w:w="1140" w:type="dxa"/>
            <w:vAlign w:val="bottom"/>
            <w:gridSpan w:val="2"/>
            <w:shd w:val="clear" w:color="auto" w:fill="D9D9D9"/>
          </w:tcPr>
          <w:p>
            <w:pPr>
              <w:jc w:val="right"/>
              <w:ind w:right="34"/>
              <w:spacing w:after="0" w:line="148" w:lineRule="exact"/>
              <w:rPr>
                <w:sz w:val="20"/>
                <w:szCs w:val="20"/>
                <w:color w:val="auto"/>
              </w:rPr>
            </w:pPr>
            <w:r>
              <w:rPr>
                <w:rFonts w:ascii="Arial" w:cs="Arial" w:eastAsia="Arial" w:hAnsi="Arial"/>
                <w:sz w:val="12"/>
                <w:szCs w:val="12"/>
                <w:color w:val="auto"/>
              </w:rPr>
              <w:t xml:space="preserve">22.2 % </w:t>
            </w:r>
            <w:r>
              <w:rPr>
                <w:rFonts w:ascii="Arial" w:cs="Arial" w:eastAsia="Arial" w:hAnsi="Arial"/>
                <w:sz w:val="17"/>
                <w:szCs w:val="17"/>
                <w:color w:val="auto"/>
                <w:vertAlign w:val="superscript"/>
              </w:rPr>
              <w:t>(4)</w:t>
            </w:r>
          </w:p>
        </w:tc>
        <w:tc>
          <w:tcPr>
            <w:tcW w:w="1040" w:type="dxa"/>
            <w:vAlign w:val="bottom"/>
            <w:shd w:val="clear" w:color="auto" w:fill="D9D9D9"/>
          </w:tcPr>
          <w:p>
            <w:pPr>
              <w:jc w:val="right"/>
              <w:ind w:right="94"/>
              <w:spacing w:after="0" w:line="148" w:lineRule="exact"/>
              <w:rPr>
                <w:sz w:val="20"/>
                <w:szCs w:val="20"/>
                <w:color w:val="auto"/>
              </w:rPr>
            </w:pPr>
            <w:r>
              <w:rPr>
                <w:rFonts w:ascii="Arial" w:cs="Arial" w:eastAsia="Arial" w:hAnsi="Arial"/>
                <w:sz w:val="13"/>
                <w:szCs w:val="13"/>
                <w:color w:val="auto"/>
              </w:rPr>
              <w:t>24.0 %</w:t>
            </w:r>
          </w:p>
        </w:tc>
        <w:tc>
          <w:tcPr>
            <w:tcW w:w="1200" w:type="dxa"/>
            <w:vAlign w:val="bottom"/>
            <w:shd w:val="clear" w:color="auto" w:fill="D9D9D9"/>
          </w:tcPr>
          <w:p>
            <w:pPr>
              <w:jc w:val="right"/>
              <w:spacing w:after="0" w:line="148" w:lineRule="exact"/>
              <w:rPr>
                <w:sz w:val="20"/>
                <w:szCs w:val="20"/>
                <w:color w:val="auto"/>
              </w:rPr>
            </w:pPr>
            <w:r>
              <w:rPr>
                <w:rFonts w:ascii="Arial" w:cs="Arial" w:eastAsia="Arial" w:hAnsi="Arial"/>
                <w:sz w:val="13"/>
                <w:szCs w:val="13"/>
                <w:color w:val="071D49"/>
              </w:rPr>
              <w:t xml:space="preserve">108 </w:t>
            </w:r>
            <w:r>
              <w:rPr>
                <w:rFonts w:ascii="Arial" w:cs="Arial" w:eastAsia="Arial" w:hAnsi="Arial"/>
                <w:sz w:val="13"/>
                <w:szCs w:val="13"/>
                <w:color w:val="000000"/>
              </w:rPr>
              <w:t>%</w:t>
            </w:r>
          </w:p>
        </w:tc>
        <w:tc>
          <w:tcPr>
            <w:tcW w:w="180" w:type="dxa"/>
            <w:vAlign w:val="bottom"/>
            <w:shd w:val="clear" w:color="auto" w:fill="D9D9D9"/>
          </w:tcPr>
          <w:p>
            <w:pPr>
              <w:spacing w:after="0"/>
              <w:rPr>
                <w:sz w:val="12"/>
                <w:szCs w:val="12"/>
                <w:color w:val="auto"/>
              </w:rPr>
            </w:pPr>
          </w:p>
        </w:tc>
        <w:tc>
          <w:tcPr>
            <w:tcW w:w="1120" w:type="dxa"/>
            <w:vAlign w:val="bottom"/>
            <w:shd w:val="clear" w:color="auto" w:fill="D9D9D9"/>
          </w:tcPr>
          <w:p>
            <w:pPr>
              <w:ind w:left="480"/>
              <w:spacing w:after="0" w:line="148" w:lineRule="exact"/>
              <w:rPr>
                <w:sz w:val="20"/>
                <w:szCs w:val="20"/>
                <w:color w:val="auto"/>
              </w:rPr>
            </w:pPr>
            <w:r>
              <w:rPr>
                <w:rFonts w:ascii="Arial" w:cs="Arial" w:eastAsia="Arial" w:hAnsi="Arial"/>
                <w:sz w:val="12"/>
                <w:szCs w:val="12"/>
                <w:color w:val="auto"/>
              </w:rPr>
              <w:t xml:space="preserve">24.8 % </w:t>
            </w:r>
            <w:r>
              <w:rPr>
                <w:rFonts w:ascii="Arial" w:cs="Arial" w:eastAsia="Arial" w:hAnsi="Arial"/>
                <w:sz w:val="17"/>
                <w:szCs w:val="17"/>
                <w:color w:val="auto"/>
                <w:vertAlign w:val="superscript"/>
              </w:rPr>
              <w:t>(4)</w:t>
            </w:r>
          </w:p>
        </w:tc>
        <w:tc>
          <w:tcPr>
            <w:tcW w:w="1180" w:type="dxa"/>
            <w:vAlign w:val="bottom"/>
            <w:shd w:val="clear" w:color="auto" w:fill="D9D9D9"/>
          </w:tcPr>
          <w:p>
            <w:pPr>
              <w:jc w:val="right"/>
              <w:spacing w:after="0" w:line="148" w:lineRule="exact"/>
              <w:rPr>
                <w:sz w:val="20"/>
                <w:szCs w:val="20"/>
                <w:color w:val="auto"/>
              </w:rPr>
            </w:pPr>
            <w:r>
              <w:rPr>
                <w:rFonts w:ascii="Arial" w:cs="Arial" w:eastAsia="Arial" w:hAnsi="Arial"/>
                <w:sz w:val="13"/>
                <w:szCs w:val="13"/>
                <w:color w:val="auto"/>
              </w:rPr>
              <w:t>103 %</w:t>
            </w:r>
          </w:p>
        </w:tc>
        <w:tc>
          <w:tcPr>
            <w:tcW w:w="0" w:type="dxa"/>
            <w:vAlign w:val="bottom"/>
          </w:tcPr>
          <w:p>
            <w:pPr>
              <w:spacing w:after="0"/>
              <w:rPr>
                <w:sz w:val="1"/>
                <w:szCs w:val="1"/>
                <w:color w:val="auto"/>
              </w:rPr>
            </w:pPr>
          </w:p>
        </w:tc>
      </w:tr>
      <w:tr>
        <w:trPr>
          <w:trHeight w:val="261"/>
        </w:trPr>
        <w:tc>
          <w:tcPr>
            <w:tcW w:w="2600" w:type="dxa"/>
            <w:vAlign w:val="bottom"/>
          </w:tcPr>
          <w:p>
            <w:pPr>
              <w:spacing w:after="0" w:line="150" w:lineRule="exact"/>
              <w:rPr>
                <w:sz w:val="20"/>
                <w:szCs w:val="20"/>
                <w:color w:val="auto"/>
              </w:rPr>
            </w:pPr>
            <w:r>
              <w:rPr>
                <w:rFonts w:ascii="Arial" w:cs="Arial" w:eastAsia="Arial" w:hAnsi="Arial"/>
                <w:sz w:val="13"/>
                <w:szCs w:val="13"/>
                <w:color w:val="auto"/>
              </w:rPr>
              <w:t>D. Non</w:t>
            </w:r>
            <w:r>
              <w:rPr>
                <w:rFonts w:ascii="MS PGothic" w:cs="MS PGothic" w:eastAsia="MS PGothic" w:hAnsi="MS PGothic"/>
                <w:sz w:val="13"/>
                <w:szCs w:val="13"/>
                <w:color w:val="auto"/>
              </w:rPr>
              <w:t>‑</w:t>
            </w:r>
            <w:r>
              <w:rPr>
                <w:rFonts w:ascii="Arial" w:cs="Arial" w:eastAsia="Arial" w:hAnsi="Arial"/>
                <w:sz w:val="13"/>
                <w:szCs w:val="13"/>
                <w:color w:val="auto"/>
              </w:rPr>
              <w:t>GAAP Operating Margin</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ind w:left="260"/>
              <w:spacing w:after="0"/>
              <w:rPr>
                <w:sz w:val="20"/>
                <w:szCs w:val="20"/>
                <w:color w:val="auto"/>
              </w:rPr>
            </w:pPr>
            <w:r>
              <w:rPr>
                <w:rFonts w:ascii="Arial" w:cs="Arial" w:eastAsia="Arial" w:hAnsi="Arial"/>
                <w:sz w:val="13"/>
                <w:szCs w:val="13"/>
                <w:color w:val="auto"/>
                <w:w w:val="99"/>
              </w:rPr>
              <w:t xml:space="preserve">26.2 BN </w:t>
            </w:r>
            <w:r>
              <w:rPr>
                <w:rFonts w:ascii="Arial" w:cs="Arial" w:eastAsia="Arial" w:hAnsi="Arial"/>
                <w:sz w:val="19"/>
                <w:szCs w:val="19"/>
                <w:color w:val="auto"/>
                <w:w w:val="99"/>
                <w:vertAlign w:val="superscript"/>
              </w:rPr>
              <w:t>(3)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center"/>
              <w:ind w:right="14"/>
              <w:spacing w:after="0"/>
              <w:rPr>
                <w:sz w:val="20"/>
                <w:szCs w:val="20"/>
                <w:color w:val="auto"/>
              </w:rPr>
            </w:pPr>
            <w:r>
              <w:rPr>
                <w:rFonts w:ascii="Arial" w:cs="Arial" w:eastAsia="Arial" w:hAnsi="Arial"/>
                <w:sz w:val="13"/>
                <w:szCs w:val="13"/>
                <w:color w:val="071D49"/>
              </w:rPr>
              <w:t>27.9 BN</w:t>
            </w:r>
          </w:p>
        </w:tc>
        <w:tc>
          <w:tcPr>
            <w:tcW w:w="1200" w:type="dxa"/>
            <w:vAlign w:val="bottom"/>
          </w:tcPr>
          <w:p>
            <w:pPr>
              <w:jc w:val="right"/>
              <w:spacing w:after="0"/>
              <w:rPr>
                <w:sz w:val="20"/>
                <w:szCs w:val="20"/>
                <w:color w:val="auto"/>
              </w:rPr>
            </w:pPr>
            <w:r>
              <w:rPr>
                <w:rFonts w:ascii="Arial" w:cs="Arial" w:eastAsia="Arial" w:hAnsi="Arial"/>
                <w:sz w:val="13"/>
                <w:szCs w:val="13"/>
                <w:color w:val="071D49"/>
              </w:rPr>
              <w:t xml:space="preserve">106 </w:t>
            </w:r>
            <w:r>
              <w:rPr>
                <w:rFonts w:ascii="Arial" w:cs="Arial" w:eastAsia="Arial" w:hAnsi="Arial"/>
                <w:sz w:val="13"/>
                <w:szCs w:val="13"/>
                <w:color w:val="000000"/>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ind w:left="260"/>
              <w:spacing w:after="0"/>
              <w:rPr>
                <w:sz w:val="20"/>
                <w:szCs w:val="20"/>
                <w:color w:val="auto"/>
              </w:rPr>
            </w:pPr>
            <w:r>
              <w:rPr>
                <w:rFonts w:ascii="Arial" w:cs="Arial" w:eastAsia="Arial" w:hAnsi="Arial"/>
                <w:sz w:val="13"/>
                <w:szCs w:val="13"/>
                <w:color w:val="auto"/>
              </w:rPr>
              <w:t xml:space="preserve">29.0 BN </w:t>
            </w:r>
            <w:r>
              <w:rPr>
                <w:rFonts w:ascii="Arial" w:cs="Arial" w:eastAsia="Arial" w:hAnsi="Arial"/>
                <w:sz w:val="19"/>
                <w:szCs w:val="19"/>
                <w:color w:val="auto"/>
                <w:vertAlign w:val="superscript"/>
              </w:rPr>
              <w:t>(3)</w:t>
            </w:r>
          </w:p>
        </w:tc>
        <w:tc>
          <w:tcPr>
            <w:tcW w:w="1180" w:type="dxa"/>
            <w:vAlign w:val="bottom"/>
          </w:tcPr>
          <w:p>
            <w:pPr>
              <w:jc w:val="right"/>
              <w:spacing w:after="0"/>
              <w:rPr>
                <w:sz w:val="20"/>
                <w:szCs w:val="20"/>
                <w:color w:val="auto"/>
              </w:rPr>
            </w:pPr>
            <w:r>
              <w:rPr>
                <w:rFonts w:ascii="Arial" w:cs="Arial" w:eastAsia="Arial" w:hAnsi="Arial"/>
                <w:sz w:val="13"/>
                <w:szCs w:val="13"/>
                <w:color w:val="auto"/>
              </w:rPr>
              <w:t>104 %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wp:posOffset>
            </wp:positionV>
            <wp:extent cx="146939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69390" cy="7620"/>
                    </a:xfrm>
                    <a:prstGeom prst="rect">
                      <a:avLst/>
                    </a:prstGeom>
                    <a:noFill/>
                  </pic:spPr>
                </pic:pic>
              </a:graphicData>
            </a:graphic>
          </wp:anchor>
        </w:drawing>
      </w:r>
    </w:p>
    <w:p>
      <w:pPr>
        <w:spacing w:after="0" w:line="59" w:lineRule="exact"/>
        <w:rPr>
          <w:sz w:val="20"/>
          <w:szCs w:val="20"/>
          <w:color w:val="auto"/>
        </w:rPr>
      </w:pPr>
    </w:p>
    <w:p>
      <w:pPr>
        <w:ind w:left="300" w:hanging="289"/>
        <w:spacing w:after="0"/>
        <w:tabs>
          <w:tab w:leader="none" w:pos="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Results achieved reflect certain specified items, which are reconciled in Appendix B.</w:t>
      </w:r>
    </w:p>
    <w:p>
      <w:pPr>
        <w:spacing w:after="0" w:line="99" w:lineRule="exact"/>
        <w:rPr>
          <w:rFonts w:ascii="Arial" w:cs="Arial" w:eastAsia="Arial" w:hAnsi="Arial"/>
          <w:sz w:val="16"/>
          <w:szCs w:val="16"/>
          <w:color w:val="auto"/>
        </w:rPr>
      </w:pPr>
    </w:p>
    <w:p>
      <w:pPr>
        <w:ind w:left="300" w:right="80" w:hanging="289"/>
        <w:spacing w:after="0" w:line="251" w:lineRule="auto"/>
        <w:tabs>
          <w:tab w:leader="none" w:pos="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Platform Revenue is a non-GAAP metric comprised of net revenues less Humira net revenues and adjusted for foreign exchange, as described in Appendix B. The committee retained for 2025 the use of Platform Revenue, first introduced as a performance metric within the PIP in 2022, to reinforce management’s focus on growth opportunities to offset anticipated revenue decline associated with U.S. Humira loss of exclusivity (LOE). The Platform Revenue target and result are adjusted for foreign exchange because it is unpredictable at the time the target is set.</w:t>
      </w: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352" w:val="left"/>
          <w:tab w:leader="none" w:pos="2120" w:val="left"/>
        </w:tabs>
        <w:rPr>
          <w:sz w:val="20"/>
          <w:szCs w:val="20"/>
          <w:color w:val="auto"/>
        </w:rPr>
      </w:pPr>
      <w:r>
        <w:rPr>
          <w:rFonts w:ascii="Arial" w:cs="Arial" w:eastAsia="Arial" w:hAnsi="Arial"/>
          <w:sz w:val="16"/>
          <w:szCs w:val="16"/>
          <w:color w:val="auto"/>
        </w:rPr>
        <w:t>40</w:t>
      </w:r>
      <w:r>
        <w:rPr>
          <w:sz w:val="20"/>
          <w:szCs w:val="20"/>
          <w:color w:val="auto"/>
        </w:rPr>
        <w:tab/>
      </w:r>
      <w:r>
        <w:rPr>
          <w:sz w:val="1"/>
          <w:szCs w:val="1"/>
          <w:color w:val="auto"/>
        </w:rPr>
        <w:drawing>
          <wp:inline distT="0" distB="0" distL="0" distR="0">
            <wp:extent cx="797560" cy="14859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324485</wp:posOffset>
            </wp:positionV>
            <wp:extent cx="5878195"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80"/>
          </w:cols>
          <w:pgMar w:left="1300" w:top="480" w:right="1319" w:bottom="1440" w:gutter="0" w:footer="0" w:header="0"/>
        </w:sectPr>
      </w:pPr>
    </w:p>
    <w:bookmarkStart w:id="43" w:name="page44"/>
    <w:bookmarkEnd w:id="43"/>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289" w:hanging="289"/>
        <w:spacing w:after="0"/>
        <w:tabs>
          <w:tab w:leader="none" w:pos="289" w:val="left"/>
        </w:tabs>
        <w:numPr>
          <w:ilvl w:val="0"/>
          <w:numId w:val="63"/>
        </w:numPr>
        <w:rPr>
          <w:rFonts w:ascii="Arial" w:cs="Arial" w:eastAsia="Arial" w:hAnsi="Arial"/>
          <w:sz w:val="16"/>
          <w:szCs w:val="16"/>
          <w:color w:val="auto"/>
        </w:rPr>
      </w:pPr>
      <w:r>
        <w:rPr>
          <w:rFonts w:ascii="Arial" w:cs="Arial" w:eastAsia="Arial" w:hAnsi="Arial"/>
          <w:sz w:val="16"/>
          <w:szCs w:val="16"/>
          <w:color w:val="auto"/>
        </w:rPr>
        <w:t>Evaluated on a constant currency basis.</w:t>
      </w:r>
    </w:p>
    <w:p>
      <w:pPr>
        <w:spacing w:after="0" w:line="197" w:lineRule="exact"/>
        <w:rPr>
          <w:rFonts w:ascii="Arial" w:cs="Arial" w:eastAsia="Arial" w:hAnsi="Arial"/>
          <w:sz w:val="16"/>
          <w:szCs w:val="16"/>
          <w:color w:val="auto"/>
        </w:rPr>
      </w:pPr>
    </w:p>
    <w:p>
      <w:pPr>
        <w:ind w:left="289" w:right="60" w:hanging="289"/>
        <w:spacing w:after="0" w:line="251" w:lineRule="auto"/>
        <w:tabs>
          <w:tab w:leader="none" w:pos="289"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Adjusted Return on Assets is a non-GAAP metric which is equal to the quotient of (i) adjusted net earnings, as described in Appendix B, plus interest expense (as reported), net of tax,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average adjusted net assets. Average adjusted net assets is equal to the average of the following over the 2024 and 2025 fiscal years: total assets, less total current liabilities, plus short-term borrowings and the current portion of long-term debt and finance lease obligations, in each case, as reported on the company’s balance sheet.</w:t>
      </w:r>
    </w:p>
    <w:p>
      <w:pPr>
        <w:spacing w:after="0" w:line="158" w:lineRule="exact"/>
        <w:rPr>
          <w:sz w:val="20"/>
          <w:szCs w:val="20"/>
          <w:color w:val="auto"/>
        </w:rPr>
      </w:pPr>
    </w:p>
    <w:p>
      <w:pPr>
        <w:jc w:val="both"/>
        <w:ind w:left="9" w:right="140"/>
        <w:spacing w:after="0" w:line="251" w:lineRule="auto"/>
        <w:rPr>
          <w:sz w:val="20"/>
          <w:szCs w:val="20"/>
          <w:color w:val="auto"/>
        </w:rPr>
      </w:pPr>
      <w:r>
        <w:rPr>
          <w:rFonts w:ascii="Arial" w:cs="Arial" w:eastAsia="Arial" w:hAnsi="Arial"/>
          <w:sz w:val="16"/>
          <w:szCs w:val="16"/>
          <w:color w:val="auto"/>
        </w:rPr>
        <w:t>Assessments of performance against financial results consider the effect of foreign exchange and other specified adjustments and/or unusual or unpredictable events, and the appropriateness of these adjustments is reviewed annually by the committee. In 2025, specified adjustments included intangible asset amortization, intangible asset impairment, acquisition and integration-related costs, IPR&amp;D and milestones expense, change in fair value of contingent consideration, and other items, as described in Appendix B.</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Short-Term Incentive Strategic and Leadership Goals</w:t>
      </w:r>
    </w:p>
    <w:p>
      <w:pPr>
        <w:spacing w:after="0" w:line="99" w:lineRule="exact"/>
        <w:rPr>
          <w:sz w:val="20"/>
          <w:szCs w:val="20"/>
          <w:color w:val="auto"/>
        </w:rPr>
      </w:pPr>
    </w:p>
    <w:p>
      <w:pPr>
        <w:ind w:left="9"/>
        <w:spacing w:after="0"/>
        <w:rPr>
          <w:sz w:val="20"/>
          <w:szCs w:val="20"/>
          <w:color w:val="auto"/>
        </w:rPr>
      </w:pPr>
      <w:r>
        <w:rPr>
          <w:rFonts w:ascii="Arial" w:cs="Arial" w:eastAsia="Arial" w:hAnsi="Arial"/>
          <w:sz w:val="16"/>
          <w:szCs w:val="16"/>
          <w:color w:val="auto"/>
        </w:rPr>
        <w:t>Each NEO achieved or exceeded their 2025 strategic and leadership goals, which are listed below:</w:t>
      </w:r>
    </w:p>
    <w:p>
      <w:pPr>
        <w:spacing w:after="0" w:line="198" w:lineRule="exact"/>
        <w:rPr>
          <w:sz w:val="20"/>
          <w:szCs w:val="20"/>
          <w:color w:val="auto"/>
        </w:rPr>
      </w:pPr>
    </w:p>
    <w:p>
      <w:pPr>
        <w:ind w:left="289" w:right="160" w:hanging="289"/>
        <w:spacing w:after="0" w:line="245" w:lineRule="auto"/>
        <w:tabs>
          <w:tab w:leader="none" w:pos="289" w:val="left"/>
        </w:tabs>
        <w:numPr>
          <w:ilvl w:val="0"/>
          <w:numId w:val="64"/>
        </w:numPr>
        <w:rPr>
          <w:rFonts w:ascii="Times New Roman" w:cs="Times New Roman" w:eastAsia="Times New Roman" w:hAnsi="Times New Roman"/>
          <w:sz w:val="16"/>
          <w:szCs w:val="16"/>
          <w:color w:val="071D49"/>
        </w:rPr>
      </w:pPr>
      <w:r>
        <w:rPr>
          <w:rFonts w:ascii="Arial" w:cs="Arial" w:eastAsia="Arial" w:hAnsi="Arial"/>
          <w:sz w:val="16"/>
          <w:szCs w:val="16"/>
          <w:b w:val="1"/>
          <w:bCs w:val="1"/>
          <w:color w:val="auto"/>
        </w:rPr>
        <w:t xml:space="preserve">Robert A. Michael: </w:t>
      </w:r>
      <w:r>
        <w:rPr>
          <w:rFonts w:ascii="Arial" w:cs="Arial" w:eastAsia="Arial" w:hAnsi="Arial"/>
          <w:sz w:val="16"/>
          <w:szCs w:val="16"/>
          <w:color w:val="auto"/>
        </w:rPr>
        <w:t>Execute key strategic initiatives to drive sustainable long-term business performance; deliver value to</w:t>
      </w:r>
      <w:r>
        <w:rPr>
          <w:rFonts w:ascii="Arial" w:cs="Arial" w:eastAsia="Arial" w:hAnsi="Arial"/>
          <w:sz w:val="16"/>
          <w:szCs w:val="16"/>
          <w:b w:val="1"/>
          <w:bCs w:val="1"/>
          <w:color w:val="auto"/>
        </w:rPr>
        <w:t xml:space="preserve"> </w:t>
      </w:r>
      <w:r>
        <w:rPr>
          <w:rFonts w:ascii="Arial" w:cs="Arial" w:eastAsia="Arial" w:hAnsi="Arial"/>
          <w:sz w:val="16"/>
          <w:szCs w:val="16"/>
          <w:color w:val="auto"/>
        </w:rPr>
        <w:t>our stockholders; build investor confidence and credibility; successfully advance mid- and late-stage pipeline assets; continue to drive employee engagement and motivation around AbbVie’s mission and future prospects; advance our transformation to a biopharmaceutical culture; and achieve proprietary pharmaceutical pipeline enhancement objectives.</w:t>
      </w:r>
    </w:p>
    <w:p>
      <w:pPr>
        <w:spacing w:after="0" w:line="2" w:lineRule="exact"/>
        <w:rPr>
          <w:rFonts w:ascii="Times New Roman" w:cs="Times New Roman" w:eastAsia="Times New Roman" w:hAnsi="Times New Roman"/>
          <w:sz w:val="16"/>
          <w:szCs w:val="16"/>
          <w:color w:val="071D49"/>
        </w:rPr>
      </w:pPr>
    </w:p>
    <w:p>
      <w:pPr>
        <w:ind w:left="289" w:right="600" w:hanging="289"/>
        <w:spacing w:after="0"/>
        <w:tabs>
          <w:tab w:leader="none" w:pos="289" w:val="left"/>
        </w:tabs>
        <w:numPr>
          <w:ilvl w:val="0"/>
          <w:numId w:val="64"/>
        </w:numPr>
        <w:rPr>
          <w:rFonts w:ascii="Times New Roman" w:cs="Times New Roman" w:eastAsia="Times New Roman" w:hAnsi="Times New Roman"/>
          <w:sz w:val="16"/>
          <w:szCs w:val="16"/>
          <w:color w:val="071D49"/>
        </w:rPr>
      </w:pPr>
      <w:r>
        <w:rPr>
          <w:rFonts w:ascii="Arial" w:cs="Arial" w:eastAsia="Arial" w:hAnsi="Arial"/>
          <w:sz w:val="16"/>
          <w:szCs w:val="16"/>
          <w:b w:val="1"/>
          <w:bCs w:val="1"/>
          <w:color w:val="auto"/>
        </w:rPr>
        <w:t xml:space="preserve">Scott T. Reents: </w:t>
      </w:r>
      <w:r>
        <w:rPr>
          <w:rFonts w:ascii="Arial" w:cs="Arial" w:eastAsia="Arial" w:hAnsi="Arial"/>
          <w:sz w:val="16"/>
          <w:szCs w:val="16"/>
          <w:color w:val="auto"/>
        </w:rPr>
        <w:t>Drive enterprise finance strategic initiatives and transformation on key financial processes; ensure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and provide oversight of company financial goals; and achieve transaction integration objectives.</w:t>
      </w:r>
    </w:p>
    <w:p>
      <w:pPr>
        <w:ind w:left="289" w:right="200" w:hanging="289"/>
        <w:spacing w:after="0"/>
        <w:tabs>
          <w:tab w:leader="none" w:pos="289" w:val="left"/>
        </w:tabs>
        <w:numPr>
          <w:ilvl w:val="0"/>
          <w:numId w:val="64"/>
        </w:numPr>
        <w:rPr>
          <w:rFonts w:ascii="Times New Roman" w:cs="Times New Roman" w:eastAsia="Times New Roman" w:hAnsi="Times New Roman"/>
          <w:sz w:val="16"/>
          <w:szCs w:val="16"/>
          <w:color w:val="071D49"/>
        </w:rPr>
      </w:pPr>
      <w:r>
        <w:rPr>
          <w:rFonts w:ascii="Arial" w:cs="Arial" w:eastAsia="Arial" w:hAnsi="Arial"/>
          <w:sz w:val="16"/>
          <w:szCs w:val="16"/>
          <w:b w:val="1"/>
          <w:bCs w:val="1"/>
          <w:color w:val="auto"/>
        </w:rPr>
        <w:t xml:space="preserve">Jeffrey R. Stewart: </w:t>
      </w:r>
      <w:r>
        <w:rPr>
          <w:rFonts w:ascii="Arial" w:cs="Arial" w:eastAsia="Arial" w:hAnsi="Arial"/>
          <w:sz w:val="16"/>
          <w:szCs w:val="16"/>
          <w:color w:val="auto"/>
        </w:rPr>
        <w:t>Achieve key product milestones; drive patient access for all therapies across the different franchises;</w:t>
      </w:r>
      <w:r>
        <w:rPr>
          <w:rFonts w:ascii="Arial" w:cs="Arial" w:eastAsia="Arial" w:hAnsi="Arial"/>
          <w:sz w:val="16"/>
          <w:szCs w:val="16"/>
          <w:b w:val="1"/>
          <w:bCs w:val="1"/>
          <w:color w:val="auto"/>
        </w:rPr>
        <w:t xml:space="preserve"> </w:t>
      </w:r>
      <w:r>
        <w:rPr>
          <w:rFonts w:ascii="Arial" w:cs="Arial" w:eastAsia="Arial" w:hAnsi="Arial"/>
          <w:sz w:val="16"/>
          <w:szCs w:val="16"/>
          <w:color w:val="auto"/>
        </w:rPr>
        <w:t>and successfully adapt and execute market strategies relative to external considerations.</w:t>
      </w:r>
    </w:p>
    <w:p>
      <w:pPr>
        <w:jc w:val="both"/>
        <w:ind w:left="289" w:right="260" w:hanging="289"/>
        <w:spacing w:after="0"/>
        <w:tabs>
          <w:tab w:leader="none" w:pos="289"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Azita Saleki-Gerhardt: </w:t>
      </w:r>
      <w:r>
        <w:rPr>
          <w:rFonts w:ascii="Arial" w:cs="Arial" w:eastAsia="Arial" w:hAnsi="Arial"/>
          <w:sz w:val="16"/>
          <w:szCs w:val="16"/>
          <w:color w:val="auto"/>
        </w:rPr>
        <w:t>Successfully drive operations optimization and milestones through AI and advanced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execute on objectives including product launches and financial goals; achieve integration objectives from manufacturing investment; and support research and development initiatives per company strategy.</w:t>
      </w:r>
    </w:p>
    <w:p>
      <w:pPr>
        <w:spacing w:after="0" w:line="1" w:lineRule="exact"/>
        <w:rPr>
          <w:rFonts w:ascii="Times New Roman" w:cs="Times New Roman" w:eastAsia="Times New Roman" w:hAnsi="Times New Roman"/>
          <w:sz w:val="16"/>
          <w:szCs w:val="16"/>
          <w:color w:val="auto"/>
        </w:rPr>
      </w:pPr>
    </w:p>
    <w:p>
      <w:pPr>
        <w:ind w:left="289" w:right="220" w:hanging="289"/>
        <w:spacing w:after="0" w:line="251" w:lineRule="auto"/>
        <w:tabs>
          <w:tab w:leader="none" w:pos="289"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Roopal B. Thakkar: </w:t>
      </w:r>
      <w:r>
        <w:rPr>
          <w:rFonts w:ascii="Arial" w:cs="Arial" w:eastAsia="Arial" w:hAnsi="Arial"/>
          <w:sz w:val="16"/>
          <w:szCs w:val="16"/>
          <w:color w:val="auto"/>
        </w:rPr>
        <w:t>Advance innovative therapies by achieving key research and development milestones per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strategy; continue to progress and achieve proprietary pipeline enhancement objectives; and ensure timely regulatory submissions for key compounds and indications.</w:t>
      </w:r>
    </w:p>
    <w:p>
      <w:pPr>
        <w:spacing w:after="0" w:line="145" w:lineRule="exact"/>
        <w:rPr>
          <w:sz w:val="20"/>
          <w:szCs w:val="20"/>
          <w:color w:val="auto"/>
        </w:rPr>
      </w:pPr>
    </w:p>
    <w:p>
      <w:pPr>
        <w:ind w:left="9" w:right="20"/>
        <w:spacing w:after="0" w:line="251" w:lineRule="auto"/>
        <w:rPr>
          <w:sz w:val="20"/>
          <w:szCs w:val="20"/>
          <w:color w:val="auto"/>
        </w:rPr>
      </w:pPr>
      <w:r>
        <w:rPr>
          <w:rFonts w:ascii="Arial" w:cs="Arial" w:eastAsia="Arial" w:hAnsi="Arial"/>
          <w:sz w:val="16"/>
          <w:szCs w:val="16"/>
          <w:color w:val="auto"/>
        </w:rPr>
        <w:t>In 2025, our NEOs continued to take a formal goal aligned to protecting AbbVie’s reputation and supporting business sustainability across a range of environmental, social, and governance (ESG) topics aligned to our long-term company strategy. The ESG goal was weighted 10% within the short-term incentive program for each NEO. AbbVie’s senior executives have different areas of focus when it comes to driving the company’s ESG framework. Example achievements under the ESG goal category in 2025 by AbbVie’s senior executives included:</w:t>
      </w:r>
    </w:p>
    <w:p>
      <w:pPr>
        <w:spacing w:after="0" w:line="158" w:lineRule="exact"/>
        <w:rPr>
          <w:sz w:val="20"/>
          <w:szCs w:val="20"/>
          <w:color w:val="auto"/>
        </w:rPr>
      </w:pPr>
    </w:p>
    <w:p>
      <w:pPr>
        <w:ind w:left="609" w:right="660" w:hanging="289"/>
        <w:spacing w:after="0" w:line="250" w:lineRule="auto"/>
        <w:tabs>
          <w:tab w:leader="none" w:pos="609"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Successfully executed mandatory reporting preparedness, establishing cross-enterprise governance to ensure readiness.</w:t>
      </w:r>
    </w:p>
    <w:p>
      <w:pPr>
        <w:spacing w:after="0" w:line="1" w:lineRule="exact"/>
        <w:rPr>
          <w:rFonts w:ascii="Times New Roman" w:cs="Times New Roman" w:eastAsia="Times New Roman" w:hAnsi="Times New Roman"/>
          <w:sz w:val="16"/>
          <w:szCs w:val="16"/>
          <w:color w:val="auto"/>
        </w:rPr>
      </w:pPr>
    </w:p>
    <w:p>
      <w:pPr>
        <w:ind w:left="609" w:hanging="289"/>
        <w:spacing w:after="0"/>
        <w:tabs>
          <w:tab w:leader="none" w:pos="609"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AbbVie’s three-year ESG Strategy was approved by our cross-enterprise ESG Council.</w:t>
      </w:r>
    </w:p>
    <w:p>
      <w:pPr>
        <w:spacing w:after="0" w:line="12" w:lineRule="exact"/>
        <w:rPr>
          <w:rFonts w:ascii="Times New Roman" w:cs="Times New Roman" w:eastAsia="Times New Roman" w:hAnsi="Times New Roman"/>
          <w:sz w:val="16"/>
          <w:szCs w:val="16"/>
          <w:color w:val="auto"/>
        </w:rPr>
      </w:pPr>
    </w:p>
    <w:p>
      <w:pPr>
        <w:ind w:left="609" w:hanging="289"/>
        <w:spacing w:after="0"/>
        <w:tabs>
          <w:tab w:leader="none" w:pos="609"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Improved ESG-related rankings by third parties, including MSCI and Sustainalytics.</w:t>
      </w:r>
    </w:p>
    <w:p>
      <w:pPr>
        <w:spacing w:after="0" w:line="181" w:lineRule="exact"/>
        <w:rPr>
          <w:sz w:val="20"/>
          <w:szCs w:val="20"/>
          <w:color w:val="auto"/>
        </w:rPr>
      </w:pPr>
    </w:p>
    <w:p>
      <w:pPr>
        <w:ind w:left="9" w:right="20"/>
        <w:spacing w:after="0" w:line="251" w:lineRule="auto"/>
        <w:rPr>
          <w:sz w:val="20"/>
          <w:szCs w:val="20"/>
          <w:color w:val="auto"/>
        </w:rPr>
      </w:pPr>
      <w:r>
        <w:rPr>
          <w:rFonts w:ascii="Arial" w:cs="Arial" w:eastAsia="Arial" w:hAnsi="Arial"/>
          <w:sz w:val="16"/>
          <w:szCs w:val="16"/>
          <w:color w:val="auto"/>
        </w:rPr>
        <w:t>As part of this ESG goal category, all senior leaders, including the NEOs, continued to take a goal aligned to furthering AbbVie’s commitment to embracing diversity and inclusion, one of the five foundational AbbVie Principles. We believe that innovation comes from people with differing perspectives working together on inclusive teams. The diversity we seek is broad and includes many unique life experiences and factors. We are proud of our ability to hire and promote based on merit and qualification while still fostering an inclusive workplace where all employees can perform and thrive.</w:t>
      </w:r>
    </w:p>
    <w:p>
      <w:pPr>
        <w:spacing w:after="0" w:line="200" w:lineRule="exact"/>
        <w:rPr>
          <w:sz w:val="20"/>
          <w:szCs w:val="20"/>
          <w:color w:val="auto"/>
        </w:rPr>
      </w:pPr>
    </w:p>
    <w:p>
      <w:pPr>
        <w:spacing w:after="0" w:line="331"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-492125</wp:posOffset>
            </wp:positionV>
            <wp:extent cx="797560" cy="148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44" w:name="page45"/>
    <w:bookmarkEnd w:id="44"/>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9" w:right="260"/>
        <w:spacing w:after="0" w:line="283" w:lineRule="auto"/>
        <w:rPr>
          <w:sz w:val="20"/>
          <w:szCs w:val="20"/>
          <w:color w:val="auto"/>
        </w:rPr>
      </w:pPr>
      <w:r>
        <w:rPr>
          <w:rFonts w:ascii="Arial" w:cs="Arial" w:eastAsia="Arial" w:hAnsi="Arial"/>
          <w:sz w:val="16"/>
          <w:szCs w:val="16"/>
          <w:color w:val="auto"/>
        </w:rPr>
        <w:t>Our strategies include specific priority areas to ensure AbbVie fosters a culture that is inclusive and innovative – in service of our people, patients, and business. 2025 progress on this strategy includes:</w:t>
      </w:r>
    </w:p>
    <w:p>
      <w:pPr>
        <w:spacing w:after="0" w:line="120" w:lineRule="exact"/>
        <w:rPr>
          <w:sz w:val="20"/>
          <w:szCs w:val="20"/>
          <w:color w:val="auto"/>
        </w:rPr>
      </w:pPr>
    </w:p>
    <w:p>
      <w:pPr>
        <w:ind w:left="609" w:right="120" w:hanging="289"/>
        <w:spacing w:after="0" w:line="244" w:lineRule="auto"/>
        <w:tabs>
          <w:tab w:leader="none" w:pos="609"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Fostering an inclusive workplace</w:t>
      </w:r>
      <w:r>
        <w:rPr>
          <w:rFonts w:ascii="Arial" w:cs="Arial" w:eastAsia="Arial" w:hAnsi="Arial"/>
          <w:sz w:val="16"/>
          <w:szCs w:val="16"/>
          <w:color w:val="auto"/>
        </w:rPr>
        <w:t>. Our ongoing work amplifies culture with inclusion and belonging for all. As a world-class employer, we continue to support the development of our leaders, employees and teams, providing all with the opportunity to grow and succeed, and we cast a wide net to attract the most qualified talent. In 2025, we continued to progress accessibility for current and future employees – with the launch of a cross-functional, multi-year strategy and taskforce.</w:t>
      </w:r>
    </w:p>
    <w:p>
      <w:pPr>
        <w:spacing w:after="0" w:line="3" w:lineRule="exact"/>
        <w:rPr>
          <w:rFonts w:ascii="Times New Roman" w:cs="Times New Roman" w:eastAsia="Times New Roman" w:hAnsi="Times New Roman"/>
          <w:sz w:val="16"/>
          <w:szCs w:val="16"/>
          <w:color w:val="auto"/>
        </w:rPr>
      </w:pPr>
    </w:p>
    <w:p>
      <w:pPr>
        <w:ind w:left="609" w:right="20" w:hanging="289"/>
        <w:spacing w:after="0"/>
        <w:tabs>
          <w:tab w:leader="none" w:pos="609"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Building inclusive leadership</w:t>
      </w:r>
      <w:r>
        <w:rPr>
          <w:rFonts w:ascii="Arial" w:cs="Arial" w:eastAsia="Arial" w:hAnsi="Arial"/>
          <w:sz w:val="16"/>
          <w:szCs w:val="16"/>
          <w:color w:val="auto"/>
        </w:rPr>
        <w:t>. We designed and delivered offerings to build inclusive leadership for all people leaders, while also creating the space for dialogue around inclusive team dynamics. In 2025, we introduced Collective Uniqueness, an opt-in global program dedicated to strengthening teams with inclusion for all, with 6,500 people leaders and their teams participating.</w:t>
      </w:r>
    </w:p>
    <w:p>
      <w:pPr>
        <w:spacing w:after="0" w:line="1" w:lineRule="exact"/>
        <w:rPr>
          <w:rFonts w:ascii="Times New Roman" w:cs="Times New Roman" w:eastAsia="Times New Roman" w:hAnsi="Times New Roman"/>
          <w:sz w:val="16"/>
          <w:szCs w:val="16"/>
          <w:color w:val="auto"/>
        </w:rPr>
      </w:pPr>
    </w:p>
    <w:p>
      <w:pPr>
        <w:jc w:val="both"/>
        <w:ind w:left="609" w:right="200" w:hanging="289"/>
        <w:spacing w:after="0" w:line="261" w:lineRule="auto"/>
        <w:tabs>
          <w:tab w:leader="none" w:pos="609"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Strengthening community, well-being and belonging</w:t>
      </w:r>
      <w:r>
        <w:rPr>
          <w:rFonts w:ascii="Arial" w:cs="Arial" w:eastAsia="Arial" w:hAnsi="Arial"/>
          <w:sz w:val="16"/>
          <w:szCs w:val="16"/>
          <w:color w:val="auto"/>
        </w:rPr>
        <w:t>. We continue to support our global Employee Resource Groups, which are open to all employees and reflect our belief that inclusion benefits everyone and drives high performance.</w:t>
      </w:r>
    </w:p>
    <w:p>
      <w:pPr>
        <w:spacing w:after="0" w:line="137"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Annual Incentive Payout Matrix</w:t>
      </w:r>
    </w:p>
    <w:p>
      <w:pPr>
        <w:spacing w:after="0" w:line="99" w:lineRule="exact"/>
        <w:rPr>
          <w:sz w:val="20"/>
          <w:szCs w:val="20"/>
          <w:color w:val="auto"/>
        </w:rPr>
      </w:pPr>
    </w:p>
    <w:p>
      <w:pPr>
        <w:ind w:left="9" w:right="60"/>
        <w:spacing w:after="0" w:line="262" w:lineRule="auto"/>
        <w:rPr>
          <w:sz w:val="20"/>
          <w:szCs w:val="20"/>
          <w:color w:val="auto"/>
        </w:rPr>
      </w:pPr>
      <w:r>
        <w:rPr>
          <w:rFonts w:ascii="Arial" w:cs="Arial" w:eastAsia="Arial" w:hAnsi="Arial"/>
          <w:sz w:val="16"/>
          <w:szCs w:val="16"/>
          <w:color w:val="auto"/>
        </w:rPr>
        <w:t>A formal payout matrix based on Platform Revenue and Non-GAAP Income Before Taxes guides the committee by capping the range of final awards at or below the plan maximum of 200% of target. The matrix is used to ensure alignment between PIP payout outcomes and company financial performance.</w:t>
      </w:r>
    </w:p>
    <w:p>
      <w:pPr>
        <w:spacing w:after="0" w:line="148" w:lineRule="exact"/>
        <w:rPr>
          <w:sz w:val="20"/>
          <w:szCs w:val="20"/>
          <w:color w:val="auto"/>
        </w:rPr>
      </w:pPr>
    </w:p>
    <w:p>
      <w:pPr>
        <w:ind w:left="9" w:right="240"/>
        <w:spacing w:after="0" w:line="283" w:lineRule="auto"/>
        <w:rPr>
          <w:sz w:val="20"/>
          <w:szCs w:val="20"/>
          <w:color w:val="auto"/>
        </w:rPr>
      </w:pPr>
      <w:r>
        <w:rPr>
          <w:rFonts w:ascii="Arial" w:cs="Arial" w:eastAsia="Arial" w:hAnsi="Arial"/>
          <w:sz w:val="16"/>
          <w:szCs w:val="16"/>
          <w:color w:val="auto"/>
        </w:rPr>
        <w:t>For 2025, actual Platform Revenue performance was 105% compared to target, and actual Non-GAAP Income Before Taxes was also 105% compared to target.</w:t>
      </w:r>
    </w:p>
    <w:p>
      <w:pPr>
        <w:spacing w:after="0" w:line="110" w:lineRule="exact"/>
        <w:rPr>
          <w:sz w:val="20"/>
          <w:szCs w:val="20"/>
          <w:color w:val="auto"/>
        </w:rPr>
      </w:pPr>
    </w:p>
    <w:tbl>
      <w:tblPr>
        <w:tblLayout w:type="fixed"/>
        <w:tblInd w:w="9" w:type="dxa"/>
        <w:tblCellMar>
          <w:top w:w="0" w:type="dxa"/>
          <w:left w:w="0" w:type="dxa"/>
          <w:bottom w:w="0" w:type="dxa"/>
          <w:right w:w="0" w:type="dxa"/>
        </w:tblCellMar>
      </w:tblPr>
      <w:tr>
        <w:trPr>
          <w:trHeight w:val="149"/>
        </w:trPr>
        <w:tc>
          <w:tcPr>
            <w:tcW w:w="2780" w:type="dxa"/>
            <w:vAlign w:val="bottom"/>
          </w:tcPr>
          <w:p>
            <w:pPr>
              <w:spacing w:after="0"/>
              <w:rPr>
                <w:sz w:val="20"/>
                <w:szCs w:val="20"/>
                <w:color w:val="auto"/>
              </w:rPr>
            </w:pPr>
            <w:r>
              <w:rPr>
                <w:rFonts w:ascii="Arial" w:cs="Arial" w:eastAsia="Arial" w:hAnsi="Arial"/>
                <w:sz w:val="13"/>
                <w:szCs w:val="13"/>
                <w:b w:val="1"/>
                <w:bCs w:val="1"/>
                <w:color w:val="071D49"/>
              </w:rPr>
              <w:t>Annual Incentive</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2"/>
          </w:tcPr>
          <w:p>
            <w:pPr>
              <w:ind w:left="1020"/>
              <w:spacing w:after="0"/>
              <w:rPr>
                <w:sz w:val="20"/>
                <w:szCs w:val="20"/>
                <w:color w:val="auto"/>
              </w:rPr>
            </w:pPr>
            <w:r>
              <w:rPr>
                <w:rFonts w:ascii="Arial" w:cs="Arial" w:eastAsia="Arial" w:hAnsi="Arial"/>
                <w:sz w:val="13"/>
                <w:szCs w:val="13"/>
                <w:b w:val="1"/>
                <w:bCs w:val="1"/>
                <w:color w:val="071D49"/>
              </w:rPr>
              <w:t>2025 Target vs.</w:t>
            </w:r>
          </w:p>
        </w:tc>
        <w:tc>
          <w:tcPr>
            <w:tcW w:w="980" w:type="dxa"/>
            <w:vAlign w:val="bottom"/>
          </w:tcPr>
          <w:p>
            <w:pPr>
              <w:spacing w:after="0"/>
              <w:rPr>
                <w:sz w:val="13"/>
                <w:szCs w:val="13"/>
                <w:color w:val="auto"/>
              </w:rPr>
            </w:pPr>
          </w:p>
        </w:tc>
        <w:tc>
          <w:tcPr>
            <w:tcW w:w="1240" w:type="dxa"/>
            <w:vAlign w:val="bottom"/>
          </w:tcPr>
          <w:p>
            <w:pPr>
              <w:jc w:val="right"/>
              <w:ind w:right="126"/>
              <w:spacing w:after="0"/>
              <w:rPr>
                <w:sz w:val="20"/>
                <w:szCs w:val="20"/>
                <w:color w:val="auto"/>
              </w:rPr>
            </w:pPr>
            <w:r>
              <w:rPr>
                <w:rFonts w:ascii="Arial" w:cs="Arial" w:eastAsia="Arial" w:hAnsi="Arial"/>
                <w:sz w:val="13"/>
                <w:szCs w:val="13"/>
                <w:b w:val="1"/>
                <w:bCs w:val="1"/>
                <w:color w:val="071D49"/>
              </w:rPr>
              <w:t>2025 Actual vs.</w:t>
            </w:r>
          </w:p>
        </w:tc>
      </w:tr>
      <w:tr>
        <w:trPr>
          <w:trHeight w:val="172"/>
        </w:trPr>
        <w:tc>
          <w:tcPr>
            <w:tcW w:w="2780" w:type="dxa"/>
            <w:vAlign w:val="bottom"/>
            <w:tcBorders>
              <w:bottom w:val="single" w:sz="8" w:color="071D49"/>
            </w:tcBorders>
          </w:tcPr>
          <w:p>
            <w:pPr>
              <w:spacing w:after="0" w:line="173" w:lineRule="exact"/>
              <w:rPr>
                <w:sz w:val="20"/>
                <w:szCs w:val="20"/>
                <w:color w:val="auto"/>
              </w:rPr>
            </w:pPr>
            <w:r>
              <w:rPr>
                <w:rFonts w:ascii="Arial" w:cs="Arial" w:eastAsia="Arial" w:hAnsi="Arial"/>
                <w:sz w:val="13"/>
                <w:szCs w:val="13"/>
                <w:b w:val="1"/>
                <w:bCs w:val="1"/>
                <w:color w:val="071D49"/>
              </w:rPr>
              <w:t>Payout Matrix</w:t>
            </w:r>
            <w:r>
              <w:rPr>
                <w:rFonts w:ascii="Arial" w:cs="Arial" w:eastAsia="Arial" w:hAnsi="Arial"/>
                <w:sz w:val="19"/>
                <w:szCs w:val="19"/>
                <w:b w:val="1"/>
                <w:bCs w:val="1"/>
                <w:color w:val="071D49"/>
                <w:vertAlign w:val="superscript"/>
              </w:rPr>
              <w:t>(1)</w:t>
            </w:r>
          </w:p>
        </w:tc>
        <w:tc>
          <w:tcPr>
            <w:tcW w:w="620" w:type="dxa"/>
            <w:vAlign w:val="bottom"/>
            <w:tcBorders>
              <w:bottom w:val="single" w:sz="8" w:color="071D49"/>
            </w:tcBorders>
          </w:tcPr>
          <w:p>
            <w:pPr>
              <w:jc w:val="right"/>
              <w:ind w:right="43"/>
              <w:spacing w:after="0"/>
              <w:rPr>
                <w:sz w:val="20"/>
                <w:szCs w:val="20"/>
                <w:color w:val="auto"/>
              </w:rPr>
            </w:pPr>
            <w:r>
              <w:rPr>
                <w:rFonts w:ascii="Arial" w:cs="Arial" w:eastAsia="Arial" w:hAnsi="Arial"/>
                <w:sz w:val="13"/>
                <w:szCs w:val="13"/>
                <w:b w:val="1"/>
                <w:bCs w:val="1"/>
                <w:color w:val="071D49"/>
              </w:rPr>
              <w:t>​​​</w:t>
            </w:r>
          </w:p>
        </w:tc>
        <w:tc>
          <w:tcPr>
            <w:tcW w:w="1040" w:type="dxa"/>
            <w:vAlign w:val="bottom"/>
            <w:tcBorders>
              <w:bottom w:val="single" w:sz="8" w:color="071D49"/>
            </w:tcBorders>
          </w:tcPr>
          <w:p>
            <w:pPr>
              <w:ind w:left="60"/>
              <w:spacing w:after="0"/>
              <w:rPr>
                <w:sz w:val="20"/>
                <w:szCs w:val="20"/>
                <w:color w:val="auto"/>
              </w:rPr>
            </w:pPr>
            <w:r>
              <w:rPr>
                <w:rFonts w:ascii="Arial" w:cs="Arial" w:eastAsia="Arial" w:hAnsi="Arial"/>
                <w:sz w:val="13"/>
                <w:szCs w:val="13"/>
                <w:b w:val="1"/>
                <w:bCs w:val="1"/>
                <w:color w:val="071D49"/>
              </w:rPr>
              <w:t>2024 Actual  ​​​</w:t>
            </w:r>
          </w:p>
        </w:tc>
        <w:tc>
          <w:tcPr>
            <w:tcW w:w="120" w:type="dxa"/>
            <w:vAlign w:val="bottom"/>
            <w:tcBorders>
              <w:bottom w:val="single" w:sz="8" w:color="071D49"/>
            </w:tcBorders>
          </w:tcPr>
          <w:p>
            <w:pPr>
              <w:spacing w:after="0"/>
              <w:rPr>
                <w:sz w:val="14"/>
                <w:szCs w:val="14"/>
                <w:color w:val="auto"/>
              </w:rPr>
            </w:pPr>
          </w:p>
        </w:tc>
        <w:tc>
          <w:tcPr>
            <w:tcW w:w="3320" w:type="dxa"/>
            <w:vAlign w:val="bottom"/>
            <w:tcBorders>
              <w:bottom w:val="single" w:sz="8" w:color="071D49"/>
            </w:tcBorders>
            <w:gridSpan w:val="3"/>
          </w:tcPr>
          <w:p>
            <w:pPr>
              <w:spacing w:after="0"/>
              <w:rPr>
                <w:sz w:val="20"/>
                <w:szCs w:val="20"/>
                <w:color w:val="auto"/>
              </w:rPr>
            </w:pPr>
            <w:r>
              <w:rPr>
                <w:rFonts w:ascii="Arial" w:cs="Arial" w:eastAsia="Arial" w:hAnsi="Arial"/>
                <w:sz w:val="13"/>
                <w:szCs w:val="13"/>
                <w:b w:val="1"/>
                <w:bCs w:val="1"/>
                <w:color w:val="071D49"/>
              </w:rPr>
              <w:t>2025 Target  ​​​2024 Actual  ​​​  2025 Actual  ​​​</w:t>
            </w:r>
          </w:p>
        </w:tc>
        <w:tc>
          <w:tcPr>
            <w:tcW w:w="1240" w:type="dxa"/>
            <w:vAlign w:val="bottom"/>
            <w:tcBorders>
              <w:bottom w:val="single" w:sz="8" w:color="071D49"/>
            </w:tcBorders>
          </w:tcPr>
          <w:p>
            <w:pPr>
              <w:jc w:val="right"/>
              <w:ind w:right="126"/>
              <w:spacing w:after="0"/>
              <w:rPr>
                <w:sz w:val="20"/>
                <w:szCs w:val="20"/>
                <w:color w:val="auto"/>
              </w:rPr>
            </w:pPr>
            <w:r>
              <w:rPr>
                <w:rFonts w:ascii="Arial" w:cs="Arial" w:eastAsia="Arial" w:hAnsi="Arial"/>
                <w:sz w:val="13"/>
                <w:szCs w:val="13"/>
                <w:b w:val="1"/>
                <w:bCs w:val="1"/>
                <w:color w:val="071D49"/>
              </w:rPr>
              <w:t>2025 Target</w:t>
            </w:r>
          </w:p>
        </w:tc>
      </w:tr>
      <w:tr>
        <w:trPr>
          <w:trHeight w:val="177"/>
        </w:trPr>
        <w:tc>
          <w:tcPr>
            <w:tcW w:w="2780" w:type="dxa"/>
            <w:vAlign w:val="bottom"/>
            <w:shd w:val="clear" w:color="auto" w:fill="D9D9D9"/>
          </w:tcPr>
          <w:p>
            <w:pPr>
              <w:spacing w:after="0" w:line="177" w:lineRule="exact"/>
              <w:rPr>
                <w:sz w:val="20"/>
                <w:szCs w:val="20"/>
                <w:color w:val="auto"/>
              </w:rPr>
            </w:pPr>
            <w:r>
              <w:rPr>
                <w:rFonts w:ascii="Arial" w:cs="Arial" w:eastAsia="Arial" w:hAnsi="Arial"/>
                <w:sz w:val="14"/>
                <w:szCs w:val="14"/>
                <w:color w:val="auto"/>
              </w:rPr>
              <w:t>Platform Revenue</w:t>
            </w:r>
            <w:r>
              <w:rPr>
                <w:rFonts w:ascii="Arial" w:cs="Arial" w:eastAsia="Arial" w:hAnsi="Arial"/>
                <w:sz w:val="20"/>
                <w:szCs w:val="20"/>
                <w:color w:val="auto"/>
                <w:vertAlign w:val="superscript"/>
              </w:rPr>
              <w:t>(2)</w:t>
            </w:r>
          </w:p>
        </w:tc>
        <w:tc>
          <w:tcPr>
            <w:tcW w:w="620" w:type="dxa"/>
            <w:vAlign w:val="bottom"/>
            <w:shd w:val="clear" w:color="auto" w:fill="D9D9D9"/>
          </w:tcPr>
          <w:p>
            <w:pPr>
              <w:jc w:val="right"/>
              <w:spacing w:after="0" w:line="177" w:lineRule="exact"/>
              <w:rPr>
                <w:sz w:val="20"/>
                <w:szCs w:val="20"/>
                <w:color w:val="auto"/>
              </w:rPr>
            </w:pPr>
            <w:r>
              <w:rPr>
                <w:rFonts w:ascii="Arial" w:cs="Arial" w:eastAsia="Arial" w:hAnsi="Arial"/>
                <w:sz w:val="16"/>
                <w:szCs w:val="16"/>
                <w:color w:val="auto"/>
              </w:rPr>
              <w:t>$</w:t>
            </w:r>
          </w:p>
        </w:tc>
        <w:tc>
          <w:tcPr>
            <w:tcW w:w="1040" w:type="dxa"/>
            <w:vAlign w:val="bottom"/>
            <w:shd w:val="clear" w:color="auto" w:fill="D9D9D9"/>
          </w:tcPr>
          <w:p>
            <w:pPr>
              <w:ind w:left="180"/>
              <w:spacing w:after="0" w:line="177" w:lineRule="exact"/>
              <w:rPr>
                <w:sz w:val="20"/>
                <w:szCs w:val="20"/>
                <w:color w:val="auto"/>
              </w:rPr>
            </w:pPr>
            <w:r>
              <w:rPr>
                <w:rFonts w:ascii="Arial" w:cs="Arial" w:eastAsia="Arial" w:hAnsi="Arial"/>
                <w:sz w:val="14"/>
                <w:szCs w:val="14"/>
                <w:color w:val="auto"/>
              </w:rPr>
              <w:t xml:space="preserve">47.3 BN </w:t>
            </w:r>
            <w:r>
              <w:rPr>
                <w:rFonts w:ascii="Arial" w:cs="Arial" w:eastAsia="Arial" w:hAnsi="Arial"/>
                <w:sz w:val="20"/>
                <w:szCs w:val="20"/>
                <w:color w:val="auto"/>
                <w:vertAlign w:val="superscript"/>
              </w:rPr>
              <w:t>(2)</w:t>
            </w:r>
          </w:p>
        </w:tc>
        <w:tc>
          <w:tcPr>
            <w:tcW w:w="120" w:type="dxa"/>
            <w:vAlign w:val="bottom"/>
            <w:shd w:val="clear" w:color="auto" w:fill="D9D9D9"/>
          </w:tcPr>
          <w:p>
            <w:pPr>
              <w:jc w:val="right"/>
              <w:spacing w:after="0" w:line="177" w:lineRule="exact"/>
              <w:rPr>
                <w:sz w:val="20"/>
                <w:szCs w:val="20"/>
                <w:color w:val="auto"/>
              </w:rPr>
            </w:pPr>
            <w:r>
              <w:rPr>
                <w:rFonts w:ascii="Arial" w:cs="Arial" w:eastAsia="Arial" w:hAnsi="Arial"/>
                <w:sz w:val="16"/>
                <w:szCs w:val="16"/>
                <w:color w:val="auto"/>
              </w:rPr>
              <w:t>$</w:t>
            </w:r>
          </w:p>
        </w:tc>
        <w:tc>
          <w:tcPr>
            <w:tcW w:w="1460" w:type="dxa"/>
            <w:vAlign w:val="bottom"/>
            <w:shd w:val="clear" w:color="auto" w:fill="D9D9D9"/>
          </w:tcPr>
          <w:p>
            <w:pPr>
              <w:ind w:left="100"/>
              <w:spacing w:after="0" w:line="177" w:lineRule="exact"/>
              <w:rPr>
                <w:sz w:val="20"/>
                <w:szCs w:val="20"/>
                <w:color w:val="auto"/>
              </w:rPr>
            </w:pPr>
            <w:r>
              <w:rPr>
                <w:rFonts w:ascii="Arial" w:cs="Arial" w:eastAsia="Arial" w:hAnsi="Arial"/>
                <w:sz w:val="16"/>
                <w:szCs w:val="16"/>
                <w:color w:val="auto"/>
              </w:rPr>
              <w:t>53.7 BN</w:t>
            </w:r>
          </w:p>
        </w:tc>
        <w:tc>
          <w:tcPr>
            <w:tcW w:w="880" w:type="dxa"/>
            <w:vAlign w:val="bottom"/>
            <w:shd w:val="clear" w:color="auto" w:fill="D9D9D9"/>
          </w:tcPr>
          <w:p>
            <w:pPr>
              <w:jc w:val="right"/>
              <w:spacing w:after="0" w:line="177" w:lineRule="exact"/>
              <w:rPr>
                <w:sz w:val="20"/>
                <w:szCs w:val="20"/>
                <w:color w:val="auto"/>
              </w:rPr>
            </w:pPr>
            <w:r>
              <w:rPr>
                <w:rFonts w:ascii="Arial" w:cs="Arial" w:eastAsia="Arial" w:hAnsi="Arial"/>
                <w:sz w:val="16"/>
                <w:szCs w:val="16"/>
                <w:color w:val="auto"/>
              </w:rPr>
              <w:t>114 % $</w:t>
            </w:r>
          </w:p>
        </w:tc>
        <w:tc>
          <w:tcPr>
            <w:tcW w:w="980" w:type="dxa"/>
            <w:vAlign w:val="bottom"/>
            <w:shd w:val="clear" w:color="auto" w:fill="D9D9D9"/>
          </w:tcPr>
          <w:p>
            <w:pPr>
              <w:ind w:left="60"/>
              <w:spacing w:after="0" w:line="177" w:lineRule="exact"/>
              <w:rPr>
                <w:sz w:val="20"/>
                <w:szCs w:val="20"/>
                <w:color w:val="auto"/>
              </w:rPr>
            </w:pPr>
            <w:r>
              <w:rPr>
                <w:rFonts w:ascii="Arial" w:cs="Arial" w:eastAsia="Arial" w:hAnsi="Arial"/>
                <w:sz w:val="14"/>
                <w:szCs w:val="14"/>
                <w:color w:val="auto"/>
              </w:rPr>
              <w:t xml:space="preserve">56.3 BN </w:t>
            </w:r>
            <w:r>
              <w:rPr>
                <w:rFonts w:ascii="Arial" w:cs="Arial" w:eastAsia="Arial" w:hAnsi="Arial"/>
                <w:sz w:val="20"/>
                <w:szCs w:val="20"/>
                <w:color w:val="auto"/>
                <w:vertAlign w:val="superscript"/>
              </w:rPr>
              <w:t>(2)</w:t>
            </w:r>
          </w:p>
        </w:tc>
        <w:tc>
          <w:tcPr>
            <w:tcW w:w="1240" w:type="dxa"/>
            <w:vAlign w:val="bottom"/>
            <w:shd w:val="clear" w:color="auto" w:fill="D9D9D9"/>
          </w:tcPr>
          <w:p>
            <w:pPr>
              <w:jc w:val="right"/>
              <w:spacing w:after="0" w:line="177" w:lineRule="exact"/>
              <w:rPr>
                <w:sz w:val="20"/>
                <w:szCs w:val="20"/>
                <w:color w:val="auto"/>
              </w:rPr>
            </w:pPr>
            <w:r>
              <w:rPr>
                <w:rFonts w:ascii="Arial" w:cs="Arial" w:eastAsia="Arial" w:hAnsi="Arial"/>
                <w:sz w:val="16"/>
                <w:szCs w:val="16"/>
                <w:color w:val="auto"/>
              </w:rPr>
              <w:t>105 %</w:t>
            </w:r>
          </w:p>
        </w:tc>
      </w:tr>
      <w:tr>
        <w:trPr>
          <w:trHeight w:val="197"/>
        </w:trPr>
        <w:tc>
          <w:tcPr>
            <w:tcW w:w="2780" w:type="dxa"/>
            <w:vAlign w:val="bottom"/>
            <w:tcBorders>
              <w:bottom w:val="single" w:sz="8" w:color="071D49"/>
            </w:tcBorders>
          </w:tcPr>
          <w:p>
            <w:pPr>
              <w:spacing w:after="0"/>
              <w:rPr>
                <w:sz w:val="20"/>
                <w:szCs w:val="20"/>
                <w:color w:val="auto"/>
              </w:rPr>
            </w:pPr>
            <w:r>
              <w:rPr>
                <w:rFonts w:ascii="Arial" w:cs="Arial" w:eastAsia="Arial" w:hAnsi="Arial"/>
                <w:sz w:val="16"/>
                <w:szCs w:val="16"/>
                <w:color w:val="auto"/>
              </w:rPr>
              <w:t>Non</w:t>
            </w:r>
            <w:r>
              <w:rPr>
                <w:rFonts w:ascii="Times New Roman" w:cs="Times New Roman" w:eastAsia="Times New Roman" w:hAnsi="Times New Roman"/>
                <w:sz w:val="16"/>
                <w:szCs w:val="16"/>
                <w:color w:val="auto"/>
              </w:rPr>
              <w:t>-</w:t>
            </w:r>
            <w:r>
              <w:rPr>
                <w:rFonts w:ascii="Arial" w:cs="Arial" w:eastAsia="Arial" w:hAnsi="Arial"/>
                <w:sz w:val="16"/>
                <w:szCs w:val="16"/>
                <w:color w:val="auto"/>
              </w:rPr>
              <w:t>GAAP Income Before Taxes</w:t>
            </w:r>
          </w:p>
        </w:tc>
        <w:tc>
          <w:tcPr>
            <w:tcW w:w="620" w:type="dxa"/>
            <w:vAlign w:val="bottom"/>
            <w:tcBorders>
              <w:bottom w:val="single" w:sz="8" w:color="071D49"/>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071D49"/>
            </w:tcBorders>
          </w:tcPr>
          <w:p>
            <w:pPr>
              <w:ind w:left="180"/>
              <w:spacing w:after="0" w:line="197" w:lineRule="exact"/>
              <w:rPr>
                <w:sz w:val="20"/>
                <w:szCs w:val="20"/>
                <w:color w:val="auto"/>
              </w:rPr>
            </w:pPr>
            <w:r>
              <w:rPr>
                <w:rFonts w:ascii="Arial" w:cs="Arial" w:eastAsia="Arial" w:hAnsi="Arial"/>
                <w:sz w:val="15"/>
                <w:szCs w:val="15"/>
                <w:color w:val="auto"/>
              </w:rPr>
              <w:t xml:space="preserve">24.6 BN </w:t>
            </w:r>
            <w:r>
              <w:rPr>
                <w:rFonts w:ascii="Arial" w:cs="Arial" w:eastAsia="Arial" w:hAnsi="Arial"/>
                <w:sz w:val="22"/>
                <w:szCs w:val="22"/>
                <w:color w:val="auto"/>
                <w:vertAlign w:val="superscript"/>
              </w:rPr>
              <w:t>(3)</w:t>
            </w:r>
          </w:p>
        </w:tc>
        <w:tc>
          <w:tcPr>
            <w:tcW w:w="120" w:type="dxa"/>
            <w:vAlign w:val="bottom"/>
            <w:tcBorders>
              <w:bottom w:val="single" w:sz="8" w:color="071D49"/>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071D49"/>
            </w:tcBorders>
          </w:tcPr>
          <w:p>
            <w:pPr>
              <w:ind w:left="100"/>
              <w:spacing w:after="0"/>
              <w:rPr>
                <w:sz w:val="20"/>
                <w:szCs w:val="20"/>
                <w:color w:val="auto"/>
              </w:rPr>
            </w:pPr>
            <w:r>
              <w:rPr>
                <w:rFonts w:ascii="Arial" w:cs="Arial" w:eastAsia="Arial" w:hAnsi="Arial"/>
                <w:sz w:val="16"/>
                <w:szCs w:val="16"/>
                <w:color w:val="auto"/>
              </w:rPr>
              <w:t>25.7 BN</w:t>
            </w:r>
          </w:p>
        </w:tc>
        <w:tc>
          <w:tcPr>
            <w:tcW w:w="880" w:type="dxa"/>
            <w:vAlign w:val="bottom"/>
            <w:tcBorders>
              <w:bottom w:val="single" w:sz="8" w:color="071D49"/>
            </w:tcBorders>
          </w:tcPr>
          <w:p>
            <w:pPr>
              <w:jc w:val="right"/>
              <w:spacing w:after="0"/>
              <w:rPr>
                <w:sz w:val="20"/>
                <w:szCs w:val="20"/>
                <w:color w:val="auto"/>
              </w:rPr>
            </w:pPr>
            <w:r>
              <w:rPr>
                <w:rFonts w:ascii="Arial" w:cs="Arial" w:eastAsia="Arial" w:hAnsi="Arial"/>
                <w:sz w:val="16"/>
                <w:szCs w:val="16"/>
                <w:color w:val="auto"/>
              </w:rPr>
              <w:t>104 % $</w:t>
            </w:r>
          </w:p>
        </w:tc>
        <w:tc>
          <w:tcPr>
            <w:tcW w:w="980" w:type="dxa"/>
            <w:vAlign w:val="bottom"/>
            <w:tcBorders>
              <w:bottom w:val="single" w:sz="8" w:color="071D49"/>
            </w:tcBorders>
          </w:tcPr>
          <w:p>
            <w:pPr>
              <w:ind w:left="60"/>
              <w:spacing w:after="0" w:line="197" w:lineRule="exact"/>
              <w:rPr>
                <w:sz w:val="20"/>
                <w:szCs w:val="20"/>
                <w:color w:val="auto"/>
              </w:rPr>
            </w:pPr>
            <w:r>
              <w:rPr>
                <w:rFonts w:ascii="Arial" w:cs="Arial" w:eastAsia="Arial" w:hAnsi="Arial"/>
                <w:sz w:val="15"/>
                <w:szCs w:val="15"/>
                <w:color w:val="auto"/>
              </w:rPr>
              <w:t xml:space="preserve">26.9 BN </w:t>
            </w:r>
            <w:r>
              <w:rPr>
                <w:rFonts w:ascii="Arial" w:cs="Arial" w:eastAsia="Arial" w:hAnsi="Arial"/>
                <w:sz w:val="22"/>
                <w:szCs w:val="22"/>
                <w:color w:val="auto"/>
                <w:vertAlign w:val="superscript"/>
              </w:rPr>
              <w:t>(3)</w:t>
            </w:r>
          </w:p>
        </w:tc>
        <w:tc>
          <w:tcPr>
            <w:tcW w:w="1240" w:type="dxa"/>
            <w:vAlign w:val="bottom"/>
            <w:tcBorders>
              <w:bottom w:val="single" w:sz="8" w:color="071D49"/>
            </w:tcBorders>
          </w:tcPr>
          <w:p>
            <w:pPr>
              <w:jc w:val="right"/>
              <w:spacing w:after="0"/>
              <w:rPr>
                <w:sz w:val="20"/>
                <w:szCs w:val="20"/>
                <w:color w:val="auto"/>
              </w:rPr>
            </w:pPr>
            <w:r>
              <w:rPr>
                <w:rFonts w:ascii="Arial" w:cs="Arial" w:eastAsia="Arial" w:hAnsi="Arial"/>
                <w:sz w:val="16"/>
                <w:szCs w:val="16"/>
                <w:color w:val="auto"/>
              </w:rPr>
              <w:t>105 %</w:t>
            </w:r>
          </w:p>
        </w:tc>
      </w:tr>
      <w:tr>
        <w:trPr>
          <w:trHeight w:val="168"/>
        </w:trPr>
        <w:tc>
          <w:tcPr>
            <w:tcW w:w="2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ind w:left="220"/>
              <w:spacing w:after="0" w:line="168" w:lineRule="exact"/>
              <w:rPr>
                <w:sz w:val="20"/>
                <w:szCs w:val="20"/>
                <w:color w:val="auto"/>
              </w:rPr>
            </w:pPr>
            <w:r>
              <w:rPr>
                <w:rFonts w:ascii="Arial" w:cs="Arial" w:eastAsia="Arial" w:hAnsi="Arial"/>
                <w:sz w:val="18"/>
                <w:szCs w:val="18"/>
                <w:b w:val="1"/>
                <w:bCs w:val="1"/>
                <w:color w:val="auto"/>
              </w:rPr>
              <w:t>2025 Payout</w:t>
            </w:r>
          </w:p>
        </w:tc>
        <w:tc>
          <w:tcPr>
            <w:tcW w:w="3100" w:type="dxa"/>
            <w:vAlign w:val="bottom"/>
            <w:gridSpan w:val="3"/>
          </w:tcPr>
          <w:p>
            <w:pPr>
              <w:jc w:val="right"/>
              <w:ind w:right="146"/>
              <w:spacing w:after="0" w:line="168" w:lineRule="exact"/>
              <w:rPr>
                <w:sz w:val="20"/>
                <w:szCs w:val="20"/>
                <w:color w:val="auto"/>
              </w:rPr>
            </w:pPr>
            <w:r>
              <w:rPr>
                <w:rFonts w:ascii="Arial" w:cs="Arial" w:eastAsia="Arial" w:hAnsi="Arial"/>
                <w:sz w:val="18"/>
                <w:szCs w:val="18"/>
                <w:b w:val="1"/>
                <w:bCs w:val="1"/>
                <w:color w:val="auto"/>
              </w:rPr>
              <w:t>Capped at plan maximum -</w:t>
            </w:r>
          </w:p>
        </w:tc>
      </w:tr>
      <w:tr>
        <w:trPr>
          <w:trHeight w:val="247"/>
        </w:trPr>
        <w:tc>
          <w:tcPr>
            <w:tcW w:w="2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ind w:left="140"/>
              <w:spacing w:after="0"/>
              <w:rPr>
                <w:sz w:val="20"/>
                <w:szCs w:val="20"/>
                <w:color w:val="auto"/>
              </w:rPr>
            </w:pPr>
            <w:r>
              <w:rPr>
                <w:rFonts w:ascii="Arial" w:cs="Arial" w:eastAsia="Arial" w:hAnsi="Arial"/>
                <w:sz w:val="18"/>
                <w:szCs w:val="18"/>
                <w:b w:val="1"/>
                <w:bCs w:val="1"/>
                <w:color w:val="auto"/>
              </w:rPr>
              <w:t>Matrix Result</w:t>
            </w:r>
          </w:p>
        </w:tc>
        <w:tc>
          <w:tcPr>
            <w:tcW w:w="880" w:type="dxa"/>
            <w:vAlign w:val="bottom"/>
          </w:tcPr>
          <w:p>
            <w:pPr>
              <w:spacing w:after="0"/>
              <w:rPr>
                <w:sz w:val="21"/>
                <w:szCs w:val="21"/>
                <w:color w:val="auto"/>
              </w:rPr>
            </w:pPr>
          </w:p>
        </w:tc>
        <w:tc>
          <w:tcPr>
            <w:tcW w:w="2220" w:type="dxa"/>
            <w:vAlign w:val="bottom"/>
            <w:gridSpan w:val="2"/>
          </w:tcPr>
          <w:p>
            <w:pPr>
              <w:jc w:val="right"/>
              <w:ind w:right="86"/>
              <w:spacing w:after="0"/>
              <w:rPr>
                <w:sz w:val="20"/>
                <w:szCs w:val="20"/>
                <w:color w:val="auto"/>
              </w:rPr>
            </w:pPr>
            <w:r>
              <w:rPr>
                <w:rFonts w:ascii="Arial" w:cs="Arial" w:eastAsia="Arial" w:hAnsi="Arial"/>
                <w:sz w:val="18"/>
                <w:szCs w:val="18"/>
                <w:b w:val="1"/>
                <w:bCs w:val="1"/>
                <w:color w:val="auto"/>
              </w:rPr>
              <w:t>200%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146939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9390" cy="7620"/>
                    </a:xfrm>
                    <a:prstGeom prst="rect">
                      <a:avLst/>
                    </a:prstGeom>
                    <a:noFill/>
                  </pic:spPr>
                </pic:pic>
              </a:graphicData>
            </a:graphic>
          </wp:anchor>
        </w:drawing>
      </w:r>
    </w:p>
    <w:p>
      <w:pPr>
        <w:spacing w:after="0" w:line="131" w:lineRule="exact"/>
        <w:rPr>
          <w:sz w:val="20"/>
          <w:szCs w:val="20"/>
          <w:color w:val="auto"/>
        </w:rPr>
      </w:pPr>
    </w:p>
    <w:p>
      <w:pPr>
        <w:ind w:left="289" w:hanging="289"/>
        <w:spacing w:after="0"/>
        <w:tabs>
          <w:tab w:leader="none" w:pos="289"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Results achieved reflect certain specified items, which are reconciled in Appendix B.</w:t>
      </w:r>
    </w:p>
    <w:p>
      <w:pPr>
        <w:spacing w:after="0" w:line="197" w:lineRule="exact"/>
        <w:rPr>
          <w:rFonts w:ascii="Arial" w:cs="Arial" w:eastAsia="Arial" w:hAnsi="Arial"/>
          <w:sz w:val="16"/>
          <w:szCs w:val="16"/>
          <w:color w:val="auto"/>
        </w:rPr>
      </w:pPr>
    </w:p>
    <w:p>
      <w:pPr>
        <w:ind w:left="289" w:right="200" w:hanging="289"/>
        <w:spacing w:after="0" w:line="251" w:lineRule="auto"/>
        <w:tabs>
          <w:tab w:leader="none" w:pos="289" w:val="left"/>
        </w:tabs>
        <w:numPr>
          <w:ilvl w:val="0"/>
          <w:numId w:val="67"/>
        </w:numPr>
        <w:rPr>
          <w:rFonts w:ascii="Arial" w:cs="Arial" w:eastAsia="Arial" w:hAnsi="Arial"/>
          <w:sz w:val="16"/>
          <w:szCs w:val="16"/>
          <w:color w:val="auto"/>
        </w:rPr>
      </w:pPr>
      <w:r>
        <w:rPr>
          <w:rFonts w:ascii="Arial" w:cs="Arial" w:eastAsia="Arial" w:hAnsi="Arial"/>
          <w:sz w:val="16"/>
          <w:szCs w:val="16"/>
          <w:color w:val="auto"/>
        </w:rPr>
        <w:t>Platform Revenue is a non-GAAP metric comprised of net revenues less Humira net revenues and adjusted for foreign exchange, as outlined in Appendix B. The committee retained for 2025 the use of Platform Revenue, first introduced as a performance metric within the PIP in 2022, to reinforce management’s focus on growth opportunities to offset anticipated revenue decline associated with U.S. Humira loss of exclusivity (LOE). The Platform Revenue target and result are adjusted for foreign exchange because it is unpredictable at the time the target is set.</w:t>
      </w:r>
    </w:p>
    <w:p>
      <w:pPr>
        <w:spacing w:after="0" w:line="158" w:lineRule="exact"/>
        <w:rPr>
          <w:rFonts w:ascii="Arial" w:cs="Arial" w:eastAsia="Arial" w:hAnsi="Arial"/>
          <w:sz w:val="16"/>
          <w:szCs w:val="16"/>
          <w:color w:val="auto"/>
        </w:rPr>
      </w:pPr>
    </w:p>
    <w:p>
      <w:pPr>
        <w:ind w:left="349" w:hanging="349"/>
        <w:spacing w:after="0"/>
        <w:tabs>
          <w:tab w:leader="none" w:pos="3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Evaluated on a constant currency basis.</w:t>
      </w:r>
    </w:p>
    <w:p>
      <w:pPr>
        <w:spacing w:after="0" w:line="198" w:lineRule="exact"/>
        <w:rPr>
          <w:sz w:val="20"/>
          <w:szCs w:val="20"/>
          <w:color w:val="auto"/>
        </w:rPr>
      </w:pPr>
    </w:p>
    <w:p>
      <w:pPr>
        <w:ind w:left="9"/>
        <w:spacing w:after="0"/>
        <w:rPr>
          <w:sz w:val="20"/>
          <w:szCs w:val="20"/>
          <w:color w:val="auto"/>
        </w:rPr>
      </w:pPr>
      <w:r>
        <w:rPr>
          <w:rFonts w:ascii="Arial" w:cs="Arial" w:eastAsia="Arial" w:hAnsi="Arial"/>
          <w:sz w:val="16"/>
          <w:szCs w:val="16"/>
          <w:color w:val="auto"/>
        </w:rPr>
        <w:t>The results for each of our NEOs are shown below.</w:t>
      </w:r>
    </w:p>
    <w:p>
      <w:pPr>
        <w:spacing w:after="0" w:line="207" w:lineRule="exact"/>
        <w:rPr>
          <w:sz w:val="20"/>
          <w:szCs w:val="20"/>
          <w:color w:val="auto"/>
        </w:rPr>
      </w:pPr>
    </w:p>
    <w:tbl>
      <w:tblPr>
        <w:tblLayout w:type="fixed"/>
        <w:tblInd w:w="9" w:type="dxa"/>
        <w:tblCellMar>
          <w:top w:w="0" w:type="dxa"/>
          <w:left w:w="0" w:type="dxa"/>
          <w:bottom w:w="0" w:type="dxa"/>
          <w:right w:w="0" w:type="dxa"/>
        </w:tblCellMar>
      </w:tblPr>
      <w:tr>
        <w:trPr>
          <w:trHeight w:val="155"/>
        </w:trPr>
        <w:tc>
          <w:tcPr>
            <w:tcW w:w="1700" w:type="dxa"/>
            <w:vAlign w:val="bottom"/>
            <w:vMerge w:val="restart"/>
          </w:tcPr>
          <w:p>
            <w:pPr>
              <w:spacing w:after="0"/>
              <w:rPr>
                <w:sz w:val="20"/>
                <w:szCs w:val="20"/>
                <w:color w:val="auto"/>
              </w:rPr>
            </w:pPr>
            <w:r>
              <w:rPr>
                <w:rFonts w:ascii="Arial" w:cs="Arial" w:eastAsia="Arial" w:hAnsi="Arial"/>
                <w:sz w:val="13"/>
                <w:szCs w:val="13"/>
                <w:b w:val="1"/>
                <w:bCs w:val="1"/>
                <w:color w:val="454968"/>
              </w:rPr>
              <w:t>Executive</w:t>
            </w:r>
          </w:p>
        </w:tc>
        <w:tc>
          <w:tcPr>
            <w:tcW w:w="3320" w:type="dxa"/>
            <w:vAlign w:val="bottom"/>
            <w:gridSpan w:val="2"/>
          </w:tcPr>
          <w:p>
            <w:pPr>
              <w:ind w:left="3040"/>
              <w:spacing w:after="0"/>
              <w:rPr>
                <w:sz w:val="20"/>
                <w:szCs w:val="20"/>
                <w:color w:val="auto"/>
              </w:rPr>
            </w:pPr>
            <w:r>
              <w:rPr>
                <w:rFonts w:ascii="Arial" w:cs="Arial" w:eastAsia="Arial" w:hAnsi="Arial"/>
                <w:sz w:val="13"/>
                <w:szCs w:val="13"/>
                <w:b w:val="1"/>
                <w:bCs w:val="1"/>
                <w:color w:val="454968"/>
              </w:rPr>
              <w:t>​​​</w:t>
            </w:r>
          </w:p>
        </w:tc>
        <w:tc>
          <w:tcPr>
            <w:tcW w:w="1560" w:type="dxa"/>
            <w:vAlign w:val="bottom"/>
          </w:tcPr>
          <w:p>
            <w:pPr>
              <w:jc w:val="right"/>
              <w:ind w:right="143"/>
              <w:spacing w:after="0"/>
              <w:rPr>
                <w:sz w:val="20"/>
                <w:szCs w:val="20"/>
                <w:color w:val="auto"/>
              </w:rPr>
            </w:pPr>
            <w:r>
              <w:rPr>
                <w:rFonts w:ascii="Arial" w:cs="Arial" w:eastAsia="Arial" w:hAnsi="Arial"/>
                <w:sz w:val="13"/>
                <w:szCs w:val="13"/>
                <w:b w:val="1"/>
                <w:bCs w:val="1"/>
                <w:color w:val="454968"/>
              </w:rPr>
              <w:t>Target Award</w:t>
            </w:r>
          </w:p>
        </w:tc>
        <w:tc>
          <w:tcPr>
            <w:tcW w:w="540" w:type="dxa"/>
            <w:vAlign w:val="bottom"/>
          </w:tcPr>
          <w:p>
            <w:pPr>
              <w:spacing w:after="0"/>
              <w:rPr>
                <w:sz w:val="13"/>
                <w:szCs w:val="13"/>
                <w:color w:val="auto"/>
              </w:rPr>
            </w:pPr>
          </w:p>
        </w:tc>
        <w:tc>
          <w:tcPr>
            <w:tcW w:w="500" w:type="dxa"/>
            <w:vAlign w:val="bottom"/>
          </w:tcPr>
          <w:p>
            <w:pPr>
              <w:jc w:val="right"/>
              <w:ind w:right="254"/>
              <w:spacing w:after="0"/>
              <w:rPr>
                <w:sz w:val="20"/>
                <w:szCs w:val="20"/>
                <w:color w:val="auto"/>
              </w:rPr>
            </w:pPr>
            <w:r>
              <w:rPr>
                <w:rFonts w:ascii="Arial" w:cs="Arial" w:eastAsia="Arial" w:hAnsi="Arial"/>
                <w:sz w:val="13"/>
                <w:szCs w:val="13"/>
                <w:b w:val="1"/>
                <w:bCs w:val="1"/>
                <w:color w:val="454968"/>
              </w:rPr>
              <w:t>​​​</w:t>
            </w:r>
          </w:p>
        </w:tc>
        <w:tc>
          <w:tcPr>
            <w:tcW w:w="1640" w:type="dxa"/>
            <w:vAlign w:val="bottom"/>
            <w:vMerge w:val="restart"/>
          </w:tcPr>
          <w:p>
            <w:pPr>
              <w:jc w:val="right"/>
              <w:spacing w:after="0"/>
              <w:rPr>
                <w:sz w:val="20"/>
                <w:szCs w:val="20"/>
                <w:color w:val="auto"/>
              </w:rPr>
            </w:pPr>
            <w:r>
              <w:rPr>
                <w:rFonts w:ascii="Arial" w:cs="Arial" w:eastAsia="Arial" w:hAnsi="Arial"/>
                <w:sz w:val="13"/>
                <w:szCs w:val="13"/>
                <w:b w:val="1"/>
                <w:bCs w:val="1"/>
                <w:color w:val="454968"/>
              </w:rPr>
              <w:t>$ Actual Award Paid</w:t>
            </w:r>
          </w:p>
        </w:tc>
        <w:tc>
          <w:tcPr>
            <w:tcW w:w="0" w:type="dxa"/>
            <w:vAlign w:val="bottom"/>
          </w:tcPr>
          <w:p>
            <w:pPr>
              <w:spacing w:after="0"/>
              <w:rPr>
                <w:sz w:val="1"/>
                <w:szCs w:val="1"/>
                <w:color w:val="auto"/>
              </w:rPr>
            </w:pPr>
          </w:p>
        </w:tc>
      </w:tr>
      <w:tr>
        <w:trPr>
          <w:trHeight w:val="140"/>
        </w:trPr>
        <w:tc>
          <w:tcPr>
            <w:tcW w:w="1700" w:type="dxa"/>
            <w:vAlign w:val="bottom"/>
            <w:tcBorders>
              <w:bottom w:val="single" w:sz="8" w:color="071D49"/>
            </w:tcBorders>
            <w:vMerge w:val="continue"/>
          </w:tcPr>
          <w:p>
            <w:pPr>
              <w:spacing w:after="0"/>
              <w:rPr>
                <w:sz w:val="12"/>
                <w:szCs w:val="12"/>
                <w:color w:val="auto"/>
              </w:rPr>
            </w:pPr>
          </w:p>
        </w:tc>
        <w:tc>
          <w:tcPr>
            <w:tcW w:w="3140" w:type="dxa"/>
            <w:vAlign w:val="bottom"/>
            <w:tcBorders>
              <w:bottom w:val="single" w:sz="8" w:color="071D49"/>
            </w:tcBorders>
          </w:tcPr>
          <w:p>
            <w:pPr>
              <w:spacing w:after="0"/>
              <w:rPr>
                <w:sz w:val="12"/>
                <w:szCs w:val="12"/>
                <w:color w:val="auto"/>
              </w:rPr>
            </w:pPr>
          </w:p>
        </w:tc>
        <w:tc>
          <w:tcPr>
            <w:tcW w:w="180" w:type="dxa"/>
            <w:vAlign w:val="bottom"/>
            <w:tcBorders>
              <w:top w:val="single" w:sz="8" w:color="071D49"/>
              <w:bottom w:val="single" w:sz="8" w:color="071D49"/>
            </w:tcBorders>
          </w:tcPr>
          <w:p>
            <w:pPr>
              <w:spacing w:after="0"/>
              <w:rPr>
                <w:sz w:val="12"/>
                <w:szCs w:val="12"/>
                <w:color w:val="auto"/>
              </w:rPr>
            </w:pPr>
          </w:p>
        </w:tc>
        <w:tc>
          <w:tcPr>
            <w:tcW w:w="2100" w:type="dxa"/>
            <w:vAlign w:val="bottom"/>
            <w:tcBorders>
              <w:top w:val="single" w:sz="8" w:color="071D49"/>
              <w:bottom w:val="single" w:sz="8" w:color="071D49"/>
            </w:tcBorders>
            <w:gridSpan w:val="2"/>
          </w:tcPr>
          <w:p>
            <w:pPr>
              <w:ind w:left="440"/>
              <w:spacing w:after="0" w:line="140" w:lineRule="exact"/>
              <w:rPr>
                <w:sz w:val="20"/>
                <w:szCs w:val="20"/>
                <w:color w:val="auto"/>
              </w:rPr>
            </w:pPr>
            <w:r>
              <w:rPr>
                <w:rFonts w:ascii="Arial" w:cs="Arial" w:eastAsia="Arial" w:hAnsi="Arial"/>
                <w:sz w:val="13"/>
                <w:szCs w:val="13"/>
                <w:b w:val="1"/>
                <w:bCs w:val="1"/>
                <w:color w:val="454968"/>
              </w:rPr>
              <w:t xml:space="preserve">$ Value  </w:t>
            </w:r>
            <w:r>
              <w:rPr>
                <w:rFonts w:ascii="Arial" w:cs="Arial" w:eastAsia="Arial" w:hAnsi="Arial"/>
                <w:sz w:val="13"/>
                <w:szCs w:val="13"/>
                <w:b w:val="1"/>
                <w:bCs w:val="1"/>
                <w:color w:val="000000"/>
              </w:rPr>
              <w:t>​​​</w:t>
            </w:r>
            <w:r>
              <w:rPr>
                <w:rFonts w:ascii="Arial" w:cs="Arial" w:eastAsia="Arial" w:hAnsi="Arial"/>
                <w:sz w:val="13"/>
                <w:szCs w:val="13"/>
                <w:b w:val="1"/>
                <w:bCs w:val="1"/>
                <w:color w:val="454968"/>
              </w:rPr>
              <w:t xml:space="preserve">   % of Salary</w:t>
            </w:r>
          </w:p>
        </w:tc>
        <w:tc>
          <w:tcPr>
            <w:tcW w:w="500" w:type="dxa"/>
            <w:vAlign w:val="bottom"/>
            <w:tcBorders>
              <w:bottom w:val="single" w:sz="8" w:color="071D49"/>
            </w:tcBorders>
          </w:tcPr>
          <w:p>
            <w:pPr>
              <w:spacing w:after="0"/>
              <w:rPr>
                <w:sz w:val="12"/>
                <w:szCs w:val="12"/>
                <w:color w:val="auto"/>
              </w:rPr>
            </w:pPr>
          </w:p>
        </w:tc>
        <w:tc>
          <w:tcPr>
            <w:tcW w:w="1640" w:type="dxa"/>
            <w:vAlign w:val="bottom"/>
            <w:tcBorders>
              <w:bottom w:val="single" w:sz="8" w:color="071D49"/>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700" w:type="dxa"/>
            <w:vAlign w:val="bottom"/>
            <w:shd w:val="clear" w:color="auto" w:fill="D9D9D9"/>
          </w:tcPr>
          <w:p>
            <w:pPr>
              <w:spacing w:after="0" w:line="177" w:lineRule="exact"/>
              <w:rPr>
                <w:sz w:val="20"/>
                <w:szCs w:val="20"/>
                <w:color w:val="auto"/>
              </w:rPr>
            </w:pPr>
            <w:r>
              <w:rPr>
                <w:rFonts w:ascii="Arial" w:cs="Arial" w:eastAsia="Arial" w:hAnsi="Arial"/>
                <w:sz w:val="16"/>
                <w:szCs w:val="16"/>
                <w:color w:val="auto"/>
              </w:rPr>
              <w:t>Robert A. Michael</w:t>
            </w:r>
          </w:p>
        </w:tc>
        <w:tc>
          <w:tcPr>
            <w:tcW w:w="314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560" w:type="dxa"/>
            <w:vAlign w:val="bottom"/>
            <w:shd w:val="clear" w:color="auto" w:fill="D9D9D9"/>
          </w:tcPr>
          <w:p>
            <w:pPr>
              <w:jc w:val="right"/>
              <w:ind w:right="603"/>
              <w:spacing w:after="0" w:line="177" w:lineRule="exact"/>
              <w:rPr>
                <w:sz w:val="20"/>
                <w:szCs w:val="20"/>
                <w:color w:val="auto"/>
              </w:rPr>
            </w:pPr>
            <w:r>
              <w:rPr>
                <w:rFonts w:ascii="Arial" w:cs="Arial" w:eastAsia="Arial" w:hAnsi="Arial"/>
                <w:sz w:val="16"/>
                <w:szCs w:val="16"/>
                <w:color w:val="auto"/>
              </w:rPr>
              <w:t>2,805,000</w:t>
            </w:r>
          </w:p>
        </w:tc>
        <w:tc>
          <w:tcPr>
            <w:tcW w:w="1040" w:type="dxa"/>
            <w:vAlign w:val="bottom"/>
            <w:gridSpan w:val="2"/>
            <w:shd w:val="clear" w:color="auto" w:fill="D9D9D9"/>
          </w:tcPr>
          <w:p>
            <w:pPr>
              <w:jc w:val="right"/>
              <w:ind w:right="294"/>
              <w:spacing w:after="0" w:line="177" w:lineRule="exact"/>
              <w:rPr>
                <w:sz w:val="20"/>
                <w:szCs w:val="20"/>
                <w:color w:val="auto"/>
              </w:rPr>
            </w:pPr>
            <w:r>
              <w:rPr>
                <w:rFonts w:ascii="Arial" w:cs="Arial" w:eastAsia="Arial" w:hAnsi="Arial"/>
                <w:sz w:val="16"/>
                <w:szCs w:val="16"/>
                <w:color w:val="auto"/>
              </w:rPr>
              <w:t>165 %</w:t>
            </w:r>
          </w:p>
        </w:tc>
        <w:tc>
          <w:tcPr>
            <w:tcW w:w="1640" w:type="dxa"/>
            <w:vAlign w:val="bottom"/>
            <w:shd w:val="clear" w:color="auto" w:fill="D9D9D9"/>
          </w:tcPr>
          <w:p>
            <w:pPr>
              <w:jc w:val="right"/>
              <w:spacing w:after="0" w:line="177" w:lineRule="exact"/>
              <w:rPr>
                <w:sz w:val="20"/>
                <w:szCs w:val="20"/>
                <w:color w:val="auto"/>
              </w:rPr>
            </w:pPr>
            <w:r>
              <w:rPr>
                <w:rFonts w:ascii="Arial" w:cs="Arial" w:eastAsia="Arial" w:hAnsi="Arial"/>
                <w:sz w:val="16"/>
                <w:szCs w:val="16"/>
                <w:color w:val="auto"/>
              </w:rPr>
              <w:t>5,200,000</w:t>
            </w:r>
          </w:p>
        </w:tc>
        <w:tc>
          <w:tcPr>
            <w:tcW w:w="0" w:type="dxa"/>
            <w:vAlign w:val="bottom"/>
          </w:tcPr>
          <w:p>
            <w:pPr>
              <w:spacing w:after="0"/>
              <w:rPr>
                <w:sz w:val="1"/>
                <w:szCs w:val="1"/>
                <w:color w:val="auto"/>
              </w:rPr>
            </w:pPr>
          </w:p>
        </w:tc>
      </w:tr>
      <w:tr>
        <w:trPr>
          <w:trHeight w:val="185"/>
        </w:trPr>
        <w:tc>
          <w:tcPr>
            <w:tcW w:w="1700" w:type="dxa"/>
            <w:vAlign w:val="bottom"/>
          </w:tcPr>
          <w:p>
            <w:pPr>
              <w:spacing w:after="0"/>
              <w:rPr>
                <w:sz w:val="20"/>
                <w:szCs w:val="20"/>
                <w:color w:val="auto"/>
              </w:rPr>
            </w:pPr>
            <w:r>
              <w:rPr>
                <w:rFonts w:ascii="Arial" w:cs="Arial" w:eastAsia="Arial" w:hAnsi="Arial"/>
                <w:sz w:val="16"/>
                <w:szCs w:val="16"/>
                <w:color w:val="auto"/>
              </w:rPr>
              <w:t>Scott T. Reents</w:t>
            </w:r>
          </w:p>
        </w:tc>
        <w:tc>
          <w:tcPr>
            <w:tcW w:w="3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603"/>
              <w:spacing w:after="0"/>
              <w:rPr>
                <w:sz w:val="20"/>
                <w:szCs w:val="20"/>
                <w:color w:val="auto"/>
              </w:rPr>
            </w:pPr>
            <w:r>
              <w:rPr>
                <w:rFonts w:ascii="Arial" w:cs="Arial" w:eastAsia="Arial" w:hAnsi="Arial"/>
                <w:sz w:val="16"/>
                <w:szCs w:val="16"/>
                <w:color w:val="auto"/>
              </w:rPr>
              <w:t>1,359,600</w:t>
            </w:r>
          </w:p>
        </w:tc>
        <w:tc>
          <w:tcPr>
            <w:tcW w:w="1040" w:type="dxa"/>
            <w:vAlign w:val="bottom"/>
            <w:gridSpan w:val="2"/>
          </w:tcPr>
          <w:p>
            <w:pPr>
              <w:jc w:val="right"/>
              <w:ind w:right="294"/>
              <w:spacing w:after="0"/>
              <w:rPr>
                <w:sz w:val="20"/>
                <w:szCs w:val="20"/>
                <w:color w:val="auto"/>
              </w:rPr>
            </w:pPr>
            <w:r>
              <w:rPr>
                <w:rFonts w:ascii="Arial" w:cs="Arial" w:eastAsia="Arial" w:hAnsi="Arial"/>
                <w:sz w:val="16"/>
                <w:szCs w:val="16"/>
                <w:color w:val="auto"/>
              </w:rPr>
              <w:t>120 %</w:t>
            </w:r>
          </w:p>
        </w:tc>
        <w:tc>
          <w:tcPr>
            <w:tcW w:w="1640" w:type="dxa"/>
            <w:vAlign w:val="bottom"/>
          </w:tcPr>
          <w:p>
            <w:pPr>
              <w:jc w:val="right"/>
              <w:spacing w:after="0"/>
              <w:rPr>
                <w:sz w:val="20"/>
                <w:szCs w:val="20"/>
                <w:color w:val="auto"/>
              </w:rPr>
            </w:pPr>
            <w:r>
              <w:rPr>
                <w:rFonts w:ascii="Arial" w:cs="Arial" w:eastAsia="Arial" w:hAnsi="Arial"/>
                <w:sz w:val="16"/>
                <w:szCs w:val="16"/>
                <w:color w:val="auto"/>
              </w:rPr>
              <w:t>2,350,000</w:t>
            </w:r>
          </w:p>
        </w:tc>
        <w:tc>
          <w:tcPr>
            <w:tcW w:w="0" w:type="dxa"/>
            <w:vAlign w:val="bottom"/>
          </w:tcPr>
          <w:p>
            <w:pPr>
              <w:spacing w:after="0"/>
              <w:rPr>
                <w:sz w:val="1"/>
                <w:szCs w:val="1"/>
                <w:color w:val="auto"/>
              </w:rPr>
            </w:pPr>
          </w:p>
        </w:tc>
      </w:tr>
      <w:tr>
        <w:trPr>
          <w:trHeight w:val="185"/>
        </w:trPr>
        <w:tc>
          <w:tcPr>
            <w:tcW w:w="1700" w:type="dxa"/>
            <w:vAlign w:val="bottom"/>
            <w:shd w:val="clear" w:color="auto" w:fill="D9D9D9"/>
          </w:tcPr>
          <w:p>
            <w:pPr>
              <w:spacing w:after="0"/>
              <w:rPr>
                <w:sz w:val="20"/>
                <w:szCs w:val="20"/>
                <w:color w:val="auto"/>
              </w:rPr>
            </w:pPr>
            <w:r>
              <w:rPr>
                <w:rFonts w:ascii="Arial" w:cs="Arial" w:eastAsia="Arial" w:hAnsi="Arial"/>
                <w:sz w:val="16"/>
                <w:szCs w:val="16"/>
                <w:color w:val="auto"/>
              </w:rPr>
              <w:t>Jeffrey R. Stewart</w:t>
            </w:r>
          </w:p>
        </w:tc>
        <w:tc>
          <w:tcPr>
            <w:tcW w:w="3140" w:type="dxa"/>
            <w:vAlign w:val="bottom"/>
            <w:shd w:val="clear" w:color="auto" w:fill="D9D9D9"/>
          </w:tcPr>
          <w:p>
            <w:pPr>
              <w:spacing w:after="0"/>
              <w:rPr>
                <w:sz w:val="16"/>
                <w:szCs w:val="16"/>
                <w:color w:val="auto"/>
              </w:rPr>
            </w:pPr>
          </w:p>
        </w:tc>
        <w:tc>
          <w:tcPr>
            <w:tcW w:w="180" w:type="dxa"/>
            <w:vAlign w:val="bottom"/>
            <w:shd w:val="clear" w:color="auto" w:fill="D9D9D9"/>
          </w:tcPr>
          <w:p>
            <w:pPr>
              <w:spacing w:after="0"/>
              <w:rPr>
                <w:sz w:val="16"/>
                <w:szCs w:val="16"/>
                <w:color w:val="auto"/>
              </w:rPr>
            </w:pPr>
          </w:p>
        </w:tc>
        <w:tc>
          <w:tcPr>
            <w:tcW w:w="1560" w:type="dxa"/>
            <w:vAlign w:val="bottom"/>
            <w:shd w:val="clear" w:color="auto" w:fill="D9D9D9"/>
          </w:tcPr>
          <w:p>
            <w:pPr>
              <w:jc w:val="right"/>
              <w:ind w:right="603"/>
              <w:spacing w:after="0"/>
              <w:rPr>
                <w:sz w:val="20"/>
                <w:szCs w:val="20"/>
                <w:color w:val="auto"/>
              </w:rPr>
            </w:pPr>
            <w:r>
              <w:rPr>
                <w:rFonts w:ascii="Arial" w:cs="Arial" w:eastAsia="Arial" w:hAnsi="Arial"/>
                <w:sz w:val="16"/>
                <w:szCs w:val="16"/>
                <w:color w:val="auto"/>
              </w:rPr>
              <w:t>1,591,350</w:t>
            </w:r>
          </w:p>
        </w:tc>
        <w:tc>
          <w:tcPr>
            <w:tcW w:w="1040" w:type="dxa"/>
            <w:vAlign w:val="bottom"/>
            <w:gridSpan w:val="2"/>
            <w:shd w:val="clear" w:color="auto" w:fill="D9D9D9"/>
          </w:tcPr>
          <w:p>
            <w:pPr>
              <w:jc w:val="right"/>
              <w:ind w:right="294"/>
              <w:spacing w:after="0"/>
              <w:rPr>
                <w:sz w:val="20"/>
                <w:szCs w:val="20"/>
                <w:color w:val="auto"/>
              </w:rPr>
            </w:pPr>
            <w:r>
              <w:rPr>
                <w:rFonts w:ascii="Arial" w:cs="Arial" w:eastAsia="Arial" w:hAnsi="Arial"/>
                <w:sz w:val="16"/>
                <w:szCs w:val="16"/>
                <w:color w:val="auto"/>
              </w:rPr>
              <w:t>120 %</w:t>
            </w:r>
          </w:p>
        </w:tc>
        <w:tc>
          <w:tcPr>
            <w:tcW w:w="16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2,950,000</w:t>
            </w:r>
          </w:p>
        </w:tc>
        <w:tc>
          <w:tcPr>
            <w:tcW w:w="0" w:type="dxa"/>
            <w:vAlign w:val="bottom"/>
          </w:tcPr>
          <w:p>
            <w:pPr>
              <w:spacing w:after="0"/>
              <w:rPr>
                <w:sz w:val="1"/>
                <w:szCs w:val="1"/>
                <w:color w:val="auto"/>
              </w:rPr>
            </w:pPr>
          </w:p>
        </w:tc>
      </w:tr>
      <w:tr>
        <w:trPr>
          <w:trHeight w:val="185"/>
        </w:trPr>
        <w:tc>
          <w:tcPr>
            <w:tcW w:w="1700" w:type="dxa"/>
            <w:vAlign w:val="bottom"/>
          </w:tcPr>
          <w:p>
            <w:pPr>
              <w:spacing w:after="0"/>
              <w:rPr>
                <w:sz w:val="20"/>
                <w:szCs w:val="20"/>
                <w:color w:val="auto"/>
              </w:rPr>
            </w:pPr>
            <w:r>
              <w:rPr>
                <w:rFonts w:ascii="Arial" w:cs="Arial" w:eastAsia="Arial" w:hAnsi="Arial"/>
                <w:sz w:val="16"/>
                <w:szCs w:val="16"/>
                <w:color w:val="auto"/>
              </w:rPr>
              <w:t>Azita Saleki-Gerhardt</w:t>
            </w:r>
          </w:p>
        </w:tc>
        <w:tc>
          <w:tcPr>
            <w:tcW w:w="3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603"/>
              <w:spacing w:after="0"/>
              <w:rPr>
                <w:sz w:val="20"/>
                <w:szCs w:val="20"/>
                <w:color w:val="auto"/>
              </w:rPr>
            </w:pPr>
            <w:r>
              <w:rPr>
                <w:rFonts w:ascii="Arial" w:cs="Arial" w:eastAsia="Arial" w:hAnsi="Arial"/>
                <w:sz w:val="16"/>
                <w:szCs w:val="16"/>
                <w:color w:val="auto"/>
              </w:rPr>
              <w:t>1,273,080</w:t>
            </w:r>
          </w:p>
        </w:tc>
        <w:tc>
          <w:tcPr>
            <w:tcW w:w="1040" w:type="dxa"/>
            <w:vAlign w:val="bottom"/>
            <w:gridSpan w:val="2"/>
          </w:tcPr>
          <w:p>
            <w:pPr>
              <w:jc w:val="right"/>
              <w:ind w:right="294"/>
              <w:spacing w:after="0"/>
              <w:rPr>
                <w:sz w:val="20"/>
                <w:szCs w:val="20"/>
                <w:color w:val="auto"/>
              </w:rPr>
            </w:pPr>
            <w:r>
              <w:rPr>
                <w:rFonts w:ascii="Arial" w:cs="Arial" w:eastAsia="Arial" w:hAnsi="Arial"/>
                <w:sz w:val="16"/>
                <w:szCs w:val="16"/>
                <w:color w:val="auto"/>
              </w:rPr>
              <w:t>120 %</w:t>
            </w:r>
          </w:p>
        </w:tc>
        <w:tc>
          <w:tcPr>
            <w:tcW w:w="1640" w:type="dxa"/>
            <w:vAlign w:val="bottom"/>
          </w:tcPr>
          <w:p>
            <w:pPr>
              <w:jc w:val="right"/>
              <w:spacing w:after="0"/>
              <w:rPr>
                <w:sz w:val="20"/>
                <w:szCs w:val="20"/>
                <w:color w:val="auto"/>
              </w:rPr>
            </w:pPr>
            <w:r>
              <w:rPr>
                <w:rFonts w:ascii="Arial" w:cs="Arial" w:eastAsia="Arial" w:hAnsi="Arial"/>
                <w:sz w:val="16"/>
                <w:szCs w:val="16"/>
                <w:color w:val="auto"/>
              </w:rPr>
              <w:t>2,200,000</w:t>
            </w:r>
          </w:p>
        </w:tc>
        <w:tc>
          <w:tcPr>
            <w:tcW w:w="0" w:type="dxa"/>
            <w:vAlign w:val="bottom"/>
          </w:tcPr>
          <w:p>
            <w:pPr>
              <w:spacing w:after="0"/>
              <w:rPr>
                <w:sz w:val="1"/>
                <w:szCs w:val="1"/>
                <w:color w:val="auto"/>
              </w:rPr>
            </w:pPr>
          </w:p>
        </w:tc>
      </w:tr>
      <w:tr>
        <w:trPr>
          <w:trHeight w:val="185"/>
        </w:trPr>
        <w:tc>
          <w:tcPr>
            <w:tcW w:w="1700" w:type="dxa"/>
            <w:vAlign w:val="bottom"/>
            <w:shd w:val="clear" w:color="auto" w:fill="D9D9D9"/>
          </w:tcPr>
          <w:p>
            <w:pPr>
              <w:spacing w:after="0"/>
              <w:rPr>
                <w:sz w:val="20"/>
                <w:szCs w:val="20"/>
                <w:color w:val="auto"/>
              </w:rPr>
            </w:pPr>
            <w:r>
              <w:rPr>
                <w:rFonts w:ascii="Arial" w:cs="Arial" w:eastAsia="Arial" w:hAnsi="Arial"/>
                <w:sz w:val="16"/>
                <w:szCs w:val="16"/>
                <w:color w:val="auto"/>
              </w:rPr>
              <w:t>Roopal B. Thakkar</w:t>
            </w:r>
          </w:p>
        </w:tc>
        <w:tc>
          <w:tcPr>
            <w:tcW w:w="3140" w:type="dxa"/>
            <w:vAlign w:val="bottom"/>
            <w:shd w:val="clear" w:color="auto" w:fill="D9D9D9"/>
          </w:tcPr>
          <w:p>
            <w:pPr>
              <w:spacing w:after="0"/>
              <w:rPr>
                <w:sz w:val="16"/>
                <w:szCs w:val="16"/>
                <w:color w:val="auto"/>
              </w:rPr>
            </w:pPr>
          </w:p>
        </w:tc>
        <w:tc>
          <w:tcPr>
            <w:tcW w:w="180" w:type="dxa"/>
            <w:vAlign w:val="bottom"/>
            <w:shd w:val="clear" w:color="auto" w:fill="D9D9D9"/>
          </w:tcPr>
          <w:p>
            <w:pPr>
              <w:spacing w:after="0"/>
              <w:rPr>
                <w:sz w:val="16"/>
                <w:szCs w:val="16"/>
                <w:color w:val="auto"/>
              </w:rPr>
            </w:pPr>
          </w:p>
        </w:tc>
        <w:tc>
          <w:tcPr>
            <w:tcW w:w="1560" w:type="dxa"/>
            <w:vAlign w:val="bottom"/>
            <w:shd w:val="clear" w:color="auto" w:fill="D9D9D9"/>
          </w:tcPr>
          <w:p>
            <w:pPr>
              <w:jc w:val="right"/>
              <w:ind w:right="603"/>
              <w:spacing w:after="0"/>
              <w:rPr>
                <w:sz w:val="20"/>
                <w:szCs w:val="20"/>
                <w:color w:val="auto"/>
              </w:rPr>
            </w:pPr>
            <w:r>
              <w:rPr>
                <w:rFonts w:ascii="Arial" w:cs="Arial" w:eastAsia="Arial" w:hAnsi="Arial"/>
                <w:sz w:val="16"/>
                <w:szCs w:val="16"/>
                <w:color w:val="auto"/>
              </w:rPr>
              <w:t>1,320,000</w:t>
            </w:r>
          </w:p>
        </w:tc>
        <w:tc>
          <w:tcPr>
            <w:tcW w:w="1040" w:type="dxa"/>
            <w:vAlign w:val="bottom"/>
            <w:gridSpan w:val="2"/>
            <w:shd w:val="clear" w:color="auto" w:fill="D9D9D9"/>
          </w:tcPr>
          <w:p>
            <w:pPr>
              <w:jc w:val="right"/>
              <w:ind w:right="294"/>
              <w:spacing w:after="0"/>
              <w:rPr>
                <w:sz w:val="20"/>
                <w:szCs w:val="20"/>
                <w:color w:val="auto"/>
              </w:rPr>
            </w:pPr>
            <w:r>
              <w:rPr>
                <w:rFonts w:ascii="Arial" w:cs="Arial" w:eastAsia="Arial" w:hAnsi="Arial"/>
                <w:sz w:val="16"/>
                <w:szCs w:val="16"/>
                <w:color w:val="auto"/>
              </w:rPr>
              <w:t>110 %</w:t>
            </w:r>
          </w:p>
        </w:tc>
        <w:tc>
          <w:tcPr>
            <w:tcW w:w="16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2,350,000</w:t>
            </w:r>
          </w:p>
        </w:tc>
        <w:tc>
          <w:tcPr>
            <w:tcW w:w="0" w:type="dxa"/>
            <w:vAlign w:val="bottom"/>
          </w:tcPr>
          <w:p>
            <w:pPr>
              <w:spacing w:after="0"/>
              <w:rPr>
                <w:sz w:val="1"/>
                <w:szCs w:val="1"/>
                <w:color w:val="auto"/>
              </w:rPr>
            </w:pPr>
          </w:p>
        </w:tc>
      </w:tr>
      <w:tr>
        <w:trPr>
          <w:trHeight w:val="1063"/>
        </w:trPr>
        <w:tc>
          <w:tcPr>
            <w:tcW w:w="1700" w:type="dxa"/>
            <w:vAlign w:val="bottom"/>
          </w:tcPr>
          <w:p>
            <w:pPr>
              <w:spacing w:after="0"/>
              <w:rPr>
                <w:sz w:val="20"/>
                <w:szCs w:val="20"/>
                <w:color w:val="auto"/>
              </w:rPr>
            </w:pPr>
            <w:r>
              <w:rPr>
                <w:rFonts w:ascii="Arial" w:cs="Arial" w:eastAsia="Arial" w:hAnsi="Arial"/>
                <w:sz w:val="16"/>
                <w:szCs w:val="16"/>
                <w:color w:val="auto"/>
              </w:rPr>
              <w:t>42</w:t>
            </w:r>
          </w:p>
        </w:tc>
        <w:tc>
          <w:tcPr>
            <w:tcW w:w="3320" w:type="dxa"/>
            <w:vAlign w:val="bottom"/>
            <w:gridSpan w:val="2"/>
          </w:tcPr>
          <w:p>
            <w:pPr>
              <w:ind w:left="140"/>
              <w:spacing w:after="0"/>
              <w:rPr>
                <w:sz w:val="20"/>
                <w:szCs w:val="20"/>
                <w:color w:val="auto"/>
              </w:rPr>
            </w:pPr>
            <w:r>
              <w:rPr>
                <w:rFonts w:ascii="Arial" w:cs="Arial" w:eastAsia="Arial" w:hAnsi="Arial"/>
                <w:sz w:val="25"/>
                <w:szCs w:val="25"/>
                <w:i w:val="1"/>
                <w:iCs w:val="1"/>
                <w:color w:val="auto"/>
              </w:rPr>
              <w:t xml:space="preserve">|  </w:t>
            </w:r>
            <w:r>
              <w:rPr>
                <w:rFonts w:ascii="Arial" w:cs="Arial" w:eastAsia="Arial" w:hAnsi="Arial"/>
                <w:sz w:val="16"/>
                <w:szCs w:val="16"/>
                <w:i w:val="1"/>
                <w:iCs w:val="1"/>
                <w:color w:val="auto"/>
              </w:rPr>
              <w:t>2026 Proxy Statement</w:t>
            </w: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17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-491490</wp:posOffset>
            </wp:positionV>
            <wp:extent cx="797560" cy="148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45" w:name="page46"/>
    <w:bookmarkEnd w:id="45"/>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LONG-TERM INCENTIVES AND 2025 RESULTS</w:t>
      </w:r>
    </w:p>
    <w:p>
      <w:pPr>
        <w:spacing w:after="0" w:line="124" w:lineRule="exact"/>
        <w:rPr>
          <w:sz w:val="20"/>
          <w:szCs w:val="20"/>
          <w:color w:val="auto"/>
        </w:rPr>
      </w:pPr>
    </w:p>
    <w:p>
      <w:pPr>
        <w:jc w:val="both"/>
        <w:ind w:left="9" w:right="180"/>
        <w:spacing w:after="0" w:line="262" w:lineRule="auto"/>
        <w:rPr>
          <w:sz w:val="20"/>
          <w:szCs w:val="20"/>
          <w:color w:val="auto"/>
        </w:rPr>
      </w:pPr>
      <w:r>
        <w:rPr>
          <w:rFonts w:ascii="Arial" w:cs="Arial" w:eastAsia="Arial" w:hAnsi="Arial"/>
          <w:sz w:val="16"/>
          <w:szCs w:val="16"/>
          <w:color w:val="auto"/>
        </w:rPr>
        <w:t>The executive long-term incentive (“LTI”) program design aligns AbbVie’s LTI compensation with key operational and financial initiatives, including sustained adjusted diluted EPS growth and generation of superior investment returns relative to peers. In 2025, NEOs received annual LTI awards with the following characteristics:</w:t>
      </w:r>
    </w:p>
    <w:p>
      <w:pPr>
        <w:spacing w:after="0" w:line="87" w:lineRule="exact"/>
        <w:rPr>
          <w:sz w:val="20"/>
          <w:szCs w:val="20"/>
          <w:color w:val="auto"/>
        </w:rPr>
      </w:pPr>
    </w:p>
    <w:p>
      <w:pPr>
        <w:jc w:val="center"/>
        <w:ind w:right="-8"/>
        <w:spacing w:after="0"/>
        <w:rPr>
          <w:sz w:val="20"/>
          <w:szCs w:val="20"/>
          <w:color w:val="auto"/>
        </w:rPr>
      </w:pPr>
      <w:r>
        <w:rPr>
          <w:rFonts w:ascii="Arial" w:cs="Arial" w:eastAsia="Arial" w:hAnsi="Arial"/>
          <w:sz w:val="16"/>
          <w:szCs w:val="16"/>
          <w:b w:val="1"/>
          <w:bCs w:val="1"/>
          <w:color w:val="auto"/>
        </w:rPr>
        <w:t>Long-Term Incentive Program</w:t>
      </w:r>
    </w:p>
    <w:p>
      <w:pPr>
        <w:spacing w:after="0" w:line="145" w:lineRule="exact"/>
        <w:rPr>
          <w:sz w:val="20"/>
          <w:szCs w:val="20"/>
          <w:color w:val="auto"/>
        </w:rPr>
      </w:pPr>
    </w:p>
    <w:tbl>
      <w:tblPr>
        <w:tblLayout w:type="fixed"/>
        <w:tblInd w:w="9" w:type="dxa"/>
        <w:tblCellMar>
          <w:top w:w="0" w:type="dxa"/>
          <w:left w:w="0" w:type="dxa"/>
          <w:bottom w:w="0" w:type="dxa"/>
          <w:right w:w="0" w:type="dxa"/>
        </w:tblCellMar>
      </w:tblPr>
      <w:tr>
        <w:trPr>
          <w:trHeight w:val="197"/>
        </w:trPr>
        <w:tc>
          <w:tcPr>
            <w:tcW w:w="2840" w:type="dxa"/>
            <w:vAlign w:val="bottom"/>
            <w:tcBorders>
              <w:top w:val="single" w:sz="8" w:color="071D49"/>
              <w:bottom w:val="single" w:sz="8" w:color="071D49"/>
            </w:tcBorders>
            <w:gridSpan w:val="2"/>
          </w:tcPr>
          <w:p>
            <w:pPr>
              <w:ind w:left="80"/>
              <w:spacing w:after="0"/>
              <w:rPr>
                <w:sz w:val="20"/>
                <w:szCs w:val="20"/>
                <w:color w:val="auto"/>
              </w:rPr>
            </w:pPr>
            <w:r>
              <w:rPr>
                <w:rFonts w:ascii="Arial" w:cs="Arial" w:eastAsia="Arial" w:hAnsi="Arial"/>
                <w:sz w:val="16"/>
                <w:szCs w:val="16"/>
                <w:b w:val="1"/>
                <w:bCs w:val="1"/>
                <w:color w:val="071D49"/>
              </w:rPr>
              <w:t>Award Type</w:t>
            </w:r>
          </w:p>
        </w:tc>
        <w:tc>
          <w:tcPr>
            <w:tcW w:w="340" w:type="dxa"/>
            <w:vAlign w:val="bottom"/>
            <w:tcBorders>
              <w:top w:val="single" w:sz="8" w:color="071D49"/>
              <w:bottom w:val="single" w:sz="8" w:color="071D49"/>
            </w:tcBorders>
          </w:tcPr>
          <w:p>
            <w:pPr>
              <w:ind w:left="100"/>
              <w:spacing w:after="0"/>
              <w:rPr>
                <w:sz w:val="20"/>
                <w:szCs w:val="20"/>
                <w:color w:val="auto"/>
              </w:rPr>
            </w:pPr>
            <w:r>
              <w:rPr>
                <w:rFonts w:ascii="Arial" w:cs="Arial" w:eastAsia="Arial" w:hAnsi="Arial"/>
                <w:sz w:val="16"/>
                <w:szCs w:val="16"/>
                <w:b w:val="1"/>
                <w:bCs w:val="1"/>
                <w:color w:val="071D49"/>
              </w:rPr>
              <w:t>​​​</w:t>
            </w:r>
          </w:p>
        </w:tc>
        <w:tc>
          <w:tcPr>
            <w:tcW w:w="4060" w:type="dxa"/>
            <w:vAlign w:val="bottom"/>
            <w:tcBorders>
              <w:top w:val="single" w:sz="8" w:color="071D49"/>
              <w:bottom w:val="single" w:sz="8" w:color="071D49"/>
            </w:tcBorders>
          </w:tcPr>
          <w:p>
            <w:pPr>
              <w:jc w:val="center"/>
              <w:ind w:right="18"/>
              <w:spacing w:after="0"/>
              <w:rPr>
                <w:sz w:val="20"/>
                <w:szCs w:val="20"/>
                <w:color w:val="auto"/>
              </w:rPr>
            </w:pPr>
            <w:r>
              <w:rPr>
                <w:rFonts w:ascii="Arial" w:cs="Arial" w:eastAsia="Arial" w:hAnsi="Arial"/>
                <w:sz w:val="16"/>
                <w:szCs w:val="16"/>
                <w:b w:val="1"/>
                <w:bCs w:val="1"/>
                <w:color w:val="071D49"/>
              </w:rPr>
              <w:t>Metric</w:t>
            </w:r>
          </w:p>
        </w:tc>
        <w:tc>
          <w:tcPr>
            <w:tcW w:w="2020" w:type="dxa"/>
            <w:vAlign w:val="bottom"/>
            <w:tcBorders>
              <w:top w:val="single" w:sz="8" w:color="071D49"/>
              <w:bottom w:val="single" w:sz="8" w:color="071D49"/>
            </w:tcBorders>
          </w:tcPr>
          <w:p>
            <w:pPr>
              <w:ind w:left="160"/>
              <w:spacing w:after="0"/>
              <w:rPr>
                <w:sz w:val="20"/>
                <w:szCs w:val="20"/>
                <w:color w:val="auto"/>
              </w:rPr>
            </w:pPr>
            <w:r>
              <w:rPr>
                <w:rFonts w:ascii="Arial" w:cs="Arial" w:eastAsia="Arial" w:hAnsi="Arial"/>
                <w:sz w:val="16"/>
                <w:szCs w:val="16"/>
                <w:b w:val="1"/>
                <w:bCs w:val="1"/>
                <w:color w:val="071D49"/>
              </w:rPr>
              <w:t>​​​ Performance Period</w:t>
            </w:r>
          </w:p>
        </w:tc>
      </w:tr>
      <w:tr>
        <w:trPr>
          <w:trHeight w:val="189"/>
        </w:trPr>
        <w:tc>
          <w:tcPr>
            <w:tcW w:w="440" w:type="dxa"/>
            <w:vAlign w:val="bottom"/>
            <w:shd w:val="clear" w:color="auto" w:fill="D9D9D9"/>
          </w:tcPr>
          <w:p>
            <w:pPr>
              <w:ind w:left="80"/>
              <w:spacing w:after="0"/>
              <w:rPr>
                <w:sz w:val="20"/>
                <w:szCs w:val="20"/>
                <w:color w:val="auto"/>
              </w:rPr>
            </w:pPr>
            <w:r>
              <w:rPr>
                <w:rFonts w:ascii="Arial" w:cs="Arial" w:eastAsia="Arial" w:hAnsi="Arial"/>
                <w:sz w:val="16"/>
                <w:szCs w:val="16"/>
                <w:color w:val="auto"/>
              </w:rPr>
              <w:t>40%</w:t>
            </w:r>
          </w:p>
        </w:tc>
        <w:tc>
          <w:tcPr>
            <w:tcW w:w="2400" w:type="dxa"/>
            <w:vAlign w:val="bottom"/>
            <w:shd w:val="clear" w:color="auto" w:fill="D9D9D9"/>
          </w:tcPr>
          <w:p>
            <w:pPr>
              <w:ind w:left="20"/>
              <w:spacing w:after="0"/>
              <w:rPr>
                <w:sz w:val="20"/>
                <w:szCs w:val="20"/>
                <w:color w:val="auto"/>
              </w:rPr>
            </w:pPr>
            <w:r>
              <w:rPr>
                <w:rFonts w:ascii="Arial" w:cs="Arial" w:eastAsia="Arial" w:hAnsi="Arial"/>
                <w:sz w:val="16"/>
                <w:szCs w:val="16"/>
                <w:color w:val="auto"/>
              </w:rPr>
              <w:t>Performance Shares</w:t>
            </w:r>
          </w:p>
        </w:tc>
        <w:tc>
          <w:tcPr>
            <w:tcW w:w="340" w:type="dxa"/>
            <w:vAlign w:val="bottom"/>
            <w:shd w:val="clear" w:color="auto" w:fill="D9D9D9"/>
          </w:tcPr>
          <w:p>
            <w:pPr>
              <w:spacing w:after="0"/>
              <w:rPr>
                <w:sz w:val="16"/>
                <w:szCs w:val="16"/>
                <w:color w:val="auto"/>
              </w:rPr>
            </w:pPr>
          </w:p>
        </w:tc>
        <w:tc>
          <w:tcPr>
            <w:tcW w:w="4060" w:type="dxa"/>
            <w:vAlign w:val="bottom"/>
            <w:shd w:val="clear" w:color="auto" w:fill="D9D9D9"/>
          </w:tcPr>
          <w:p>
            <w:pPr>
              <w:jc w:val="center"/>
              <w:spacing w:after="0" w:line="184" w:lineRule="exact"/>
              <w:rPr>
                <w:sz w:val="20"/>
                <w:szCs w:val="20"/>
                <w:color w:val="auto"/>
              </w:rPr>
            </w:pPr>
            <w:r>
              <w:rPr>
                <w:rFonts w:ascii="Arial" w:cs="Arial" w:eastAsia="Arial" w:hAnsi="Arial"/>
                <w:sz w:val="16"/>
                <w:szCs w:val="16"/>
                <w:color w:val="auto"/>
              </w:rPr>
              <w:t>Adjusted Diluted EPS, 3</w:t>
            </w:r>
            <w:r>
              <w:rPr>
                <w:rFonts w:ascii="MS PGothic" w:cs="MS PGothic" w:eastAsia="MS PGothic" w:hAnsi="MS PGothic"/>
                <w:sz w:val="16"/>
                <w:szCs w:val="16"/>
                <w:color w:val="auto"/>
              </w:rPr>
              <w:t>‑</w:t>
            </w:r>
            <w:r>
              <w:rPr>
                <w:rFonts w:ascii="Arial" w:cs="Arial" w:eastAsia="Arial" w:hAnsi="Arial"/>
                <w:sz w:val="16"/>
                <w:szCs w:val="16"/>
                <w:color w:val="auto"/>
              </w:rPr>
              <w:t>Year Relative TSR Modifier</w:t>
            </w:r>
          </w:p>
        </w:tc>
        <w:tc>
          <w:tcPr>
            <w:tcW w:w="2020" w:type="dxa"/>
            <w:vAlign w:val="bottom"/>
            <w:shd w:val="clear" w:color="auto" w:fill="D9D9D9"/>
          </w:tcPr>
          <w:p>
            <w:pPr>
              <w:jc w:val="center"/>
              <w:ind w:left="158"/>
              <w:spacing w:after="0"/>
              <w:rPr>
                <w:sz w:val="20"/>
                <w:szCs w:val="20"/>
                <w:color w:val="auto"/>
              </w:rPr>
            </w:pPr>
            <w:r>
              <w:rPr>
                <w:rFonts w:ascii="Arial" w:cs="Arial" w:eastAsia="Arial" w:hAnsi="Arial"/>
                <w:sz w:val="16"/>
                <w:szCs w:val="16"/>
                <w:color w:val="auto"/>
                <w:w w:val="97"/>
              </w:rPr>
              <w:t>3 Years</w:t>
            </w:r>
          </w:p>
        </w:tc>
      </w:tr>
      <w:tr>
        <w:trPr>
          <w:trHeight w:val="180"/>
        </w:trPr>
        <w:tc>
          <w:tcPr>
            <w:tcW w:w="440" w:type="dxa"/>
            <w:vAlign w:val="bottom"/>
          </w:tcPr>
          <w:p>
            <w:pPr>
              <w:ind w:left="80"/>
              <w:spacing w:after="0" w:line="181" w:lineRule="exact"/>
              <w:rPr>
                <w:sz w:val="20"/>
                <w:szCs w:val="20"/>
                <w:color w:val="auto"/>
              </w:rPr>
            </w:pPr>
            <w:r>
              <w:rPr>
                <w:rFonts w:ascii="Arial" w:cs="Arial" w:eastAsia="Arial" w:hAnsi="Arial"/>
                <w:sz w:val="16"/>
                <w:szCs w:val="16"/>
                <w:color w:val="auto"/>
              </w:rPr>
              <w:t>40%</w:t>
            </w:r>
          </w:p>
        </w:tc>
        <w:tc>
          <w:tcPr>
            <w:tcW w:w="2400" w:type="dxa"/>
            <w:vAlign w:val="bottom"/>
          </w:tcPr>
          <w:p>
            <w:pPr>
              <w:ind w:left="20"/>
              <w:spacing w:after="0" w:line="181" w:lineRule="exact"/>
              <w:rPr>
                <w:sz w:val="20"/>
                <w:szCs w:val="20"/>
                <w:color w:val="auto"/>
              </w:rPr>
            </w:pPr>
            <w:r>
              <w:rPr>
                <w:rFonts w:ascii="Arial" w:cs="Arial" w:eastAsia="Arial" w:hAnsi="Arial"/>
                <w:sz w:val="16"/>
                <w:szCs w:val="16"/>
                <w:color w:val="auto"/>
              </w:rPr>
              <w:t>Performance</w:t>
            </w:r>
            <w:r>
              <w:rPr>
                <w:rFonts w:ascii="MS PGothic" w:cs="MS PGothic" w:eastAsia="MS PGothic" w:hAnsi="MS PGothic"/>
                <w:sz w:val="16"/>
                <w:szCs w:val="16"/>
                <w:color w:val="auto"/>
              </w:rPr>
              <w:t>‑</w:t>
            </w:r>
            <w:r>
              <w:rPr>
                <w:rFonts w:ascii="Arial" w:cs="Arial" w:eastAsia="Arial" w:hAnsi="Arial"/>
                <w:sz w:val="16"/>
                <w:szCs w:val="16"/>
                <w:color w:val="auto"/>
              </w:rPr>
              <w:t>Vested Restricted</w:t>
            </w:r>
          </w:p>
        </w:tc>
        <w:tc>
          <w:tcPr>
            <w:tcW w:w="3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1"/>
        </w:trPr>
        <w:tc>
          <w:tcPr>
            <w:tcW w:w="2840" w:type="dxa"/>
            <w:vAlign w:val="bottom"/>
            <w:gridSpan w:val="2"/>
          </w:tcPr>
          <w:p>
            <w:pPr>
              <w:ind w:left="80"/>
              <w:spacing w:after="0"/>
              <w:rPr>
                <w:sz w:val="20"/>
                <w:szCs w:val="20"/>
                <w:color w:val="auto"/>
              </w:rPr>
            </w:pPr>
            <w:r>
              <w:rPr>
                <w:rFonts w:ascii="Arial" w:cs="Arial" w:eastAsia="Arial" w:hAnsi="Arial"/>
                <w:sz w:val="16"/>
                <w:szCs w:val="16"/>
                <w:color w:val="auto"/>
              </w:rPr>
              <w:t>Stock Units</w:t>
            </w:r>
          </w:p>
        </w:tc>
        <w:tc>
          <w:tcPr>
            <w:tcW w:w="340" w:type="dxa"/>
            <w:vAlign w:val="bottom"/>
          </w:tcPr>
          <w:p>
            <w:pPr>
              <w:spacing w:after="0"/>
              <w:rPr>
                <w:sz w:val="17"/>
                <w:szCs w:val="17"/>
                <w:color w:val="auto"/>
              </w:rPr>
            </w:pPr>
          </w:p>
        </w:tc>
        <w:tc>
          <w:tcPr>
            <w:tcW w:w="4060" w:type="dxa"/>
            <w:vAlign w:val="bottom"/>
          </w:tcPr>
          <w:p>
            <w:pPr>
              <w:jc w:val="center"/>
              <w:spacing w:after="0"/>
              <w:rPr>
                <w:sz w:val="20"/>
                <w:szCs w:val="20"/>
                <w:color w:val="auto"/>
              </w:rPr>
            </w:pPr>
            <w:r>
              <w:rPr>
                <w:rFonts w:ascii="Arial" w:cs="Arial" w:eastAsia="Arial" w:hAnsi="Arial"/>
                <w:sz w:val="16"/>
                <w:szCs w:val="16"/>
                <w:color w:val="auto"/>
              </w:rPr>
              <w:t>Relative Return on Invested Capital</w:t>
            </w:r>
          </w:p>
        </w:tc>
        <w:tc>
          <w:tcPr>
            <w:tcW w:w="2020" w:type="dxa"/>
            <w:vAlign w:val="bottom"/>
          </w:tcPr>
          <w:p>
            <w:pPr>
              <w:jc w:val="center"/>
              <w:ind w:left="158"/>
              <w:spacing w:after="0"/>
              <w:rPr>
                <w:sz w:val="20"/>
                <w:szCs w:val="20"/>
                <w:color w:val="auto"/>
              </w:rPr>
            </w:pPr>
            <w:r>
              <w:rPr>
                <w:rFonts w:ascii="Arial" w:cs="Arial" w:eastAsia="Arial" w:hAnsi="Arial"/>
                <w:sz w:val="16"/>
                <w:szCs w:val="16"/>
                <w:color w:val="auto"/>
                <w:w w:val="97"/>
              </w:rPr>
              <w:t>3 Years</w:t>
            </w:r>
          </w:p>
        </w:tc>
      </w:tr>
      <w:tr>
        <w:trPr>
          <w:trHeight w:val="197"/>
        </w:trPr>
        <w:tc>
          <w:tcPr>
            <w:tcW w:w="440" w:type="dxa"/>
            <w:vAlign w:val="bottom"/>
            <w:tcBorders>
              <w:bottom w:val="single" w:sz="8" w:color="071D49"/>
            </w:tcBorders>
            <w:shd w:val="clear" w:color="auto" w:fill="D9D9D9"/>
          </w:tcPr>
          <w:p>
            <w:pPr>
              <w:ind w:left="80"/>
              <w:spacing w:after="0"/>
              <w:rPr>
                <w:sz w:val="20"/>
                <w:szCs w:val="20"/>
                <w:color w:val="auto"/>
              </w:rPr>
            </w:pPr>
            <w:r>
              <w:rPr>
                <w:rFonts w:ascii="Arial" w:cs="Arial" w:eastAsia="Arial" w:hAnsi="Arial"/>
                <w:sz w:val="16"/>
                <w:szCs w:val="16"/>
                <w:color w:val="auto"/>
              </w:rPr>
              <w:t>20%</w:t>
            </w:r>
          </w:p>
        </w:tc>
        <w:tc>
          <w:tcPr>
            <w:tcW w:w="2400" w:type="dxa"/>
            <w:vAlign w:val="bottom"/>
            <w:tcBorders>
              <w:bottom w:val="single" w:sz="8" w:color="071D49"/>
            </w:tcBorders>
            <w:shd w:val="clear" w:color="auto" w:fill="D9D9D9"/>
          </w:tcPr>
          <w:p>
            <w:pPr>
              <w:ind w:left="20"/>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Qualified Stock Options</w:t>
            </w:r>
          </w:p>
        </w:tc>
        <w:tc>
          <w:tcPr>
            <w:tcW w:w="340" w:type="dxa"/>
            <w:vAlign w:val="bottom"/>
            <w:tcBorders>
              <w:bottom w:val="single" w:sz="8" w:color="071D49"/>
            </w:tcBorders>
            <w:shd w:val="clear" w:color="auto" w:fill="D9D9D9"/>
          </w:tcPr>
          <w:p>
            <w:pPr>
              <w:spacing w:after="0"/>
              <w:rPr>
                <w:sz w:val="17"/>
                <w:szCs w:val="17"/>
                <w:color w:val="auto"/>
              </w:rPr>
            </w:pPr>
          </w:p>
        </w:tc>
        <w:tc>
          <w:tcPr>
            <w:tcW w:w="4060" w:type="dxa"/>
            <w:vAlign w:val="bottom"/>
            <w:tcBorders>
              <w:bottom w:val="single" w:sz="8" w:color="071D49"/>
            </w:tcBorders>
            <w:shd w:val="clear" w:color="auto" w:fill="D9D9D9"/>
          </w:tcPr>
          <w:p>
            <w:pPr>
              <w:jc w:val="center"/>
              <w:spacing w:after="0"/>
              <w:rPr>
                <w:sz w:val="20"/>
                <w:szCs w:val="20"/>
                <w:color w:val="auto"/>
              </w:rPr>
            </w:pPr>
            <w:r>
              <w:rPr>
                <w:rFonts w:ascii="Arial" w:cs="Arial" w:eastAsia="Arial" w:hAnsi="Arial"/>
                <w:sz w:val="16"/>
                <w:szCs w:val="16"/>
                <w:color w:val="auto"/>
              </w:rPr>
              <w:t>Stock Price Appreciation</w:t>
            </w:r>
          </w:p>
        </w:tc>
        <w:tc>
          <w:tcPr>
            <w:tcW w:w="2020" w:type="dxa"/>
            <w:vAlign w:val="bottom"/>
            <w:tcBorders>
              <w:bottom w:val="single" w:sz="8" w:color="071D49"/>
            </w:tcBorders>
            <w:shd w:val="clear" w:color="auto" w:fill="D9D9D9"/>
          </w:tcPr>
          <w:p>
            <w:pPr>
              <w:jc w:val="center"/>
              <w:ind w:left="158"/>
              <w:spacing w:after="0" w:line="184" w:lineRule="exact"/>
              <w:rPr>
                <w:sz w:val="20"/>
                <w:szCs w:val="20"/>
                <w:color w:val="auto"/>
              </w:rPr>
            </w:pPr>
            <w:r>
              <w:rPr>
                <w:rFonts w:ascii="Arial" w:cs="Arial" w:eastAsia="Arial" w:hAnsi="Arial"/>
                <w:sz w:val="16"/>
                <w:szCs w:val="16"/>
                <w:color w:val="auto"/>
              </w:rPr>
              <w:t>10</w:t>
            </w:r>
            <w:r>
              <w:rPr>
                <w:rFonts w:ascii="MS PGothic" w:cs="MS PGothic" w:eastAsia="MS PGothic" w:hAnsi="MS PGothic"/>
                <w:sz w:val="16"/>
                <w:szCs w:val="16"/>
                <w:color w:val="auto"/>
              </w:rPr>
              <w:t>‑</w:t>
            </w:r>
            <w:r>
              <w:rPr>
                <w:rFonts w:ascii="Arial" w:cs="Arial" w:eastAsia="Arial" w:hAnsi="Arial"/>
                <w:sz w:val="16"/>
                <w:szCs w:val="16"/>
                <w:color w:val="auto"/>
              </w:rPr>
              <w:t>year term</w:t>
            </w:r>
          </w:p>
        </w:tc>
      </w:tr>
    </w:tbl>
    <w:p>
      <w:pPr>
        <w:spacing w:after="0" w:line="143" w:lineRule="exact"/>
        <w:rPr>
          <w:sz w:val="20"/>
          <w:szCs w:val="20"/>
          <w:color w:val="auto"/>
        </w:rPr>
      </w:pPr>
    </w:p>
    <w:p>
      <w:pPr>
        <w:ind w:left="289" w:right="60" w:hanging="289"/>
        <w:spacing w:after="0" w:line="249" w:lineRule="auto"/>
        <w:tabs>
          <w:tab w:leader="none" w:pos="289" w:val="left"/>
        </w:tabs>
        <w:numPr>
          <w:ilvl w:val="0"/>
          <w:numId w:val="68"/>
        </w:numPr>
        <w:rPr>
          <w:rFonts w:ascii="Times New Roman" w:cs="Times New Roman" w:eastAsia="Times New Roman" w:hAnsi="Times New Roman"/>
          <w:sz w:val="16"/>
          <w:szCs w:val="16"/>
          <w:color w:val="071D49"/>
        </w:rPr>
      </w:pPr>
      <w:r>
        <w:rPr>
          <w:rFonts w:ascii="Arial" w:cs="Arial" w:eastAsia="Arial" w:hAnsi="Arial"/>
          <w:sz w:val="16"/>
          <w:szCs w:val="16"/>
          <w:b w:val="1"/>
          <w:bCs w:val="1"/>
          <w:color w:val="auto"/>
        </w:rPr>
        <w:t>Performance Shares (40% of total LTI award)</w:t>
      </w:r>
      <w:r>
        <w:rPr>
          <w:rFonts w:ascii="Arial" w:cs="Arial" w:eastAsia="Arial" w:hAnsi="Arial"/>
          <w:sz w:val="16"/>
          <w:szCs w:val="16"/>
          <w:color w:val="auto"/>
        </w:rPr>
        <w:t>—These awards have the potential to vest at 0% to 250% of target after a</w:t>
      </w:r>
      <w:r>
        <w:rPr>
          <w:rFonts w:ascii="Arial" w:cs="Arial" w:eastAsia="Arial" w:hAnsi="Arial"/>
          <w:sz w:val="16"/>
          <w:szCs w:val="16"/>
          <w:b w:val="1"/>
          <w:bCs w:val="1"/>
          <w:color w:val="auto"/>
        </w:rPr>
        <w:t xml:space="preserve"> </w:t>
      </w:r>
      <w:r>
        <w:rPr>
          <w:rFonts w:ascii="Arial" w:cs="Arial" w:eastAsia="Arial" w:hAnsi="Arial"/>
          <w:sz w:val="16"/>
          <w:szCs w:val="16"/>
          <w:color w:val="auto"/>
        </w:rPr>
        <w:t>three-year performance period and are earned based on company performance in adjusted diluted earnings per share (EPS) and relative total stockholder return (TSR). TSR performance is measured relative to a group made up of companies that are constituents in either the S&amp;P Pharmaceutical, Biotech, and Life Science Index or the NYSE Arca Pharmaceutical Index. Dividends on performance shares accrue during the performance period and are paid at vesting only to the extent that shares are earned.</w:t>
      </w:r>
    </w:p>
    <w:p>
      <w:pPr>
        <w:spacing w:after="0" w:line="121" w:lineRule="exact"/>
        <w:rPr>
          <w:rFonts w:ascii="Times New Roman" w:cs="Times New Roman" w:eastAsia="Times New Roman" w:hAnsi="Times New Roman"/>
          <w:sz w:val="16"/>
          <w:szCs w:val="16"/>
          <w:color w:val="071D49"/>
        </w:rPr>
      </w:pPr>
    </w:p>
    <w:p>
      <w:pPr>
        <w:ind w:left="289" w:right="60" w:hanging="289"/>
        <w:spacing w:after="0" w:line="251" w:lineRule="auto"/>
        <w:tabs>
          <w:tab w:leader="none" w:pos="289" w:val="left"/>
        </w:tabs>
        <w:numPr>
          <w:ilvl w:val="0"/>
          <w:numId w:val="68"/>
        </w:numPr>
        <w:rPr>
          <w:rFonts w:ascii="Times New Roman" w:cs="Times New Roman" w:eastAsia="Times New Roman" w:hAnsi="Times New Roman"/>
          <w:sz w:val="16"/>
          <w:szCs w:val="16"/>
          <w:color w:val="071D49"/>
        </w:rPr>
      </w:pPr>
      <w:r>
        <w:rPr>
          <w:rFonts w:ascii="Arial" w:cs="Arial" w:eastAsia="Arial" w:hAnsi="Arial"/>
          <w:sz w:val="16"/>
          <w:szCs w:val="16"/>
          <w:b w:val="1"/>
          <w:bCs w:val="1"/>
          <w:color w:val="auto"/>
        </w:rPr>
        <w:t>Performance-Vested Restricted Stock Units (40% of total LTI award)</w:t>
      </w:r>
      <w:r>
        <w:rPr>
          <w:rFonts w:ascii="Arial" w:cs="Arial" w:eastAsia="Arial" w:hAnsi="Arial"/>
          <w:sz w:val="16"/>
          <w:szCs w:val="16"/>
          <w:color w:val="auto"/>
        </w:rPr>
        <w:t>—These awards have the potential to vest at 0%</w:t>
      </w:r>
      <w:r>
        <w:rPr>
          <w:rFonts w:ascii="Arial" w:cs="Arial" w:eastAsia="Arial" w:hAnsi="Arial"/>
          <w:sz w:val="16"/>
          <w:szCs w:val="16"/>
          <w:b w:val="1"/>
          <w:bCs w:val="1"/>
          <w:color w:val="auto"/>
        </w:rPr>
        <w:t xml:space="preserve"> </w:t>
      </w:r>
      <w:r>
        <w:rPr>
          <w:rFonts w:ascii="Arial" w:cs="Arial" w:eastAsia="Arial" w:hAnsi="Arial"/>
          <w:sz w:val="16"/>
          <w:szCs w:val="16"/>
          <w:color w:val="auto"/>
        </w:rPr>
        <w:t>to 200% of target in one-third increments during a three-year performance period and are earned based on AbbVie’s return on invested capital (ROIC)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w:t>
      </w:r>
    </w:p>
    <w:p>
      <w:pPr>
        <w:spacing w:after="0" w:line="132" w:lineRule="exact"/>
        <w:rPr>
          <w:rFonts w:ascii="Times New Roman" w:cs="Times New Roman" w:eastAsia="Times New Roman" w:hAnsi="Times New Roman"/>
          <w:sz w:val="16"/>
          <w:szCs w:val="16"/>
          <w:color w:val="071D49"/>
        </w:rPr>
      </w:pPr>
    </w:p>
    <w:p>
      <w:pPr>
        <w:ind w:left="289" w:right="80" w:hanging="289"/>
        <w:spacing w:after="0" w:line="254" w:lineRule="auto"/>
        <w:tabs>
          <w:tab w:leader="none" w:pos="289" w:val="left"/>
        </w:tabs>
        <w:numPr>
          <w:ilvl w:val="0"/>
          <w:numId w:val="68"/>
        </w:numPr>
        <w:rPr>
          <w:rFonts w:ascii="Times New Roman" w:cs="Times New Roman" w:eastAsia="Times New Roman" w:hAnsi="Times New Roman"/>
          <w:sz w:val="16"/>
          <w:szCs w:val="16"/>
          <w:color w:val="071D49"/>
        </w:rPr>
      </w:pPr>
      <w:r>
        <w:rPr>
          <w:rFonts w:ascii="Arial" w:cs="Arial" w:eastAsia="Arial" w:hAnsi="Arial"/>
          <w:sz w:val="16"/>
          <w:szCs w:val="16"/>
          <w:b w:val="1"/>
          <w:bCs w:val="1"/>
          <w:color w:val="auto"/>
        </w:rPr>
        <w:t>Non-Qualified Stock Options (20% of total LTI award)</w:t>
      </w:r>
      <w:r>
        <w:rPr>
          <w:rFonts w:ascii="Arial" w:cs="Arial" w:eastAsia="Arial" w:hAnsi="Arial"/>
          <w:sz w:val="16"/>
          <w:szCs w:val="16"/>
          <w:color w:val="auto"/>
        </w:rPr>
        <w:t>—These awards have the potential to vest in one-third increments</w:t>
      </w:r>
      <w:r>
        <w:rPr>
          <w:rFonts w:ascii="Arial" w:cs="Arial" w:eastAsia="Arial" w:hAnsi="Arial"/>
          <w:sz w:val="16"/>
          <w:szCs w:val="16"/>
          <w:b w:val="1"/>
          <w:bCs w:val="1"/>
          <w:color w:val="auto"/>
        </w:rPr>
        <w:t xml:space="preserve"> </w:t>
      </w:r>
      <w:r>
        <w:rPr>
          <w:rFonts w:ascii="Arial" w:cs="Arial" w:eastAsia="Arial" w:hAnsi="Arial"/>
          <w:sz w:val="16"/>
          <w:szCs w:val="16"/>
          <w:color w:val="auto"/>
        </w:rPr>
        <w:t>on each of the first three annual anniversaries of the grant date, subject to continued employment with the company. The option exercise price is set at or above fair market value on the grant date. To the extent that the options vest, the award expires ten years after the grant date.</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Performance Share and Performance-Vested Restricted Stock Unit Targets and Results</w:t>
      </w:r>
    </w:p>
    <w:p>
      <w:pPr>
        <w:spacing w:after="0" w:line="99" w:lineRule="exact"/>
        <w:rPr>
          <w:sz w:val="20"/>
          <w:szCs w:val="20"/>
          <w:color w:val="auto"/>
        </w:rPr>
      </w:pPr>
    </w:p>
    <w:p>
      <w:pPr>
        <w:ind w:left="9" w:right="220"/>
        <w:spacing w:after="0" w:line="262" w:lineRule="auto"/>
        <w:rPr>
          <w:sz w:val="20"/>
          <w:szCs w:val="20"/>
          <w:color w:val="auto"/>
        </w:rPr>
      </w:pPr>
      <w:r>
        <w:rPr>
          <w:rFonts w:ascii="Arial" w:cs="Arial" w:eastAsia="Arial" w:hAnsi="Arial"/>
          <w:sz w:val="16"/>
          <w:szCs w:val="16"/>
          <w:color w:val="auto"/>
        </w:rPr>
        <w:t>Performance targets and results associated with the 2025 awards of performance shares and 2023-2025 awards of performance-vested restricted stock units are shown below. Relative TSR results for the performance shares are in progress; these results and their impact on final payout will be disclosed following the completion of the three-year performance period.</w:t>
      </w:r>
    </w:p>
    <w:p>
      <w:pPr>
        <w:spacing w:after="0" w:line="108" w:lineRule="exact"/>
        <w:rPr>
          <w:sz w:val="20"/>
          <w:szCs w:val="20"/>
          <w:color w:val="auto"/>
        </w:rPr>
      </w:pPr>
    </w:p>
    <w:tbl>
      <w:tblPr>
        <w:tblLayout w:type="fixed"/>
        <w:tblInd w:w="9" w:type="dxa"/>
        <w:tblCellMar>
          <w:top w:w="0" w:type="dxa"/>
          <w:left w:w="0" w:type="dxa"/>
          <w:bottom w:w="0" w:type="dxa"/>
          <w:right w:w="0" w:type="dxa"/>
        </w:tblCellMar>
      </w:tblPr>
      <w:tr>
        <w:trPr>
          <w:trHeight w:val="152"/>
        </w:trPr>
        <w:tc>
          <w:tcPr>
            <w:tcW w:w="2100" w:type="dxa"/>
            <w:vAlign w:val="bottom"/>
            <w:tcBorders>
              <w:top w:val="single" w:sz="8" w:color="071D49"/>
            </w:tcBorders>
          </w:tcPr>
          <w:p>
            <w:pPr>
              <w:ind w:left="100"/>
              <w:spacing w:after="0"/>
              <w:rPr>
                <w:sz w:val="20"/>
                <w:szCs w:val="20"/>
                <w:color w:val="auto"/>
              </w:rPr>
            </w:pPr>
            <w:r>
              <w:rPr>
                <w:rFonts w:ascii="Arial" w:cs="Arial" w:eastAsia="Arial" w:hAnsi="Arial"/>
                <w:sz w:val="13"/>
                <w:szCs w:val="13"/>
                <w:b w:val="1"/>
                <w:bCs w:val="1"/>
                <w:color w:val="071D49"/>
              </w:rPr>
              <w:t>Performance Objective and</w:t>
            </w:r>
          </w:p>
        </w:tc>
        <w:tc>
          <w:tcPr>
            <w:tcW w:w="200" w:type="dxa"/>
            <w:vAlign w:val="bottom"/>
            <w:tcBorders>
              <w:top w:val="single" w:sz="8" w:color="071D49"/>
            </w:tcBorders>
          </w:tcPr>
          <w:p>
            <w:pPr>
              <w:spacing w:after="0"/>
              <w:rPr>
                <w:sz w:val="13"/>
                <w:szCs w:val="13"/>
                <w:color w:val="auto"/>
              </w:rPr>
            </w:pPr>
          </w:p>
        </w:tc>
        <w:tc>
          <w:tcPr>
            <w:tcW w:w="220" w:type="dxa"/>
            <w:vAlign w:val="bottom"/>
            <w:tcBorders>
              <w:top w:val="single" w:sz="8" w:color="071D49"/>
            </w:tcBorders>
          </w:tcPr>
          <w:p>
            <w:pPr>
              <w:spacing w:after="0"/>
              <w:rPr>
                <w:sz w:val="13"/>
                <w:szCs w:val="13"/>
                <w:color w:val="auto"/>
              </w:rPr>
            </w:pPr>
          </w:p>
        </w:tc>
        <w:tc>
          <w:tcPr>
            <w:tcW w:w="520" w:type="dxa"/>
            <w:vAlign w:val="bottom"/>
            <w:tcBorders>
              <w:top w:val="single" w:sz="8" w:color="071D49"/>
            </w:tcBorders>
          </w:tcPr>
          <w:p>
            <w:pPr>
              <w:spacing w:after="0"/>
              <w:rPr>
                <w:sz w:val="13"/>
                <w:szCs w:val="13"/>
                <w:color w:val="auto"/>
              </w:rPr>
            </w:pPr>
          </w:p>
        </w:tc>
        <w:tc>
          <w:tcPr>
            <w:tcW w:w="500" w:type="dxa"/>
            <w:vAlign w:val="bottom"/>
            <w:tcBorders>
              <w:top w:val="single" w:sz="8" w:color="071D49"/>
            </w:tcBorders>
          </w:tcPr>
          <w:p>
            <w:pPr>
              <w:spacing w:after="0"/>
              <w:rPr>
                <w:sz w:val="13"/>
                <w:szCs w:val="13"/>
                <w:color w:val="auto"/>
              </w:rPr>
            </w:pPr>
          </w:p>
        </w:tc>
        <w:tc>
          <w:tcPr>
            <w:tcW w:w="340" w:type="dxa"/>
            <w:vAlign w:val="bottom"/>
            <w:tcBorders>
              <w:top w:val="single" w:sz="8" w:color="071D49"/>
            </w:tcBorders>
          </w:tcPr>
          <w:p>
            <w:pPr>
              <w:spacing w:after="0"/>
              <w:rPr>
                <w:sz w:val="13"/>
                <w:szCs w:val="13"/>
                <w:color w:val="auto"/>
              </w:rPr>
            </w:pPr>
          </w:p>
        </w:tc>
        <w:tc>
          <w:tcPr>
            <w:tcW w:w="1220" w:type="dxa"/>
            <w:vAlign w:val="bottom"/>
            <w:tcBorders>
              <w:top w:val="single" w:sz="8" w:color="071D49"/>
            </w:tcBorders>
          </w:tcPr>
          <w:p>
            <w:pPr>
              <w:spacing w:after="0"/>
              <w:rPr>
                <w:sz w:val="13"/>
                <w:szCs w:val="13"/>
                <w:color w:val="auto"/>
              </w:rPr>
            </w:pPr>
          </w:p>
        </w:tc>
        <w:tc>
          <w:tcPr>
            <w:tcW w:w="280" w:type="dxa"/>
            <w:vAlign w:val="bottom"/>
            <w:tcBorders>
              <w:top w:val="single" w:sz="8" w:color="071D49"/>
            </w:tcBorders>
          </w:tcPr>
          <w:p>
            <w:pPr>
              <w:spacing w:after="0"/>
              <w:rPr>
                <w:sz w:val="13"/>
                <w:szCs w:val="13"/>
                <w:color w:val="auto"/>
              </w:rPr>
            </w:pPr>
          </w:p>
        </w:tc>
        <w:tc>
          <w:tcPr>
            <w:tcW w:w="60" w:type="dxa"/>
            <w:vAlign w:val="bottom"/>
            <w:tcBorders>
              <w:top w:val="single" w:sz="8" w:color="071D49"/>
            </w:tcBorders>
          </w:tcPr>
          <w:p>
            <w:pPr>
              <w:spacing w:after="0"/>
              <w:rPr>
                <w:sz w:val="13"/>
                <w:szCs w:val="13"/>
                <w:color w:val="auto"/>
              </w:rPr>
            </w:pPr>
          </w:p>
        </w:tc>
        <w:tc>
          <w:tcPr>
            <w:tcW w:w="760" w:type="dxa"/>
            <w:vAlign w:val="bottom"/>
            <w:tcBorders>
              <w:top w:val="single" w:sz="8" w:color="071D49"/>
            </w:tcBorders>
          </w:tcPr>
          <w:p>
            <w:pPr>
              <w:spacing w:after="0"/>
              <w:rPr>
                <w:sz w:val="13"/>
                <w:szCs w:val="13"/>
                <w:color w:val="auto"/>
              </w:rPr>
            </w:pPr>
          </w:p>
        </w:tc>
        <w:tc>
          <w:tcPr>
            <w:tcW w:w="260" w:type="dxa"/>
            <w:vAlign w:val="bottom"/>
            <w:tcBorders>
              <w:top w:val="single" w:sz="8" w:color="071D49"/>
            </w:tcBorders>
          </w:tcPr>
          <w:p>
            <w:pPr>
              <w:spacing w:after="0"/>
              <w:rPr>
                <w:sz w:val="13"/>
                <w:szCs w:val="13"/>
                <w:color w:val="auto"/>
              </w:rPr>
            </w:pPr>
          </w:p>
        </w:tc>
        <w:tc>
          <w:tcPr>
            <w:tcW w:w="340" w:type="dxa"/>
            <w:vAlign w:val="bottom"/>
            <w:tcBorders>
              <w:top w:val="single" w:sz="8" w:color="071D49"/>
            </w:tcBorders>
          </w:tcPr>
          <w:p>
            <w:pPr>
              <w:spacing w:after="0"/>
              <w:rPr>
                <w:sz w:val="13"/>
                <w:szCs w:val="13"/>
                <w:color w:val="auto"/>
              </w:rPr>
            </w:pPr>
          </w:p>
        </w:tc>
        <w:tc>
          <w:tcPr>
            <w:tcW w:w="960" w:type="dxa"/>
            <w:vAlign w:val="bottom"/>
            <w:tcBorders>
              <w:top w:val="single" w:sz="8" w:color="071D49"/>
            </w:tcBorders>
          </w:tcPr>
          <w:p>
            <w:pPr>
              <w:spacing w:after="0"/>
              <w:rPr>
                <w:sz w:val="13"/>
                <w:szCs w:val="13"/>
                <w:color w:val="auto"/>
              </w:rPr>
            </w:pPr>
          </w:p>
        </w:tc>
        <w:tc>
          <w:tcPr>
            <w:tcW w:w="1500" w:type="dxa"/>
            <w:vAlign w:val="bottom"/>
            <w:tcBorders>
              <w:top w:val="single" w:sz="8" w:color="071D49"/>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00" w:type="dxa"/>
            <w:vAlign w:val="bottom"/>
            <w:tcBorders>
              <w:bottom w:val="single" w:sz="8" w:color="071D49"/>
            </w:tcBorders>
          </w:tcPr>
          <w:p>
            <w:pPr>
              <w:ind w:left="100"/>
              <w:spacing w:after="0"/>
              <w:rPr>
                <w:sz w:val="20"/>
                <w:szCs w:val="20"/>
                <w:color w:val="auto"/>
              </w:rPr>
            </w:pPr>
            <w:r>
              <w:rPr>
                <w:rFonts w:ascii="Arial" w:cs="Arial" w:eastAsia="Arial" w:hAnsi="Arial"/>
                <w:sz w:val="13"/>
                <w:szCs w:val="13"/>
                <w:b w:val="1"/>
                <w:bCs w:val="1"/>
                <w:color w:val="071D49"/>
              </w:rPr>
              <w:t>Impact on Payout</w:t>
            </w:r>
          </w:p>
        </w:tc>
        <w:tc>
          <w:tcPr>
            <w:tcW w:w="420" w:type="dxa"/>
            <w:vAlign w:val="bottom"/>
            <w:tcBorders>
              <w:bottom w:val="single" w:sz="8" w:color="071D49"/>
            </w:tcBorders>
            <w:gridSpan w:val="2"/>
          </w:tcPr>
          <w:p>
            <w:pPr>
              <w:ind w:left="200"/>
              <w:spacing w:after="0"/>
              <w:rPr>
                <w:sz w:val="20"/>
                <w:szCs w:val="20"/>
                <w:color w:val="auto"/>
              </w:rPr>
            </w:pPr>
            <w:r>
              <w:rPr>
                <w:rFonts w:ascii="Arial" w:cs="Arial" w:eastAsia="Arial" w:hAnsi="Arial"/>
                <w:sz w:val="13"/>
                <w:szCs w:val="13"/>
                <w:b w:val="1"/>
                <w:bCs w:val="1"/>
                <w:color w:val="071D49"/>
              </w:rPr>
              <w:t>​​​</w:t>
            </w:r>
          </w:p>
        </w:tc>
        <w:tc>
          <w:tcPr>
            <w:tcW w:w="1020" w:type="dxa"/>
            <w:vAlign w:val="bottom"/>
            <w:tcBorders>
              <w:bottom w:val="single" w:sz="8" w:color="071D49"/>
            </w:tcBorders>
            <w:gridSpan w:val="2"/>
          </w:tcPr>
          <w:p>
            <w:pPr>
              <w:jc w:val="center"/>
              <w:spacing w:after="0"/>
              <w:rPr>
                <w:sz w:val="20"/>
                <w:szCs w:val="20"/>
                <w:color w:val="auto"/>
              </w:rPr>
            </w:pPr>
            <w:r>
              <w:rPr>
                <w:rFonts w:ascii="Arial" w:cs="Arial" w:eastAsia="Arial" w:hAnsi="Arial"/>
                <w:sz w:val="13"/>
                <w:szCs w:val="13"/>
                <w:b w:val="1"/>
                <w:bCs w:val="1"/>
                <w:color w:val="071D49"/>
                <w:w w:val="98"/>
              </w:rPr>
              <w:t>Threshold</w:t>
            </w:r>
          </w:p>
        </w:tc>
        <w:tc>
          <w:tcPr>
            <w:tcW w:w="340" w:type="dxa"/>
            <w:vAlign w:val="bottom"/>
            <w:tcBorders>
              <w:bottom w:val="single" w:sz="8" w:color="071D49"/>
            </w:tcBorders>
          </w:tcPr>
          <w:p>
            <w:pPr>
              <w:ind w:left="160"/>
              <w:spacing w:after="0"/>
              <w:rPr>
                <w:sz w:val="20"/>
                <w:szCs w:val="20"/>
                <w:color w:val="auto"/>
              </w:rPr>
            </w:pPr>
            <w:r>
              <w:rPr>
                <w:rFonts w:ascii="Arial" w:cs="Arial" w:eastAsia="Arial" w:hAnsi="Arial"/>
                <w:sz w:val="13"/>
                <w:szCs w:val="13"/>
                <w:b w:val="1"/>
                <w:bCs w:val="1"/>
                <w:color w:val="071D49"/>
              </w:rPr>
              <w:t>​​​</w:t>
            </w:r>
          </w:p>
        </w:tc>
        <w:tc>
          <w:tcPr>
            <w:tcW w:w="1220" w:type="dxa"/>
            <w:vAlign w:val="bottom"/>
            <w:tcBorders>
              <w:bottom w:val="single" w:sz="8" w:color="071D49"/>
            </w:tcBorders>
          </w:tcPr>
          <w:p>
            <w:pPr>
              <w:jc w:val="center"/>
              <w:ind w:left="4"/>
              <w:spacing w:after="0"/>
              <w:rPr>
                <w:sz w:val="20"/>
                <w:szCs w:val="20"/>
                <w:color w:val="auto"/>
              </w:rPr>
            </w:pPr>
            <w:r>
              <w:rPr>
                <w:rFonts w:ascii="Arial" w:cs="Arial" w:eastAsia="Arial" w:hAnsi="Arial"/>
                <w:sz w:val="13"/>
                <w:szCs w:val="13"/>
                <w:b w:val="1"/>
                <w:bCs w:val="1"/>
                <w:color w:val="071D49"/>
                <w:w w:val="95"/>
              </w:rPr>
              <w:t>Target</w:t>
            </w:r>
          </w:p>
        </w:tc>
        <w:tc>
          <w:tcPr>
            <w:tcW w:w="340" w:type="dxa"/>
            <w:vAlign w:val="bottom"/>
            <w:tcBorders>
              <w:bottom w:val="single" w:sz="8" w:color="071D49"/>
            </w:tcBorders>
            <w:gridSpan w:val="2"/>
          </w:tcPr>
          <w:p>
            <w:pPr>
              <w:ind w:left="200"/>
              <w:spacing w:after="0"/>
              <w:rPr>
                <w:sz w:val="20"/>
                <w:szCs w:val="20"/>
                <w:color w:val="auto"/>
              </w:rPr>
            </w:pPr>
            <w:r>
              <w:rPr>
                <w:rFonts w:ascii="Arial" w:cs="Arial" w:eastAsia="Arial" w:hAnsi="Arial"/>
                <w:sz w:val="13"/>
                <w:szCs w:val="13"/>
                <w:b w:val="1"/>
                <w:bCs w:val="1"/>
                <w:color w:val="071D49"/>
              </w:rPr>
              <w:t>​​​</w:t>
            </w:r>
          </w:p>
        </w:tc>
        <w:tc>
          <w:tcPr>
            <w:tcW w:w="1020" w:type="dxa"/>
            <w:vAlign w:val="bottom"/>
            <w:tcBorders>
              <w:bottom w:val="single" w:sz="8" w:color="071D49"/>
            </w:tcBorders>
            <w:gridSpan w:val="2"/>
          </w:tcPr>
          <w:p>
            <w:pPr>
              <w:jc w:val="center"/>
              <w:spacing w:after="0"/>
              <w:rPr>
                <w:sz w:val="20"/>
                <w:szCs w:val="20"/>
                <w:color w:val="auto"/>
              </w:rPr>
            </w:pPr>
            <w:r>
              <w:rPr>
                <w:rFonts w:ascii="Arial" w:cs="Arial" w:eastAsia="Arial" w:hAnsi="Arial"/>
                <w:sz w:val="13"/>
                <w:szCs w:val="13"/>
                <w:b w:val="1"/>
                <w:bCs w:val="1"/>
                <w:color w:val="071D49"/>
              </w:rPr>
              <w:t>Maximum</w:t>
            </w:r>
          </w:p>
        </w:tc>
        <w:tc>
          <w:tcPr>
            <w:tcW w:w="340" w:type="dxa"/>
            <w:vAlign w:val="bottom"/>
            <w:tcBorders>
              <w:bottom w:val="single" w:sz="8" w:color="071D49"/>
            </w:tcBorders>
          </w:tcPr>
          <w:p>
            <w:pPr>
              <w:ind w:left="140"/>
              <w:spacing w:after="0"/>
              <w:rPr>
                <w:sz w:val="20"/>
                <w:szCs w:val="20"/>
                <w:color w:val="auto"/>
              </w:rPr>
            </w:pPr>
            <w:r>
              <w:rPr>
                <w:rFonts w:ascii="Arial" w:cs="Arial" w:eastAsia="Arial" w:hAnsi="Arial"/>
                <w:sz w:val="13"/>
                <w:szCs w:val="13"/>
                <w:b w:val="1"/>
                <w:bCs w:val="1"/>
                <w:color w:val="071D49"/>
              </w:rPr>
              <w:t>​​​</w:t>
            </w:r>
          </w:p>
        </w:tc>
        <w:tc>
          <w:tcPr>
            <w:tcW w:w="960" w:type="dxa"/>
            <w:vAlign w:val="bottom"/>
            <w:tcBorders>
              <w:bottom w:val="single" w:sz="8" w:color="071D49"/>
            </w:tcBorders>
          </w:tcPr>
          <w:p>
            <w:pPr>
              <w:jc w:val="center"/>
              <w:spacing w:after="0"/>
              <w:rPr>
                <w:sz w:val="20"/>
                <w:szCs w:val="20"/>
                <w:color w:val="auto"/>
              </w:rPr>
            </w:pPr>
            <w:r>
              <w:rPr>
                <w:rFonts w:ascii="Arial" w:cs="Arial" w:eastAsia="Arial" w:hAnsi="Arial"/>
                <w:sz w:val="13"/>
                <w:szCs w:val="13"/>
                <w:b w:val="1"/>
                <w:bCs w:val="1"/>
                <w:color w:val="071D49"/>
              </w:rPr>
              <w:t>Result</w:t>
            </w:r>
          </w:p>
        </w:tc>
        <w:tc>
          <w:tcPr>
            <w:tcW w:w="1500" w:type="dxa"/>
            <w:vAlign w:val="bottom"/>
            <w:tcBorders>
              <w:bottom w:val="single" w:sz="8" w:color="071D49"/>
            </w:tcBorders>
          </w:tcPr>
          <w:p>
            <w:pPr>
              <w:jc w:val="right"/>
              <w:ind w:right="1"/>
              <w:spacing w:after="0"/>
              <w:rPr>
                <w:sz w:val="20"/>
                <w:szCs w:val="20"/>
                <w:color w:val="auto"/>
              </w:rPr>
            </w:pPr>
            <w:r>
              <w:rPr>
                <w:rFonts w:ascii="Arial" w:cs="Arial" w:eastAsia="Arial" w:hAnsi="Arial"/>
                <w:sz w:val="13"/>
                <w:szCs w:val="13"/>
                <w:b w:val="1"/>
                <w:bCs w:val="1"/>
                <w:color w:val="071D49"/>
              </w:rPr>
              <w:t>​​​ Impact on Payout</w:t>
            </w:r>
          </w:p>
        </w:tc>
        <w:tc>
          <w:tcPr>
            <w:tcW w:w="0" w:type="dxa"/>
            <w:vAlign w:val="bottom"/>
          </w:tcPr>
          <w:p>
            <w:pPr>
              <w:spacing w:after="0"/>
              <w:rPr>
                <w:sz w:val="1"/>
                <w:szCs w:val="1"/>
                <w:color w:val="auto"/>
              </w:rPr>
            </w:pPr>
          </w:p>
        </w:tc>
      </w:tr>
      <w:tr>
        <w:trPr>
          <w:trHeight w:val="157"/>
        </w:trPr>
        <w:tc>
          <w:tcPr>
            <w:tcW w:w="2100" w:type="dxa"/>
            <w:vAlign w:val="bottom"/>
            <w:shd w:val="clear" w:color="auto" w:fill="DEEBF7"/>
          </w:tcPr>
          <w:p>
            <w:pPr>
              <w:spacing w:after="0"/>
              <w:rPr>
                <w:sz w:val="13"/>
                <w:szCs w:val="13"/>
                <w:color w:val="auto"/>
              </w:rPr>
            </w:pPr>
          </w:p>
        </w:tc>
        <w:tc>
          <w:tcPr>
            <w:tcW w:w="200" w:type="dxa"/>
            <w:vAlign w:val="bottom"/>
            <w:shd w:val="clear" w:color="auto" w:fill="DEEBF7"/>
          </w:tcPr>
          <w:p>
            <w:pPr>
              <w:spacing w:after="0"/>
              <w:rPr>
                <w:sz w:val="13"/>
                <w:szCs w:val="13"/>
                <w:color w:val="auto"/>
              </w:rPr>
            </w:pPr>
          </w:p>
        </w:tc>
        <w:tc>
          <w:tcPr>
            <w:tcW w:w="220" w:type="dxa"/>
            <w:vAlign w:val="bottom"/>
            <w:shd w:val="clear" w:color="auto" w:fill="DEEBF7"/>
          </w:tcPr>
          <w:p>
            <w:pPr>
              <w:spacing w:after="0"/>
              <w:rPr>
                <w:sz w:val="13"/>
                <w:szCs w:val="13"/>
                <w:color w:val="auto"/>
              </w:rPr>
            </w:pPr>
          </w:p>
        </w:tc>
        <w:tc>
          <w:tcPr>
            <w:tcW w:w="520" w:type="dxa"/>
            <w:vAlign w:val="bottom"/>
            <w:shd w:val="clear" w:color="auto" w:fill="DEEBF7"/>
          </w:tcPr>
          <w:p>
            <w:pPr>
              <w:spacing w:after="0"/>
              <w:rPr>
                <w:sz w:val="13"/>
                <w:szCs w:val="13"/>
                <w:color w:val="auto"/>
              </w:rPr>
            </w:pPr>
          </w:p>
        </w:tc>
        <w:tc>
          <w:tcPr>
            <w:tcW w:w="500" w:type="dxa"/>
            <w:vAlign w:val="bottom"/>
            <w:shd w:val="clear" w:color="auto" w:fill="DEEBF7"/>
          </w:tcPr>
          <w:p>
            <w:pPr>
              <w:spacing w:after="0"/>
              <w:rPr>
                <w:sz w:val="13"/>
                <w:szCs w:val="13"/>
                <w:color w:val="auto"/>
              </w:rPr>
            </w:pPr>
          </w:p>
        </w:tc>
        <w:tc>
          <w:tcPr>
            <w:tcW w:w="340" w:type="dxa"/>
            <w:vAlign w:val="bottom"/>
            <w:shd w:val="clear" w:color="auto" w:fill="DEEBF7"/>
          </w:tcPr>
          <w:p>
            <w:pPr>
              <w:spacing w:after="0"/>
              <w:rPr>
                <w:sz w:val="13"/>
                <w:szCs w:val="13"/>
                <w:color w:val="auto"/>
              </w:rPr>
            </w:pPr>
          </w:p>
        </w:tc>
        <w:tc>
          <w:tcPr>
            <w:tcW w:w="1560" w:type="dxa"/>
            <w:vAlign w:val="bottom"/>
            <w:gridSpan w:val="3"/>
            <w:shd w:val="clear" w:color="auto" w:fill="DEEBF7"/>
          </w:tcPr>
          <w:p>
            <w:pPr>
              <w:jc w:val="center"/>
              <w:ind w:right="60"/>
              <w:spacing w:after="0" w:line="152" w:lineRule="exact"/>
              <w:rPr>
                <w:sz w:val="20"/>
                <w:szCs w:val="20"/>
                <w:color w:val="auto"/>
              </w:rPr>
            </w:pPr>
            <w:r>
              <w:rPr>
                <w:rFonts w:ascii="Arial" w:cs="Arial" w:eastAsia="Arial" w:hAnsi="Arial"/>
                <w:sz w:val="16"/>
                <w:szCs w:val="16"/>
                <w:color w:val="auto"/>
              </w:rPr>
              <w:t>Performance Shares</w:t>
            </w:r>
          </w:p>
        </w:tc>
        <w:tc>
          <w:tcPr>
            <w:tcW w:w="760" w:type="dxa"/>
            <w:vAlign w:val="bottom"/>
            <w:shd w:val="clear" w:color="auto" w:fill="DEEBF7"/>
          </w:tcPr>
          <w:p>
            <w:pPr>
              <w:spacing w:after="0"/>
              <w:rPr>
                <w:sz w:val="13"/>
                <w:szCs w:val="13"/>
                <w:color w:val="auto"/>
              </w:rPr>
            </w:pPr>
          </w:p>
        </w:tc>
        <w:tc>
          <w:tcPr>
            <w:tcW w:w="260" w:type="dxa"/>
            <w:vAlign w:val="bottom"/>
            <w:shd w:val="clear" w:color="auto" w:fill="DEEBF7"/>
          </w:tcPr>
          <w:p>
            <w:pPr>
              <w:spacing w:after="0"/>
              <w:rPr>
                <w:sz w:val="13"/>
                <w:szCs w:val="13"/>
                <w:color w:val="auto"/>
              </w:rPr>
            </w:pPr>
          </w:p>
        </w:tc>
        <w:tc>
          <w:tcPr>
            <w:tcW w:w="340" w:type="dxa"/>
            <w:vAlign w:val="bottom"/>
            <w:shd w:val="clear" w:color="auto" w:fill="DEEBF7"/>
          </w:tcPr>
          <w:p>
            <w:pPr>
              <w:spacing w:after="0"/>
              <w:rPr>
                <w:sz w:val="13"/>
                <w:szCs w:val="13"/>
                <w:color w:val="auto"/>
              </w:rPr>
            </w:pPr>
          </w:p>
        </w:tc>
        <w:tc>
          <w:tcPr>
            <w:tcW w:w="960" w:type="dxa"/>
            <w:vAlign w:val="bottom"/>
            <w:shd w:val="clear" w:color="auto" w:fill="DEEBF7"/>
          </w:tcPr>
          <w:p>
            <w:pPr>
              <w:spacing w:after="0"/>
              <w:rPr>
                <w:sz w:val="13"/>
                <w:szCs w:val="13"/>
                <w:color w:val="auto"/>
              </w:rPr>
            </w:pPr>
          </w:p>
        </w:tc>
        <w:tc>
          <w:tcPr>
            <w:tcW w:w="1500" w:type="dxa"/>
            <w:vAlign w:val="bottom"/>
            <w:shd w:val="clear" w:color="auto" w:fill="DEEB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00" w:type="dxa"/>
            <w:vAlign w:val="bottom"/>
            <w:tcBorders>
              <w:top w:val="single" w:sz="8" w:color="DEEBF7"/>
            </w:tcBorders>
            <w:shd w:val="clear" w:color="auto" w:fill="D9D9D9"/>
          </w:tcPr>
          <w:p>
            <w:pPr>
              <w:ind w:left="100"/>
              <w:spacing w:after="0" w:line="160" w:lineRule="exact"/>
              <w:rPr>
                <w:sz w:val="20"/>
                <w:szCs w:val="20"/>
                <w:color w:val="auto"/>
              </w:rPr>
            </w:pPr>
            <w:r>
              <w:rPr>
                <w:rFonts w:ascii="Arial" w:cs="Arial" w:eastAsia="Arial" w:hAnsi="Arial"/>
                <w:sz w:val="16"/>
                <w:szCs w:val="16"/>
                <w:color w:val="auto"/>
              </w:rPr>
              <w:t>2025 Adjusted Diluted</w:t>
            </w:r>
          </w:p>
        </w:tc>
        <w:tc>
          <w:tcPr>
            <w:tcW w:w="200" w:type="dxa"/>
            <w:vAlign w:val="bottom"/>
            <w:tcBorders>
              <w:top w:val="single" w:sz="8" w:color="DEEBF7"/>
            </w:tcBorders>
            <w:shd w:val="clear" w:color="auto" w:fill="D9D9D9"/>
          </w:tcPr>
          <w:p>
            <w:pPr>
              <w:spacing w:after="0"/>
              <w:rPr>
                <w:sz w:val="13"/>
                <w:szCs w:val="13"/>
                <w:color w:val="auto"/>
              </w:rPr>
            </w:pPr>
          </w:p>
        </w:tc>
        <w:tc>
          <w:tcPr>
            <w:tcW w:w="220" w:type="dxa"/>
            <w:vAlign w:val="bottom"/>
            <w:tcBorders>
              <w:top w:val="single" w:sz="8" w:color="DEEBF7"/>
            </w:tcBorders>
            <w:shd w:val="clear" w:color="auto" w:fill="D9D9D9"/>
          </w:tcPr>
          <w:p>
            <w:pPr>
              <w:spacing w:after="0"/>
              <w:rPr>
                <w:sz w:val="13"/>
                <w:szCs w:val="13"/>
                <w:color w:val="auto"/>
              </w:rPr>
            </w:pPr>
          </w:p>
        </w:tc>
        <w:tc>
          <w:tcPr>
            <w:tcW w:w="1020" w:type="dxa"/>
            <w:vAlign w:val="bottom"/>
            <w:tcBorders>
              <w:top w:val="single" w:sz="8" w:color="DEEBF7"/>
            </w:tcBorders>
            <w:gridSpan w:val="2"/>
            <w:vMerge w:val="restart"/>
            <w:shd w:val="clear" w:color="auto" w:fill="D9D9D9"/>
          </w:tcPr>
          <w:p>
            <w:pPr>
              <w:jc w:val="center"/>
              <w:spacing w:after="0"/>
              <w:rPr>
                <w:sz w:val="20"/>
                <w:szCs w:val="20"/>
                <w:color w:val="auto"/>
              </w:rPr>
            </w:pPr>
            <w:r>
              <w:rPr>
                <w:rFonts w:ascii="Arial" w:cs="Arial" w:eastAsia="Arial" w:hAnsi="Arial"/>
                <w:sz w:val="16"/>
                <w:szCs w:val="16"/>
                <w:color w:val="auto"/>
              </w:rPr>
              <w:t>$9.41</w:t>
            </w:r>
          </w:p>
        </w:tc>
        <w:tc>
          <w:tcPr>
            <w:tcW w:w="340" w:type="dxa"/>
            <w:vAlign w:val="bottom"/>
            <w:tcBorders>
              <w:top w:val="single" w:sz="8" w:color="DEEBF7"/>
            </w:tcBorders>
            <w:shd w:val="clear" w:color="auto" w:fill="D9D9D9"/>
          </w:tcPr>
          <w:p>
            <w:pPr>
              <w:spacing w:after="0"/>
              <w:rPr>
                <w:sz w:val="13"/>
                <w:szCs w:val="13"/>
                <w:color w:val="auto"/>
              </w:rPr>
            </w:pPr>
          </w:p>
        </w:tc>
        <w:tc>
          <w:tcPr>
            <w:tcW w:w="1220" w:type="dxa"/>
            <w:vAlign w:val="bottom"/>
            <w:tcBorders>
              <w:top w:val="single" w:sz="8" w:color="auto"/>
            </w:tcBorders>
            <w:vMerge w:val="restart"/>
            <w:shd w:val="clear" w:color="auto" w:fill="D9D9D9"/>
          </w:tcPr>
          <w:p>
            <w:pPr>
              <w:jc w:val="center"/>
              <w:ind w:left="4"/>
              <w:spacing w:after="0"/>
              <w:rPr>
                <w:sz w:val="20"/>
                <w:szCs w:val="20"/>
                <w:color w:val="auto"/>
              </w:rPr>
            </w:pPr>
            <w:r>
              <w:rPr>
                <w:rFonts w:ascii="Arial" w:cs="Arial" w:eastAsia="Arial" w:hAnsi="Arial"/>
                <w:sz w:val="16"/>
                <w:szCs w:val="16"/>
                <w:color w:val="auto"/>
              </w:rPr>
              <w:t>$9.46</w:t>
            </w:r>
          </w:p>
        </w:tc>
        <w:tc>
          <w:tcPr>
            <w:tcW w:w="280" w:type="dxa"/>
            <w:vAlign w:val="bottom"/>
            <w:tcBorders>
              <w:top w:val="single" w:sz="8" w:color="auto"/>
            </w:tcBorders>
            <w:shd w:val="clear" w:color="auto" w:fill="D9D9D9"/>
          </w:tcPr>
          <w:p>
            <w:pPr>
              <w:spacing w:after="0"/>
              <w:rPr>
                <w:sz w:val="13"/>
                <w:szCs w:val="13"/>
                <w:color w:val="auto"/>
              </w:rPr>
            </w:pPr>
          </w:p>
        </w:tc>
        <w:tc>
          <w:tcPr>
            <w:tcW w:w="60" w:type="dxa"/>
            <w:vAlign w:val="bottom"/>
            <w:tcBorders>
              <w:top w:val="single" w:sz="8" w:color="DEEBF7"/>
            </w:tcBorders>
            <w:shd w:val="clear" w:color="auto" w:fill="D9D9D9"/>
          </w:tcPr>
          <w:p>
            <w:pPr>
              <w:spacing w:after="0"/>
              <w:rPr>
                <w:sz w:val="13"/>
                <w:szCs w:val="13"/>
                <w:color w:val="auto"/>
              </w:rPr>
            </w:pPr>
          </w:p>
        </w:tc>
        <w:tc>
          <w:tcPr>
            <w:tcW w:w="760" w:type="dxa"/>
            <w:vAlign w:val="bottom"/>
            <w:tcBorders>
              <w:top w:val="single" w:sz="8" w:color="DEEBF7"/>
            </w:tcBorders>
            <w:vMerge w:val="restart"/>
            <w:shd w:val="clear" w:color="auto" w:fill="D9D9D9"/>
          </w:tcPr>
          <w:p>
            <w:pPr>
              <w:jc w:val="center"/>
              <w:ind w:left="224"/>
              <w:spacing w:after="0"/>
              <w:rPr>
                <w:sz w:val="20"/>
                <w:szCs w:val="20"/>
                <w:color w:val="auto"/>
              </w:rPr>
            </w:pPr>
            <w:r>
              <w:rPr>
                <w:rFonts w:ascii="Arial" w:cs="Arial" w:eastAsia="Arial" w:hAnsi="Arial"/>
                <w:sz w:val="16"/>
                <w:szCs w:val="16"/>
                <w:color w:val="auto"/>
              </w:rPr>
              <w:t>$9.66</w:t>
            </w:r>
          </w:p>
        </w:tc>
        <w:tc>
          <w:tcPr>
            <w:tcW w:w="260" w:type="dxa"/>
            <w:vAlign w:val="bottom"/>
            <w:tcBorders>
              <w:top w:val="single" w:sz="8" w:color="DEEBF7"/>
            </w:tcBorders>
            <w:shd w:val="clear" w:color="auto" w:fill="D9D9D9"/>
          </w:tcPr>
          <w:p>
            <w:pPr>
              <w:spacing w:after="0"/>
              <w:rPr>
                <w:sz w:val="13"/>
                <w:szCs w:val="13"/>
                <w:color w:val="auto"/>
              </w:rPr>
            </w:pPr>
          </w:p>
        </w:tc>
        <w:tc>
          <w:tcPr>
            <w:tcW w:w="340" w:type="dxa"/>
            <w:vAlign w:val="bottom"/>
            <w:tcBorders>
              <w:top w:val="single" w:sz="8" w:color="DEEBF7"/>
            </w:tcBorders>
            <w:shd w:val="clear" w:color="auto" w:fill="D9D9D9"/>
          </w:tcPr>
          <w:p>
            <w:pPr>
              <w:spacing w:after="0"/>
              <w:rPr>
                <w:sz w:val="13"/>
                <w:szCs w:val="13"/>
                <w:color w:val="auto"/>
              </w:rPr>
            </w:pPr>
          </w:p>
        </w:tc>
        <w:tc>
          <w:tcPr>
            <w:tcW w:w="960" w:type="dxa"/>
            <w:vAlign w:val="bottom"/>
            <w:tcBorders>
              <w:top w:val="single" w:sz="8" w:color="DEEBF7"/>
            </w:tcBorders>
            <w:vMerge w:val="restart"/>
            <w:shd w:val="clear" w:color="auto" w:fill="D9D9D9"/>
          </w:tcPr>
          <w:p>
            <w:pPr>
              <w:jc w:val="center"/>
              <w:spacing w:after="0"/>
              <w:rPr>
                <w:sz w:val="20"/>
                <w:szCs w:val="20"/>
                <w:color w:val="auto"/>
              </w:rPr>
            </w:pPr>
            <w:r>
              <w:rPr>
                <w:rFonts w:ascii="Arial" w:cs="Arial" w:eastAsia="Arial" w:hAnsi="Arial"/>
                <w:sz w:val="16"/>
                <w:szCs w:val="16"/>
                <w:color w:val="auto"/>
              </w:rPr>
              <w:t>$10.00</w:t>
            </w:r>
          </w:p>
        </w:tc>
        <w:tc>
          <w:tcPr>
            <w:tcW w:w="1500" w:type="dxa"/>
            <w:vAlign w:val="bottom"/>
            <w:tcBorders>
              <w:top w:val="single" w:sz="8" w:color="DEEBF7"/>
            </w:tcBorders>
            <w:vMerge w:val="restart"/>
            <w:shd w:val="clear" w:color="auto" w:fill="D9D9D9"/>
          </w:tcPr>
          <w:p>
            <w:pPr>
              <w:jc w:val="right"/>
              <w:ind w:right="34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26"/>
        </w:trPr>
        <w:tc>
          <w:tcPr>
            <w:tcW w:w="2100" w:type="dxa"/>
            <w:vAlign w:val="bottom"/>
            <w:vMerge w:val="restart"/>
            <w:shd w:val="clear" w:color="auto" w:fill="D9D9D9"/>
          </w:tcPr>
          <w:p>
            <w:pPr>
              <w:ind w:left="100"/>
              <w:spacing w:after="0" w:line="210" w:lineRule="exact"/>
              <w:rPr>
                <w:sz w:val="20"/>
                <w:szCs w:val="20"/>
                <w:color w:val="auto"/>
              </w:rPr>
            </w:pPr>
            <w:r>
              <w:rPr>
                <w:rFonts w:ascii="Arial" w:cs="Arial" w:eastAsia="Arial" w:hAnsi="Arial"/>
                <w:sz w:val="24"/>
                <w:szCs w:val="24"/>
                <w:color w:val="auto"/>
                <w:vertAlign w:val="subscript"/>
              </w:rPr>
              <w:t>EPS</w:t>
            </w:r>
            <w:r>
              <w:rPr>
                <w:rFonts w:ascii="Arial" w:cs="Arial" w:eastAsia="Arial" w:hAnsi="Arial"/>
                <w:sz w:val="11"/>
                <w:szCs w:val="11"/>
                <w:color w:val="auto"/>
              </w:rPr>
              <w:t>(1,3)</w:t>
            </w:r>
          </w:p>
        </w:tc>
        <w:tc>
          <w:tcPr>
            <w:tcW w:w="200" w:type="dxa"/>
            <w:vAlign w:val="bottom"/>
            <w:shd w:val="clear" w:color="auto" w:fill="D9D9D9"/>
          </w:tcPr>
          <w:p>
            <w:pPr>
              <w:spacing w:after="0"/>
              <w:rPr>
                <w:sz w:val="10"/>
                <w:szCs w:val="10"/>
                <w:color w:val="auto"/>
              </w:rPr>
            </w:pPr>
          </w:p>
        </w:tc>
        <w:tc>
          <w:tcPr>
            <w:tcW w:w="220" w:type="dxa"/>
            <w:vAlign w:val="bottom"/>
            <w:shd w:val="clear" w:color="auto" w:fill="D9D9D9"/>
          </w:tcPr>
          <w:p>
            <w:pPr>
              <w:spacing w:after="0"/>
              <w:rPr>
                <w:sz w:val="10"/>
                <w:szCs w:val="10"/>
                <w:color w:val="auto"/>
              </w:rPr>
            </w:pPr>
          </w:p>
        </w:tc>
        <w:tc>
          <w:tcPr>
            <w:tcW w:w="1020" w:type="dxa"/>
            <w:vAlign w:val="bottom"/>
            <w:gridSpan w:val="2"/>
            <w:vMerge w:val="continue"/>
            <w:shd w:val="clear" w:color="auto" w:fill="D9D9D9"/>
          </w:tcPr>
          <w:p>
            <w:pPr>
              <w:spacing w:after="0"/>
              <w:rPr>
                <w:sz w:val="10"/>
                <w:szCs w:val="10"/>
                <w:color w:val="auto"/>
              </w:rPr>
            </w:pPr>
          </w:p>
        </w:tc>
        <w:tc>
          <w:tcPr>
            <w:tcW w:w="340" w:type="dxa"/>
            <w:vAlign w:val="bottom"/>
            <w:shd w:val="clear" w:color="auto" w:fill="D9D9D9"/>
          </w:tcPr>
          <w:p>
            <w:pPr>
              <w:spacing w:after="0"/>
              <w:rPr>
                <w:sz w:val="10"/>
                <w:szCs w:val="10"/>
                <w:color w:val="auto"/>
              </w:rPr>
            </w:pPr>
          </w:p>
        </w:tc>
        <w:tc>
          <w:tcPr>
            <w:tcW w:w="1220" w:type="dxa"/>
            <w:vAlign w:val="bottom"/>
            <w:vMerge w:val="continue"/>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760" w:type="dxa"/>
            <w:vAlign w:val="bottom"/>
            <w:vMerge w:val="continue"/>
            <w:shd w:val="clear" w:color="auto" w:fill="D9D9D9"/>
          </w:tcPr>
          <w:p>
            <w:pPr>
              <w:spacing w:after="0"/>
              <w:rPr>
                <w:sz w:val="10"/>
                <w:szCs w:val="10"/>
                <w:color w:val="auto"/>
              </w:rPr>
            </w:pPr>
          </w:p>
        </w:tc>
        <w:tc>
          <w:tcPr>
            <w:tcW w:w="260" w:type="dxa"/>
            <w:vAlign w:val="bottom"/>
            <w:shd w:val="clear" w:color="auto" w:fill="D9D9D9"/>
          </w:tcPr>
          <w:p>
            <w:pPr>
              <w:spacing w:after="0"/>
              <w:rPr>
                <w:sz w:val="10"/>
                <w:szCs w:val="10"/>
                <w:color w:val="auto"/>
              </w:rPr>
            </w:pPr>
          </w:p>
        </w:tc>
        <w:tc>
          <w:tcPr>
            <w:tcW w:w="340" w:type="dxa"/>
            <w:vAlign w:val="bottom"/>
            <w:shd w:val="clear" w:color="auto" w:fill="D9D9D9"/>
          </w:tcPr>
          <w:p>
            <w:pPr>
              <w:spacing w:after="0"/>
              <w:rPr>
                <w:sz w:val="10"/>
                <w:szCs w:val="10"/>
                <w:color w:val="auto"/>
              </w:rPr>
            </w:pPr>
          </w:p>
        </w:tc>
        <w:tc>
          <w:tcPr>
            <w:tcW w:w="960" w:type="dxa"/>
            <w:vAlign w:val="bottom"/>
            <w:vMerge w:val="continue"/>
            <w:shd w:val="clear" w:color="auto" w:fill="D9D9D9"/>
          </w:tcPr>
          <w:p>
            <w:pPr>
              <w:spacing w:after="0"/>
              <w:rPr>
                <w:sz w:val="10"/>
                <w:szCs w:val="10"/>
                <w:color w:val="auto"/>
              </w:rPr>
            </w:pPr>
          </w:p>
        </w:tc>
        <w:tc>
          <w:tcPr>
            <w:tcW w:w="1500" w:type="dxa"/>
            <w:vAlign w:val="bottom"/>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100" w:type="dxa"/>
            <w:vAlign w:val="bottom"/>
            <w:vMerge w:val="continue"/>
            <w:shd w:val="clear" w:color="auto" w:fill="D9D9D9"/>
          </w:tcPr>
          <w:p>
            <w:pPr>
              <w:spacing w:after="0"/>
              <w:rPr>
                <w:sz w:val="7"/>
                <w:szCs w:val="7"/>
                <w:color w:val="auto"/>
              </w:rPr>
            </w:pPr>
          </w:p>
        </w:tc>
        <w:tc>
          <w:tcPr>
            <w:tcW w:w="200" w:type="dxa"/>
            <w:vAlign w:val="bottom"/>
            <w:shd w:val="clear" w:color="auto" w:fill="D9D9D9"/>
          </w:tcPr>
          <w:p>
            <w:pPr>
              <w:spacing w:after="0"/>
              <w:rPr>
                <w:sz w:val="7"/>
                <w:szCs w:val="7"/>
                <w:color w:val="auto"/>
              </w:rPr>
            </w:pPr>
          </w:p>
        </w:tc>
        <w:tc>
          <w:tcPr>
            <w:tcW w:w="220" w:type="dxa"/>
            <w:vAlign w:val="bottom"/>
            <w:shd w:val="clear" w:color="auto" w:fill="D9D9D9"/>
          </w:tcPr>
          <w:p>
            <w:pPr>
              <w:spacing w:after="0"/>
              <w:rPr>
                <w:sz w:val="7"/>
                <w:szCs w:val="7"/>
                <w:color w:val="auto"/>
              </w:rPr>
            </w:pPr>
          </w:p>
        </w:tc>
        <w:tc>
          <w:tcPr>
            <w:tcW w:w="520" w:type="dxa"/>
            <w:vAlign w:val="bottom"/>
            <w:shd w:val="clear" w:color="auto" w:fill="D9D9D9"/>
          </w:tcPr>
          <w:p>
            <w:pPr>
              <w:spacing w:after="0"/>
              <w:rPr>
                <w:sz w:val="7"/>
                <w:szCs w:val="7"/>
                <w:color w:val="auto"/>
              </w:rPr>
            </w:pPr>
          </w:p>
        </w:tc>
        <w:tc>
          <w:tcPr>
            <w:tcW w:w="500" w:type="dxa"/>
            <w:vAlign w:val="bottom"/>
            <w:shd w:val="clear" w:color="auto" w:fill="D9D9D9"/>
          </w:tcPr>
          <w:p>
            <w:pPr>
              <w:spacing w:after="0"/>
              <w:rPr>
                <w:sz w:val="7"/>
                <w:szCs w:val="7"/>
                <w:color w:val="auto"/>
              </w:rPr>
            </w:pPr>
          </w:p>
        </w:tc>
        <w:tc>
          <w:tcPr>
            <w:tcW w:w="340" w:type="dxa"/>
            <w:vAlign w:val="bottom"/>
            <w:shd w:val="clear" w:color="auto" w:fill="D9D9D9"/>
          </w:tcPr>
          <w:p>
            <w:pPr>
              <w:spacing w:after="0"/>
              <w:rPr>
                <w:sz w:val="7"/>
                <w:szCs w:val="7"/>
                <w:color w:val="auto"/>
              </w:rPr>
            </w:pPr>
          </w:p>
        </w:tc>
        <w:tc>
          <w:tcPr>
            <w:tcW w:w="1220" w:type="dxa"/>
            <w:vAlign w:val="bottom"/>
            <w:shd w:val="clear" w:color="auto" w:fill="D9D9D9"/>
          </w:tcPr>
          <w:p>
            <w:pPr>
              <w:spacing w:after="0"/>
              <w:rPr>
                <w:sz w:val="7"/>
                <w:szCs w:val="7"/>
                <w:color w:val="auto"/>
              </w:rPr>
            </w:pPr>
          </w:p>
        </w:tc>
        <w:tc>
          <w:tcPr>
            <w:tcW w:w="280" w:type="dxa"/>
            <w:vAlign w:val="bottom"/>
            <w:shd w:val="clear" w:color="auto" w:fill="D9D9D9"/>
          </w:tcPr>
          <w:p>
            <w:pPr>
              <w:spacing w:after="0"/>
              <w:rPr>
                <w:sz w:val="7"/>
                <w:szCs w:val="7"/>
                <w:color w:val="auto"/>
              </w:rPr>
            </w:pPr>
          </w:p>
        </w:tc>
        <w:tc>
          <w:tcPr>
            <w:tcW w:w="60" w:type="dxa"/>
            <w:vAlign w:val="bottom"/>
            <w:shd w:val="clear" w:color="auto" w:fill="D9D9D9"/>
          </w:tcPr>
          <w:p>
            <w:pPr>
              <w:spacing w:after="0"/>
              <w:rPr>
                <w:sz w:val="7"/>
                <w:szCs w:val="7"/>
                <w:color w:val="auto"/>
              </w:rPr>
            </w:pPr>
          </w:p>
        </w:tc>
        <w:tc>
          <w:tcPr>
            <w:tcW w:w="760" w:type="dxa"/>
            <w:vAlign w:val="bottom"/>
            <w:shd w:val="clear" w:color="auto" w:fill="D9D9D9"/>
          </w:tcPr>
          <w:p>
            <w:pPr>
              <w:spacing w:after="0"/>
              <w:rPr>
                <w:sz w:val="7"/>
                <w:szCs w:val="7"/>
                <w:color w:val="auto"/>
              </w:rPr>
            </w:pPr>
          </w:p>
        </w:tc>
        <w:tc>
          <w:tcPr>
            <w:tcW w:w="260" w:type="dxa"/>
            <w:vAlign w:val="bottom"/>
            <w:shd w:val="clear" w:color="auto" w:fill="D9D9D9"/>
          </w:tcPr>
          <w:p>
            <w:pPr>
              <w:spacing w:after="0"/>
              <w:rPr>
                <w:sz w:val="7"/>
                <w:szCs w:val="7"/>
                <w:color w:val="auto"/>
              </w:rPr>
            </w:pPr>
          </w:p>
        </w:tc>
        <w:tc>
          <w:tcPr>
            <w:tcW w:w="340" w:type="dxa"/>
            <w:vAlign w:val="bottom"/>
            <w:shd w:val="clear" w:color="auto" w:fill="D9D9D9"/>
          </w:tcPr>
          <w:p>
            <w:pPr>
              <w:spacing w:after="0"/>
              <w:rPr>
                <w:sz w:val="7"/>
                <w:szCs w:val="7"/>
                <w:color w:val="auto"/>
              </w:rPr>
            </w:pPr>
          </w:p>
        </w:tc>
        <w:tc>
          <w:tcPr>
            <w:tcW w:w="960" w:type="dxa"/>
            <w:vAlign w:val="bottom"/>
            <w:shd w:val="clear" w:color="auto" w:fill="D9D9D9"/>
          </w:tcPr>
          <w:p>
            <w:pPr>
              <w:spacing w:after="0"/>
              <w:rPr>
                <w:sz w:val="7"/>
                <w:szCs w:val="7"/>
                <w:color w:val="auto"/>
              </w:rPr>
            </w:pPr>
          </w:p>
        </w:tc>
        <w:tc>
          <w:tcPr>
            <w:tcW w:w="150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100"/>
              <w:spacing w:after="0"/>
              <w:rPr>
                <w:sz w:val="20"/>
                <w:szCs w:val="20"/>
                <w:color w:val="auto"/>
              </w:rPr>
            </w:pPr>
            <w:r>
              <w:rPr>
                <w:rFonts w:ascii="Arial" w:cs="Arial" w:eastAsia="Arial" w:hAnsi="Arial"/>
                <w:sz w:val="16"/>
                <w:szCs w:val="16"/>
                <w:color w:val="auto"/>
              </w:rPr>
              <w:t>EPS Impact on Payout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rPr>
              <w:t>50%</w:t>
            </w:r>
          </w:p>
        </w:tc>
        <w:tc>
          <w:tcPr>
            <w:tcW w:w="340" w:type="dxa"/>
            <w:vAlign w:val="bottom"/>
          </w:tcPr>
          <w:p>
            <w:pPr>
              <w:spacing w:after="0"/>
              <w:rPr>
                <w:sz w:val="16"/>
                <w:szCs w:val="16"/>
                <w:color w:val="auto"/>
              </w:rPr>
            </w:pPr>
          </w:p>
        </w:tc>
        <w:tc>
          <w:tcPr>
            <w:tcW w:w="1220" w:type="dxa"/>
            <w:vAlign w:val="bottom"/>
          </w:tcPr>
          <w:p>
            <w:pPr>
              <w:jc w:val="center"/>
              <w:ind w:left="4"/>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center"/>
              <w:ind w:left="224"/>
              <w:spacing w:after="0"/>
              <w:rPr>
                <w:sz w:val="20"/>
                <w:szCs w:val="20"/>
                <w:color w:val="auto"/>
              </w:rPr>
            </w:pPr>
            <w:r>
              <w:rPr>
                <w:rFonts w:ascii="Arial" w:cs="Arial" w:eastAsia="Arial" w:hAnsi="Arial"/>
                <w:sz w:val="16"/>
                <w:szCs w:val="16"/>
                <w:color w:val="auto"/>
              </w:rPr>
              <w:t>200%</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00" w:type="dxa"/>
            <w:vAlign w:val="bottom"/>
            <w:shd w:val="clear" w:color="auto" w:fill="D9D9D9"/>
          </w:tcPr>
          <w:p>
            <w:pPr>
              <w:ind w:left="100"/>
              <w:spacing w:after="0"/>
              <w:rPr>
                <w:sz w:val="20"/>
                <w:szCs w:val="20"/>
                <w:color w:val="auto"/>
              </w:rPr>
            </w:pPr>
            <w:r>
              <w:rPr>
                <w:rFonts w:ascii="Arial" w:cs="Arial" w:eastAsia="Arial" w:hAnsi="Arial"/>
                <w:sz w:val="16"/>
                <w:szCs w:val="16"/>
                <w:color w:val="auto"/>
              </w:rPr>
              <w:t>2025-2027 Relative TSR</w:t>
            </w:r>
          </w:p>
        </w:tc>
        <w:tc>
          <w:tcPr>
            <w:tcW w:w="20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6740" w:type="dxa"/>
            <w:vAlign w:val="bottom"/>
            <w:gridSpan w:val="11"/>
            <w:shd w:val="clear" w:color="auto" w:fill="D9D9D9"/>
          </w:tcPr>
          <w:p>
            <w:pPr>
              <w:jc w:val="right"/>
              <w:ind w:right="321"/>
              <w:spacing w:after="0"/>
              <w:rPr>
                <w:sz w:val="20"/>
                <w:szCs w:val="20"/>
                <w:color w:val="auto"/>
              </w:rPr>
            </w:pPr>
            <w:r>
              <w:rPr>
                <w:rFonts w:ascii="Arial" w:cs="Arial" w:eastAsia="Arial" w:hAnsi="Arial"/>
                <w:sz w:val="16"/>
                <w:szCs w:val="16"/>
                <w:color w:val="auto"/>
              </w:rPr>
              <w:t>Relative TSR is measured over a 3</w:t>
            </w:r>
            <w:r>
              <w:rPr>
                <w:rFonts w:ascii="Times New Roman" w:cs="Times New Roman" w:eastAsia="Times New Roman" w:hAnsi="Times New Roman"/>
                <w:sz w:val="16"/>
                <w:szCs w:val="16"/>
                <w:color w:val="auto"/>
              </w:rPr>
              <w:t>-</w:t>
            </w:r>
            <w:r>
              <w:rPr>
                <w:rFonts w:ascii="Arial" w:cs="Arial" w:eastAsia="Arial" w:hAnsi="Arial"/>
                <w:sz w:val="16"/>
                <w:szCs w:val="16"/>
                <w:color w:val="auto"/>
              </w:rPr>
              <w:t>year performance period and used as a modifier</w:t>
            </w:r>
          </w:p>
        </w:tc>
        <w:tc>
          <w:tcPr>
            <w:tcW w:w="0" w:type="dxa"/>
            <w:vAlign w:val="bottom"/>
          </w:tcPr>
          <w:p>
            <w:pPr>
              <w:spacing w:after="0"/>
              <w:rPr>
                <w:sz w:val="1"/>
                <w:szCs w:val="1"/>
                <w:color w:val="auto"/>
              </w:rPr>
            </w:pPr>
          </w:p>
        </w:tc>
      </w:tr>
      <w:tr>
        <w:trPr>
          <w:trHeight w:val="160"/>
        </w:trPr>
        <w:tc>
          <w:tcPr>
            <w:tcW w:w="2100" w:type="dxa"/>
            <w:vAlign w:val="bottom"/>
            <w:shd w:val="clear" w:color="auto" w:fill="DEEBF7"/>
          </w:tcPr>
          <w:p>
            <w:pPr>
              <w:spacing w:after="0"/>
              <w:rPr>
                <w:sz w:val="13"/>
                <w:szCs w:val="13"/>
                <w:color w:val="auto"/>
              </w:rPr>
            </w:pPr>
          </w:p>
        </w:tc>
        <w:tc>
          <w:tcPr>
            <w:tcW w:w="200" w:type="dxa"/>
            <w:vAlign w:val="bottom"/>
            <w:shd w:val="clear" w:color="auto" w:fill="DEEBF7"/>
          </w:tcPr>
          <w:p>
            <w:pPr>
              <w:spacing w:after="0"/>
              <w:rPr>
                <w:sz w:val="13"/>
                <w:szCs w:val="13"/>
                <w:color w:val="auto"/>
              </w:rPr>
            </w:pPr>
          </w:p>
        </w:tc>
        <w:tc>
          <w:tcPr>
            <w:tcW w:w="220" w:type="dxa"/>
            <w:vAlign w:val="bottom"/>
            <w:shd w:val="clear" w:color="auto" w:fill="DEEBF7"/>
          </w:tcPr>
          <w:p>
            <w:pPr>
              <w:spacing w:after="0"/>
              <w:rPr>
                <w:sz w:val="13"/>
                <w:szCs w:val="13"/>
                <w:color w:val="auto"/>
              </w:rPr>
            </w:pPr>
          </w:p>
        </w:tc>
        <w:tc>
          <w:tcPr>
            <w:tcW w:w="520" w:type="dxa"/>
            <w:vAlign w:val="bottom"/>
            <w:shd w:val="clear" w:color="auto" w:fill="DEEBF7"/>
          </w:tcPr>
          <w:p>
            <w:pPr>
              <w:spacing w:after="0"/>
              <w:rPr>
                <w:sz w:val="13"/>
                <w:szCs w:val="13"/>
                <w:color w:val="auto"/>
              </w:rPr>
            </w:pPr>
          </w:p>
        </w:tc>
        <w:tc>
          <w:tcPr>
            <w:tcW w:w="3420" w:type="dxa"/>
            <w:vAlign w:val="bottom"/>
            <w:gridSpan w:val="7"/>
            <w:shd w:val="clear" w:color="auto" w:fill="DEEBF7"/>
          </w:tcPr>
          <w:p>
            <w:pPr>
              <w:jc w:val="center"/>
              <w:ind w:right="260"/>
              <w:spacing w:after="0" w:line="160" w:lineRule="exact"/>
              <w:rPr>
                <w:sz w:val="20"/>
                <w:szCs w:val="20"/>
                <w:color w:val="auto"/>
              </w:rPr>
            </w:pPr>
            <w:r>
              <w:rPr>
                <w:rFonts w:ascii="Arial" w:cs="Arial" w:eastAsia="Arial" w:hAnsi="Arial"/>
                <w:sz w:val="16"/>
                <w:szCs w:val="16"/>
                <w:color w:val="auto"/>
              </w:rPr>
              <w:t>Performance-Vested Restricted Stock Units</w:t>
            </w:r>
          </w:p>
        </w:tc>
        <w:tc>
          <w:tcPr>
            <w:tcW w:w="340" w:type="dxa"/>
            <w:vAlign w:val="bottom"/>
            <w:shd w:val="clear" w:color="auto" w:fill="DEEBF7"/>
          </w:tcPr>
          <w:p>
            <w:pPr>
              <w:spacing w:after="0"/>
              <w:rPr>
                <w:sz w:val="13"/>
                <w:szCs w:val="13"/>
                <w:color w:val="auto"/>
              </w:rPr>
            </w:pPr>
          </w:p>
        </w:tc>
        <w:tc>
          <w:tcPr>
            <w:tcW w:w="960" w:type="dxa"/>
            <w:vAlign w:val="bottom"/>
            <w:shd w:val="clear" w:color="auto" w:fill="DEEBF7"/>
          </w:tcPr>
          <w:p>
            <w:pPr>
              <w:spacing w:after="0"/>
              <w:rPr>
                <w:sz w:val="13"/>
                <w:szCs w:val="13"/>
                <w:color w:val="auto"/>
              </w:rPr>
            </w:pPr>
          </w:p>
        </w:tc>
        <w:tc>
          <w:tcPr>
            <w:tcW w:w="1500" w:type="dxa"/>
            <w:vAlign w:val="bottom"/>
            <w:shd w:val="clear" w:color="auto" w:fill="DEEBF7"/>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100" w:type="dxa"/>
            <w:vAlign w:val="bottom"/>
            <w:shd w:val="clear" w:color="auto" w:fill="DEEBF7"/>
          </w:tcPr>
          <w:p>
            <w:pPr>
              <w:spacing w:after="0"/>
              <w:rPr>
                <w:sz w:val="2"/>
                <w:szCs w:val="2"/>
                <w:color w:val="auto"/>
              </w:rPr>
            </w:pPr>
          </w:p>
        </w:tc>
        <w:tc>
          <w:tcPr>
            <w:tcW w:w="200" w:type="dxa"/>
            <w:vAlign w:val="bottom"/>
            <w:shd w:val="clear" w:color="auto" w:fill="DEEBF7"/>
          </w:tcPr>
          <w:p>
            <w:pPr>
              <w:spacing w:after="0"/>
              <w:rPr>
                <w:sz w:val="2"/>
                <w:szCs w:val="2"/>
                <w:color w:val="auto"/>
              </w:rPr>
            </w:pPr>
          </w:p>
        </w:tc>
        <w:tc>
          <w:tcPr>
            <w:tcW w:w="220" w:type="dxa"/>
            <w:vAlign w:val="bottom"/>
            <w:shd w:val="clear" w:color="auto" w:fill="DEEBF7"/>
          </w:tcPr>
          <w:p>
            <w:pPr>
              <w:spacing w:after="0"/>
              <w:rPr>
                <w:sz w:val="2"/>
                <w:szCs w:val="2"/>
                <w:color w:val="auto"/>
              </w:rPr>
            </w:pPr>
          </w:p>
        </w:tc>
        <w:tc>
          <w:tcPr>
            <w:tcW w:w="520" w:type="dxa"/>
            <w:vAlign w:val="bottom"/>
            <w:shd w:val="clear" w:color="auto" w:fill="DEEBF7"/>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DEEBF7"/>
          </w:tcPr>
          <w:p>
            <w:pPr>
              <w:spacing w:after="0"/>
              <w:rPr>
                <w:sz w:val="2"/>
                <w:szCs w:val="2"/>
                <w:color w:val="auto"/>
              </w:rPr>
            </w:pPr>
          </w:p>
        </w:tc>
        <w:tc>
          <w:tcPr>
            <w:tcW w:w="340" w:type="dxa"/>
            <w:vAlign w:val="bottom"/>
            <w:shd w:val="clear" w:color="auto" w:fill="DEEBF7"/>
          </w:tcPr>
          <w:p>
            <w:pPr>
              <w:spacing w:after="0"/>
              <w:rPr>
                <w:sz w:val="2"/>
                <w:szCs w:val="2"/>
                <w:color w:val="auto"/>
              </w:rPr>
            </w:pPr>
          </w:p>
        </w:tc>
        <w:tc>
          <w:tcPr>
            <w:tcW w:w="960" w:type="dxa"/>
            <w:vAlign w:val="bottom"/>
            <w:shd w:val="clear" w:color="auto" w:fill="DEEBF7"/>
          </w:tcPr>
          <w:p>
            <w:pPr>
              <w:spacing w:after="0"/>
              <w:rPr>
                <w:sz w:val="2"/>
                <w:szCs w:val="2"/>
                <w:color w:val="auto"/>
              </w:rPr>
            </w:pPr>
          </w:p>
        </w:tc>
        <w:tc>
          <w:tcPr>
            <w:tcW w:w="1500" w:type="dxa"/>
            <w:vAlign w:val="bottom"/>
            <w:shd w:val="clear" w:color="auto" w:fill="DEEBF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100" w:type="dxa"/>
            <w:vAlign w:val="bottom"/>
          </w:tcPr>
          <w:p>
            <w:pPr>
              <w:ind w:left="100"/>
              <w:spacing w:after="0" w:line="168" w:lineRule="exact"/>
              <w:rPr>
                <w:sz w:val="20"/>
                <w:szCs w:val="20"/>
                <w:color w:val="auto"/>
              </w:rPr>
            </w:pPr>
            <w:r>
              <w:rPr>
                <w:rFonts w:ascii="Arial" w:cs="Arial" w:eastAsia="Arial" w:hAnsi="Arial"/>
                <w:sz w:val="13"/>
                <w:szCs w:val="13"/>
                <w:color w:val="auto"/>
              </w:rPr>
              <w:t>2025 Relative ROIC</w:t>
            </w:r>
            <w:r>
              <w:rPr>
                <w:rFonts w:ascii="Arial" w:cs="Arial" w:eastAsia="Arial" w:hAnsi="Arial"/>
                <w:sz w:val="19"/>
                <w:szCs w:val="19"/>
                <w:color w:val="auto"/>
                <w:vertAlign w:val="superscript"/>
              </w:rPr>
              <w:t>(2, 3)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line="168" w:lineRule="exact"/>
              <w:rPr>
                <w:sz w:val="20"/>
                <w:szCs w:val="20"/>
                <w:color w:val="auto"/>
              </w:rPr>
            </w:pPr>
            <w:r>
              <w:rPr>
                <w:rFonts w:ascii="Arial" w:cs="Arial" w:eastAsia="Arial" w:hAnsi="Arial"/>
                <w:sz w:val="13"/>
                <w:szCs w:val="13"/>
                <w:color w:val="auto"/>
              </w:rPr>
              <w:t>40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50</w:t>
            </w:r>
            <w:r>
              <w:rPr>
                <w:rFonts w:ascii="Arial" w:cs="Arial" w:eastAsia="Arial" w:hAnsi="Arial"/>
                <w:sz w:val="19"/>
                <w:szCs w:val="19"/>
                <w:color w:val="auto"/>
                <w:vertAlign w:val="superscript"/>
              </w:rPr>
              <w:t>th</w:t>
            </w:r>
          </w:p>
        </w:tc>
        <w:tc>
          <w:tcPr>
            <w:tcW w:w="34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Arial" w:cs="Arial" w:eastAsia="Arial" w:hAnsi="Arial"/>
                <w:sz w:val="13"/>
                <w:szCs w:val="13"/>
                <w:color w:val="auto"/>
              </w:rPr>
              <w:t>50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65</w:t>
            </w:r>
            <w:r>
              <w:rPr>
                <w:rFonts w:ascii="Arial" w:cs="Arial" w:eastAsia="Arial" w:hAnsi="Arial"/>
                <w:sz w:val="19"/>
                <w:szCs w:val="19"/>
                <w:color w:val="auto"/>
                <w:vertAlign w:val="superscript"/>
              </w:rPr>
              <w:t>th</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spacing w:after="0" w:line="168" w:lineRule="exact"/>
              <w:rPr>
                <w:sz w:val="20"/>
                <w:szCs w:val="20"/>
                <w:color w:val="auto"/>
              </w:rPr>
            </w:pPr>
            <w:r>
              <w:rPr>
                <w:rFonts w:ascii="Arial" w:cs="Arial" w:eastAsia="Arial" w:hAnsi="Arial"/>
                <w:sz w:val="13"/>
                <w:szCs w:val="13"/>
                <w:color w:val="auto"/>
              </w:rPr>
              <w:t>&gt;85</w:t>
            </w:r>
            <w:r>
              <w:rPr>
                <w:rFonts w:ascii="Arial" w:cs="Arial" w:eastAsia="Arial" w:hAnsi="Arial"/>
                <w:sz w:val="19"/>
                <w:szCs w:val="19"/>
                <w:color w:val="auto"/>
                <w:vertAlign w:val="superscript"/>
              </w:rPr>
              <w:t>th</w:t>
            </w:r>
          </w:p>
        </w:tc>
        <w:tc>
          <w:tcPr>
            <w:tcW w:w="34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Arial" w:cs="Arial" w:eastAsia="Arial" w:hAnsi="Arial"/>
                <w:sz w:val="13"/>
                <w:szCs w:val="13"/>
                <w:color w:val="auto"/>
              </w:rPr>
              <w:t>95</w:t>
            </w:r>
            <w:r>
              <w:rPr>
                <w:rFonts w:ascii="Arial" w:cs="Arial" w:eastAsia="Arial" w:hAnsi="Arial"/>
                <w:sz w:val="19"/>
                <w:szCs w:val="19"/>
                <w:color w:val="auto"/>
                <w:vertAlign w:val="superscript"/>
              </w:rPr>
              <w:t>th</w:t>
            </w:r>
          </w:p>
        </w:tc>
        <w:tc>
          <w:tcPr>
            <w:tcW w:w="1500" w:type="dxa"/>
            <w:vAlign w:val="bottom"/>
            <w:vMerge w:val="restart"/>
          </w:tcPr>
          <w:p>
            <w:pPr>
              <w:jc w:val="right"/>
              <w:ind w:right="34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30"/>
        </w:trPr>
        <w:tc>
          <w:tcPr>
            <w:tcW w:w="2100" w:type="dxa"/>
            <w:vAlign w:val="bottom"/>
            <w:vMerge w:val="restart"/>
          </w:tcPr>
          <w:p>
            <w:pPr>
              <w:ind w:left="100"/>
              <w:spacing w:after="0"/>
              <w:rPr>
                <w:sz w:val="20"/>
                <w:szCs w:val="20"/>
                <w:color w:val="auto"/>
              </w:rPr>
            </w:pPr>
            <w:r>
              <w:rPr>
                <w:rFonts w:ascii="Arial" w:cs="Arial" w:eastAsia="Arial" w:hAnsi="Arial"/>
                <w:sz w:val="16"/>
                <w:szCs w:val="16"/>
                <w:color w:val="auto"/>
              </w:rPr>
              <w:t>(2025 Award)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6"/>
                <w:szCs w:val="16"/>
                <w:color w:val="auto"/>
              </w:rPr>
              <w:t>percentile</w:t>
            </w:r>
          </w:p>
        </w:tc>
        <w:tc>
          <w:tcPr>
            <w:tcW w:w="34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percentile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6"/>
                <w:szCs w:val="16"/>
                <w:color w:val="auto"/>
              </w:rPr>
              <w:t>percentile</w:t>
            </w:r>
          </w:p>
        </w:tc>
        <w:tc>
          <w:tcPr>
            <w:tcW w:w="34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percentile</w:t>
            </w: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1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100" w:type="dxa"/>
            <w:vAlign w:val="bottom"/>
            <w:shd w:val="clear" w:color="auto" w:fill="D9D9D9"/>
          </w:tcPr>
          <w:p>
            <w:pPr>
              <w:ind w:left="100"/>
              <w:spacing w:after="0" w:line="168" w:lineRule="exact"/>
              <w:rPr>
                <w:sz w:val="20"/>
                <w:szCs w:val="20"/>
                <w:color w:val="auto"/>
              </w:rPr>
            </w:pPr>
            <w:r>
              <w:rPr>
                <w:rFonts w:ascii="Arial" w:cs="Arial" w:eastAsia="Arial" w:hAnsi="Arial"/>
                <w:sz w:val="13"/>
                <w:szCs w:val="13"/>
                <w:color w:val="auto"/>
              </w:rPr>
              <w:t>2025 Relative ROIC</w:t>
            </w:r>
            <w:r>
              <w:rPr>
                <w:rFonts w:ascii="Arial" w:cs="Arial" w:eastAsia="Arial" w:hAnsi="Arial"/>
                <w:sz w:val="19"/>
                <w:szCs w:val="19"/>
                <w:color w:val="auto"/>
                <w:vertAlign w:val="superscript"/>
              </w:rPr>
              <w:t>(2, 3)</w:t>
            </w:r>
          </w:p>
        </w:tc>
        <w:tc>
          <w:tcPr>
            <w:tcW w:w="20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020" w:type="dxa"/>
            <w:vAlign w:val="bottom"/>
            <w:gridSpan w:val="2"/>
            <w:shd w:val="clear" w:color="auto" w:fill="D9D9D9"/>
          </w:tcPr>
          <w:p>
            <w:pPr>
              <w:jc w:val="center"/>
              <w:spacing w:after="0" w:line="168" w:lineRule="exact"/>
              <w:rPr>
                <w:sz w:val="20"/>
                <w:szCs w:val="20"/>
                <w:color w:val="auto"/>
              </w:rPr>
            </w:pPr>
            <w:r>
              <w:rPr>
                <w:rFonts w:ascii="Arial" w:cs="Arial" w:eastAsia="Arial" w:hAnsi="Arial"/>
                <w:sz w:val="13"/>
                <w:szCs w:val="13"/>
                <w:color w:val="auto"/>
              </w:rPr>
              <w:t>40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50</w:t>
            </w:r>
            <w:r>
              <w:rPr>
                <w:rFonts w:ascii="Arial" w:cs="Arial" w:eastAsia="Arial" w:hAnsi="Arial"/>
                <w:sz w:val="19"/>
                <w:szCs w:val="19"/>
                <w:color w:val="auto"/>
                <w:vertAlign w:val="superscript"/>
              </w:rPr>
              <w:t>th</w:t>
            </w:r>
          </w:p>
        </w:tc>
        <w:tc>
          <w:tcPr>
            <w:tcW w:w="340" w:type="dxa"/>
            <w:vAlign w:val="bottom"/>
            <w:shd w:val="clear" w:color="auto" w:fill="D9D9D9"/>
          </w:tcPr>
          <w:p>
            <w:pPr>
              <w:spacing w:after="0"/>
              <w:rPr>
                <w:sz w:val="14"/>
                <w:szCs w:val="14"/>
                <w:color w:val="auto"/>
              </w:rPr>
            </w:pPr>
          </w:p>
        </w:tc>
        <w:tc>
          <w:tcPr>
            <w:tcW w:w="1220" w:type="dxa"/>
            <w:vAlign w:val="bottom"/>
            <w:shd w:val="clear" w:color="auto" w:fill="D9D9D9"/>
          </w:tcPr>
          <w:p>
            <w:pPr>
              <w:jc w:val="center"/>
              <w:spacing w:after="0" w:line="168" w:lineRule="exact"/>
              <w:rPr>
                <w:sz w:val="20"/>
                <w:szCs w:val="20"/>
                <w:color w:val="auto"/>
              </w:rPr>
            </w:pPr>
            <w:r>
              <w:rPr>
                <w:rFonts w:ascii="Arial" w:cs="Arial" w:eastAsia="Arial" w:hAnsi="Arial"/>
                <w:sz w:val="13"/>
                <w:szCs w:val="13"/>
                <w:color w:val="auto"/>
              </w:rPr>
              <w:t>50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65</w:t>
            </w:r>
            <w:r>
              <w:rPr>
                <w:rFonts w:ascii="Arial" w:cs="Arial" w:eastAsia="Arial" w:hAnsi="Arial"/>
                <w:sz w:val="19"/>
                <w:szCs w:val="19"/>
                <w:color w:val="auto"/>
                <w:vertAlign w:val="superscript"/>
              </w:rPr>
              <w:t>th</w:t>
            </w:r>
          </w:p>
        </w:tc>
        <w:tc>
          <w:tcPr>
            <w:tcW w:w="28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1020" w:type="dxa"/>
            <w:vAlign w:val="bottom"/>
            <w:gridSpan w:val="2"/>
            <w:shd w:val="clear" w:color="auto" w:fill="D9D9D9"/>
          </w:tcPr>
          <w:p>
            <w:pPr>
              <w:jc w:val="center"/>
              <w:spacing w:after="0" w:line="168" w:lineRule="exact"/>
              <w:rPr>
                <w:sz w:val="20"/>
                <w:szCs w:val="20"/>
                <w:color w:val="auto"/>
              </w:rPr>
            </w:pPr>
            <w:r>
              <w:rPr>
                <w:rFonts w:ascii="Arial" w:cs="Arial" w:eastAsia="Arial" w:hAnsi="Arial"/>
                <w:sz w:val="13"/>
                <w:szCs w:val="13"/>
                <w:color w:val="auto"/>
              </w:rPr>
              <w:t>&gt;85</w:t>
            </w:r>
            <w:r>
              <w:rPr>
                <w:rFonts w:ascii="Arial" w:cs="Arial" w:eastAsia="Arial" w:hAnsi="Arial"/>
                <w:sz w:val="19"/>
                <w:szCs w:val="19"/>
                <w:color w:val="auto"/>
                <w:vertAlign w:val="superscript"/>
              </w:rPr>
              <w:t>th</w:t>
            </w:r>
          </w:p>
        </w:tc>
        <w:tc>
          <w:tcPr>
            <w:tcW w:w="340" w:type="dxa"/>
            <w:vAlign w:val="bottom"/>
            <w:shd w:val="clear" w:color="auto" w:fill="D9D9D9"/>
          </w:tcPr>
          <w:p>
            <w:pPr>
              <w:spacing w:after="0"/>
              <w:rPr>
                <w:sz w:val="14"/>
                <w:szCs w:val="14"/>
                <w:color w:val="auto"/>
              </w:rPr>
            </w:pPr>
          </w:p>
        </w:tc>
        <w:tc>
          <w:tcPr>
            <w:tcW w:w="960" w:type="dxa"/>
            <w:vAlign w:val="bottom"/>
            <w:shd w:val="clear" w:color="auto" w:fill="D9D9D9"/>
          </w:tcPr>
          <w:p>
            <w:pPr>
              <w:jc w:val="center"/>
              <w:spacing w:after="0" w:line="168" w:lineRule="exact"/>
              <w:rPr>
                <w:sz w:val="20"/>
                <w:szCs w:val="20"/>
                <w:color w:val="auto"/>
              </w:rPr>
            </w:pPr>
            <w:r>
              <w:rPr>
                <w:rFonts w:ascii="Arial" w:cs="Arial" w:eastAsia="Arial" w:hAnsi="Arial"/>
                <w:sz w:val="19"/>
                <w:szCs w:val="19"/>
                <w:color w:val="auto"/>
                <w:vertAlign w:val="subscript"/>
              </w:rPr>
              <w:t>95</w:t>
            </w:r>
            <w:r>
              <w:rPr>
                <w:rFonts w:ascii="Arial" w:cs="Arial" w:eastAsia="Arial" w:hAnsi="Arial"/>
                <w:sz w:val="10"/>
                <w:szCs w:val="10"/>
                <w:color w:val="auto"/>
              </w:rPr>
              <w:t>th</w:t>
            </w:r>
          </w:p>
        </w:tc>
        <w:tc>
          <w:tcPr>
            <w:tcW w:w="1500" w:type="dxa"/>
            <w:vAlign w:val="bottom"/>
            <w:vMerge w:val="restart"/>
            <w:shd w:val="clear" w:color="auto" w:fill="D9D9D9"/>
          </w:tcPr>
          <w:p>
            <w:pPr>
              <w:jc w:val="right"/>
              <w:ind w:right="34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30"/>
        </w:trPr>
        <w:tc>
          <w:tcPr>
            <w:tcW w:w="2100" w:type="dxa"/>
            <w:vAlign w:val="bottom"/>
            <w:vMerge w:val="restart"/>
            <w:shd w:val="clear" w:color="auto" w:fill="D9D9D9"/>
          </w:tcPr>
          <w:p>
            <w:pPr>
              <w:ind w:left="100"/>
              <w:spacing w:after="0"/>
              <w:rPr>
                <w:sz w:val="20"/>
                <w:szCs w:val="20"/>
                <w:color w:val="auto"/>
              </w:rPr>
            </w:pPr>
            <w:r>
              <w:rPr>
                <w:rFonts w:ascii="Arial" w:cs="Arial" w:eastAsia="Arial" w:hAnsi="Arial"/>
                <w:sz w:val="16"/>
                <w:szCs w:val="16"/>
                <w:color w:val="auto"/>
              </w:rPr>
              <w:t>(2024 Award)</w:t>
            </w:r>
          </w:p>
        </w:tc>
        <w:tc>
          <w:tcPr>
            <w:tcW w:w="200" w:type="dxa"/>
            <w:vAlign w:val="bottom"/>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1020" w:type="dxa"/>
            <w:vAlign w:val="bottom"/>
            <w:gridSpan w:val="2"/>
            <w:vMerge w:val="restart"/>
            <w:shd w:val="clear" w:color="auto" w:fill="D9D9D9"/>
          </w:tcPr>
          <w:p>
            <w:pPr>
              <w:jc w:val="center"/>
              <w:spacing w:after="0"/>
              <w:rPr>
                <w:sz w:val="20"/>
                <w:szCs w:val="20"/>
                <w:color w:val="auto"/>
              </w:rPr>
            </w:pPr>
            <w:r>
              <w:rPr>
                <w:rFonts w:ascii="Arial" w:cs="Arial" w:eastAsia="Arial" w:hAnsi="Arial"/>
                <w:sz w:val="16"/>
                <w:szCs w:val="16"/>
                <w:color w:val="auto"/>
              </w:rPr>
              <w:t>percentile</w:t>
            </w:r>
          </w:p>
        </w:tc>
        <w:tc>
          <w:tcPr>
            <w:tcW w:w="340" w:type="dxa"/>
            <w:vAlign w:val="bottom"/>
            <w:shd w:val="clear" w:color="auto" w:fill="D9D9D9"/>
          </w:tcPr>
          <w:p>
            <w:pPr>
              <w:spacing w:after="0"/>
              <w:rPr>
                <w:sz w:val="11"/>
                <w:szCs w:val="11"/>
                <w:color w:val="auto"/>
              </w:rPr>
            </w:pPr>
          </w:p>
        </w:tc>
        <w:tc>
          <w:tcPr>
            <w:tcW w:w="1220" w:type="dxa"/>
            <w:vAlign w:val="bottom"/>
            <w:vMerge w:val="restart"/>
            <w:shd w:val="clear" w:color="auto" w:fill="D9D9D9"/>
          </w:tcPr>
          <w:p>
            <w:pPr>
              <w:jc w:val="center"/>
              <w:spacing w:after="0"/>
              <w:rPr>
                <w:sz w:val="20"/>
                <w:szCs w:val="20"/>
                <w:color w:val="auto"/>
              </w:rPr>
            </w:pPr>
            <w:r>
              <w:rPr>
                <w:rFonts w:ascii="Arial" w:cs="Arial" w:eastAsia="Arial" w:hAnsi="Arial"/>
                <w:sz w:val="16"/>
                <w:szCs w:val="16"/>
                <w:color w:val="auto"/>
              </w:rPr>
              <w:t>percentile</w:t>
            </w:r>
          </w:p>
        </w:tc>
        <w:tc>
          <w:tcPr>
            <w:tcW w:w="2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1020" w:type="dxa"/>
            <w:vAlign w:val="bottom"/>
            <w:gridSpan w:val="2"/>
            <w:vMerge w:val="restart"/>
            <w:shd w:val="clear" w:color="auto" w:fill="D9D9D9"/>
          </w:tcPr>
          <w:p>
            <w:pPr>
              <w:jc w:val="center"/>
              <w:spacing w:after="0"/>
              <w:rPr>
                <w:sz w:val="20"/>
                <w:szCs w:val="20"/>
                <w:color w:val="auto"/>
              </w:rPr>
            </w:pPr>
            <w:r>
              <w:rPr>
                <w:rFonts w:ascii="Arial" w:cs="Arial" w:eastAsia="Arial" w:hAnsi="Arial"/>
                <w:sz w:val="16"/>
                <w:szCs w:val="16"/>
                <w:color w:val="auto"/>
              </w:rPr>
              <w:t>percentile</w:t>
            </w:r>
          </w:p>
        </w:tc>
        <w:tc>
          <w:tcPr>
            <w:tcW w:w="340" w:type="dxa"/>
            <w:vAlign w:val="bottom"/>
            <w:shd w:val="clear" w:color="auto" w:fill="D9D9D9"/>
          </w:tcPr>
          <w:p>
            <w:pPr>
              <w:spacing w:after="0"/>
              <w:rPr>
                <w:sz w:val="11"/>
                <w:szCs w:val="11"/>
                <w:color w:val="auto"/>
              </w:rPr>
            </w:pPr>
          </w:p>
        </w:tc>
        <w:tc>
          <w:tcPr>
            <w:tcW w:w="960" w:type="dxa"/>
            <w:vAlign w:val="bottom"/>
            <w:vMerge w:val="restart"/>
            <w:shd w:val="clear" w:color="auto" w:fill="D9D9D9"/>
          </w:tcPr>
          <w:p>
            <w:pPr>
              <w:jc w:val="center"/>
              <w:spacing w:after="0"/>
              <w:rPr>
                <w:sz w:val="20"/>
                <w:szCs w:val="20"/>
                <w:color w:val="auto"/>
              </w:rPr>
            </w:pPr>
            <w:r>
              <w:rPr>
                <w:rFonts w:ascii="Arial" w:cs="Arial" w:eastAsia="Arial" w:hAnsi="Arial"/>
                <w:sz w:val="16"/>
                <w:szCs w:val="16"/>
                <w:color w:val="auto"/>
              </w:rPr>
              <w:t>percentile</w:t>
            </w:r>
          </w:p>
        </w:tc>
        <w:tc>
          <w:tcPr>
            <w:tcW w:w="1500" w:type="dxa"/>
            <w:vAlign w:val="bottom"/>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100" w:type="dxa"/>
            <w:vAlign w:val="bottom"/>
            <w:vMerge w:val="continue"/>
            <w:shd w:val="clear" w:color="auto" w:fill="D9D9D9"/>
          </w:tcPr>
          <w:p>
            <w:pPr>
              <w:spacing w:after="0"/>
              <w:rPr>
                <w:sz w:val="7"/>
                <w:szCs w:val="7"/>
                <w:color w:val="auto"/>
              </w:rPr>
            </w:pPr>
          </w:p>
        </w:tc>
        <w:tc>
          <w:tcPr>
            <w:tcW w:w="200" w:type="dxa"/>
            <w:vAlign w:val="bottom"/>
            <w:shd w:val="clear" w:color="auto" w:fill="D9D9D9"/>
          </w:tcPr>
          <w:p>
            <w:pPr>
              <w:spacing w:after="0"/>
              <w:rPr>
                <w:sz w:val="7"/>
                <w:szCs w:val="7"/>
                <w:color w:val="auto"/>
              </w:rPr>
            </w:pPr>
          </w:p>
        </w:tc>
        <w:tc>
          <w:tcPr>
            <w:tcW w:w="220" w:type="dxa"/>
            <w:vAlign w:val="bottom"/>
            <w:shd w:val="clear" w:color="auto" w:fill="D9D9D9"/>
          </w:tcPr>
          <w:p>
            <w:pPr>
              <w:spacing w:after="0"/>
              <w:rPr>
                <w:sz w:val="7"/>
                <w:szCs w:val="7"/>
                <w:color w:val="auto"/>
              </w:rPr>
            </w:pPr>
          </w:p>
        </w:tc>
        <w:tc>
          <w:tcPr>
            <w:tcW w:w="1020" w:type="dxa"/>
            <w:vAlign w:val="bottom"/>
            <w:gridSpan w:val="2"/>
            <w:vMerge w:val="continue"/>
            <w:shd w:val="clear" w:color="auto" w:fill="D9D9D9"/>
          </w:tcPr>
          <w:p>
            <w:pPr>
              <w:spacing w:after="0"/>
              <w:rPr>
                <w:sz w:val="7"/>
                <w:szCs w:val="7"/>
                <w:color w:val="auto"/>
              </w:rPr>
            </w:pPr>
          </w:p>
        </w:tc>
        <w:tc>
          <w:tcPr>
            <w:tcW w:w="340" w:type="dxa"/>
            <w:vAlign w:val="bottom"/>
            <w:shd w:val="clear" w:color="auto" w:fill="D9D9D9"/>
          </w:tcPr>
          <w:p>
            <w:pPr>
              <w:spacing w:after="0"/>
              <w:rPr>
                <w:sz w:val="7"/>
                <w:szCs w:val="7"/>
                <w:color w:val="auto"/>
              </w:rPr>
            </w:pPr>
          </w:p>
        </w:tc>
        <w:tc>
          <w:tcPr>
            <w:tcW w:w="1220" w:type="dxa"/>
            <w:vAlign w:val="bottom"/>
            <w:vMerge w:val="continue"/>
            <w:shd w:val="clear" w:color="auto" w:fill="D9D9D9"/>
          </w:tcPr>
          <w:p>
            <w:pPr>
              <w:spacing w:after="0"/>
              <w:rPr>
                <w:sz w:val="7"/>
                <w:szCs w:val="7"/>
                <w:color w:val="auto"/>
              </w:rPr>
            </w:pPr>
          </w:p>
        </w:tc>
        <w:tc>
          <w:tcPr>
            <w:tcW w:w="280" w:type="dxa"/>
            <w:vAlign w:val="bottom"/>
            <w:shd w:val="clear" w:color="auto" w:fill="D9D9D9"/>
          </w:tcPr>
          <w:p>
            <w:pPr>
              <w:spacing w:after="0"/>
              <w:rPr>
                <w:sz w:val="7"/>
                <w:szCs w:val="7"/>
                <w:color w:val="auto"/>
              </w:rPr>
            </w:pPr>
          </w:p>
        </w:tc>
        <w:tc>
          <w:tcPr>
            <w:tcW w:w="60" w:type="dxa"/>
            <w:vAlign w:val="bottom"/>
            <w:shd w:val="clear" w:color="auto" w:fill="D9D9D9"/>
          </w:tcPr>
          <w:p>
            <w:pPr>
              <w:spacing w:after="0"/>
              <w:rPr>
                <w:sz w:val="7"/>
                <w:szCs w:val="7"/>
                <w:color w:val="auto"/>
              </w:rPr>
            </w:pPr>
          </w:p>
        </w:tc>
        <w:tc>
          <w:tcPr>
            <w:tcW w:w="1020" w:type="dxa"/>
            <w:vAlign w:val="bottom"/>
            <w:gridSpan w:val="2"/>
            <w:vMerge w:val="continue"/>
            <w:shd w:val="clear" w:color="auto" w:fill="D9D9D9"/>
          </w:tcPr>
          <w:p>
            <w:pPr>
              <w:spacing w:after="0"/>
              <w:rPr>
                <w:sz w:val="7"/>
                <w:szCs w:val="7"/>
                <w:color w:val="auto"/>
              </w:rPr>
            </w:pPr>
          </w:p>
        </w:tc>
        <w:tc>
          <w:tcPr>
            <w:tcW w:w="340" w:type="dxa"/>
            <w:vAlign w:val="bottom"/>
            <w:shd w:val="clear" w:color="auto" w:fill="D9D9D9"/>
          </w:tcPr>
          <w:p>
            <w:pPr>
              <w:spacing w:after="0"/>
              <w:rPr>
                <w:sz w:val="7"/>
                <w:szCs w:val="7"/>
                <w:color w:val="auto"/>
              </w:rPr>
            </w:pPr>
          </w:p>
        </w:tc>
        <w:tc>
          <w:tcPr>
            <w:tcW w:w="960" w:type="dxa"/>
            <w:vAlign w:val="bottom"/>
            <w:vMerge w:val="continue"/>
            <w:shd w:val="clear" w:color="auto" w:fill="D9D9D9"/>
          </w:tcPr>
          <w:p>
            <w:pPr>
              <w:spacing w:after="0"/>
              <w:rPr>
                <w:sz w:val="7"/>
                <w:szCs w:val="7"/>
                <w:color w:val="auto"/>
              </w:rPr>
            </w:pPr>
          </w:p>
        </w:tc>
        <w:tc>
          <w:tcPr>
            <w:tcW w:w="150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00"/>
              <w:spacing w:after="0" w:line="168" w:lineRule="exact"/>
              <w:rPr>
                <w:sz w:val="20"/>
                <w:szCs w:val="20"/>
                <w:color w:val="auto"/>
              </w:rPr>
            </w:pPr>
            <w:r>
              <w:rPr>
                <w:rFonts w:ascii="Arial" w:cs="Arial" w:eastAsia="Arial" w:hAnsi="Arial"/>
                <w:sz w:val="13"/>
                <w:szCs w:val="13"/>
                <w:color w:val="auto"/>
              </w:rPr>
              <w:t>2025 Relative ROIC</w:t>
            </w:r>
            <w:r>
              <w:rPr>
                <w:rFonts w:ascii="Arial" w:cs="Arial" w:eastAsia="Arial" w:hAnsi="Arial"/>
                <w:sz w:val="19"/>
                <w:szCs w:val="19"/>
                <w:color w:val="auto"/>
                <w:vertAlign w:val="superscript"/>
              </w:rPr>
              <w:t>(2, 3)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line="168" w:lineRule="exact"/>
              <w:rPr>
                <w:sz w:val="20"/>
                <w:szCs w:val="20"/>
                <w:color w:val="auto"/>
              </w:rPr>
            </w:pPr>
            <w:r>
              <w:rPr>
                <w:rFonts w:ascii="Arial" w:cs="Arial" w:eastAsia="Arial" w:hAnsi="Arial"/>
                <w:sz w:val="13"/>
                <w:szCs w:val="13"/>
                <w:color w:val="auto"/>
              </w:rPr>
              <w:t>40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50</w:t>
            </w:r>
            <w:r>
              <w:rPr>
                <w:rFonts w:ascii="Arial" w:cs="Arial" w:eastAsia="Arial" w:hAnsi="Arial"/>
                <w:sz w:val="19"/>
                <w:szCs w:val="19"/>
                <w:color w:val="auto"/>
                <w:vertAlign w:val="superscript"/>
              </w:rPr>
              <w:t>th</w:t>
            </w:r>
          </w:p>
        </w:tc>
        <w:tc>
          <w:tcPr>
            <w:tcW w:w="34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Arial" w:cs="Arial" w:eastAsia="Arial" w:hAnsi="Arial"/>
                <w:sz w:val="13"/>
                <w:szCs w:val="13"/>
                <w:color w:val="auto"/>
              </w:rPr>
              <w:t>50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65</w:t>
            </w:r>
            <w:r>
              <w:rPr>
                <w:rFonts w:ascii="Arial" w:cs="Arial" w:eastAsia="Arial" w:hAnsi="Arial"/>
                <w:sz w:val="19"/>
                <w:szCs w:val="19"/>
                <w:color w:val="auto"/>
                <w:vertAlign w:val="superscript"/>
              </w:rPr>
              <w:t>th</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spacing w:after="0" w:line="168" w:lineRule="exact"/>
              <w:rPr>
                <w:sz w:val="20"/>
                <w:szCs w:val="20"/>
                <w:color w:val="auto"/>
              </w:rPr>
            </w:pPr>
            <w:r>
              <w:rPr>
                <w:rFonts w:ascii="Arial" w:cs="Arial" w:eastAsia="Arial" w:hAnsi="Arial"/>
                <w:sz w:val="13"/>
                <w:szCs w:val="13"/>
                <w:color w:val="auto"/>
              </w:rPr>
              <w:t>&gt;85</w:t>
            </w:r>
            <w:r>
              <w:rPr>
                <w:rFonts w:ascii="Arial" w:cs="Arial" w:eastAsia="Arial" w:hAnsi="Arial"/>
                <w:sz w:val="19"/>
                <w:szCs w:val="19"/>
                <w:color w:val="auto"/>
                <w:vertAlign w:val="superscript"/>
              </w:rPr>
              <w:t>th</w:t>
            </w:r>
          </w:p>
        </w:tc>
        <w:tc>
          <w:tcPr>
            <w:tcW w:w="34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Arial" w:cs="Arial" w:eastAsia="Arial" w:hAnsi="Arial"/>
                <w:sz w:val="13"/>
                <w:szCs w:val="13"/>
                <w:color w:val="auto"/>
              </w:rPr>
              <w:t>95</w:t>
            </w:r>
            <w:r>
              <w:rPr>
                <w:rFonts w:ascii="Arial" w:cs="Arial" w:eastAsia="Arial" w:hAnsi="Arial"/>
                <w:sz w:val="19"/>
                <w:szCs w:val="19"/>
                <w:color w:val="auto"/>
                <w:vertAlign w:val="superscript"/>
              </w:rPr>
              <w:t>th</w:t>
            </w:r>
          </w:p>
        </w:tc>
        <w:tc>
          <w:tcPr>
            <w:tcW w:w="1500" w:type="dxa"/>
            <w:vAlign w:val="bottom"/>
            <w:vMerge w:val="restart"/>
          </w:tcPr>
          <w:p>
            <w:pPr>
              <w:jc w:val="right"/>
              <w:ind w:right="34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30"/>
        </w:trPr>
        <w:tc>
          <w:tcPr>
            <w:tcW w:w="2100" w:type="dxa"/>
            <w:vAlign w:val="bottom"/>
            <w:vMerge w:val="restart"/>
          </w:tcPr>
          <w:p>
            <w:pPr>
              <w:ind w:left="100"/>
              <w:spacing w:after="0"/>
              <w:rPr>
                <w:sz w:val="20"/>
                <w:szCs w:val="20"/>
                <w:color w:val="auto"/>
              </w:rPr>
            </w:pPr>
            <w:r>
              <w:rPr>
                <w:rFonts w:ascii="Arial" w:cs="Arial" w:eastAsia="Arial" w:hAnsi="Arial"/>
                <w:sz w:val="16"/>
                <w:szCs w:val="16"/>
                <w:color w:val="auto"/>
              </w:rPr>
              <w:t>(2023 Award)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6"/>
                <w:szCs w:val="16"/>
                <w:color w:val="auto"/>
              </w:rPr>
              <w:t>percentile</w:t>
            </w:r>
          </w:p>
        </w:tc>
        <w:tc>
          <w:tcPr>
            <w:tcW w:w="34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percentile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6"/>
                <w:szCs w:val="16"/>
                <w:color w:val="auto"/>
              </w:rPr>
              <w:t>percentile</w:t>
            </w:r>
          </w:p>
        </w:tc>
        <w:tc>
          <w:tcPr>
            <w:tcW w:w="34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percentile</w:t>
            </w: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1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100" w:type="dxa"/>
            <w:vAlign w:val="bottom"/>
            <w:tcBorders>
              <w:bottom w:val="single" w:sz="8" w:color="071D49"/>
            </w:tcBorders>
            <w:shd w:val="clear" w:color="auto" w:fill="D9D9D9"/>
          </w:tcPr>
          <w:p>
            <w:pPr>
              <w:ind w:left="100"/>
              <w:spacing w:after="0"/>
              <w:rPr>
                <w:sz w:val="20"/>
                <w:szCs w:val="20"/>
                <w:color w:val="auto"/>
              </w:rPr>
            </w:pPr>
            <w:r>
              <w:rPr>
                <w:rFonts w:ascii="Arial" w:cs="Arial" w:eastAsia="Arial" w:hAnsi="Arial"/>
                <w:sz w:val="16"/>
                <w:szCs w:val="16"/>
                <w:color w:val="auto"/>
              </w:rPr>
              <w:t>ROIC Impact on Payout</w:t>
            </w:r>
          </w:p>
        </w:tc>
        <w:tc>
          <w:tcPr>
            <w:tcW w:w="200" w:type="dxa"/>
            <w:vAlign w:val="bottom"/>
            <w:tcBorders>
              <w:bottom w:val="single" w:sz="8" w:color="071D49"/>
            </w:tcBorders>
            <w:shd w:val="clear" w:color="auto" w:fill="D9D9D9"/>
          </w:tcPr>
          <w:p>
            <w:pPr>
              <w:spacing w:after="0"/>
              <w:rPr>
                <w:sz w:val="16"/>
                <w:szCs w:val="16"/>
                <w:color w:val="auto"/>
              </w:rPr>
            </w:pPr>
          </w:p>
        </w:tc>
        <w:tc>
          <w:tcPr>
            <w:tcW w:w="220" w:type="dxa"/>
            <w:vAlign w:val="bottom"/>
            <w:tcBorders>
              <w:bottom w:val="single" w:sz="8" w:color="071D49"/>
            </w:tcBorders>
            <w:shd w:val="clear" w:color="auto" w:fill="D9D9D9"/>
          </w:tcPr>
          <w:p>
            <w:pPr>
              <w:spacing w:after="0"/>
              <w:rPr>
                <w:sz w:val="16"/>
                <w:szCs w:val="16"/>
                <w:color w:val="auto"/>
              </w:rPr>
            </w:pPr>
          </w:p>
        </w:tc>
        <w:tc>
          <w:tcPr>
            <w:tcW w:w="1020" w:type="dxa"/>
            <w:vAlign w:val="bottom"/>
            <w:tcBorders>
              <w:bottom w:val="single" w:sz="8" w:color="071D49"/>
            </w:tcBorders>
            <w:gridSpan w:val="2"/>
            <w:shd w:val="clear" w:color="auto" w:fill="D9D9D9"/>
          </w:tcPr>
          <w:p>
            <w:pPr>
              <w:jc w:val="center"/>
              <w:spacing w:after="0"/>
              <w:rPr>
                <w:sz w:val="20"/>
                <w:szCs w:val="20"/>
                <w:color w:val="auto"/>
              </w:rPr>
            </w:pPr>
            <w:r>
              <w:rPr>
                <w:rFonts w:ascii="Arial" w:cs="Arial" w:eastAsia="Arial" w:hAnsi="Arial"/>
                <w:sz w:val="16"/>
                <w:szCs w:val="16"/>
                <w:color w:val="auto"/>
              </w:rPr>
              <w:t>50%</w:t>
            </w:r>
          </w:p>
        </w:tc>
        <w:tc>
          <w:tcPr>
            <w:tcW w:w="340" w:type="dxa"/>
            <w:vAlign w:val="bottom"/>
            <w:tcBorders>
              <w:bottom w:val="single" w:sz="8" w:color="071D49"/>
            </w:tcBorders>
            <w:shd w:val="clear" w:color="auto" w:fill="D9D9D9"/>
          </w:tcPr>
          <w:p>
            <w:pPr>
              <w:spacing w:after="0"/>
              <w:rPr>
                <w:sz w:val="16"/>
                <w:szCs w:val="16"/>
                <w:color w:val="auto"/>
              </w:rPr>
            </w:pPr>
          </w:p>
        </w:tc>
        <w:tc>
          <w:tcPr>
            <w:tcW w:w="1220" w:type="dxa"/>
            <w:vAlign w:val="bottom"/>
            <w:tcBorders>
              <w:bottom w:val="single" w:sz="8" w:color="071D49"/>
            </w:tcBorders>
            <w:shd w:val="clear" w:color="auto" w:fill="D9D9D9"/>
          </w:tcPr>
          <w:p>
            <w:pPr>
              <w:jc w:val="center"/>
              <w:ind w:left="4"/>
              <w:spacing w:after="0"/>
              <w:rPr>
                <w:sz w:val="20"/>
                <w:szCs w:val="20"/>
                <w:color w:val="auto"/>
              </w:rPr>
            </w:pPr>
            <w:r>
              <w:rPr>
                <w:rFonts w:ascii="Arial" w:cs="Arial" w:eastAsia="Arial" w:hAnsi="Arial"/>
                <w:sz w:val="16"/>
                <w:szCs w:val="16"/>
                <w:color w:val="auto"/>
              </w:rPr>
              <w:t>100%</w:t>
            </w:r>
          </w:p>
        </w:tc>
        <w:tc>
          <w:tcPr>
            <w:tcW w:w="280" w:type="dxa"/>
            <w:vAlign w:val="bottom"/>
            <w:tcBorders>
              <w:bottom w:val="single" w:sz="8" w:color="071D49"/>
            </w:tcBorders>
            <w:shd w:val="clear" w:color="auto" w:fill="D9D9D9"/>
          </w:tcPr>
          <w:p>
            <w:pPr>
              <w:spacing w:after="0"/>
              <w:rPr>
                <w:sz w:val="16"/>
                <w:szCs w:val="16"/>
                <w:color w:val="auto"/>
              </w:rPr>
            </w:pPr>
          </w:p>
        </w:tc>
        <w:tc>
          <w:tcPr>
            <w:tcW w:w="60" w:type="dxa"/>
            <w:vAlign w:val="bottom"/>
            <w:tcBorders>
              <w:bottom w:val="single" w:sz="8" w:color="071D49"/>
            </w:tcBorders>
            <w:shd w:val="clear" w:color="auto" w:fill="D9D9D9"/>
          </w:tcPr>
          <w:p>
            <w:pPr>
              <w:spacing w:after="0"/>
              <w:rPr>
                <w:sz w:val="16"/>
                <w:szCs w:val="16"/>
                <w:color w:val="auto"/>
              </w:rPr>
            </w:pPr>
          </w:p>
        </w:tc>
        <w:tc>
          <w:tcPr>
            <w:tcW w:w="760" w:type="dxa"/>
            <w:vAlign w:val="bottom"/>
            <w:tcBorders>
              <w:bottom w:val="single" w:sz="8" w:color="071D49"/>
            </w:tcBorders>
            <w:shd w:val="clear" w:color="auto" w:fill="D9D9D9"/>
          </w:tcPr>
          <w:p>
            <w:pPr>
              <w:jc w:val="center"/>
              <w:ind w:left="224"/>
              <w:spacing w:after="0"/>
              <w:rPr>
                <w:sz w:val="20"/>
                <w:szCs w:val="20"/>
                <w:color w:val="auto"/>
              </w:rPr>
            </w:pPr>
            <w:r>
              <w:rPr>
                <w:rFonts w:ascii="Arial" w:cs="Arial" w:eastAsia="Arial" w:hAnsi="Arial"/>
                <w:sz w:val="16"/>
                <w:szCs w:val="16"/>
                <w:color w:val="auto"/>
              </w:rPr>
              <w:t>200%</w:t>
            </w:r>
          </w:p>
        </w:tc>
        <w:tc>
          <w:tcPr>
            <w:tcW w:w="260" w:type="dxa"/>
            <w:vAlign w:val="bottom"/>
            <w:tcBorders>
              <w:bottom w:val="single" w:sz="8" w:color="071D49"/>
            </w:tcBorders>
            <w:shd w:val="clear" w:color="auto" w:fill="D9D9D9"/>
          </w:tcPr>
          <w:p>
            <w:pPr>
              <w:spacing w:after="0"/>
              <w:rPr>
                <w:sz w:val="16"/>
                <w:szCs w:val="16"/>
                <w:color w:val="auto"/>
              </w:rPr>
            </w:pPr>
          </w:p>
        </w:tc>
        <w:tc>
          <w:tcPr>
            <w:tcW w:w="340" w:type="dxa"/>
            <w:vAlign w:val="bottom"/>
            <w:tcBorders>
              <w:bottom w:val="single" w:sz="8" w:color="071D49"/>
            </w:tcBorders>
            <w:shd w:val="clear" w:color="auto" w:fill="D9D9D9"/>
          </w:tcPr>
          <w:p>
            <w:pPr>
              <w:spacing w:after="0"/>
              <w:rPr>
                <w:sz w:val="16"/>
                <w:szCs w:val="16"/>
                <w:color w:val="auto"/>
              </w:rPr>
            </w:pPr>
          </w:p>
        </w:tc>
        <w:tc>
          <w:tcPr>
            <w:tcW w:w="960" w:type="dxa"/>
            <w:vAlign w:val="bottom"/>
            <w:tcBorders>
              <w:bottom w:val="single" w:sz="8" w:color="071D49"/>
            </w:tcBorders>
            <w:shd w:val="clear" w:color="auto" w:fill="D9D9D9"/>
          </w:tcPr>
          <w:p>
            <w:pPr>
              <w:spacing w:after="0"/>
              <w:rPr>
                <w:sz w:val="16"/>
                <w:szCs w:val="16"/>
                <w:color w:val="auto"/>
              </w:rPr>
            </w:pPr>
          </w:p>
        </w:tc>
        <w:tc>
          <w:tcPr>
            <w:tcW w:w="1500" w:type="dxa"/>
            <w:vAlign w:val="bottom"/>
            <w:tcBorders>
              <w:bottom w:val="single" w:sz="8" w:color="071D49"/>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320" w:type="dxa"/>
            <w:vAlign w:val="bottom"/>
            <w:gridSpan w:val="4"/>
            <w:vMerge w:val="restart"/>
          </w:tcPr>
          <w:p>
            <w:pPr>
              <w:ind w:left="4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772"/>
        </w:trPr>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gridSpan w:val="4"/>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2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-491490</wp:posOffset>
            </wp:positionV>
            <wp:extent cx="797560" cy="148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46" w:name="page47"/>
    <w:bookmarkEnd w:id="46"/>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289" w:right="40" w:hanging="289"/>
        <w:spacing w:after="0" w:line="283" w:lineRule="auto"/>
        <w:tabs>
          <w:tab w:leader="none" w:pos="289" w:val="left"/>
        </w:tabs>
        <w:numPr>
          <w:ilvl w:val="0"/>
          <w:numId w:val="69"/>
        </w:numPr>
        <w:rPr>
          <w:rFonts w:ascii="Arial" w:cs="Arial" w:eastAsia="Arial" w:hAnsi="Arial"/>
          <w:sz w:val="16"/>
          <w:szCs w:val="16"/>
          <w:color w:val="auto"/>
        </w:rPr>
      </w:pPr>
      <w:r>
        <w:rPr>
          <w:rFonts w:ascii="Arial" w:cs="Arial" w:eastAsia="Arial" w:hAnsi="Arial"/>
          <w:sz w:val="16"/>
          <w:szCs w:val="16"/>
          <w:color w:val="auto"/>
        </w:rPr>
        <w:t>Adjusted diluted earnings per share is a non-GAAP measure that represents diluted earnings per share adjusted to exclude certain specified items, as described in Appendix B.</w:t>
      </w:r>
    </w:p>
    <w:p>
      <w:pPr>
        <w:spacing w:after="0" w:line="132" w:lineRule="exact"/>
        <w:rPr>
          <w:rFonts w:ascii="Arial" w:cs="Arial" w:eastAsia="Arial" w:hAnsi="Arial"/>
          <w:sz w:val="16"/>
          <w:szCs w:val="16"/>
          <w:color w:val="auto"/>
        </w:rPr>
      </w:pPr>
    </w:p>
    <w:p>
      <w:pPr>
        <w:ind w:left="289" w:right="60" w:hanging="289"/>
        <w:spacing w:after="0" w:line="254" w:lineRule="auto"/>
        <w:tabs>
          <w:tab w:leader="none" w:pos="289" w:val="left"/>
        </w:tabs>
        <w:numPr>
          <w:ilvl w:val="0"/>
          <w:numId w:val="69"/>
        </w:numPr>
        <w:rPr>
          <w:rFonts w:ascii="Arial" w:cs="Arial" w:eastAsia="Arial" w:hAnsi="Arial"/>
          <w:sz w:val="16"/>
          <w:szCs w:val="16"/>
          <w:color w:val="auto"/>
        </w:rPr>
      </w:pPr>
      <w:r>
        <w:rPr>
          <w:rFonts w:ascii="Arial" w:cs="Arial" w:eastAsia="Arial" w:hAnsi="Arial"/>
          <w:sz w:val="16"/>
          <w:szCs w:val="16"/>
          <w:color w:val="auto"/>
        </w:rPr>
        <w:t>ROIC is a non-GAAP measure equal to the quotient of (i) adjusted net earnings, as outlined in Appendix B, divided by (ii) average invested capital. Average invested capital is equal to the average of the following over fiscal years 2024 and 2025: total stockholders’ equity, plus long-term debt (which excludes any long-term lease obligations included as long-term debt on the company’s balance sheet).</w:t>
      </w:r>
    </w:p>
    <w:p>
      <w:pPr>
        <w:spacing w:after="0" w:line="156" w:lineRule="exact"/>
        <w:rPr>
          <w:rFonts w:ascii="Arial" w:cs="Arial" w:eastAsia="Arial" w:hAnsi="Arial"/>
          <w:sz w:val="16"/>
          <w:szCs w:val="16"/>
          <w:color w:val="auto"/>
        </w:rPr>
      </w:pPr>
    </w:p>
    <w:p>
      <w:pPr>
        <w:ind w:left="289" w:right="360" w:hanging="289"/>
        <w:spacing w:after="0" w:line="254" w:lineRule="auto"/>
        <w:tabs>
          <w:tab w:leader="none" w:pos="289" w:val="left"/>
        </w:tabs>
        <w:numPr>
          <w:ilvl w:val="0"/>
          <w:numId w:val="69"/>
        </w:numPr>
        <w:rPr>
          <w:rFonts w:ascii="Arial" w:cs="Arial" w:eastAsia="Arial" w:hAnsi="Arial"/>
          <w:sz w:val="16"/>
          <w:szCs w:val="16"/>
          <w:color w:val="auto"/>
        </w:rPr>
      </w:pPr>
      <w:r>
        <w:rPr>
          <w:rFonts w:ascii="Arial" w:cs="Arial" w:eastAsia="Arial" w:hAnsi="Arial"/>
          <w:sz w:val="16"/>
          <w:szCs w:val="16"/>
          <w:color w:val="auto"/>
        </w:rPr>
        <w:t>Due to the uncertainty associated with the timing of acquired IPR&amp;D and milestones expense, the financial goals established to evaluate management performance for purposes of incentive compensation exclude the impact of these payments. However, the performance goals shown in this table have been adjusted to account for acquired IPR&amp;D and milestones expense in 2025 and the results include the unfavorable impact of those expenses.</w:t>
      </w:r>
    </w:p>
    <w:p>
      <w:pPr>
        <w:spacing w:after="0" w:line="157" w:lineRule="exact"/>
        <w:rPr>
          <w:sz w:val="20"/>
          <w:szCs w:val="20"/>
          <w:color w:val="auto"/>
        </w:rPr>
      </w:pPr>
    </w:p>
    <w:p>
      <w:pPr>
        <w:ind w:left="9" w:right="380"/>
        <w:spacing w:after="0" w:line="283" w:lineRule="auto"/>
        <w:rPr>
          <w:sz w:val="20"/>
          <w:szCs w:val="20"/>
          <w:color w:val="auto"/>
        </w:rPr>
      </w:pPr>
      <w:r>
        <w:rPr>
          <w:rFonts w:ascii="Arial" w:cs="Arial" w:eastAsia="Arial" w:hAnsi="Arial"/>
          <w:sz w:val="16"/>
          <w:szCs w:val="16"/>
          <w:color w:val="auto"/>
        </w:rPr>
        <w:t>AbbVie granted performance shares in 2023 that were subject to a three-year performance cycle that ended December 31, 2025. The table below shows the performance targets and actual results.</w:t>
      </w:r>
    </w:p>
    <w:p>
      <w:pPr>
        <w:spacing w:after="0" w:line="166" w:lineRule="exact"/>
        <w:rPr>
          <w:sz w:val="20"/>
          <w:szCs w:val="20"/>
          <w:color w:val="auto"/>
        </w:rPr>
      </w:pPr>
    </w:p>
    <w:tbl>
      <w:tblPr>
        <w:tblLayout w:type="fixed"/>
        <w:tblInd w:w="9" w:type="dxa"/>
        <w:tblCellMar>
          <w:top w:w="0" w:type="dxa"/>
          <w:left w:w="0" w:type="dxa"/>
          <w:bottom w:w="0" w:type="dxa"/>
          <w:right w:w="0" w:type="dxa"/>
        </w:tblCellMar>
      </w:tblPr>
      <w:tr>
        <w:trPr>
          <w:trHeight w:val="165"/>
        </w:trPr>
        <w:tc>
          <w:tcPr>
            <w:tcW w:w="166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071D49"/>
              </w:rPr>
              <w:t>Performance</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834"/>
              <w:spacing w:after="0"/>
              <w:rPr>
                <w:sz w:val="20"/>
                <w:szCs w:val="20"/>
                <w:color w:val="auto"/>
              </w:rPr>
            </w:pPr>
            <w:r>
              <w:rPr>
                <w:rFonts w:ascii="Arial" w:cs="Arial" w:eastAsia="Arial" w:hAnsi="Arial"/>
                <w:sz w:val="13"/>
                <w:szCs w:val="13"/>
                <w:b w:val="1"/>
                <w:bCs w:val="1"/>
                <w:color w:val="071D49"/>
              </w:rPr>
              <w:t>​</w:t>
            </w:r>
          </w:p>
        </w:tc>
        <w:tc>
          <w:tcPr>
            <w:tcW w:w="0" w:type="dxa"/>
            <w:vAlign w:val="bottom"/>
          </w:tcPr>
          <w:p>
            <w:pPr>
              <w:spacing w:after="0"/>
              <w:rPr>
                <w:sz w:val="1"/>
                <w:szCs w:val="1"/>
                <w:color w:val="auto"/>
              </w:rPr>
            </w:pPr>
          </w:p>
        </w:tc>
      </w:tr>
      <w:tr>
        <w:trPr>
          <w:trHeight w:val="74"/>
        </w:trPr>
        <w:tc>
          <w:tcPr>
            <w:tcW w:w="1660" w:type="dxa"/>
            <w:vAlign w:val="bottom"/>
            <w:vMerge w:val="restart"/>
          </w:tcPr>
          <w:p>
            <w:pPr>
              <w:ind w:left="100"/>
              <w:spacing w:after="0" w:line="148" w:lineRule="exact"/>
              <w:rPr>
                <w:sz w:val="20"/>
                <w:szCs w:val="20"/>
                <w:color w:val="auto"/>
              </w:rPr>
            </w:pPr>
            <w:r>
              <w:rPr>
                <w:rFonts w:ascii="Arial" w:cs="Arial" w:eastAsia="Arial" w:hAnsi="Arial"/>
                <w:sz w:val="13"/>
                <w:szCs w:val="13"/>
                <w:b w:val="1"/>
                <w:bCs w:val="1"/>
                <w:color w:val="071D49"/>
              </w:rPr>
              <w:t>Objective &amp; Payout</w:t>
            </w:r>
          </w:p>
        </w:tc>
        <w:tc>
          <w:tcPr>
            <w:tcW w:w="320" w:type="dxa"/>
            <w:vAlign w:val="bottom"/>
            <w:vMerge w:val="restart"/>
          </w:tcPr>
          <w:p>
            <w:pPr>
              <w:ind w:left="140"/>
              <w:spacing w:after="0" w:line="148" w:lineRule="exact"/>
              <w:rPr>
                <w:sz w:val="20"/>
                <w:szCs w:val="20"/>
                <w:color w:val="auto"/>
              </w:rPr>
            </w:pPr>
            <w:r>
              <w:rPr>
                <w:rFonts w:ascii="Arial" w:cs="Arial" w:eastAsia="Arial" w:hAnsi="Arial"/>
                <w:sz w:val="13"/>
                <w:szCs w:val="13"/>
                <w:b w:val="1"/>
                <w:bCs w:val="1"/>
                <w:color w:val="071D49"/>
              </w:rPr>
              <w:t>​​​</w:t>
            </w:r>
          </w:p>
        </w:tc>
        <w:tc>
          <w:tcPr>
            <w:tcW w:w="110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071D49"/>
              </w:rPr>
              <w:t>Threshold</w:t>
            </w:r>
          </w:p>
        </w:tc>
        <w:tc>
          <w:tcPr>
            <w:tcW w:w="420" w:type="dxa"/>
            <w:vAlign w:val="bottom"/>
            <w:vMerge w:val="restart"/>
          </w:tcPr>
          <w:p>
            <w:pPr>
              <w:ind w:left="120"/>
              <w:spacing w:after="0" w:line="148" w:lineRule="exact"/>
              <w:rPr>
                <w:sz w:val="20"/>
                <w:szCs w:val="20"/>
                <w:color w:val="auto"/>
              </w:rPr>
            </w:pPr>
            <w:r>
              <w:rPr>
                <w:rFonts w:ascii="Arial" w:cs="Arial" w:eastAsia="Arial" w:hAnsi="Arial"/>
                <w:sz w:val="13"/>
                <w:szCs w:val="13"/>
                <w:b w:val="1"/>
                <w:bCs w:val="1"/>
                <w:color w:val="071D49"/>
              </w:rPr>
              <w:t>​​​</w:t>
            </w:r>
          </w:p>
        </w:tc>
        <w:tc>
          <w:tcPr>
            <w:tcW w:w="144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071D49"/>
                <w:w w:val="95"/>
              </w:rPr>
              <w:t>Target</w:t>
            </w:r>
          </w:p>
        </w:tc>
        <w:tc>
          <w:tcPr>
            <w:tcW w:w="400" w:type="dxa"/>
            <w:vAlign w:val="bottom"/>
            <w:vMerge w:val="restart"/>
          </w:tcPr>
          <w:p>
            <w:pPr>
              <w:ind w:left="220"/>
              <w:spacing w:after="0" w:line="148" w:lineRule="exact"/>
              <w:rPr>
                <w:sz w:val="20"/>
                <w:szCs w:val="20"/>
                <w:color w:val="auto"/>
              </w:rPr>
            </w:pPr>
            <w:r>
              <w:rPr>
                <w:rFonts w:ascii="Arial" w:cs="Arial" w:eastAsia="Arial" w:hAnsi="Arial"/>
                <w:sz w:val="13"/>
                <w:szCs w:val="13"/>
                <w:b w:val="1"/>
                <w:bCs w:val="1"/>
                <w:color w:val="071D49"/>
              </w:rPr>
              <w:t>​​​</w:t>
            </w: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071D49"/>
                <w:w w:val="99"/>
              </w:rPr>
              <w:t>Maximum</w:t>
            </w:r>
          </w:p>
        </w:tc>
        <w:tc>
          <w:tcPr>
            <w:tcW w:w="220" w:type="dxa"/>
            <w:vAlign w:val="bottom"/>
            <w:vMerge w:val="restart"/>
          </w:tcPr>
          <w:p>
            <w:pPr>
              <w:ind w:left="120"/>
              <w:spacing w:after="0" w:line="148" w:lineRule="exact"/>
              <w:rPr>
                <w:sz w:val="20"/>
                <w:szCs w:val="20"/>
                <w:color w:val="auto"/>
              </w:rPr>
            </w:pPr>
            <w:r>
              <w:rPr>
                <w:rFonts w:ascii="Arial" w:cs="Arial" w:eastAsia="Arial" w:hAnsi="Arial"/>
                <w:sz w:val="13"/>
                <w:szCs w:val="13"/>
                <w:b w:val="1"/>
                <w:bCs w:val="1"/>
                <w:color w:val="071D49"/>
              </w:rPr>
              <w:t>​​​</w:t>
            </w:r>
          </w:p>
        </w:tc>
        <w:tc>
          <w:tcPr>
            <w:tcW w:w="156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071D49"/>
              </w:rPr>
              <w:t>Actual</w:t>
            </w: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66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000" w:type="dxa"/>
            <w:vAlign w:val="bottom"/>
            <w:vMerge w:val="restart"/>
          </w:tcPr>
          <w:p>
            <w:pPr>
              <w:jc w:val="right"/>
              <w:ind w:right="834"/>
              <w:spacing w:after="0"/>
              <w:rPr>
                <w:sz w:val="20"/>
                <w:szCs w:val="20"/>
                <w:color w:val="auto"/>
              </w:rPr>
            </w:pPr>
            <w:r>
              <w:rPr>
                <w:rFonts w:ascii="Arial" w:cs="Arial" w:eastAsia="Arial" w:hAnsi="Arial"/>
                <w:sz w:val="13"/>
                <w:szCs w:val="13"/>
                <w:b w:val="1"/>
                <w:bCs w:val="1"/>
                <w:color w:val="071D49"/>
              </w:rPr>
              <w:t>​​</w:t>
            </w:r>
          </w:p>
        </w:tc>
        <w:tc>
          <w:tcPr>
            <w:tcW w:w="0" w:type="dxa"/>
            <w:vAlign w:val="bottom"/>
          </w:tcPr>
          <w:p>
            <w:pPr>
              <w:spacing w:after="0"/>
              <w:rPr>
                <w:sz w:val="1"/>
                <w:szCs w:val="1"/>
                <w:color w:val="auto"/>
              </w:rPr>
            </w:pPr>
          </w:p>
        </w:tc>
      </w:tr>
      <w:tr>
        <w:trPr>
          <w:trHeight w:val="105"/>
        </w:trPr>
        <w:tc>
          <w:tcPr>
            <w:tcW w:w="1660" w:type="dxa"/>
            <w:vAlign w:val="bottom"/>
            <w:vMerge w:val="restart"/>
          </w:tcPr>
          <w:p>
            <w:pPr>
              <w:ind w:left="100"/>
              <w:spacing w:after="0"/>
              <w:rPr>
                <w:sz w:val="20"/>
                <w:szCs w:val="20"/>
                <w:color w:val="auto"/>
              </w:rPr>
            </w:pPr>
            <w:r>
              <w:rPr>
                <w:rFonts w:ascii="Arial" w:cs="Arial" w:eastAsia="Arial" w:hAnsi="Arial"/>
                <w:sz w:val="13"/>
                <w:szCs w:val="13"/>
                <w:b w:val="1"/>
                <w:bCs w:val="1"/>
                <w:color w:val="071D49"/>
              </w:rPr>
              <w:t>Modification</w:t>
            </w: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660" w:type="dxa"/>
            <w:vAlign w:val="bottom"/>
            <w:tcBorders>
              <w:bottom w:val="single" w:sz="8" w:color="071D49"/>
            </w:tcBorders>
            <w:vMerge w:val="continue"/>
          </w:tcPr>
          <w:p>
            <w:pPr>
              <w:spacing w:after="0"/>
              <w:rPr>
                <w:sz w:val="5"/>
                <w:szCs w:val="5"/>
                <w:color w:val="auto"/>
              </w:rPr>
            </w:pPr>
          </w:p>
        </w:tc>
        <w:tc>
          <w:tcPr>
            <w:tcW w:w="320" w:type="dxa"/>
            <w:vAlign w:val="bottom"/>
            <w:tcBorders>
              <w:bottom w:val="single" w:sz="8" w:color="071D49"/>
            </w:tcBorders>
          </w:tcPr>
          <w:p>
            <w:pPr>
              <w:spacing w:after="0"/>
              <w:rPr>
                <w:sz w:val="5"/>
                <w:szCs w:val="5"/>
                <w:color w:val="auto"/>
              </w:rPr>
            </w:pPr>
          </w:p>
        </w:tc>
        <w:tc>
          <w:tcPr>
            <w:tcW w:w="1100" w:type="dxa"/>
            <w:vAlign w:val="bottom"/>
            <w:tcBorders>
              <w:bottom w:val="single" w:sz="8" w:color="071D49"/>
            </w:tcBorders>
          </w:tcPr>
          <w:p>
            <w:pPr>
              <w:spacing w:after="0"/>
              <w:rPr>
                <w:sz w:val="5"/>
                <w:szCs w:val="5"/>
                <w:color w:val="auto"/>
              </w:rPr>
            </w:pPr>
          </w:p>
        </w:tc>
        <w:tc>
          <w:tcPr>
            <w:tcW w:w="420" w:type="dxa"/>
            <w:vAlign w:val="bottom"/>
            <w:tcBorders>
              <w:bottom w:val="single" w:sz="8" w:color="071D49"/>
            </w:tcBorders>
          </w:tcPr>
          <w:p>
            <w:pPr>
              <w:spacing w:after="0"/>
              <w:rPr>
                <w:sz w:val="5"/>
                <w:szCs w:val="5"/>
                <w:color w:val="auto"/>
              </w:rPr>
            </w:pPr>
          </w:p>
        </w:tc>
        <w:tc>
          <w:tcPr>
            <w:tcW w:w="1440" w:type="dxa"/>
            <w:vAlign w:val="bottom"/>
            <w:tcBorders>
              <w:bottom w:val="single" w:sz="8" w:color="071D49"/>
            </w:tcBorders>
          </w:tcPr>
          <w:p>
            <w:pPr>
              <w:spacing w:after="0"/>
              <w:rPr>
                <w:sz w:val="5"/>
                <w:szCs w:val="5"/>
                <w:color w:val="auto"/>
              </w:rPr>
            </w:pPr>
          </w:p>
        </w:tc>
        <w:tc>
          <w:tcPr>
            <w:tcW w:w="400" w:type="dxa"/>
            <w:vAlign w:val="bottom"/>
            <w:tcBorders>
              <w:bottom w:val="single" w:sz="8" w:color="071D49"/>
            </w:tcBorders>
          </w:tcPr>
          <w:p>
            <w:pPr>
              <w:spacing w:after="0"/>
              <w:rPr>
                <w:sz w:val="5"/>
                <w:szCs w:val="5"/>
                <w:color w:val="auto"/>
              </w:rPr>
            </w:pPr>
          </w:p>
        </w:tc>
        <w:tc>
          <w:tcPr>
            <w:tcW w:w="1140" w:type="dxa"/>
            <w:vAlign w:val="bottom"/>
            <w:tcBorders>
              <w:bottom w:val="single" w:sz="8" w:color="071D49"/>
            </w:tcBorders>
          </w:tcPr>
          <w:p>
            <w:pPr>
              <w:spacing w:after="0"/>
              <w:rPr>
                <w:sz w:val="5"/>
                <w:szCs w:val="5"/>
                <w:color w:val="auto"/>
              </w:rPr>
            </w:pPr>
          </w:p>
        </w:tc>
        <w:tc>
          <w:tcPr>
            <w:tcW w:w="220" w:type="dxa"/>
            <w:vAlign w:val="bottom"/>
            <w:tcBorders>
              <w:bottom w:val="single" w:sz="8" w:color="071D49"/>
            </w:tcBorders>
          </w:tcPr>
          <w:p>
            <w:pPr>
              <w:spacing w:after="0"/>
              <w:rPr>
                <w:sz w:val="5"/>
                <w:szCs w:val="5"/>
                <w:color w:val="auto"/>
              </w:rPr>
            </w:pPr>
          </w:p>
        </w:tc>
        <w:tc>
          <w:tcPr>
            <w:tcW w:w="1560" w:type="dxa"/>
            <w:vAlign w:val="bottom"/>
            <w:tcBorders>
              <w:bottom w:val="single" w:sz="8" w:color="071D49"/>
            </w:tcBorders>
          </w:tcPr>
          <w:p>
            <w:pPr>
              <w:spacing w:after="0"/>
              <w:rPr>
                <w:sz w:val="5"/>
                <w:szCs w:val="5"/>
                <w:color w:val="auto"/>
              </w:rPr>
            </w:pPr>
          </w:p>
        </w:tc>
        <w:tc>
          <w:tcPr>
            <w:tcW w:w="1000" w:type="dxa"/>
            <w:vAlign w:val="bottom"/>
            <w:tcBorders>
              <w:bottom w:val="single" w:sz="8" w:color="071D49"/>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660" w:type="dxa"/>
            <w:vAlign w:val="bottom"/>
            <w:vMerge w:val="restart"/>
            <w:shd w:val="clear" w:color="auto" w:fill="D9D9D9"/>
          </w:tcPr>
          <w:p>
            <w:pPr>
              <w:ind w:left="100"/>
              <w:spacing w:after="0"/>
              <w:rPr>
                <w:sz w:val="20"/>
                <w:szCs w:val="20"/>
                <w:color w:val="auto"/>
              </w:rPr>
            </w:pPr>
            <w:r>
              <w:rPr>
                <w:rFonts w:ascii="Arial" w:cs="Arial" w:eastAsia="Arial" w:hAnsi="Arial"/>
                <w:sz w:val="16"/>
                <w:szCs w:val="16"/>
                <w:color w:val="auto"/>
              </w:rPr>
              <w:t>Relative TSR</w:t>
            </w:r>
          </w:p>
        </w:tc>
        <w:tc>
          <w:tcPr>
            <w:tcW w:w="320" w:type="dxa"/>
            <w:vAlign w:val="bottom"/>
            <w:shd w:val="clear" w:color="auto" w:fill="D9D9D9"/>
          </w:tcPr>
          <w:p>
            <w:pPr>
              <w:spacing w:after="0"/>
              <w:rPr>
                <w:sz w:val="13"/>
                <w:szCs w:val="13"/>
                <w:color w:val="auto"/>
              </w:rPr>
            </w:pPr>
          </w:p>
        </w:tc>
        <w:tc>
          <w:tcPr>
            <w:tcW w:w="1100" w:type="dxa"/>
            <w:vAlign w:val="bottom"/>
            <w:shd w:val="clear" w:color="auto" w:fill="D9D9D9"/>
          </w:tcPr>
          <w:p>
            <w:pPr>
              <w:jc w:val="center"/>
              <w:spacing w:after="0" w:line="160" w:lineRule="exact"/>
              <w:rPr>
                <w:sz w:val="20"/>
                <w:szCs w:val="20"/>
                <w:color w:val="auto"/>
              </w:rPr>
            </w:pPr>
            <w:r>
              <w:rPr>
                <w:rFonts w:ascii="Arial" w:cs="Arial" w:eastAsia="Arial" w:hAnsi="Arial"/>
                <w:sz w:val="16"/>
                <w:szCs w:val="16"/>
                <w:color w:val="auto"/>
              </w:rPr>
              <w:t>15 pts below</w:t>
            </w:r>
          </w:p>
        </w:tc>
        <w:tc>
          <w:tcPr>
            <w:tcW w:w="420" w:type="dxa"/>
            <w:vAlign w:val="bottom"/>
            <w:shd w:val="clear" w:color="auto" w:fill="D9D9D9"/>
          </w:tcPr>
          <w:p>
            <w:pPr>
              <w:spacing w:after="0"/>
              <w:rPr>
                <w:sz w:val="13"/>
                <w:szCs w:val="13"/>
                <w:color w:val="auto"/>
              </w:rPr>
            </w:pPr>
          </w:p>
        </w:tc>
        <w:tc>
          <w:tcPr>
            <w:tcW w:w="1440" w:type="dxa"/>
            <w:vAlign w:val="bottom"/>
            <w:shd w:val="clear" w:color="auto" w:fill="D9D9D9"/>
          </w:tcPr>
          <w:p>
            <w:pPr>
              <w:jc w:val="center"/>
              <w:ind w:right="2"/>
              <w:spacing w:after="0" w:line="160" w:lineRule="exact"/>
              <w:rPr>
                <w:sz w:val="20"/>
                <w:szCs w:val="20"/>
                <w:color w:val="auto"/>
              </w:rPr>
            </w:pPr>
            <w:r>
              <w:rPr>
                <w:rFonts w:ascii="Arial" w:cs="Arial" w:eastAsia="Arial" w:hAnsi="Arial"/>
                <w:sz w:val="16"/>
                <w:szCs w:val="16"/>
                <w:color w:val="auto"/>
              </w:rPr>
              <w:t>Equal to index</w:t>
            </w:r>
          </w:p>
        </w:tc>
        <w:tc>
          <w:tcPr>
            <w:tcW w:w="400" w:type="dxa"/>
            <w:vAlign w:val="bottom"/>
            <w:shd w:val="clear" w:color="auto" w:fill="D9D9D9"/>
          </w:tcPr>
          <w:p>
            <w:pPr>
              <w:spacing w:after="0"/>
              <w:rPr>
                <w:sz w:val="13"/>
                <w:szCs w:val="13"/>
                <w:color w:val="auto"/>
              </w:rPr>
            </w:pPr>
          </w:p>
        </w:tc>
        <w:tc>
          <w:tcPr>
            <w:tcW w:w="1140" w:type="dxa"/>
            <w:vAlign w:val="bottom"/>
            <w:shd w:val="clear" w:color="auto" w:fill="D9D9D9"/>
          </w:tcPr>
          <w:p>
            <w:pPr>
              <w:jc w:val="center"/>
              <w:ind w:right="2"/>
              <w:spacing w:after="0" w:line="160" w:lineRule="exact"/>
              <w:rPr>
                <w:sz w:val="20"/>
                <w:szCs w:val="20"/>
                <w:color w:val="auto"/>
              </w:rPr>
            </w:pPr>
            <w:r>
              <w:rPr>
                <w:rFonts w:ascii="Arial" w:cs="Arial" w:eastAsia="Arial" w:hAnsi="Arial"/>
                <w:sz w:val="16"/>
                <w:szCs w:val="16"/>
                <w:color w:val="auto"/>
              </w:rPr>
              <w:t>15 pts above</w:t>
            </w:r>
          </w:p>
        </w:tc>
        <w:tc>
          <w:tcPr>
            <w:tcW w:w="220" w:type="dxa"/>
            <w:vAlign w:val="bottom"/>
            <w:shd w:val="clear" w:color="auto" w:fill="D9D9D9"/>
          </w:tcPr>
          <w:p>
            <w:pPr>
              <w:spacing w:after="0"/>
              <w:rPr>
                <w:sz w:val="13"/>
                <w:szCs w:val="13"/>
                <w:color w:val="auto"/>
              </w:rPr>
            </w:pPr>
          </w:p>
        </w:tc>
        <w:tc>
          <w:tcPr>
            <w:tcW w:w="1560" w:type="dxa"/>
            <w:vAlign w:val="bottom"/>
            <w:vMerge w:val="restart"/>
            <w:shd w:val="clear" w:color="auto" w:fill="D9D9D9"/>
          </w:tcPr>
          <w:p>
            <w:pPr>
              <w:jc w:val="center"/>
              <w:spacing w:after="0"/>
              <w:rPr>
                <w:sz w:val="20"/>
                <w:szCs w:val="20"/>
                <w:color w:val="auto"/>
              </w:rPr>
            </w:pPr>
            <w:r>
              <w:rPr>
                <w:rFonts w:ascii="Arial" w:cs="Arial" w:eastAsia="Arial" w:hAnsi="Arial"/>
                <w:sz w:val="16"/>
                <w:szCs w:val="16"/>
                <w:color w:val="auto"/>
              </w:rPr>
              <w:t>30.7 pts above index</w:t>
            </w:r>
          </w:p>
        </w:tc>
        <w:tc>
          <w:tcPr>
            <w:tcW w:w="10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660" w:type="dxa"/>
            <w:vAlign w:val="bottom"/>
            <w:vMerge w:val="continue"/>
            <w:shd w:val="clear" w:color="auto" w:fill="D9D9D9"/>
          </w:tcPr>
          <w:p>
            <w:pPr>
              <w:spacing w:after="0"/>
              <w:rPr>
                <w:sz w:val="10"/>
                <w:szCs w:val="10"/>
                <w:color w:val="auto"/>
              </w:rPr>
            </w:pPr>
          </w:p>
        </w:tc>
        <w:tc>
          <w:tcPr>
            <w:tcW w:w="320" w:type="dxa"/>
            <w:vAlign w:val="bottom"/>
            <w:shd w:val="clear" w:color="auto" w:fill="D9D9D9"/>
          </w:tcPr>
          <w:p>
            <w:pPr>
              <w:spacing w:after="0"/>
              <w:rPr>
                <w:sz w:val="10"/>
                <w:szCs w:val="10"/>
                <w:color w:val="auto"/>
              </w:rPr>
            </w:pPr>
          </w:p>
        </w:tc>
        <w:tc>
          <w:tcPr>
            <w:tcW w:w="1100" w:type="dxa"/>
            <w:vAlign w:val="bottom"/>
            <w:vMerge w:val="restart"/>
            <w:shd w:val="clear" w:color="auto" w:fill="D9D9D9"/>
          </w:tcPr>
          <w:p>
            <w:pPr>
              <w:jc w:val="center"/>
              <w:spacing w:after="0"/>
              <w:rPr>
                <w:sz w:val="20"/>
                <w:szCs w:val="20"/>
                <w:color w:val="auto"/>
              </w:rPr>
            </w:pPr>
            <w:r>
              <w:rPr>
                <w:rFonts w:ascii="Arial" w:cs="Arial" w:eastAsia="Arial" w:hAnsi="Arial"/>
                <w:sz w:val="16"/>
                <w:szCs w:val="16"/>
                <w:color w:val="auto"/>
              </w:rPr>
              <w:t>index</w:t>
            </w:r>
          </w:p>
        </w:tc>
        <w:tc>
          <w:tcPr>
            <w:tcW w:w="420" w:type="dxa"/>
            <w:vAlign w:val="bottom"/>
            <w:shd w:val="clear" w:color="auto" w:fill="D9D9D9"/>
          </w:tcPr>
          <w:p>
            <w:pPr>
              <w:spacing w:after="0"/>
              <w:rPr>
                <w:sz w:val="10"/>
                <w:szCs w:val="10"/>
                <w:color w:val="auto"/>
              </w:rPr>
            </w:pPr>
          </w:p>
        </w:tc>
        <w:tc>
          <w:tcPr>
            <w:tcW w:w="1440" w:type="dxa"/>
            <w:vAlign w:val="bottom"/>
            <w:vMerge w:val="restart"/>
            <w:shd w:val="clear" w:color="auto" w:fill="D9D9D9"/>
          </w:tcPr>
          <w:p>
            <w:pPr>
              <w:jc w:val="center"/>
              <w:ind w:right="2"/>
              <w:spacing w:after="0"/>
              <w:rPr>
                <w:sz w:val="20"/>
                <w:szCs w:val="20"/>
                <w:color w:val="auto"/>
              </w:rPr>
            </w:pPr>
            <w:r>
              <w:rPr>
                <w:rFonts w:ascii="Arial" w:cs="Arial" w:eastAsia="Arial" w:hAnsi="Arial"/>
                <w:sz w:val="16"/>
                <w:szCs w:val="16"/>
                <w:color w:val="auto"/>
              </w:rPr>
              <w:t>performance</w:t>
            </w:r>
          </w:p>
        </w:tc>
        <w:tc>
          <w:tcPr>
            <w:tcW w:w="400" w:type="dxa"/>
            <w:vAlign w:val="bottom"/>
            <w:shd w:val="clear" w:color="auto" w:fill="D9D9D9"/>
          </w:tcPr>
          <w:p>
            <w:pPr>
              <w:spacing w:after="0"/>
              <w:rPr>
                <w:sz w:val="10"/>
                <w:szCs w:val="10"/>
                <w:color w:val="auto"/>
              </w:rPr>
            </w:pPr>
          </w:p>
        </w:tc>
        <w:tc>
          <w:tcPr>
            <w:tcW w:w="1140" w:type="dxa"/>
            <w:vAlign w:val="bottom"/>
            <w:vMerge w:val="restart"/>
            <w:shd w:val="clear" w:color="auto" w:fill="D9D9D9"/>
          </w:tcPr>
          <w:p>
            <w:pPr>
              <w:jc w:val="center"/>
              <w:spacing w:after="0"/>
              <w:rPr>
                <w:sz w:val="20"/>
                <w:szCs w:val="20"/>
                <w:color w:val="auto"/>
              </w:rPr>
            </w:pPr>
            <w:r>
              <w:rPr>
                <w:rFonts w:ascii="Arial" w:cs="Arial" w:eastAsia="Arial" w:hAnsi="Arial"/>
                <w:sz w:val="16"/>
                <w:szCs w:val="16"/>
                <w:color w:val="auto"/>
              </w:rPr>
              <w:t>index</w:t>
            </w:r>
          </w:p>
        </w:tc>
        <w:tc>
          <w:tcPr>
            <w:tcW w:w="220" w:type="dxa"/>
            <w:vAlign w:val="bottom"/>
            <w:shd w:val="clear" w:color="auto" w:fill="D9D9D9"/>
          </w:tcPr>
          <w:p>
            <w:pPr>
              <w:spacing w:after="0"/>
              <w:rPr>
                <w:sz w:val="10"/>
                <w:szCs w:val="10"/>
                <w:color w:val="auto"/>
              </w:rPr>
            </w:pPr>
          </w:p>
        </w:tc>
        <w:tc>
          <w:tcPr>
            <w:tcW w:w="1560" w:type="dxa"/>
            <w:vAlign w:val="bottom"/>
            <w:vMerge w:val="continue"/>
            <w:shd w:val="clear" w:color="auto" w:fill="D9D9D9"/>
          </w:tcPr>
          <w:p>
            <w:pPr>
              <w:spacing w:after="0"/>
              <w:rPr>
                <w:sz w:val="10"/>
                <w:szCs w:val="10"/>
                <w:color w:val="auto"/>
              </w:rPr>
            </w:pPr>
          </w:p>
        </w:tc>
        <w:tc>
          <w:tcPr>
            <w:tcW w:w="10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660" w:type="dxa"/>
            <w:vAlign w:val="bottom"/>
            <w:shd w:val="clear" w:color="auto" w:fill="D9D9D9"/>
          </w:tcPr>
          <w:p>
            <w:pPr>
              <w:spacing w:after="0"/>
              <w:rPr>
                <w:sz w:val="7"/>
                <w:szCs w:val="7"/>
                <w:color w:val="auto"/>
              </w:rPr>
            </w:pPr>
          </w:p>
        </w:tc>
        <w:tc>
          <w:tcPr>
            <w:tcW w:w="320" w:type="dxa"/>
            <w:vAlign w:val="bottom"/>
            <w:shd w:val="clear" w:color="auto" w:fill="D9D9D9"/>
          </w:tcPr>
          <w:p>
            <w:pPr>
              <w:spacing w:after="0"/>
              <w:rPr>
                <w:sz w:val="7"/>
                <w:szCs w:val="7"/>
                <w:color w:val="auto"/>
              </w:rPr>
            </w:pPr>
          </w:p>
        </w:tc>
        <w:tc>
          <w:tcPr>
            <w:tcW w:w="1100" w:type="dxa"/>
            <w:vAlign w:val="bottom"/>
            <w:vMerge w:val="continue"/>
            <w:shd w:val="clear" w:color="auto" w:fill="D9D9D9"/>
          </w:tcPr>
          <w:p>
            <w:pPr>
              <w:spacing w:after="0"/>
              <w:rPr>
                <w:sz w:val="7"/>
                <w:szCs w:val="7"/>
                <w:color w:val="auto"/>
              </w:rPr>
            </w:pPr>
          </w:p>
        </w:tc>
        <w:tc>
          <w:tcPr>
            <w:tcW w:w="420" w:type="dxa"/>
            <w:vAlign w:val="bottom"/>
            <w:shd w:val="clear" w:color="auto" w:fill="D9D9D9"/>
          </w:tcPr>
          <w:p>
            <w:pPr>
              <w:spacing w:after="0"/>
              <w:rPr>
                <w:sz w:val="7"/>
                <w:szCs w:val="7"/>
                <w:color w:val="auto"/>
              </w:rPr>
            </w:pPr>
          </w:p>
        </w:tc>
        <w:tc>
          <w:tcPr>
            <w:tcW w:w="1440" w:type="dxa"/>
            <w:vAlign w:val="bottom"/>
            <w:vMerge w:val="continue"/>
            <w:shd w:val="clear" w:color="auto" w:fill="D9D9D9"/>
          </w:tcPr>
          <w:p>
            <w:pPr>
              <w:spacing w:after="0"/>
              <w:rPr>
                <w:sz w:val="7"/>
                <w:szCs w:val="7"/>
                <w:color w:val="auto"/>
              </w:rPr>
            </w:pPr>
          </w:p>
        </w:tc>
        <w:tc>
          <w:tcPr>
            <w:tcW w:w="400" w:type="dxa"/>
            <w:vAlign w:val="bottom"/>
            <w:shd w:val="clear" w:color="auto" w:fill="D9D9D9"/>
          </w:tcPr>
          <w:p>
            <w:pPr>
              <w:spacing w:after="0"/>
              <w:rPr>
                <w:sz w:val="7"/>
                <w:szCs w:val="7"/>
                <w:color w:val="auto"/>
              </w:rPr>
            </w:pPr>
          </w:p>
        </w:tc>
        <w:tc>
          <w:tcPr>
            <w:tcW w:w="1140" w:type="dxa"/>
            <w:vAlign w:val="bottom"/>
            <w:vMerge w:val="continue"/>
            <w:shd w:val="clear" w:color="auto" w:fill="D9D9D9"/>
          </w:tcPr>
          <w:p>
            <w:pPr>
              <w:spacing w:after="0"/>
              <w:rPr>
                <w:sz w:val="7"/>
                <w:szCs w:val="7"/>
                <w:color w:val="auto"/>
              </w:rPr>
            </w:pPr>
          </w:p>
        </w:tc>
        <w:tc>
          <w:tcPr>
            <w:tcW w:w="220" w:type="dxa"/>
            <w:vAlign w:val="bottom"/>
            <w:shd w:val="clear" w:color="auto" w:fill="D9D9D9"/>
          </w:tcPr>
          <w:p>
            <w:pPr>
              <w:spacing w:after="0"/>
              <w:rPr>
                <w:sz w:val="7"/>
                <w:szCs w:val="7"/>
                <w:color w:val="auto"/>
              </w:rPr>
            </w:pPr>
          </w:p>
        </w:tc>
        <w:tc>
          <w:tcPr>
            <w:tcW w:w="1560" w:type="dxa"/>
            <w:vAlign w:val="bottom"/>
            <w:shd w:val="clear" w:color="auto" w:fill="D9D9D9"/>
          </w:tcPr>
          <w:p>
            <w:pPr>
              <w:spacing w:after="0"/>
              <w:rPr>
                <w:sz w:val="7"/>
                <w:szCs w:val="7"/>
                <w:color w:val="auto"/>
              </w:rPr>
            </w:pPr>
          </w:p>
        </w:tc>
        <w:tc>
          <w:tcPr>
            <w:tcW w:w="100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Payout Modification</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-25%</w:t>
            </w: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color w:val="auto"/>
              </w:rPr>
              <w:t>0%</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+25% Modification</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Policies and Practices Related to the Timing of Grants of Certain Equity Awards</w:t>
      </w:r>
    </w:p>
    <w:p>
      <w:pPr>
        <w:spacing w:after="0" w:line="99" w:lineRule="exact"/>
        <w:rPr>
          <w:sz w:val="20"/>
          <w:szCs w:val="20"/>
          <w:color w:val="auto"/>
        </w:rPr>
      </w:pPr>
    </w:p>
    <w:p>
      <w:pPr>
        <w:ind w:left="9" w:right="100"/>
        <w:spacing w:after="0" w:line="262" w:lineRule="auto"/>
        <w:rPr>
          <w:sz w:val="20"/>
          <w:szCs w:val="20"/>
          <w:color w:val="auto"/>
        </w:rPr>
      </w:pPr>
      <w:r>
        <w:rPr>
          <w:rFonts w:ascii="Arial" w:cs="Arial" w:eastAsia="Arial" w:hAnsi="Arial"/>
          <w:sz w:val="16"/>
          <w:szCs w:val="16"/>
          <w:color w:val="auto"/>
        </w:rPr>
        <w:t>AbbVie’s policy with respect to its annual equity award for all eligible employees, including the NEOs, is to grant the award and set the grant price, which is used to calculate the number of shares covered by awards and establish the exercise price for stock options, at the compensation committee’s regularly scheduled February meeting each year.</w:t>
      </w:r>
    </w:p>
    <w:p>
      <w:pPr>
        <w:spacing w:after="0" w:line="148" w:lineRule="exact"/>
        <w:rPr>
          <w:sz w:val="20"/>
          <w:szCs w:val="20"/>
          <w:color w:val="auto"/>
        </w:rPr>
      </w:pPr>
    </w:p>
    <w:p>
      <w:pPr>
        <w:ind w:left="9" w:right="20"/>
        <w:spacing w:after="0" w:line="251" w:lineRule="auto"/>
        <w:rPr>
          <w:sz w:val="20"/>
          <w:szCs w:val="20"/>
          <w:color w:val="auto"/>
        </w:rPr>
      </w:pPr>
      <w:r>
        <w:rPr>
          <w:rFonts w:ascii="Arial" w:cs="Arial" w:eastAsia="Arial" w:hAnsi="Arial"/>
          <w:sz w:val="16"/>
          <w:szCs w:val="16"/>
          <w:color w:val="auto"/>
        </w:rPr>
        <w:t>These meeting dates generally are the third Thursday of February and are scheduled two years in advance. The grant price is the average of the high and low trading prices of a common share on the date of the grant (rounded up to the next even penny). The grant price for the 2025 annual grant was $192.86. The high, low and closing prices of an AbbVie common share on the grant date (February 13, 2025) were $194.28, $191.43, and $193.45 respectively. All LTI awards are subject to a minimum vesting period of 12 months.</w:t>
      </w:r>
    </w:p>
    <w:p>
      <w:pPr>
        <w:spacing w:after="0" w:line="146" w:lineRule="exact"/>
        <w:rPr>
          <w:sz w:val="20"/>
          <w:szCs w:val="20"/>
          <w:color w:val="auto"/>
        </w:rPr>
      </w:pPr>
    </w:p>
    <w:p>
      <w:pPr>
        <w:ind w:left="9" w:right="240"/>
        <w:spacing w:after="0" w:line="251" w:lineRule="auto"/>
        <w:rPr>
          <w:sz w:val="20"/>
          <w:szCs w:val="20"/>
          <w:color w:val="auto"/>
        </w:rPr>
      </w:pPr>
      <w:r>
        <w:rPr>
          <w:rFonts w:ascii="Arial" w:cs="Arial" w:eastAsia="Arial" w:hAnsi="Arial"/>
          <w:sz w:val="16"/>
          <w:szCs w:val="16"/>
          <w:color w:val="auto"/>
        </w:rPr>
        <w:t>The company does not schedule its equity grants in anticipation of the release of material, non-public information (“MNPI”) or time the release of MNPI based on equity grant dates. The following table presents information regarding option awards granted to our NEOs in the fiscal year ended December 31, 2025, during any period beginning four business days before the filing or furnishing of a periodic report or current report disclosing MNPI and ending one business day after the filing or furnishing of such report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44</w:t>
      </w:r>
      <w:r>
        <w:rPr>
          <w:sz w:val="20"/>
          <w:szCs w:val="20"/>
          <w:color w:val="auto"/>
        </w:rPr>
        <w:tab/>
      </w:r>
      <w:r>
        <w:rPr>
          <w:sz w:val="1"/>
          <w:szCs w:val="1"/>
          <w:color w:val="auto"/>
        </w:rPr>
        <w:drawing>
          <wp:inline distT="0" distB="0" distL="0" distR="0">
            <wp:extent cx="797560" cy="14859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47" w:name="page48"/>
    <w:bookmarkEnd w:id="47"/>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EXECUTIVE COMPENSATION</w:t>
      </w:r>
    </w:p>
    <w:p>
      <w:pPr>
        <w:spacing w:after="0" w:line="281"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2300" w:type="dxa"/>
            <w:vAlign w:val="bottom"/>
          </w:tcPr>
          <w:p>
            <w:pPr>
              <w:spacing w:after="0"/>
              <w:rPr>
                <w:sz w:val="14"/>
                <w:szCs w:val="14"/>
                <w:color w:val="auto"/>
              </w:rPr>
            </w:pPr>
          </w:p>
        </w:tc>
        <w:tc>
          <w:tcPr>
            <w:tcW w:w="700" w:type="dxa"/>
            <w:vAlign w:val="bottom"/>
          </w:tcPr>
          <w:p>
            <w:pPr>
              <w:ind w:left="540"/>
              <w:spacing w:after="0"/>
              <w:rPr>
                <w:sz w:val="20"/>
                <w:szCs w:val="20"/>
                <w:color w:val="auto"/>
              </w:rPr>
            </w:pPr>
            <w:r>
              <w:rPr>
                <w:rFonts w:ascii="Arial" w:cs="Arial" w:eastAsia="Arial" w:hAnsi="Arial"/>
                <w:sz w:val="13"/>
                <w:szCs w:val="13"/>
                <w:b w:val="1"/>
                <w:bCs w:val="1"/>
                <w:color w:val="454968"/>
              </w:rPr>
              <w:t>​​</w:t>
            </w:r>
          </w:p>
        </w:tc>
        <w:tc>
          <w:tcPr>
            <w:tcW w:w="1120" w:type="dxa"/>
            <w:vAlign w:val="bottom"/>
          </w:tcPr>
          <w:p>
            <w:pPr>
              <w:jc w:val="right"/>
              <w:ind w:right="23"/>
              <w:spacing w:after="0"/>
              <w:rPr>
                <w:sz w:val="20"/>
                <w:szCs w:val="20"/>
                <w:color w:val="auto"/>
              </w:rPr>
            </w:pPr>
            <w:r>
              <w:rPr>
                <w:rFonts w:ascii="Arial" w:cs="Arial" w:eastAsia="Arial" w:hAnsi="Arial"/>
                <w:sz w:val="13"/>
                <w:szCs w:val="13"/>
                <w:b w:val="1"/>
                <w:bCs w:val="1"/>
                <w:color w:val="454968"/>
              </w:rPr>
              <w:t>​​</w:t>
            </w:r>
          </w:p>
        </w:tc>
        <w:tc>
          <w:tcPr>
            <w:tcW w:w="1060" w:type="dxa"/>
            <w:vAlign w:val="bottom"/>
          </w:tcPr>
          <w:p>
            <w:pPr>
              <w:spacing w:after="0"/>
              <w:rPr>
                <w:sz w:val="14"/>
                <w:szCs w:val="14"/>
                <w:color w:val="auto"/>
              </w:rPr>
            </w:pPr>
          </w:p>
        </w:tc>
        <w:tc>
          <w:tcPr>
            <w:tcW w:w="420" w:type="dxa"/>
            <w:vAlign w:val="bottom"/>
          </w:tcPr>
          <w:p>
            <w:pPr>
              <w:jc w:val="right"/>
              <w:ind w:right="221"/>
              <w:spacing w:after="0"/>
              <w:rPr>
                <w:sz w:val="20"/>
                <w:szCs w:val="20"/>
                <w:color w:val="auto"/>
              </w:rPr>
            </w:pPr>
            <w:r>
              <w:rPr>
                <w:rFonts w:ascii="Arial" w:cs="Arial" w:eastAsia="Arial" w:hAnsi="Arial"/>
                <w:sz w:val="13"/>
                <w:szCs w:val="13"/>
                <w:b w:val="1"/>
                <w:bCs w:val="1"/>
                <w:color w:val="454968"/>
              </w:rPr>
              <w:t>​​</w:t>
            </w:r>
          </w:p>
        </w:tc>
        <w:tc>
          <w:tcPr>
            <w:tcW w:w="1180" w:type="dxa"/>
            <w:vAlign w:val="bottom"/>
          </w:tcPr>
          <w:p>
            <w:pPr>
              <w:ind w:left="1000"/>
              <w:spacing w:after="0"/>
              <w:rPr>
                <w:sz w:val="20"/>
                <w:szCs w:val="20"/>
                <w:color w:val="auto"/>
              </w:rPr>
            </w:pPr>
            <w:r>
              <w:rPr>
                <w:rFonts w:ascii="Arial" w:cs="Arial" w:eastAsia="Arial" w:hAnsi="Arial"/>
                <w:sz w:val="13"/>
                <w:szCs w:val="13"/>
                <w:b w:val="1"/>
                <w:bCs w:val="1"/>
                <w:color w:val="454968"/>
              </w:rPr>
              <w:t>​​</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454968"/>
              </w:rPr>
              <w:t>​​</w:t>
            </w: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Percentage</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change in the</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closing market</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price of the</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securities</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underlying the</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award between</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the trading day</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ending</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immediately</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prior to the</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disclosure of</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material</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nonpublic</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information and</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the trading day</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beginning</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immediately</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following the</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454968"/>
              </w:rPr>
              <w:t>Number of</w:t>
            </w:r>
          </w:p>
        </w:tc>
        <w:tc>
          <w:tcPr>
            <w:tcW w:w="420" w:type="dxa"/>
            <w:vAlign w:val="bottom"/>
          </w:tcPr>
          <w:p>
            <w:pPr>
              <w:spacing w:after="0"/>
              <w:rPr>
                <w:sz w:val="14"/>
                <w:szCs w:val="14"/>
                <w:color w:val="auto"/>
              </w:rPr>
            </w:pPr>
          </w:p>
        </w:tc>
        <w:tc>
          <w:tcPr>
            <w:tcW w:w="1180" w:type="dxa"/>
            <w:vAlign w:val="bottom"/>
          </w:tcPr>
          <w:p>
            <w:pPr>
              <w:ind w:left="360"/>
              <w:spacing w:after="0"/>
              <w:rPr>
                <w:sz w:val="20"/>
                <w:szCs w:val="20"/>
                <w:color w:val="auto"/>
              </w:rPr>
            </w:pPr>
            <w:r>
              <w:rPr>
                <w:rFonts w:ascii="Arial" w:cs="Arial" w:eastAsia="Arial" w:hAnsi="Arial"/>
                <w:sz w:val="13"/>
                <w:szCs w:val="13"/>
                <w:b w:val="1"/>
                <w:bCs w:val="1"/>
                <w:color w:val="454968"/>
              </w:rPr>
              <w:t>Exercise</w:t>
            </w:r>
          </w:p>
        </w:tc>
        <w:tc>
          <w:tcPr>
            <w:tcW w:w="12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disclosure of</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jc w:val="center"/>
              <w:ind w:left="265"/>
              <w:spacing w:after="0"/>
              <w:rPr>
                <w:sz w:val="20"/>
                <w:szCs w:val="20"/>
                <w:color w:val="auto"/>
              </w:rPr>
            </w:pPr>
            <w:r>
              <w:rPr>
                <w:rFonts w:ascii="Arial" w:cs="Arial" w:eastAsia="Arial" w:hAnsi="Arial"/>
                <w:sz w:val="13"/>
                <w:szCs w:val="13"/>
                <w:b w:val="1"/>
                <w:bCs w:val="1"/>
                <w:color w:val="454968"/>
                <w:w w:val="98"/>
              </w:rPr>
              <w:t>securities</w:t>
            </w:r>
          </w:p>
        </w:tc>
        <w:tc>
          <w:tcPr>
            <w:tcW w:w="420" w:type="dxa"/>
            <w:vAlign w:val="bottom"/>
          </w:tcPr>
          <w:p>
            <w:pPr>
              <w:spacing w:after="0"/>
              <w:rPr>
                <w:sz w:val="14"/>
                <w:szCs w:val="14"/>
                <w:color w:val="auto"/>
              </w:rPr>
            </w:pPr>
          </w:p>
        </w:tc>
        <w:tc>
          <w:tcPr>
            <w:tcW w:w="1180" w:type="dxa"/>
            <w:vAlign w:val="bottom"/>
          </w:tcPr>
          <w:p>
            <w:pPr>
              <w:jc w:val="right"/>
              <w:ind w:right="206"/>
              <w:spacing w:after="0"/>
              <w:rPr>
                <w:sz w:val="20"/>
                <w:szCs w:val="20"/>
                <w:color w:val="auto"/>
              </w:rPr>
            </w:pPr>
            <w:r>
              <w:rPr>
                <w:rFonts w:ascii="Arial" w:cs="Arial" w:eastAsia="Arial" w:hAnsi="Arial"/>
                <w:sz w:val="13"/>
                <w:szCs w:val="13"/>
                <w:b w:val="1"/>
                <w:bCs w:val="1"/>
                <w:color w:val="454968"/>
              </w:rPr>
              <w:t>price of the</w:t>
            </w:r>
          </w:p>
        </w:tc>
        <w:tc>
          <w:tcPr>
            <w:tcW w:w="1240" w:type="dxa"/>
            <w:vAlign w:val="bottom"/>
          </w:tcPr>
          <w:p>
            <w:pPr>
              <w:jc w:val="right"/>
              <w:ind w:right="165"/>
              <w:spacing w:after="0"/>
              <w:rPr>
                <w:sz w:val="20"/>
                <w:szCs w:val="20"/>
                <w:color w:val="auto"/>
              </w:rPr>
            </w:pPr>
            <w:r>
              <w:rPr>
                <w:rFonts w:ascii="Arial" w:cs="Arial" w:eastAsia="Arial" w:hAnsi="Arial"/>
                <w:sz w:val="13"/>
                <w:szCs w:val="13"/>
                <w:b w:val="1"/>
                <w:bCs w:val="1"/>
                <w:color w:val="454968"/>
              </w:rPr>
              <w:t>Grant date fair</w:t>
            </w: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material</w:t>
            </w:r>
          </w:p>
        </w:tc>
      </w:tr>
      <w:tr>
        <w:trPr>
          <w:trHeight w:val="172"/>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454968"/>
              </w:rPr>
              <w:t>underlying the</w:t>
            </w:r>
          </w:p>
        </w:tc>
        <w:tc>
          <w:tcPr>
            <w:tcW w:w="420" w:type="dxa"/>
            <w:vAlign w:val="bottom"/>
          </w:tcPr>
          <w:p>
            <w:pPr>
              <w:spacing w:after="0"/>
              <w:rPr>
                <w:sz w:val="14"/>
                <w:szCs w:val="14"/>
                <w:color w:val="auto"/>
              </w:rPr>
            </w:pPr>
          </w:p>
        </w:tc>
        <w:tc>
          <w:tcPr>
            <w:tcW w:w="1180" w:type="dxa"/>
            <w:vAlign w:val="bottom"/>
          </w:tcPr>
          <w:p>
            <w:pPr>
              <w:jc w:val="right"/>
              <w:ind w:right="206"/>
              <w:spacing w:after="0"/>
              <w:rPr>
                <w:sz w:val="20"/>
                <w:szCs w:val="20"/>
                <w:color w:val="auto"/>
              </w:rPr>
            </w:pPr>
            <w:r>
              <w:rPr>
                <w:rFonts w:ascii="Arial" w:cs="Arial" w:eastAsia="Arial" w:hAnsi="Arial"/>
                <w:sz w:val="13"/>
                <w:szCs w:val="13"/>
                <w:b w:val="1"/>
                <w:bCs w:val="1"/>
                <w:color w:val="454968"/>
              </w:rPr>
              <w:t>award</w:t>
            </w:r>
          </w:p>
        </w:tc>
        <w:tc>
          <w:tcPr>
            <w:tcW w:w="1240" w:type="dxa"/>
            <w:vAlign w:val="bottom"/>
          </w:tcPr>
          <w:p>
            <w:pPr>
              <w:jc w:val="right"/>
              <w:ind w:right="165"/>
              <w:spacing w:after="0"/>
              <w:rPr>
                <w:sz w:val="20"/>
                <w:szCs w:val="20"/>
                <w:color w:val="auto"/>
              </w:rPr>
            </w:pPr>
            <w:r>
              <w:rPr>
                <w:rFonts w:ascii="Arial" w:cs="Arial" w:eastAsia="Arial" w:hAnsi="Arial"/>
                <w:sz w:val="13"/>
                <w:szCs w:val="13"/>
                <w:b w:val="1"/>
                <w:bCs w:val="1"/>
                <w:color w:val="454968"/>
              </w:rPr>
              <w:t>value of the</w:t>
            </w:r>
          </w:p>
        </w:tc>
        <w:tc>
          <w:tcPr>
            <w:tcW w:w="1240" w:type="dxa"/>
            <w:vAlign w:val="bottom"/>
          </w:tcPr>
          <w:p>
            <w:pPr>
              <w:jc w:val="right"/>
              <w:ind w:right="111"/>
              <w:spacing w:after="0"/>
              <w:rPr>
                <w:sz w:val="20"/>
                <w:szCs w:val="20"/>
                <w:color w:val="auto"/>
              </w:rPr>
            </w:pPr>
            <w:r>
              <w:rPr>
                <w:rFonts w:ascii="Arial" w:cs="Arial" w:eastAsia="Arial" w:hAnsi="Arial"/>
                <w:sz w:val="13"/>
                <w:szCs w:val="13"/>
                <w:b w:val="1"/>
                <w:bCs w:val="1"/>
                <w:color w:val="454968"/>
              </w:rPr>
              <w:t>nonpublic</w:t>
            </w:r>
          </w:p>
        </w:tc>
      </w:tr>
      <w:tr>
        <w:trPr>
          <w:trHeight w:val="180"/>
        </w:trPr>
        <w:tc>
          <w:tcPr>
            <w:tcW w:w="3000" w:type="dxa"/>
            <w:vAlign w:val="bottom"/>
            <w:tcBorders>
              <w:bottom w:val="single" w:sz="8" w:color="071D49"/>
            </w:tcBorders>
            <w:gridSpan w:val="2"/>
          </w:tcPr>
          <w:p>
            <w:pPr>
              <w:spacing w:after="0"/>
              <w:rPr>
                <w:sz w:val="20"/>
                <w:szCs w:val="20"/>
                <w:color w:val="auto"/>
              </w:rPr>
            </w:pPr>
            <w:r>
              <w:rPr>
                <w:rFonts w:ascii="Arial" w:cs="Arial" w:eastAsia="Arial" w:hAnsi="Arial"/>
                <w:sz w:val="13"/>
                <w:szCs w:val="13"/>
                <w:b w:val="1"/>
                <w:bCs w:val="1"/>
                <w:color w:val="454968"/>
              </w:rPr>
              <w:t>Name</w:t>
            </w:r>
          </w:p>
        </w:tc>
        <w:tc>
          <w:tcPr>
            <w:tcW w:w="1120" w:type="dxa"/>
            <w:vAlign w:val="bottom"/>
            <w:tcBorders>
              <w:bottom w:val="single" w:sz="8" w:color="071D49"/>
            </w:tcBorders>
          </w:tcPr>
          <w:p>
            <w:pPr>
              <w:jc w:val="right"/>
              <w:ind w:right="203"/>
              <w:spacing w:after="0"/>
              <w:rPr>
                <w:sz w:val="20"/>
                <w:szCs w:val="20"/>
                <w:color w:val="auto"/>
              </w:rPr>
            </w:pPr>
            <w:r>
              <w:rPr>
                <w:rFonts w:ascii="Arial" w:cs="Arial" w:eastAsia="Arial" w:hAnsi="Arial"/>
                <w:sz w:val="13"/>
                <w:szCs w:val="13"/>
                <w:b w:val="1"/>
                <w:bCs w:val="1"/>
                <w:color w:val="454968"/>
              </w:rPr>
              <w:t>Grant date</w:t>
            </w:r>
          </w:p>
        </w:tc>
        <w:tc>
          <w:tcPr>
            <w:tcW w:w="106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454968"/>
              </w:rPr>
              <w:t>award</w:t>
            </w:r>
          </w:p>
        </w:tc>
        <w:tc>
          <w:tcPr>
            <w:tcW w:w="420" w:type="dxa"/>
            <w:vAlign w:val="bottom"/>
            <w:tcBorders>
              <w:bottom w:val="single" w:sz="8" w:color="071D49"/>
            </w:tcBorders>
          </w:tcPr>
          <w:p>
            <w:pPr>
              <w:spacing w:after="0"/>
              <w:rPr>
                <w:sz w:val="15"/>
                <w:szCs w:val="15"/>
                <w:color w:val="auto"/>
              </w:rPr>
            </w:pPr>
          </w:p>
        </w:tc>
        <w:tc>
          <w:tcPr>
            <w:tcW w:w="1180" w:type="dxa"/>
            <w:vAlign w:val="bottom"/>
            <w:tcBorders>
              <w:bottom w:val="single" w:sz="8" w:color="071D49"/>
            </w:tcBorders>
          </w:tcPr>
          <w:p>
            <w:pPr>
              <w:jc w:val="right"/>
              <w:ind w:right="206"/>
              <w:spacing w:after="0"/>
              <w:rPr>
                <w:sz w:val="20"/>
                <w:szCs w:val="20"/>
                <w:color w:val="auto"/>
              </w:rPr>
            </w:pPr>
            <w:r>
              <w:rPr>
                <w:rFonts w:ascii="Arial" w:cs="Arial" w:eastAsia="Arial" w:hAnsi="Arial"/>
                <w:sz w:val="13"/>
                <w:szCs w:val="13"/>
                <w:b w:val="1"/>
                <w:bCs w:val="1"/>
                <w:color w:val="454968"/>
              </w:rPr>
              <w:t>($/Share)</w:t>
            </w:r>
          </w:p>
        </w:tc>
        <w:tc>
          <w:tcPr>
            <w:tcW w:w="1240" w:type="dxa"/>
            <w:vAlign w:val="bottom"/>
            <w:tcBorders>
              <w:bottom w:val="single" w:sz="8" w:color="071D49"/>
            </w:tcBorders>
          </w:tcPr>
          <w:p>
            <w:pPr>
              <w:jc w:val="right"/>
              <w:ind w:right="165"/>
              <w:spacing w:after="0"/>
              <w:rPr>
                <w:sz w:val="20"/>
                <w:szCs w:val="20"/>
                <w:color w:val="auto"/>
              </w:rPr>
            </w:pPr>
            <w:r>
              <w:rPr>
                <w:rFonts w:ascii="Arial" w:cs="Arial" w:eastAsia="Arial" w:hAnsi="Arial"/>
                <w:sz w:val="13"/>
                <w:szCs w:val="13"/>
                <w:b w:val="1"/>
                <w:bCs w:val="1"/>
                <w:color w:val="454968"/>
              </w:rPr>
              <w:t>award</w:t>
            </w:r>
          </w:p>
        </w:tc>
        <w:tc>
          <w:tcPr>
            <w:tcW w:w="1240" w:type="dxa"/>
            <w:vAlign w:val="bottom"/>
            <w:tcBorders>
              <w:bottom w:val="single" w:sz="8" w:color="071D49"/>
            </w:tcBorders>
          </w:tcPr>
          <w:p>
            <w:pPr>
              <w:jc w:val="right"/>
              <w:ind w:right="111"/>
              <w:spacing w:after="0" w:line="180" w:lineRule="exact"/>
              <w:rPr>
                <w:sz w:val="20"/>
                <w:szCs w:val="20"/>
                <w:color w:val="auto"/>
              </w:rPr>
            </w:pPr>
            <w:r>
              <w:rPr>
                <w:rFonts w:ascii="Arial" w:cs="Arial" w:eastAsia="Arial" w:hAnsi="Arial"/>
                <w:sz w:val="13"/>
                <w:szCs w:val="13"/>
                <w:b w:val="1"/>
                <w:bCs w:val="1"/>
                <w:color w:val="454968"/>
              </w:rPr>
              <w:t>Information</w:t>
            </w:r>
            <w:r>
              <w:rPr>
                <w:rFonts w:ascii="Arial" w:cs="Arial" w:eastAsia="Arial" w:hAnsi="Arial"/>
                <w:sz w:val="19"/>
                <w:szCs w:val="19"/>
                <w:b w:val="1"/>
                <w:bCs w:val="1"/>
                <w:color w:val="454968"/>
                <w:vertAlign w:val="superscript"/>
              </w:rPr>
              <w:t>1</w:t>
            </w:r>
          </w:p>
        </w:tc>
      </w:tr>
      <w:tr>
        <w:trPr>
          <w:trHeight w:val="177"/>
        </w:trPr>
        <w:tc>
          <w:tcPr>
            <w:tcW w:w="3000" w:type="dxa"/>
            <w:vAlign w:val="bottom"/>
            <w:gridSpan w:val="2"/>
            <w:shd w:val="clear" w:color="auto" w:fill="D9D9D9"/>
          </w:tcPr>
          <w:p>
            <w:pPr>
              <w:spacing w:after="0" w:line="177" w:lineRule="exact"/>
              <w:rPr>
                <w:sz w:val="20"/>
                <w:szCs w:val="20"/>
                <w:color w:val="auto"/>
              </w:rPr>
            </w:pPr>
            <w:r>
              <w:rPr>
                <w:rFonts w:ascii="Arial" w:cs="Arial" w:eastAsia="Arial" w:hAnsi="Arial"/>
                <w:sz w:val="16"/>
                <w:szCs w:val="16"/>
                <w:color w:val="auto"/>
              </w:rPr>
              <w:t>Robert A. Michael</w:t>
            </w:r>
          </w:p>
        </w:tc>
        <w:tc>
          <w:tcPr>
            <w:tcW w:w="1120" w:type="dxa"/>
            <w:vAlign w:val="bottom"/>
            <w:shd w:val="clear" w:color="auto" w:fill="D9D9D9"/>
          </w:tcPr>
          <w:p>
            <w:pPr>
              <w:jc w:val="right"/>
              <w:ind w:right="243"/>
              <w:spacing w:after="0" w:line="177" w:lineRule="exact"/>
              <w:rPr>
                <w:sz w:val="20"/>
                <w:szCs w:val="20"/>
                <w:color w:val="auto"/>
              </w:rPr>
            </w:pPr>
            <w:r>
              <w:rPr>
                <w:rFonts w:ascii="Arial" w:cs="Arial" w:eastAsia="Arial" w:hAnsi="Arial"/>
                <w:sz w:val="16"/>
                <w:szCs w:val="16"/>
                <w:color w:val="auto"/>
              </w:rPr>
              <w:t>2/13/2025</w:t>
            </w:r>
          </w:p>
        </w:tc>
        <w:tc>
          <w:tcPr>
            <w:tcW w:w="1060" w:type="dxa"/>
            <w:vAlign w:val="bottom"/>
            <w:shd w:val="clear" w:color="auto" w:fill="D9D9D9"/>
          </w:tcPr>
          <w:p>
            <w:pPr>
              <w:jc w:val="center"/>
              <w:ind w:left="285"/>
              <w:spacing w:after="0" w:line="177" w:lineRule="exact"/>
              <w:rPr>
                <w:sz w:val="20"/>
                <w:szCs w:val="20"/>
                <w:color w:val="auto"/>
              </w:rPr>
            </w:pPr>
            <w:r>
              <w:rPr>
                <w:rFonts w:ascii="Arial" w:cs="Arial" w:eastAsia="Arial" w:hAnsi="Arial"/>
                <w:sz w:val="16"/>
                <w:szCs w:val="16"/>
                <w:color w:val="auto"/>
              </w:rPr>
              <w:t>83,333</w:t>
            </w:r>
          </w:p>
        </w:tc>
        <w:tc>
          <w:tcPr>
            <w:tcW w:w="420" w:type="dxa"/>
            <w:vAlign w:val="bottom"/>
            <w:shd w:val="clear" w:color="auto" w:fill="D9D9D9"/>
          </w:tcPr>
          <w:p>
            <w:pPr>
              <w:jc w:val="right"/>
              <w:ind w:right="141"/>
              <w:spacing w:after="0" w:line="177" w:lineRule="exact"/>
              <w:rPr>
                <w:sz w:val="20"/>
                <w:szCs w:val="20"/>
                <w:color w:val="auto"/>
              </w:rPr>
            </w:pPr>
            <w:r>
              <w:rPr>
                <w:rFonts w:ascii="Arial" w:cs="Arial" w:eastAsia="Arial" w:hAnsi="Arial"/>
                <w:sz w:val="16"/>
                <w:szCs w:val="16"/>
                <w:color w:val="auto"/>
              </w:rPr>
              <w:t>$</w:t>
            </w:r>
          </w:p>
        </w:tc>
        <w:tc>
          <w:tcPr>
            <w:tcW w:w="1180" w:type="dxa"/>
            <w:vAlign w:val="bottom"/>
            <w:shd w:val="clear" w:color="auto" w:fill="D9D9D9"/>
          </w:tcPr>
          <w:p>
            <w:pPr>
              <w:ind w:left="360"/>
              <w:spacing w:after="0" w:line="177" w:lineRule="exact"/>
              <w:rPr>
                <w:sz w:val="20"/>
                <w:szCs w:val="20"/>
                <w:color w:val="auto"/>
              </w:rPr>
            </w:pPr>
            <w:r>
              <w:rPr>
                <w:rFonts w:ascii="Arial" w:cs="Arial" w:eastAsia="Arial" w:hAnsi="Arial"/>
                <w:sz w:val="16"/>
                <w:szCs w:val="16"/>
                <w:color w:val="auto"/>
              </w:rPr>
              <w:t>192.86</w:t>
            </w:r>
          </w:p>
        </w:tc>
        <w:tc>
          <w:tcPr>
            <w:tcW w:w="1240" w:type="dxa"/>
            <w:vAlign w:val="bottom"/>
            <w:shd w:val="clear" w:color="auto" w:fill="D9D9D9"/>
          </w:tcPr>
          <w:p>
            <w:pPr>
              <w:jc w:val="right"/>
              <w:ind w:right="205"/>
              <w:spacing w:after="0" w:line="177" w:lineRule="exact"/>
              <w:rPr>
                <w:sz w:val="20"/>
                <w:szCs w:val="20"/>
                <w:color w:val="auto"/>
              </w:rPr>
            </w:pPr>
            <w:r>
              <w:rPr>
                <w:rFonts w:ascii="Arial" w:cs="Arial" w:eastAsia="Arial" w:hAnsi="Arial"/>
                <w:sz w:val="16"/>
                <w:szCs w:val="16"/>
                <w:color w:val="auto"/>
              </w:rPr>
              <w:t>$ 3,199,154</w:t>
            </w:r>
          </w:p>
        </w:tc>
        <w:tc>
          <w:tcPr>
            <w:tcW w:w="1240" w:type="dxa"/>
            <w:vAlign w:val="bottom"/>
            <w:shd w:val="clear" w:color="auto" w:fill="D9D9D9"/>
          </w:tcPr>
          <w:p>
            <w:pPr>
              <w:jc w:val="right"/>
              <w:spacing w:after="0" w:line="177" w:lineRule="exact"/>
              <w:rPr>
                <w:sz w:val="20"/>
                <w:szCs w:val="20"/>
                <w:color w:val="auto"/>
              </w:rPr>
            </w:pPr>
            <w:r>
              <w:rPr>
                <w:rFonts w:ascii="Arial" w:cs="Arial" w:eastAsia="Arial" w:hAnsi="Arial"/>
                <w:sz w:val="16"/>
                <w:szCs w:val="16"/>
                <w:color w:val="auto"/>
              </w:rPr>
              <w:t>1.45%</w:t>
            </w:r>
          </w:p>
        </w:tc>
      </w:tr>
      <w:tr>
        <w:trPr>
          <w:trHeight w:val="185"/>
        </w:trPr>
        <w:tc>
          <w:tcPr>
            <w:tcW w:w="3000" w:type="dxa"/>
            <w:vAlign w:val="bottom"/>
            <w:gridSpan w:val="2"/>
          </w:tcPr>
          <w:p>
            <w:pPr>
              <w:spacing w:after="0"/>
              <w:rPr>
                <w:sz w:val="20"/>
                <w:szCs w:val="20"/>
                <w:color w:val="auto"/>
              </w:rPr>
            </w:pPr>
            <w:r>
              <w:rPr>
                <w:rFonts w:ascii="Arial" w:cs="Arial" w:eastAsia="Arial" w:hAnsi="Arial"/>
                <w:sz w:val="16"/>
                <w:szCs w:val="16"/>
                <w:color w:val="auto"/>
              </w:rPr>
              <w:t>Scott T. Reents</w:t>
            </w:r>
          </w:p>
        </w:tc>
        <w:tc>
          <w:tcPr>
            <w:tcW w:w="1120" w:type="dxa"/>
            <w:vAlign w:val="bottom"/>
          </w:tcPr>
          <w:p>
            <w:pPr>
              <w:jc w:val="right"/>
              <w:ind w:right="243"/>
              <w:spacing w:after="0"/>
              <w:rPr>
                <w:sz w:val="20"/>
                <w:szCs w:val="20"/>
                <w:color w:val="auto"/>
              </w:rPr>
            </w:pPr>
            <w:r>
              <w:rPr>
                <w:rFonts w:ascii="Arial" w:cs="Arial" w:eastAsia="Arial" w:hAnsi="Arial"/>
                <w:sz w:val="16"/>
                <w:szCs w:val="16"/>
                <w:color w:val="auto"/>
              </w:rPr>
              <w:t>2/13/2025</w:t>
            </w:r>
          </w:p>
        </w:tc>
        <w:tc>
          <w:tcPr>
            <w:tcW w:w="1060" w:type="dxa"/>
            <w:vAlign w:val="bottom"/>
          </w:tcPr>
          <w:p>
            <w:pPr>
              <w:jc w:val="center"/>
              <w:ind w:left="285"/>
              <w:spacing w:after="0"/>
              <w:rPr>
                <w:sz w:val="20"/>
                <w:szCs w:val="20"/>
                <w:color w:val="auto"/>
              </w:rPr>
            </w:pPr>
            <w:r>
              <w:rPr>
                <w:rFonts w:ascii="Arial" w:cs="Arial" w:eastAsia="Arial" w:hAnsi="Arial"/>
                <w:sz w:val="16"/>
                <w:szCs w:val="16"/>
                <w:color w:val="auto"/>
              </w:rPr>
              <w:t>27,343</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tcPr>
          <w:p>
            <w:pPr>
              <w:ind w:left="360"/>
              <w:spacing w:after="0"/>
              <w:rPr>
                <w:sz w:val="20"/>
                <w:szCs w:val="20"/>
                <w:color w:val="auto"/>
              </w:rPr>
            </w:pPr>
            <w:r>
              <w:rPr>
                <w:rFonts w:ascii="Arial" w:cs="Arial" w:eastAsia="Arial" w:hAnsi="Arial"/>
                <w:sz w:val="16"/>
                <w:szCs w:val="16"/>
                <w:color w:val="auto"/>
              </w:rPr>
              <w:t>192.86</w:t>
            </w:r>
          </w:p>
        </w:tc>
        <w:tc>
          <w:tcPr>
            <w:tcW w:w="1240" w:type="dxa"/>
            <w:vAlign w:val="bottom"/>
          </w:tcPr>
          <w:p>
            <w:pPr>
              <w:jc w:val="right"/>
              <w:ind w:right="205"/>
              <w:spacing w:after="0"/>
              <w:rPr>
                <w:sz w:val="20"/>
                <w:szCs w:val="20"/>
                <w:color w:val="auto"/>
              </w:rPr>
            </w:pPr>
            <w:r>
              <w:rPr>
                <w:rFonts w:ascii="Arial" w:cs="Arial" w:eastAsia="Arial" w:hAnsi="Arial"/>
                <w:sz w:val="16"/>
                <w:szCs w:val="16"/>
                <w:color w:val="auto"/>
              </w:rPr>
              <w:t>$ 1,049,698</w:t>
            </w:r>
          </w:p>
        </w:tc>
        <w:tc>
          <w:tcPr>
            <w:tcW w:w="12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185"/>
        </w:trPr>
        <w:tc>
          <w:tcPr>
            <w:tcW w:w="3000" w:type="dxa"/>
            <w:vAlign w:val="bottom"/>
            <w:gridSpan w:val="2"/>
            <w:shd w:val="clear" w:color="auto" w:fill="D9D9D9"/>
          </w:tcPr>
          <w:p>
            <w:pPr>
              <w:spacing w:after="0"/>
              <w:rPr>
                <w:sz w:val="20"/>
                <w:szCs w:val="20"/>
                <w:color w:val="auto"/>
              </w:rPr>
            </w:pPr>
            <w:r>
              <w:rPr>
                <w:rFonts w:ascii="Arial" w:cs="Arial" w:eastAsia="Arial" w:hAnsi="Arial"/>
                <w:sz w:val="16"/>
                <w:szCs w:val="16"/>
                <w:color w:val="auto"/>
              </w:rPr>
              <w:t>Jeffrey R. Stewart</w:t>
            </w:r>
          </w:p>
        </w:tc>
        <w:tc>
          <w:tcPr>
            <w:tcW w:w="1120" w:type="dxa"/>
            <w:vAlign w:val="bottom"/>
            <w:shd w:val="clear" w:color="auto" w:fill="D9D9D9"/>
          </w:tcPr>
          <w:p>
            <w:pPr>
              <w:jc w:val="right"/>
              <w:ind w:right="243"/>
              <w:spacing w:after="0"/>
              <w:rPr>
                <w:sz w:val="20"/>
                <w:szCs w:val="20"/>
                <w:color w:val="auto"/>
              </w:rPr>
            </w:pPr>
            <w:r>
              <w:rPr>
                <w:rFonts w:ascii="Arial" w:cs="Arial" w:eastAsia="Arial" w:hAnsi="Arial"/>
                <w:sz w:val="16"/>
                <w:szCs w:val="16"/>
                <w:color w:val="auto"/>
              </w:rPr>
              <w:t>2/13/2025</w:t>
            </w:r>
          </w:p>
        </w:tc>
        <w:tc>
          <w:tcPr>
            <w:tcW w:w="1060" w:type="dxa"/>
            <w:vAlign w:val="bottom"/>
            <w:shd w:val="clear" w:color="auto" w:fill="D9D9D9"/>
          </w:tcPr>
          <w:p>
            <w:pPr>
              <w:jc w:val="center"/>
              <w:ind w:left="285"/>
              <w:spacing w:after="0"/>
              <w:rPr>
                <w:sz w:val="20"/>
                <w:szCs w:val="20"/>
                <w:color w:val="auto"/>
              </w:rPr>
            </w:pPr>
            <w:r>
              <w:rPr>
                <w:rFonts w:ascii="Arial" w:cs="Arial" w:eastAsia="Arial" w:hAnsi="Arial"/>
                <w:sz w:val="16"/>
                <w:szCs w:val="16"/>
                <w:color w:val="auto"/>
              </w:rPr>
              <w:t>33,854</w:t>
            </w:r>
          </w:p>
        </w:tc>
        <w:tc>
          <w:tcPr>
            <w:tcW w:w="420" w:type="dxa"/>
            <w:vAlign w:val="bottom"/>
            <w:shd w:val="clear" w:color="auto" w:fill="D9D9D9"/>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shd w:val="clear" w:color="auto" w:fill="D9D9D9"/>
          </w:tcPr>
          <w:p>
            <w:pPr>
              <w:ind w:left="360"/>
              <w:spacing w:after="0"/>
              <w:rPr>
                <w:sz w:val="20"/>
                <w:szCs w:val="20"/>
                <w:color w:val="auto"/>
              </w:rPr>
            </w:pPr>
            <w:r>
              <w:rPr>
                <w:rFonts w:ascii="Arial" w:cs="Arial" w:eastAsia="Arial" w:hAnsi="Arial"/>
                <w:sz w:val="16"/>
                <w:szCs w:val="16"/>
                <w:color w:val="auto"/>
              </w:rPr>
              <w:t>192.86</w:t>
            </w:r>
          </w:p>
        </w:tc>
        <w:tc>
          <w:tcPr>
            <w:tcW w:w="1240" w:type="dxa"/>
            <w:vAlign w:val="bottom"/>
            <w:shd w:val="clear" w:color="auto" w:fill="D9D9D9"/>
          </w:tcPr>
          <w:p>
            <w:pPr>
              <w:jc w:val="right"/>
              <w:ind w:right="205"/>
              <w:spacing w:after="0"/>
              <w:rPr>
                <w:sz w:val="20"/>
                <w:szCs w:val="20"/>
                <w:color w:val="auto"/>
              </w:rPr>
            </w:pPr>
            <w:r>
              <w:rPr>
                <w:rFonts w:ascii="Arial" w:cs="Arial" w:eastAsia="Arial" w:hAnsi="Arial"/>
                <w:sz w:val="16"/>
                <w:szCs w:val="16"/>
                <w:color w:val="auto"/>
              </w:rPr>
              <w:t>$ 1,299,655</w:t>
            </w:r>
          </w:p>
        </w:tc>
        <w:tc>
          <w:tcPr>
            <w:tcW w:w="1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1.45%</w:t>
            </w:r>
          </w:p>
        </w:tc>
      </w:tr>
      <w:tr>
        <w:trPr>
          <w:trHeight w:val="185"/>
        </w:trPr>
        <w:tc>
          <w:tcPr>
            <w:tcW w:w="3000" w:type="dxa"/>
            <w:vAlign w:val="bottom"/>
            <w:gridSpan w:val="2"/>
          </w:tcPr>
          <w:p>
            <w:pPr>
              <w:spacing w:after="0"/>
              <w:rPr>
                <w:sz w:val="20"/>
                <w:szCs w:val="20"/>
                <w:color w:val="auto"/>
              </w:rPr>
            </w:pPr>
            <w:r>
              <w:rPr>
                <w:rFonts w:ascii="Arial" w:cs="Arial" w:eastAsia="Arial" w:hAnsi="Arial"/>
                <w:sz w:val="16"/>
                <w:szCs w:val="16"/>
                <w:color w:val="auto"/>
              </w:rPr>
              <w:t>Azita Saleki-Gerhardt</w:t>
            </w:r>
          </w:p>
        </w:tc>
        <w:tc>
          <w:tcPr>
            <w:tcW w:w="1120" w:type="dxa"/>
            <w:vAlign w:val="bottom"/>
          </w:tcPr>
          <w:p>
            <w:pPr>
              <w:jc w:val="right"/>
              <w:ind w:right="243"/>
              <w:spacing w:after="0"/>
              <w:rPr>
                <w:sz w:val="20"/>
                <w:szCs w:val="20"/>
                <w:color w:val="auto"/>
              </w:rPr>
            </w:pPr>
            <w:r>
              <w:rPr>
                <w:rFonts w:ascii="Arial" w:cs="Arial" w:eastAsia="Arial" w:hAnsi="Arial"/>
                <w:sz w:val="16"/>
                <w:szCs w:val="16"/>
                <w:color w:val="auto"/>
              </w:rPr>
              <w:t>2/13/2025</w:t>
            </w:r>
          </w:p>
        </w:tc>
        <w:tc>
          <w:tcPr>
            <w:tcW w:w="1060" w:type="dxa"/>
            <w:vAlign w:val="bottom"/>
          </w:tcPr>
          <w:p>
            <w:pPr>
              <w:jc w:val="center"/>
              <w:ind w:left="285"/>
              <w:spacing w:after="0"/>
              <w:rPr>
                <w:sz w:val="20"/>
                <w:szCs w:val="20"/>
                <w:color w:val="auto"/>
              </w:rPr>
            </w:pPr>
            <w:r>
              <w:rPr>
                <w:rFonts w:ascii="Arial" w:cs="Arial" w:eastAsia="Arial" w:hAnsi="Arial"/>
                <w:sz w:val="16"/>
                <w:szCs w:val="16"/>
                <w:color w:val="auto"/>
              </w:rPr>
              <w:t>25,000</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tcPr>
          <w:p>
            <w:pPr>
              <w:ind w:left="360"/>
              <w:spacing w:after="0"/>
              <w:rPr>
                <w:sz w:val="20"/>
                <w:szCs w:val="20"/>
                <w:color w:val="auto"/>
              </w:rPr>
            </w:pPr>
            <w:r>
              <w:rPr>
                <w:rFonts w:ascii="Arial" w:cs="Arial" w:eastAsia="Arial" w:hAnsi="Arial"/>
                <w:sz w:val="16"/>
                <w:szCs w:val="16"/>
                <w:color w:val="auto"/>
              </w:rPr>
              <w:t>192.86</w:t>
            </w:r>
          </w:p>
        </w:tc>
        <w:tc>
          <w:tcPr>
            <w:tcW w:w="1240" w:type="dxa"/>
            <w:vAlign w:val="bottom"/>
          </w:tcPr>
          <w:p>
            <w:pPr>
              <w:jc w:val="right"/>
              <w:ind w:right="205"/>
              <w:spacing w:after="0"/>
              <w:rPr>
                <w:sz w:val="20"/>
                <w:szCs w:val="20"/>
                <w:color w:val="auto"/>
              </w:rPr>
            </w:pPr>
            <w:r>
              <w:rPr>
                <w:rFonts w:ascii="Arial" w:cs="Arial" w:eastAsia="Arial" w:hAnsi="Arial"/>
                <w:sz w:val="16"/>
                <w:szCs w:val="16"/>
                <w:color w:val="auto"/>
              </w:rPr>
              <w:t>$ 959,750</w:t>
            </w:r>
          </w:p>
        </w:tc>
        <w:tc>
          <w:tcPr>
            <w:tcW w:w="12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185"/>
        </w:trPr>
        <w:tc>
          <w:tcPr>
            <w:tcW w:w="3000" w:type="dxa"/>
            <w:vAlign w:val="bottom"/>
            <w:gridSpan w:val="2"/>
            <w:shd w:val="clear" w:color="auto" w:fill="D9D9D9"/>
          </w:tcPr>
          <w:p>
            <w:pPr>
              <w:spacing w:after="0"/>
              <w:rPr>
                <w:sz w:val="20"/>
                <w:szCs w:val="20"/>
                <w:color w:val="auto"/>
              </w:rPr>
            </w:pPr>
            <w:r>
              <w:rPr>
                <w:rFonts w:ascii="Arial" w:cs="Arial" w:eastAsia="Arial" w:hAnsi="Arial"/>
                <w:sz w:val="16"/>
                <w:szCs w:val="16"/>
                <w:color w:val="auto"/>
              </w:rPr>
              <w:t>Roopal B. Thakkar</w:t>
            </w:r>
          </w:p>
        </w:tc>
        <w:tc>
          <w:tcPr>
            <w:tcW w:w="1120" w:type="dxa"/>
            <w:vAlign w:val="bottom"/>
            <w:shd w:val="clear" w:color="auto" w:fill="D9D9D9"/>
          </w:tcPr>
          <w:p>
            <w:pPr>
              <w:jc w:val="right"/>
              <w:ind w:right="243"/>
              <w:spacing w:after="0"/>
              <w:rPr>
                <w:sz w:val="20"/>
                <w:szCs w:val="20"/>
                <w:color w:val="auto"/>
              </w:rPr>
            </w:pPr>
            <w:r>
              <w:rPr>
                <w:rFonts w:ascii="Arial" w:cs="Arial" w:eastAsia="Arial" w:hAnsi="Arial"/>
                <w:sz w:val="16"/>
                <w:szCs w:val="16"/>
                <w:color w:val="auto"/>
              </w:rPr>
              <w:t>2/13/2025</w:t>
            </w:r>
          </w:p>
        </w:tc>
        <w:tc>
          <w:tcPr>
            <w:tcW w:w="1060" w:type="dxa"/>
            <w:vAlign w:val="bottom"/>
            <w:shd w:val="clear" w:color="auto" w:fill="D9D9D9"/>
          </w:tcPr>
          <w:p>
            <w:pPr>
              <w:jc w:val="center"/>
              <w:ind w:left="285"/>
              <w:spacing w:after="0"/>
              <w:rPr>
                <w:sz w:val="20"/>
                <w:szCs w:val="20"/>
                <w:color w:val="auto"/>
              </w:rPr>
            </w:pPr>
            <w:r>
              <w:rPr>
                <w:rFonts w:ascii="Arial" w:cs="Arial" w:eastAsia="Arial" w:hAnsi="Arial"/>
                <w:sz w:val="16"/>
                <w:szCs w:val="16"/>
                <w:color w:val="auto"/>
              </w:rPr>
              <w:t>25,000</w:t>
            </w:r>
          </w:p>
        </w:tc>
        <w:tc>
          <w:tcPr>
            <w:tcW w:w="420" w:type="dxa"/>
            <w:vAlign w:val="bottom"/>
            <w:shd w:val="clear" w:color="auto" w:fill="D9D9D9"/>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shd w:val="clear" w:color="auto" w:fill="D9D9D9"/>
          </w:tcPr>
          <w:p>
            <w:pPr>
              <w:ind w:left="360"/>
              <w:spacing w:after="0"/>
              <w:rPr>
                <w:sz w:val="20"/>
                <w:szCs w:val="20"/>
                <w:color w:val="auto"/>
              </w:rPr>
            </w:pPr>
            <w:r>
              <w:rPr>
                <w:rFonts w:ascii="Arial" w:cs="Arial" w:eastAsia="Arial" w:hAnsi="Arial"/>
                <w:sz w:val="16"/>
                <w:szCs w:val="16"/>
                <w:color w:val="auto"/>
              </w:rPr>
              <w:t>192.86</w:t>
            </w:r>
          </w:p>
        </w:tc>
        <w:tc>
          <w:tcPr>
            <w:tcW w:w="1240" w:type="dxa"/>
            <w:vAlign w:val="bottom"/>
            <w:shd w:val="clear" w:color="auto" w:fill="D9D9D9"/>
          </w:tcPr>
          <w:p>
            <w:pPr>
              <w:jc w:val="right"/>
              <w:ind w:right="205"/>
              <w:spacing w:after="0"/>
              <w:rPr>
                <w:sz w:val="20"/>
                <w:szCs w:val="20"/>
                <w:color w:val="auto"/>
              </w:rPr>
            </w:pPr>
            <w:r>
              <w:rPr>
                <w:rFonts w:ascii="Arial" w:cs="Arial" w:eastAsia="Arial" w:hAnsi="Arial"/>
                <w:sz w:val="16"/>
                <w:szCs w:val="16"/>
                <w:color w:val="auto"/>
              </w:rPr>
              <w:t>$ 959,750</w:t>
            </w:r>
          </w:p>
        </w:tc>
        <w:tc>
          <w:tcPr>
            <w:tcW w:w="1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1.45%</w:t>
            </w:r>
          </w:p>
        </w:tc>
      </w:tr>
      <w:tr>
        <w:trPr>
          <w:trHeight w:val="98"/>
        </w:trPr>
        <w:tc>
          <w:tcPr>
            <w:tcW w:w="23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69" w:lineRule="exact"/>
        <w:rPr>
          <w:sz w:val="20"/>
          <w:szCs w:val="20"/>
          <w:color w:val="auto"/>
        </w:rPr>
      </w:pPr>
    </w:p>
    <w:p>
      <w:pPr>
        <w:ind w:left="289" w:right="80" w:hanging="289"/>
        <w:spacing w:after="0" w:line="261" w:lineRule="auto"/>
        <w:tabs>
          <w:tab w:leader="none" w:pos="289" w:val="left"/>
        </w:tabs>
        <w:numPr>
          <w:ilvl w:val="0"/>
          <w:numId w:val="70"/>
        </w:numPr>
        <w:rPr>
          <w:rFonts w:ascii="Arial" w:cs="Arial" w:eastAsia="Arial" w:hAnsi="Arial"/>
          <w:sz w:val="16"/>
          <w:szCs w:val="16"/>
          <w:color w:val="auto"/>
        </w:rPr>
      </w:pPr>
      <w:r>
        <w:rPr>
          <w:rFonts w:ascii="Arial" w:cs="Arial" w:eastAsia="Arial" w:hAnsi="Arial"/>
          <w:sz w:val="16"/>
          <w:szCs w:val="16"/>
          <w:color w:val="auto"/>
        </w:rPr>
        <w:t>On February 14, 2025, the company reported its financial results for the fiscal year ended December 31, 2024 on Form 10-K.</w:t>
      </w:r>
    </w:p>
    <w:p>
      <w:pPr>
        <w:spacing w:after="0" w:line="317"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BENEFITS</w:t>
      </w:r>
    </w:p>
    <w:p>
      <w:pPr>
        <w:spacing w:after="0" w:line="99" w:lineRule="exact"/>
        <w:rPr>
          <w:sz w:val="20"/>
          <w:szCs w:val="20"/>
          <w:color w:val="auto"/>
        </w:rPr>
      </w:pPr>
    </w:p>
    <w:p>
      <w:pPr>
        <w:ind w:left="9" w:right="260"/>
        <w:spacing w:after="0" w:line="262" w:lineRule="auto"/>
        <w:rPr>
          <w:sz w:val="20"/>
          <w:szCs w:val="20"/>
          <w:color w:val="auto"/>
        </w:rPr>
      </w:pPr>
      <w:r>
        <w:rPr>
          <w:rFonts w:ascii="Arial" w:cs="Arial" w:eastAsia="Arial" w:hAnsi="Arial"/>
          <w:sz w:val="16"/>
          <w:szCs w:val="16"/>
          <w:color w:val="auto"/>
        </w:rPr>
        <w:t>Benefits are an important part of retention and capital preservation for all employees, helping to protect against the impact of unexpected catastrophic loss of health and/or earnings potential, as well as providing a means to save and accumulate for retirement or other post-employment needs.</w:t>
      </w:r>
    </w:p>
    <w:p>
      <w:pPr>
        <w:spacing w:after="0" w:line="74" w:lineRule="exact"/>
        <w:rPr>
          <w:sz w:val="20"/>
          <w:szCs w:val="20"/>
          <w:color w:val="auto"/>
        </w:rPr>
      </w:pPr>
    </w:p>
    <w:p>
      <w:pPr>
        <w:ind w:left="9" w:right="280"/>
        <w:spacing w:after="0" w:line="262" w:lineRule="auto"/>
        <w:rPr>
          <w:sz w:val="20"/>
          <w:szCs w:val="20"/>
          <w:color w:val="auto"/>
        </w:rPr>
      </w:pPr>
      <w:r>
        <w:rPr>
          <w:rFonts w:ascii="Arial" w:cs="Arial" w:eastAsia="Arial" w:hAnsi="Arial"/>
          <w:sz w:val="16"/>
          <w:szCs w:val="16"/>
          <w:color w:val="auto"/>
        </w:rPr>
        <w:t>Each of the benefits described below supports the company’s objective of providing a market competitive total rewards program. Individual benefits do not directly affect decisions regarding other benefits or pay components, except to the extent that all benefits and pay components, in aggregate, are designed to be competitive.</w:t>
      </w:r>
    </w:p>
    <w:p>
      <w:pPr>
        <w:spacing w:after="0" w:line="11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071D49"/>
        </w:rPr>
        <w:t>Retirement Benefits</w:t>
      </w:r>
    </w:p>
    <w:p>
      <w:pPr>
        <w:spacing w:after="0" w:line="99" w:lineRule="exact"/>
        <w:rPr>
          <w:sz w:val="20"/>
          <w:szCs w:val="20"/>
          <w:color w:val="auto"/>
        </w:rPr>
      </w:pPr>
    </w:p>
    <w:p>
      <w:pPr>
        <w:ind w:left="9" w:right="120"/>
        <w:spacing w:after="0" w:line="262" w:lineRule="auto"/>
        <w:rPr>
          <w:sz w:val="20"/>
          <w:szCs w:val="20"/>
          <w:color w:val="auto"/>
        </w:rPr>
      </w:pPr>
      <w:r>
        <w:rPr>
          <w:rFonts w:ascii="Arial" w:cs="Arial" w:eastAsia="Arial" w:hAnsi="Arial"/>
          <w:sz w:val="16"/>
          <w:szCs w:val="16"/>
          <w:color w:val="auto"/>
        </w:rPr>
        <w:t>The NEOs and other eligible U.S. employees participate in the AbbVie Pension Plan, the company’s principal qualified defined benefit plan. NEOs and certain other employees also participate in the AbbVie Supplemental Pension Plan. These plans are described in greater detail in the section of this proxy statement captioned “Pension Benefits.”</w:t>
      </w:r>
    </w:p>
    <w:p>
      <w:pPr>
        <w:spacing w:after="0" w:line="74" w:lineRule="exact"/>
        <w:rPr>
          <w:sz w:val="20"/>
          <w:szCs w:val="20"/>
          <w:color w:val="auto"/>
        </w:rPr>
      </w:pPr>
    </w:p>
    <w:p>
      <w:pPr>
        <w:ind w:left="9" w:right="20"/>
        <w:spacing w:after="0" w:line="247" w:lineRule="auto"/>
        <w:rPr>
          <w:sz w:val="20"/>
          <w:szCs w:val="20"/>
          <w:color w:val="auto"/>
        </w:rPr>
      </w:pPr>
      <w:r>
        <w:rPr>
          <w:rFonts w:ascii="Arial" w:cs="Arial" w:eastAsia="Arial" w:hAnsi="Arial"/>
          <w:sz w:val="16"/>
          <w:szCs w:val="16"/>
          <w:color w:val="auto"/>
        </w:rPr>
        <w:t>The Supplemental Pension Plan is a non-qualified defined benefit plan that cannot be secured in a manner similar to a qualified plan, for which assets are held in trust, so eligible executives, including eligible NEOs, receive an annual cash payment equal to the increase in the present value of their Supplemental Pension Plan benefit. Eligible NEOs have the option of depositing the annual payment into an individually established grantor trust, net of maximum tax withholdings. Deposited amounts may be credited with the difference between the eligible NEO’s actual annual trust earnings and the rate used to calculate trust funding (currently 8 percent). Amounts deposited in the individual trusts are not tax-deferred and the NEOs personally pay the taxes on those amounts without gross-ups.</w:t>
      </w:r>
    </w:p>
    <w:p>
      <w:pPr>
        <w:spacing w:after="0" w:line="139" w:lineRule="exact"/>
        <w:rPr>
          <w:sz w:val="20"/>
          <w:szCs w:val="20"/>
          <w:color w:val="auto"/>
        </w:rPr>
      </w:pPr>
    </w:p>
    <w:p>
      <w:pPr>
        <w:ind w:left="9" w:right="600"/>
        <w:spacing w:after="0" w:line="283" w:lineRule="auto"/>
        <w:rPr>
          <w:sz w:val="20"/>
          <w:szCs w:val="20"/>
          <w:color w:val="auto"/>
        </w:rPr>
      </w:pPr>
      <w:r>
        <w:rPr>
          <w:rFonts w:ascii="Arial" w:cs="Arial" w:eastAsia="Arial" w:hAnsi="Arial"/>
          <w:sz w:val="16"/>
          <w:szCs w:val="16"/>
          <w:color w:val="auto"/>
        </w:rPr>
        <w:t>The manner in which the grantor trust assets are to be distributed to an eligible NEO upon retirement from the company generally follows the distribution method elected by the NEO under the AbbVie Pension Plan. If an</w:t>
      </w:r>
    </w:p>
    <w:p>
      <w:pPr>
        <w:spacing w:after="0" w:line="321"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-492125</wp:posOffset>
            </wp:positionV>
            <wp:extent cx="797560" cy="148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eligible NEO (or the NEO’s surviving spouse, depending on the pension distribution method elected by the NEO under the AbbVie Pension Plan) lives beyond the actuarial life expectancy age used to determine the Supplemental Pension Plan benefit, and therefore exhausts the trust balance, the Supplemental Pension Plan benefit is paid to the NEO (or their surviving spouse) by AbbVie.</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Savings Plans</w:t>
      </w:r>
    </w:p>
    <w:p>
      <w:pPr>
        <w:spacing w:after="0" w:line="99"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The NEOs and other eligible U.S. employees are permitted to defer a portion of their annual base salary under the AbbVie Savings Plan, the company’s principal qualified defined contribution plan, up to the IRS contribution limits. Eligible executives, including the NEOs, also may defer up to 18 percent of their base salary, less contributions to the AbbVie Savings Plan, to the AbbVie Supplemental Savings Plan, which is a non-qualified defined contribution plan. Eligible executives may defer these amounts to unfunded book accounts or choose to have the amounts paid in cash on a current basis and deposited into individually established grantor trusts, net of maximum tax withholdings. These amounts are credited annually with earnings. Amounts deposited in the individual trusts are not tax-deferred and the NEOs personally pay the taxes on those amounts without gross-ups.</w:t>
      </w:r>
    </w:p>
    <w:p>
      <w:pPr>
        <w:spacing w:after="0" w:line="6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Eligible NEOs elect the manner in which the assets held in their grantor trusts will be distributed to them upon retirement or other separation from the company. These arrangements are described in greater detail in this proxy statement beginning with the section captioned “Summary Compensation Table.”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Financial Planning</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NEOs are paid an annual stipend of $10,000 for estate planning advice, tax preparation and general financial planning fees.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stipend is income to the NEO, who is responsible for payment of all resulting taxes without gross-ups.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Company-Provided Transportation</w:t>
      </w:r>
    </w:p>
    <w:p>
      <w:pPr>
        <w:spacing w:after="0" w:line="99" w:lineRule="exact"/>
        <w:rPr>
          <w:sz w:val="20"/>
          <w:szCs w:val="20"/>
          <w:color w:val="auto"/>
        </w:rPr>
      </w:pPr>
    </w:p>
    <w:p>
      <w:pPr>
        <w:ind w:right="400"/>
        <w:spacing w:after="0" w:line="251" w:lineRule="auto"/>
        <w:rPr>
          <w:sz w:val="20"/>
          <w:szCs w:val="20"/>
          <w:color w:val="auto"/>
        </w:rPr>
      </w:pPr>
      <w:r>
        <w:rPr>
          <w:rFonts w:ascii="Arial" w:cs="Arial" w:eastAsia="Arial" w:hAnsi="Arial"/>
          <w:sz w:val="16"/>
          <w:szCs w:val="16"/>
          <w:color w:val="auto"/>
        </w:rPr>
        <w:t>NEOs are eligible for transportation perquisites that are designed to improve the effectiveness and efficiency of their work, including the use of a company-leased vehicle and access to company-provided air travel, as appropriate. In some circumstances, these benefits may be used for personal travel, which would then be considered part of the NEO’s total compensation and treated as taxable income to them under applicable tax laws. The NEOs pay the taxes on such income without gross-ups.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Disability Benefits</w:t>
      </w:r>
    </w:p>
    <w:p>
      <w:pPr>
        <w:spacing w:after="0" w:line="99" w:lineRule="exact"/>
        <w:rPr>
          <w:sz w:val="20"/>
          <w:szCs w:val="20"/>
          <w:color w:val="auto"/>
        </w:rPr>
      </w:pPr>
    </w:p>
    <w:p>
      <w:pPr>
        <w:ind w:right="640"/>
        <w:spacing w:after="0" w:line="283" w:lineRule="auto"/>
        <w:rPr>
          <w:sz w:val="20"/>
          <w:szCs w:val="20"/>
          <w:color w:val="auto"/>
        </w:rPr>
      </w:pPr>
      <w:r>
        <w:rPr>
          <w:rFonts w:ascii="Arial" w:cs="Arial" w:eastAsia="Arial" w:hAnsi="Arial"/>
          <w:sz w:val="16"/>
          <w:szCs w:val="16"/>
          <w:color w:val="auto"/>
        </w:rPr>
        <w:t>In addition to AbbVie’s standard disability benefits, NEOs are eligible for a monthly long-term disability benefit, which is described in the “Potential Payments upon Termination or Change in Control” section of this proxy statement.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AbbVie does not have employment agreements with any of its NEOs.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CONTROL AGREEMENTS</w:t>
      </w:r>
    </w:p>
    <w:p>
      <w:pPr>
        <w:spacing w:after="0" w:line="9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AbbVie has entered into change in control agreements with its NEOs to aid in retention and recruitment, encourage continued attention and dedication to assigned duties during periods involving a possible change in control of the company, and to protect the earned benefits of the NEOs against potential adverse changes resulting from a change in control.</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change in control agreements contain a double-trigger feature, meaning that if the NEO’s employment is terminated other than for cause or permanent disability, or if the NEO elects to terminate employment for good reason, within two years following a change in control, they are entitled to receive certain pay and benefits as described in the section of this proxy statement captioned “Potential Payments upon Termination or Change in Control.”</w:t>
      </w:r>
    </w:p>
    <w:p>
      <w:pPr>
        <w:spacing w:after="0" w:line="200" w:lineRule="exact"/>
        <w:rPr>
          <w:sz w:val="20"/>
          <w:szCs w:val="20"/>
          <w:color w:val="auto"/>
        </w:rPr>
      </w:pPr>
    </w:p>
    <w:p>
      <w:pPr>
        <w:spacing w:after="0" w:line="344"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46</w:t>
      </w:r>
      <w:r>
        <w:rPr>
          <w:sz w:val="20"/>
          <w:szCs w:val="20"/>
          <w:color w:val="auto"/>
        </w:rPr>
        <w:tab/>
      </w:r>
      <w:r>
        <w:rPr>
          <w:sz w:val="1"/>
          <w:szCs w:val="1"/>
          <w:color w:val="auto"/>
        </w:rPr>
        <w:drawing>
          <wp:inline distT="0" distB="0" distL="0" distR="0">
            <wp:extent cx="797560" cy="14859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234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20"/>
          </w:cols>
          <w:pgMar w:left="1320" w:top="480" w:right="135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EXCISE TAX GROSS-UPS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AbbVie does not provide excise tax gross-ups on NEO severance or other payments in connection with a change in control.</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Other Matters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 GUIDELINES</w:t>
      </w:r>
    </w:p>
    <w:p>
      <w:pPr>
        <w:spacing w:after="0" w:line="9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AbbVie’s stock ownership guidelines are designed to further promote sustained stockholder return and to ensure the company’s senior executives, including NEOs, remain focused on both short- and long-term objectives. Each senior executive has five years from the date of election or appointment to their position to achieve the ownership level associated with their position. Senior executives are not allowed to sell stock, except for tax withholding at vesting or exercise, if they do not satisfy the minimum stock ownership requirement. The minimum stock ownership guidelines for the CEO and other NEOs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00" w:type="dxa"/>
            <w:vAlign w:val="bottom"/>
            <w:tcBorders>
              <w:top w:val="single" w:sz="8" w:color="071D49"/>
              <w:bottom w:val="single" w:sz="8" w:color="071D49"/>
            </w:tcBorders>
          </w:tcPr>
          <w:p>
            <w:pPr>
              <w:spacing w:after="0"/>
              <w:rPr>
                <w:sz w:val="20"/>
                <w:szCs w:val="20"/>
                <w:color w:val="auto"/>
              </w:rPr>
            </w:pPr>
            <w:r>
              <w:rPr>
                <w:rFonts w:ascii="Arial" w:cs="Arial" w:eastAsia="Arial" w:hAnsi="Arial"/>
                <w:sz w:val="16"/>
                <w:szCs w:val="16"/>
                <w:b w:val="1"/>
                <w:bCs w:val="1"/>
                <w:color w:val="071D49"/>
              </w:rPr>
              <w:t>Executive</w:t>
            </w:r>
          </w:p>
        </w:tc>
        <w:tc>
          <w:tcPr>
            <w:tcW w:w="4240" w:type="dxa"/>
            <w:vAlign w:val="bottom"/>
            <w:tcBorders>
              <w:top w:val="single" w:sz="8" w:color="071D49"/>
              <w:bottom w:val="single" w:sz="8" w:color="071D49"/>
            </w:tcBorders>
          </w:tcPr>
          <w:p>
            <w:pPr>
              <w:ind w:left="1540"/>
              <w:spacing w:after="0"/>
              <w:rPr>
                <w:sz w:val="20"/>
                <w:szCs w:val="20"/>
                <w:color w:val="auto"/>
              </w:rPr>
            </w:pPr>
            <w:r>
              <w:rPr>
                <w:rFonts w:ascii="Arial" w:cs="Arial" w:eastAsia="Arial" w:hAnsi="Arial"/>
                <w:sz w:val="16"/>
                <w:szCs w:val="16"/>
                <w:b w:val="1"/>
                <w:bCs w:val="1"/>
                <w:color w:val="071D49"/>
              </w:rPr>
              <w:t>​​​Stock Ownership Requirement</w:t>
            </w:r>
          </w:p>
        </w:tc>
        <w:tc>
          <w:tcPr>
            <w:tcW w:w="1920" w:type="dxa"/>
            <w:vAlign w:val="bottom"/>
            <w:tcBorders>
              <w:top w:val="single" w:sz="8" w:color="071D49"/>
              <w:bottom w:val="single" w:sz="8" w:color="071D49"/>
            </w:tcBorders>
          </w:tcPr>
          <w:p>
            <w:pPr>
              <w:ind w:left="180"/>
              <w:spacing w:after="0"/>
              <w:rPr>
                <w:sz w:val="20"/>
                <w:szCs w:val="20"/>
                <w:color w:val="auto"/>
              </w:rPr>
            </w:pPr>
            <w:r>
              <w:rPr>
                <w:rFonts w:ascii="Arial" w:cs="Arial" w:eastAsia="Arial" w:hAnsi="Arial"/>
                <w:sz w:val="16"/>
                <w:szCs w:val="16"/>
                <w:b w:val="1"/>
                <w:bCs w:val="1"/>
                <w:color w:val="071D49"/>
              </w:rPr>
              <w:t>​​​Requirement Met?</w:t>
            </w:r>
          </w:p>
        </w:tc>
      </w:tr>
      <w:tr>
        <w:trPr>
          <w:trHeight w:val="177"/>
        </w:trPr>
        <w:tc>
          <w:tcPr>
            <w:tcW w:w="3100" w:type="dxa"/>
            <w:vAlign w:val="bottom"/>
            <w:shd w:val="clear" w:color="auto" w:fill="D9D9D9"/>
          </w:tcPr>
          <w:p>
            <w:pPr>
              <w:spacing w:after="0" w:line="177" w:lineRule="exact"/>
              <w:rPr>
                <w:sz w:val="20"/>
                <w:szCs w:val="20"/>
                <w:color w:val="auto"/>
              </w:rPr>
            </w:pPr>
            <w:r>
              <w:rPr>
                <w:rFonts w:ascii="Arial" w:cs="Arial" w:eastAsia="Arial" w:hAnsi="Arial"/>
                <w:sz w:val="16"/>
                <w:szCs w:val="16"/>
                <w:color w:val="auto"/>
              </w:rPr>
              <w:t>Robert A. Michael</w:t>
            </w:r>
          </w:p>
        </w:tc>
        <w:tc>
          <w:tcPr>
            <w:tcW w:w="4240" w:type="dxa"/>
            <w:vAlign w:val="bottom"/>
            <w:shd w:val="clear" w:color="auto" w:fill="D9D9D9"/>
          </w:tcPr>
          <w:p>
            <w:pPr>
              <w:ind w:left="2440"/>
              <w:spacing w:after="0" w:line="177" w:lineRule="exact"/>
              <w:rPr>
                <w:sz w:val="20"/>
                <w:szCs w:val="20"/>
                <w:color w:val="auto"/>
              </w:rPr>
            </w:pPr>
            <w:r>
              <w:rPr>
                <w:rFonts w:ascii="Arial" w:cs="Arial" w:eastAsia="Arial" w:hAnsi="Arial"/>
                <w:sz w:val="16"/>
                <w:szCs w:val="16"/>
                <w:color w:val="auto"/>
              </w:rPr>
              <w:t>6x Base Salary</w:t>
            </w:r>
          </w:p>
        </w:tc>
        <w:tc>
          <w:tcPr>
            <w:tcW w:w="1920" w:type="dxa"/>
            <w:vAlign w:val="bottom"/>
            <w:shd w:val="clear" w:color="auto" w:fill="D9D9D9"/>
          </w:tcPr>
          <w:p>
            <w:pPr>
              <w:ind w:left="960"/>
              <w:spacing w:after="0" w:line="177" w:lineRule="exact"/>
              <w:rPr>
                <w:sz w:val="20"/>
                <w:szCs w:val="20"/>
                <w:color w:val="auto"/>
              </w:rPr>
            </w:pPr>
            <w:r>
              <w:rPr>
                <w:rFonts w:ascii="Arial" w:cs="Arial" w:eastAsia="Arial" w:hAnsi="Arial"/>
                <w:sz w:val="16"/>
                <w:szCs w:val="16"/>
                <w:color w:val="auto"/>
              </w:rPr>
              <w:t>Yes</w:t>
            </w:r>
          </w:p>
        </w:tc>
      </w:tr>
      <w:tr>
        <w:trPr>
          <w:trHeight w:val="185"/>
        </w:trPr>
        <w:tc>
          <w:tcPr>
            <w:tcW w:w="3100" w:type="dxa"/>
            <w:vAlign w:val="bottom"/>
          </w:tcPr>
          <w:p>
            <w:pPr>
              <w:spacing w:after="0"/>
              <w:rPr>
                <w:sz w:val="20"/>
                <w:szCs w:val="20"/>
                <w:color w:val="auto"/>
              </w:rPr>
            </w:pPr>
            <w:r>
              <w:rPr>
                <w:rFonts w:ascii="Arial" w:cs="Arial" w:eastAsia="Arial" w:hAnsi="Arial"/>
                <w:sz w:val="16"/>
                <w:szCs w:val="16"/>
                <w:color w:val="auto"/>
              </w:rPr>
              <w:t>Scott T. Reents</w:t>
            </w:r>
          </w:p>
        </w:tc>
        <w:tc>
          <w:tcPr>
            <w:tcW w:w="4240" w:type="dxa"/>
            <w:vAlign w:val="bottom"/>
          </w:tcPr>
          <w:p>
            <w:pPr>
              <w:ind w:left="2440"/>
              <w:spacing w:after="0"/>
              <w:rPr>
                <w:sz w:val="20"/>
                <w:szCs w:val="20"/>
                <w:color w:val="auto"/>
              </w:rPr>
            </w:pPr>
            <w:r>
              <w:rPr>
                <w:rFonts w:ascii="Arial" w:cs="Arial" w:eastAsia="Arial" w:hAnsi="Arial"/>
                <w:sz w:val="16"/>
                <w:szCs w:val="16"/>
                <w:color w:val="auto"/>
              </w:rPr>
              <w:t>3x Base Salary</w:t>
            </w:r>
          </w:p>
        </w:tc>
        <w:tc>
          <w:tcPr>
            <w:tcW w:w="1920" w:type="dxa"/>
            <w:vAlign w:val="bottom"/>
          </w:tcPr>
          <w:p>
            <w:pPr>
              <w:ind w:left="960"/>
              <w:spacing w:after="0"/>
              <w:rPr>
                <w:sz w:val="20"/>
                <w:szCs w:val="20"/>
                <w:color w:val="auto"/>
              </w:rPr>
            </w:pPr>
            <w:r>
              <w:rPr>
                <w:rFonts w:ascii="Arial" w:cs="Arial" w:eastAsia="Arial" w:hAnsi="Arial"/>
                <w:sz w:val="16"/>
                <w:szCs w:val="16"/>
                <w:color w:val="auto"/>
              </w:rPr>
              <w:t>Yes</w:t>
            </w:r>
          </w:p>
        </w:tc>
      </w:tr>
      <w:tr>
        <w:trPr>
          <w:trHeight w:val="185"/>
        </w:trPr>
        <w:tc>
          <w:tcPr>
            <w:tcW w:w="3100" w:type="dxa"/>
            <w:vAlign w:val="bottom"/>
            <w:shd w:val="clear" w:color="auto" w:fill="D9D9D9"/>
          </w:tcPr>
          <w:p>
            <w:pPr>
              <w:spacing w:after="0"/>
              <w:rPr>
                <w:sz w:val="20"/>
                <w:szCs w:val="20"/>
                <w:color w:val="auto"/>
              </w:rPr>
            </w:pPr>
            <w:r>
              <w:rPr>
                <w:rFonts w:ascii="Arial" w:cs="Arial" w:eastAsia="Arial" w:hAnsi="Arial"/>
                <w:sz w:val="16"/>
                <w:szCs w:val="16"/>
                <w:color w:val="auto"/>
              </w:rPr>
              <w:t>Jeffrey R. Stewart</w:t>
            </w:r>
          </w:p>
        </w:tc>
        <w:tc>
          <w:tcPr>
            <w:tcW w:w="4240" w:type="dxa"/>
            <w:vAlign w:val="bottom"/>
            <w:shd w:val="clear" w:color="auto" w:fill="D9D9D9"/>
          </w:tcPr>
          <w:p>
            <w:pPr>
              <w:ind w:left="2440"/>
              <w:spacing w:after="0"/>
              <w:rPr>
                <w:sz w:val="20"/>
                <w:szCs w:val="20"/>
                <w:color w:val="auto"/>
              </w:rPr>
            </w:pPr>
            <w:r>
              <w:rPr>
                <w:rFonts w:ascii="Arial" w:cs="Arial" w:eastAsia="Arial" w:hAnsi="Arial"/>
                <w:sz w:val="16"/>
                <w:szCs w:val="16"/>
                <w:color w:val="auto"/>
              </w:rPr>
              <w:t>3x Base Salary</w:t>
            </w:r>
          </w:p>
        </w:tc>
        <w:tc>
          <w:tcPr>
            <w:tcW w:w="1920" w:type="dxa"/>
            <w:vAlign w:val="bottom"/>
            <w:shd w:val="clear" w:color="auto" w:fill="D9D9D9"/>
          </w:tcPr>
          <w:p>
            <w:pPr>
              <w:ind w:left="960"/>
              <w:spacing w:after="0"/>
              <w:rPr>
                <w:sz w:val="20"/>
                <w:szCs w:val="20"/>
                <w:color w:val="auto"/>
              </w:rPr>
            </w:pPr>
            <w:r>
              <w:rPr>
                <w:rFonts w:ascii="Arial" w:cs="Arial" w:eastAsia="Arial" w:hAnsi="Arial"/>
                <w:sz w:val="16"/>
                <w:szCs w:val="16"/>
                <w:color w:val="auto"/>
              </w:rPr>
              <w:t>Yes</w:t>
            </w:r>
          </w:p>
        </w:tc>
      </w:tr>
      <w:tr>
        <w:trPr>
          <w:trHeight w:val="185"/>
        </w:trPr>
        <w:tc>
          <w:tcPr>
            <w:tcW w:w="3100" w:type="dxa"/>
            <w:vAlign w:val="bottom"/>
          </w:tcPr>
          <w:p>
            <w:pPr>
              <w:spacing w:after="0"/>
              <w:rPr>
                <w:sz w:val="20"/>
                <w:szCs w:val="20"/>
                <w:color w:val="auto"/>
              </w:rPr>
            </w:pPr>
            <w:r>
              <w:rPr>
                <w:rFonts w:ascii="Arial" w:cs="Arial" w:eastAsia="Arial" w:hAnsi="Arial"/>
                <w:sz w:val="16"/>
                <w:szCs w:val="16"/>
                <w:color w:val="auto"/>
              </w:rPr>
              <w:t>Azita Saleki-Gerhardt</w:t>
            </w:r>
          </w:p>
        </w:tc>
        <w:tc>
          <w:tcPr>
            <w:tcW w:w="4240" w:type="dxa"/>
            <w:vAlign w:val="bottom"/>
          </w:tcPr>
          <w:p>
            <w:pPr>
              <w:ind w:left="2440"/>
              <w:spacing w:after="0"/>
              <w:rPr>
                <w:sz w:val="20"/>
                <w:szCs w:val="20"/>
                <w:color w:val="auto"/>
              </w:rPr>
            </w:pPr>
            <w:r>
              <w:rPr>
                <w:rFonts w:ascii="Arial" w:cs="Arial" w:eastAsia="Arial" w:hAnsi="Arial"/>
                <w:sz w:val="16"/>
                <w:szCs w:val="16"/>
                <w:color w:val="auto"/>
              </w:rPr>
              <w:t>3x Base Salary</w:t>
            </w:r>
          </w:p>
        </w:tc>
        <w:tc>
          <w:tcPr>
            <w:tcW w:w="1920" w:type="dxa"/>
            <w:vAlign w:val="bottom"/>
          </w:tcPr>
          <w:p>
            <w:pPr>
              <w:ind w:left="960"/>
              <w:spacing w:after="0"/>
              <w:rPr>
                <w:sz w:val="20"/>
                <w:szCs w:val="20"/>
                <w:color w:val="auto"/>
              </w:rPr>
            </w:pPr>
            <w:r>
              <w:rPr>
                <w:rFonts w:ascii="Arial" w:cs="Arial" w:eastAsia="Arial" w:hAnsi="Arial"/>
                <w:sz w:val="16"/>
                <w:szCs w:val="16"/>
                <w:color w:val="auto"/>
              </w:rPr>
              <w:t>Yes</w:t>
            </w:r>
          </w:p>
        </w:tc>
      </w:tr>
      <w:tr>
        <w:trPr>
          <w:trHeight w:val="185"/>
        </w:trPr>
        <w:tc>
          <w:tcPr>
            <w:tcW w:w="3100" w:type="dxa"/>
            <w:vAlign w:val="bottom"/>
            <w:tcBorders>
              <w:bottom w:val="single" w:sz="8" w:color="071D49"/>
            </w:tcBorders>
            <w:shd w:val="clear" w:color="auto" w:fill="D9D9D9"/>
          </w:tcPr>
          <w:p>
            <w:pPr>
              <w:spacing w:after="0"/>
              <w:rPr>
                <w:sz w:val="20"/>
                <w:szCs w:val="20"/>
                <w:color w:val="auto"/>
              </w:rPr>
            </w:pPr>
            <w:r>
              <w:rPr>
                <w:rFonts w:ascii="Arial" w:cs="Arial" w:eastAsia="Arial" w:hAnsi="Arial"/>
                <w:sz w:val="16"/>
                <w:szCs w:val="16"/>
                <w:color w:val="auto"/>
              </w:rPr>
              <w:t>Roopal B. Thakkar</w:t>
            </w:r>
          </w:p>
        </w:tc>
        <w:tc>
          <w:tcPr>
            <w:tcW w:w="4240" w:type="dxa"/>
            <w:vAlign w:val="bottom"/>
            <w:tcBorders>
              <w:bottom w:val="single" w:sz="8" w:color="071D49"/>
            </w:tcBorders>
            <w:shd w:val="clear" w:color="auto" w:fill="D9D9D9"/>
          </w:tcPr>
          <w:p>
            <w:pPr>
              <w:ind w:left="2440"/>
              <w:spacing w:after="0"/>
              <w:rPr>
                <w:sz w:val="20"/>
                <w:szCs w:val="20"/>
                <w:color w:val="auto"/>
              </w:rPr>
            </w:pPr>
            <w:r>
              <w:rPr>
                <w:rFonts w:ascii="Arial" w:cs="Arial" w:eastAsia="Arial" w:hAnsi="Arial"/>
                <w:sz w:val="16"/>
                <w:szCs w:val="16"/>
                <w:color w:val="auto"/>
              </w:rPr>
              <w:t>3x Base Salary</w:t>
            </w:r>
          </w:p>
        </w:tc>
        <w:tc>
          <w:tcPr>
            <w:tcW w:w="1920" w:type="dxa"/>
            <w:vAlign w:val="bottom"/>
            <w:tcBorders>
              <w:bottom w:val="single" w:sz="8" w:color="071D49"/>
            </w:tcBorders>
            <w:shd w:val="clear" w:color="auto" w:fill="D9D9D9"/>
          </w:tcPr>
          <w:p>
            <w:pPr>
              <w:ind w:left="960"/>
              <w:spacing w:after="0"/>
              <w:rPr>
                <w:sz w:val="20"/>
                <w:szCs w:val="20"/>
                <w:color w:val="auto"/>
              </w:rPr>
            </w:pPr>
            <w:r>
              <w:rPr>
                <w:rFonts w:ascii="Arial" w:cs="Arial" w:eastAsia="Arial" w:hAnsi="Arial"/>
                <w:sz w:val="16"/>
                <w:szCs w:val="16"/>
                <w:color w:val="auto"/>
              </w:rPr>
              <w:t>Yes</w:t>
            </w:r>
          </w:p>
        </w:tc>
      </w:tr>
    </w:tbl>
    <w:p>
      <w:pPr>
        <w:spacing w:after="0" w:line="180"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In addition, AbbVie’s non-employee directors are required to own AbbVie stock valued at five times (5x) the annual fee for service as a director under the AbbVie Non-Employee Directors’ Fee Plan within five years of joining the Board or as soon as practicable thereafter.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CLAWBACK POLICY</w:t>
      </w:r>
    </w:p>
    <w:p>
      <w:pPr>
        <w:spacing w:after="0" w:line="99"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The committee does not anticipate there would ever be circumstances where a restatement of earnings upon which any incentive plan award decisions were based would occur or circumstances where an executive officer engages in misconduct that would constitute a material breach of the AbbVie Code of Business Conduct. Nevertheless, the committee, in evaluating such circumstances, has broad discretion to take all actions necessary to protect the interests of stockholders, up to and including actions to recover incentive awards. This includes a mandatory clawback of excess compensation in the event of a restatement, consistent with SEC rules, as well as broad authority to clawback compensation in the event of a material breach of the AbbVie Code of Business Conduct. For more details, AbbVie’s Code of Business Conduct is available in the corporate governance section of AbbVie’s investor relations website at www.abbvieinvestor.com.</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ANTI-HEDGING AND ANTI-PLEDGING POLICIES</w:t>
      </w:r>
    </w:p>
    <w:p>
      <w:pPr>
        <w:spacing w:after="0" w:line="16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AbbVie has a formal policy that prohibits directors and officers subject to Section 16 of the Exchange Act, including the NEOs, from entering into or engaging in the purchase or sale of financial instruments that are designed to hedge or offset any decrease in the market value of AbbVie equity securities they hold. AbbVie also has a formal policy that prohibits directors and officers subject to Section 16 of the Exchange Act, including the NEOs, from pledging AbbVie common stock as collateral for a loan.</w:t>
      </w:r>
    </w:p>
    <w:p>
      <w:pPr>
        <w:spacing w:after="0" w:line="31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addition, the AbbVie Amended and Restated 2013 Incentive Stock Program provides that no long-term incentive award may be assigned, alienated, sold or transferred other than by will or by the laws of descent and distribution or as permitted by the compensation committee for estate planning purposes, and no award and no right under any award may be pledged, alienated, attached or otherwise encumbered. All members of senior management, including the NEOs, and certain other employees are required to clear any transaction involving company stock with the Legal department prior to entering into such transaction.</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-492125</wp:posOffset>
            </wp:positionV>
            <wp:extent cx="797560" cy="148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50" w:name="page51"/>
    <w:bookmarkEnd w:id="50"/>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INSIDER TRADING POLICY</w:t>
      </w:r>
    </w:p>
    <w:p>
      <w:pPr>
        <w:spacing w:after="0" w:line="161" w:lineRule="exact"/>
        <w:rPr>
          <w:sz w:val="20"/>
          <w:szCs w:val="20"/>
          <w:color w:val="auto"/>
        </w:rPr>
      </w:pPr>
    </w:p>
    <w:p>
      <w:pPr>
        <w:ind w:left="9" w:right="100"/>
        <w:spacing w:after="0" w:line="244" w:lineRule="auto"/>
        <w:rPr>
          <w:sz w:val="20"/>
          <w:szCs w:val="20"/>
          <w:color w:val="auto"/>
        </w:rPr>
      </w:pPr>
      <w:r>
        <w:rPr>
          <w:rFonts w:ascii="Arial" w:cs="Arial" w:eastAsia="Arial" w:hAnsi="Arial"/>
          <w:sz w:val="16"/>
          <w:szCs w:val="16"/>
          <w:color w:val="auto"/>
        </w:rPr>
        <w:t>AbbVie has adopted a formal insider trading policy applicable to directors, officers, employees and agents of the company, along with third parties who are in a confidential relationship with AbbVie (collectively, “covered persons”), that we believe is reasonably designed to promote compliance with applicable insider trading laws, rules and regulations and applicable listing standards. Among other things, our insider trading policy (i) prohibits trading by covered persons in our securities while in possession of material non-public information (“MNPI”) about AbbVie or AbbVie securities, except under pre-approved Rule 10b5-1 trading plans, or in the securities of any other company with respect to which such covered persons have received MNPI as a result of their relationship with or employment by AbbVie, (ii) prohibits disclosing MNPI to others who may trade in AbbVie securities or in the securities of any other publicly traded company on the basis of such MNPI, and (iii) specifies our blackout periods (and who is subject to such periods), our pre-clearance procedures (and who is subject to such procedures) and requirements regarding pre-approved trading plans that meet the requirements of Rule 10b5-1 under the Exchange Act. A copy of our insider trading policy was filed as Exhibit 19 to our 2025 Annual Report on Form 10-K filed with the SEC on February 20, 2026.</w:t>
      </w:r>
    </w:p>
    <w:p>
      <w:pPr>
        <w:spacing w:after="0" w:line="310" w:lineRule="exact"/>
        <w:rPr>
          <w:sz w:val="20"/>
          <w:szCs w:val="20"/>
          <w:color w:val="auto"/>
        </w:rPr>
      </w:pPr>
    </w:p>
    <w:p>
      <w:pPr>
        <w:ind w:left="9"/>
        <w:spacing w:after="0"/>
        <w:rPr>
          <w:sz w:val="20"/>
          <w:szCs w:val="20"/>
          <w:color w:val="auto"/>
        </w:rPr>
      </w:pPr>
      <w:r>
        <w:rPr>
          <w:rFonts w:ascii="Arial" w:cs="Arial" w:eastAsia="Arial" w:hAnsi="Arial"/>
          <w:sz w:val="30"/>
          <w:szCs w:val="30"/>
          <w:color w:val="auto"/>
        </w:rPr>
        <w:t>Compensation Committee Report</w:t>
      </w:r>
    </w:p>
    <w:p>
      <w:pPr>
        <w:spacing w:after="0" w:line="204" w:lineRule="exact"/>
        <w:rPr>
          <w:sz w:val="20"/>
          <w:szCs w:val="20"/>
          <w:color w:val="auto"/>
        </w:rPr>
      </w:pPr>
    </w:p>
    <w:p>
      <w:pPr>
        <w:ind w:left="9"/>
        <w:spacing w:after="0" w:line="251" w:lineRule="auto"/>
        <w:rPr>
          <w:sz w:val="20"/>
          <w:szCs w:val="20"/>
          <w:color w:val="auto"/>
        </w:rPr>
      </w:pPr>
      <w:r>
        <w:rPr>
          <w:rFonts w:ascii="Arial" w:cs="Arial" w:eastAsia="Arial" w:hAnsi="Arial"/>
          <w:sz w:val="16"/>
          <w:szCs w:val="16"/>
          <w:color w:val="auto"/>
        </w:rPr>
        <w:t>The compensation committee of the Board of Directors is primarily responsible for reviewing, approving and overseeing AbbVie’s compensation plans and practices, and works with management and the committee’s independent compensation consultant to establish AbbVie’s executive compensation philosophy and programs. The committee reviewed and discussed the Compensation Discussion and Analysis with management and, based on this review and discussion, recommended to the Board of Directors that the Compensation Discussion and Analysis be included in this proxy statement.</w:t>
      </w:r>
    </w:p>
    <w:p>
      <w:pPr>
        <w:spacing w:after="0" w:line="160" w:lineRule="exact"/>
        <w:rPr>
          <w:sz w:val="20"/>
          <w:szCs w:val="20"/>
          <w:color w:val="auto"/>
        </w:rPr>
      </w:pPr>
    </w:p>
    <w:p>
      <w:pPr>
        <w:ind w:left="9"/>
        <w:spacing w:after="0"/>
        <w:rPr>
          <w:sz w:val="20"/>
          <w:szCs w:val="20"/>
          <w:color w:val="auto"/>
        </w:rPr>
      </w:pPr>
      <w:r>
        <w:rPr>
          <w:rFonts w:ascii="Arial" w:cs="Arial" w:eastAsia="Arial" w:hAnsi="Arial"/>
          <w:sz w:val="16"/>
          <w:szCs w:val="16"/>
          <w:i w:val="1"/>
          <w:iCs w:val="1"/>
          <w:color w:val="auto"/>
        </w:rPr>
        <w:t>Compensation Committee</w:t>
      </w:r>
    </w:p>
    <w:p>
      <w:pPr>
        <w:spacing w:after="0" w:line="196" w:lineRule="exact"/>
        <w:rPr>
          <w:sz w:val="20"/>
          <w:szCs w:val="20"/>
          <w:color w:val="auto"/>
        </w:rPr>
      </w:pPr>
    </w:p>
    <w:p>
      <w:pPr>
        <w:ind w:left="9"/>
        <w:spacing w:after="0"/>
        <w:rPr>
          <w:sz w:val="20"/>
          <w:szCs w:val="20"/>
          <w:color w:val="auto"/>
        </w:rPr>
      </w:pPr>
      <w:r>
        <w:rPr>
          <w:rFonts w:ascii="Arial" w:cs="Arial" w:eastAsia="Arial" w:hAnsi="Arial"/>
          <w:sz w:val="16"/>
          <w:szCs w:val="16"/>
          <w:color w:val="auto"/>
        </w:rPr>
        <w:t>B. Hart, Chair, R. Alpern, R. Austin, T. Freyman, and F. Waddell</w:t>
      </w:r>
    </w:p>
    <w:p>
      <w:pPr>
        <w:spacing w:after="0" w:line="165" w:lineRule="exact"/>
        <w:rPr>
          <w:sz w:val="20"/>
          <w:szCs w:val="20"/>
          <w:color w:val="auto"/>
        </w:rPr>
      </w:pPr>
    </w:p>
    <w:p>
      <w:pPr>
        <w:ind w:left="9"/>
        <w:spacing w:after="0"/>
        <w:rPr>
          <w:sz w:val="20"/>
          <w:szCs w:val="20"/>
          <w:color w:val="auto"/>
        </w:rPr>
      </w:pPr>
      <w:r>
        <w:rPr>
          <w:rFonts w:ascii="Arial" w:cs="Arial" w:eastAsia="Arial" w:hAnsi="Arial"/>
          <w:sz w:val="30"/>
          <w:szCs w:val="30"/>
          <w:color w:val="auto"/>
        </w:rPr>
        <w:t>Compensation Risk Assessment</w:t>
      </w:r>
    </w:p>
    <w:p>
      <w:pPr>
        <w:spacing w:after="0" w:line="204" w:lineRule="exact"/>
        <w:rPr>
          <w:sz w:val="20"/>
          <w:szCs w:val="20"/>
          <w:color w:val="auto"/>
        </w:rPr>
      </w:pPr>
    </w:p>
    <w:p>
      <w:pPr>
        <w:ind w:left="9" w:right="80"/>
        <w:spacing w:after="0" w:line="246" w:lineRule="auto"/>
        <w:rPr>
          <w:sz w:val="20"/>
          <w:szCs w:val="20"/>
          <w:color w:val="auto"/>
        </w:rPr>
      </w:pPr>
      <w:r>
        <w:rPr>
          <w:rFonts w:ascii="Arial" w:cs="Arial" w:eastAsia="Arial" w:hAnsi="Arial"/>
          <w:sz w:val="16"/>
          <w:szCs w:val="16"/>
          <w:color w:val="auto"/>
        </w:rPr>
        <w:t>During 2025, in collaboration with the compensation committee’s independent compensation consultant, AbbVie conducted an in-depth risk assessment of its compensation policies and practices, including those related to executive compensation programs for NEOs. The risk assessment included a quantitative and qualitative analysis of AbbVie’s executive compensation programs and broader employee incentive compensation plans. AbbVie also considered how these programs compare, from a design perspective, to programs maintained by other companies. Based on this assessment, it was determined that AbbVie’s executive compensation programs are balanced and appropriately incent employees, and any risks arising from the compensation policies and practices are not reasonably likely to have a material adverse effect on AbbVie. The following factors were among those considered in making this determination:</w:t>
      </w:r>
    </w:p>
    <w:p>
      <w:pPr>
        <w:spacing w:after="0" w:line="165" w:lineRule="exact"/>
        <w:rPr>
          <w:sz w:val="20"/>
          <w:szCs w:val="20"/>
          <w:color w:val="auto"/>
        </w:rPr>
      </w:pPr>
    </w:p>
    <w:p>
      <w:pPr>
        <w:ind w:left="289" w:hanging="289"/>
        <w:spacing w:after="0"/>
        <w:tabs>
          <w:tab w:leader="none" w:pos="289" w:val="left"/>
        </w:tabs>
        <w:numPr>
          <w:ilvl w:val="0"/>
          <w:numId w:val="71"/>
        </w:numPr>
        <w:rPr>
          <w:rFonts w:ascii="Times New Roman" w:cs="Times New Roman" w:eastAsia="Times New Roman" w:hAnsi="Times New Roman"/>
          <w:sz w:val="16"/>
          <w:szCs w:val="16"/>
          <w:color w:val="071D49"/>
        </w:rPr>
      </w:pPr>
      <w:r>
        <w:rPr>
          <w:rFonts w:ascii="Arial" w:cs="Arial" w:eastAsia="Arial" w:hAnsi="Arial"/>
          <w:sz w:val="16"/>
          <w:szCs w:val="16"/>
          <w:color w:val="auto"/>
        </w:rPr>
        <w:t>AbbVie is committed to pay equity and regularly reviews pay to ensure its pay is fair and equitable.</w:t>
      </w:r>
    </w:p>
    <w:p>
      <w:pPr>
        <w:spacing w:after="0" w:line="28" w:lineRule="exact"/>
        <w:rPr>
          <w:rFonts w:ascii="Times New Roman" w:cs="Times New Roman" w:eastAsia="Times New Roman" w:hAnsi="Times New Roman"/>
          <w:sz w:val="16"/>
          <w:szCs w:val="16"/>
          <w:color w:val="071D49"/>
        </w:rPr>
      </w:pPr>
    </w:p>
    <w:p>
      <w:pPr>
        <w:ind w:left="289" w:right="80" w:hanging="289"/>
        <w:spacing w:after="0"/>
        <w:tabs>
          <w:tab w:leader="none" w:pos="289" w:val="left"/>
        </w:tabs>
        <w:numPr>
          <w:ilvl w:val="0"/>
          <w:numId w:val="71"/>
        </w:numPr>
        <w:rPr>
          <w:rFonts w:ascii="Times New Roman" w:cs="Times New Roman" w:eastAsia="Times New Roman" w:hAnsi="Times New Roman"/>
          <w:sz w:val="16"/>
          <w:szCs w:val="16"/>
          <w:color w:val="071D49"/>
        </w:rPr>
      </w:pPr>
      <w:r>
        <w:rPr>
          <w:rFonts w:ascii="Arial" w:cs="Arial" w:eastAsia="Arial" w:hAnsi="Arial"/>
          <w:sz w:val="16"/>
          <w:szCs w:val="16"/>
          <w:color w:val="auto"/>
        </w:rPr>
        <w:t>AbbVie’s compensation structure contributes to a corporate culture that encourages our NEOs to regard AbbVie as a long-term employer. For example, equity awards vest over multi-year periods, which encourages NEOs to consider the long-term impact of their decisions and align their interests with those of AbbVie’s stockholders.</w:t>
      </w:r>
    </w:p>
    <w:p>
      <w:pPr>
        <w:spacing w:after="0" w:line="1" w:lineRule="exact"/>
        <w:rPr>
          <w:rFonts w:ascii="Times New Roman" w:cs="Times New Roman" w:eastAsia="Times New Roman" w:hAnsi="Times New Roman"/>
          <w:sz w:val="16"/>
          <w:szCs w:val="16"/>
          <w:color w:val="071D49"/>
        </w:rPr>
      </w:pPr>
    </w:p>
    <w:p>
      <w:pPr>
        <w:ind w:left="289" w:hanging="289"/>
        <w:spacing w:after="0" w:line="251" w:lineRule="auto"/>
        <w:tabs>
          <w:tab w:leader="none" w:pos="289" w:val="left"/>
        </w:tabs>
        <w:numPr>
          <w:ilvl w:val="0"/>
          <w:numId w:val="71"/>
        </w:numPr>
        <w:rPr>
          <w:rFonts w:ascii="Times New Roman" w:cs="Times New Roman" w:eastAsia="Times New Roman" w:hAnsi="Times New Roman"/>
          <w:sz w:val="16"/>
          <w:szCs w:val="16"/>
          <w:color w:val="071D49"/>
        </w:rPr>
      </w:pPr>
      <w:r>
        <w:rPr>
          <w:rFonts w:ascii="Arial" w:cs="Arial" w:eastAsia="Arial" w:hAnsi="Arial"/>
          <w:sz w:val="16"/>
          <w:szCs w:val="16"/>
          <w:color w:val="auto"/>
        </w:rPr>
        <w:t>AbbVie’s annual incentive program is based on multiple performance measures, balancing earnings achievement with other factors. Since earnings are a key component of stock price performance, this aspect of AbbVie’s compensation plan also promotes alignment with stockholder interests.</w:t>
      </w:r>
    </w:p>
    <w:p>
      <w:pPr>
        <w:spacing w:after="0" w:line="347"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48</w:t>
      </w:r>
      <w:r>
        <w:rPr>
          <w:sz w:val="20"/>
          <w:szCs w:val="20"/>
          <w:color w:val="auto"/>
        </w:rPr>
        <w:tab/>
      </w:r>
      <w:r>
        <w:rPr>
          <w:sz w:val="1"/>
          <w:szCs w:val="1"/>
          <w:color w:val="auto"/>
        </w:rPr>
        <w:drawing>
          <wp:inline distT="0" distB="0" distL="0" distR="0">
            <wp:extent cx="797560" cy="14859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158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49"/>
          </w:cols>
          <w:pgMar w:left="1311" w:top="480" w:right="1339" w:bottom="1440" w:gutter="0" w:footer="0" w:header="0"/>
        </w:sectPr>
      </w:pPr>
    </w:p>
    <w:bookmarkStart w:id="51" w:name="page52"/>
    <w:bookmarkEnd w:id="51"/>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289" w:right="20" w:hanging="289"/>
        <w:spacing w:after="0" w:line="245" w:lineRule="auto"/>
        <w:tabs>
          <w:tab w:leader="none" w:pos="289" w:val="left"/>
        </w:tabs>
        <w:numPr>
          <w:ilvl w:val="0"/>
          <w:numId w:val="72"/>
        </w:numPr>
        <w:rPr>
          <w:rFonts w:ascii="Times New Roman" w:cs="Times New Roman" w:eastAsia="Times New Roman" w:hAnsi="Times New Roman"/>
          <w:sz w:val="16"/>
          <w:szCs w:val="16"/>
          <w:color w:val="071D49"/>
        </w:rPr>
      </w:pPr>
      <w:r>
        <w:rPr>
          <w:rFonts w:ascii="Arial" w:cs="Arial" w:eastAsia="Arial" w:hAnsi="Arial"/>
          <w:sz w:val="16"/>
          <w:szCs w:val="16"/>
          <w:color w:val="auto"/>
        </w:rPr>
        <w:t>AbbVie does not include certain pay design features that may have the potential to encourage excessive risk-taking, such as: over-weighting toward annual incentives, highly leveraged payout curves, unreasonable thresholds or dramatic changes in payout opportunity at certain performance levels that may encourage inappropriate short-term business decisions to meet payout thresholds.</w:t>
      </w:r>
    </w:p>
    <w:p>
      <w:pPr>
        <w:spacing w:after="0" w:line="2" w:lineRule="exact"/>
        <w:rPr>
          <w:rFonts w:ascii="Times New Roman" w:cs="Times New Roman" w:eastAsia="Times New Roman" w:hAnsi="Times New Roman"/>
          <w:sz w:val="16"/>
          <w:szCs w:val="16"/>
          <w:color w:val="071D49"/>
        </w:rPr>
      </w:pPr>
    </w:p>
    <w:p>
      <w:pPr>
        <w:ind w:left="289" w:right="80" w:hanging="289"/>
        <w:spacing w:after="0"/>
        <w:tabs>
          <w:tab w:leader="none" w:pos="289" w:val="left"/>
        </w:tabs>
        <w:numPr>
          <w:ilvl w:val="0"/>
          <w:numId w:val="72"/>
        </w:numPr>
        <w:rPr>
          <w:rFonts w:ascii="Times New Roman" w:cs="Times New Roman" w:eastAsia="Times New Roman" w:hAnsi="Times New Roman"/>
          <w:sz w:val="16"/>
          <w:szCs w:val="16"/>
          <w:color w:val="071D49"/>
        </w:rPr>
      </w:pPr>
      <w:r>
        <w:rPr>
          <w:rFonts w:ascii="Arial" w:cs="Arial" w:eastAsia="Arial" w:hAnsi="Arial"/>
          <w:sz w:val="16"/>
          <w:szCs w:val="16"/>
          <w:color w:val="auto"/>
        </w:rPr>
        <w:t>AbbVie’s annual long-term incentive program focuses NEOs on longer-term operating performance and aligns NEOs with stockholder interests through the use of multi-year performance periods and multiple performance measures, including relative total stockholder return. AbbVie’s NEOs received roughly two-thirds of their total direct compensation in the form of long-term incentives (20% of which are stock options that may vest over a three-year period and 80% of which are performance-based awards that may vest over a three-year performance period).</w:t>
      </w:r>
    </w:p>
    <w:p>
      <w:pPr>
        <w:spacing w:after="0" w:line="2" w:lineRule="exact"/>
        <w:rPr>
          <w:rFonts w:ascii="Times New Roman" w:cs="Times New Roman" w:eastAsia="Times New Roman" w:hAnsi="Times New Roman"/>
          <w:sz w:val="16"/>
          <w:szCs w:val="16"/>
          <w:color w:val="071D49"/>
        </w:rPr>
      </w:pPr>
    </w:p>
    <w:p>
      <w:pPr>
        <w:jc w:val="both"/>
        <w:ind w:left="289" w:right="120" w:hanging="289"/>
        <w:spacing w:after="0"/>
        <w:tabs>
          <w:tab w:leader="none" w:pos="289" w:val="left"/>
        </w:tabs>
        <w:numPr>
          <w:ilvl w:val="0"/>
          <w:numId w:val="72"/>
        </w:numPr>
        <w:rPr>
          <w:rFonts w:ascii="Times New Roman" w:cs="Times New Roman" w:eastAsia="Times New Roman" w:hAnsi="Times New Roman"/>
          <w:sz w:val="16"/>
          <w:szCs w:val="16"/>
          <w:color w:val="071D49"/>
        </w:rPr>
      </w:pPr>
      <w:r>
        <w:rPr>
          <w:rFonts w:ascii="Arial" w:cs="Arial" w:eastAsia="Arial" w:hAnsi="Arial"/>
          <w:sz w:val="16"/>
          <w:szCs w:val="16"/>
          <w:color w:val="auto"/>
        </w:rPr>
        <w:t>AbbVie makes equity awards and sets grant prices at the same time each year, at the compensation committee’s regularly scheduled meeting in February. In addition, AbbVie does not award discounted stock options or immediately vested equity awards to NEOs.</w:t>
      </w:r>
    </w:p>
    <w:p>
      <w:pPr>
        <w:spacing w:after="0" w:line="1" w:lineRule="exact"/>
        <w:rPr>
          <w:rFonts w:ascii="Times New Roman" w:cs="Times New Roman" w:eastAsia="Times New Roman" w:hAnsi="Times New Roman"/>
          <w:sz w:val="16"/>
          <w:szCs w:val="16"/>
          <w:color w:val="071D49"/>
        </w:rPr>
      </w:pPr>
    </w:p>
    <w:p>
      <w:pPr>
        <w:ind w:left="289" w:right="660" w:hanging="289"/>
        <w:spacing w:after="0"/>
        <w:tabs>
          <w:tab w:leader="none" w:pos="289" w:val="left"/>
        </w:tabs>
        <w:numPr>
          <w:ilvl w:val="0"/>
          <w:numId w:val="72"/>
        </w:numPr>
        <w:rPr>
          <w:rFonts w:ascii="Times New Roman" w:cs="Times New Roman" w:eastAsia="Times New Roman" w:hAnsi="Times New Roman"/>
          <w:sz w:val="16"/>
          <w:szCs w:val="16"/>
          <w:color w:val="071D49"/>
        </w:rPr>
      </w:pPr>
      <w:r>
        <w:rPr>
          <w:rFonts w:ascii="Arial" w:cs="Arial" w:eastAsia="Arial" w:hAnsi="Arial"/>
          <w:sz w:val="16"/>
          <w:szCs w:val="16"/>
          <w:color w:val="auto"/>
        </w:rPr>
        <w:t>AbbVie has robust stock ownership guidelines for its senior executives, which promotes alignment with stockholder interests, and other good governance equity practices such as anti-hedging and anti-pledging policies.</w:t>
      </w:r>
    </w:p>
    <w:p>
      <w:pPr>
        <w:ind w:left="289" w:right="380" w:hanging="289"/>
        <w:spacing w:after="0"/>
        <w:tabs>
          <w:tab w:leader="none" w:pos="289" w:val="left"/>
        </w:tabs>
        <w:numPr>
          <w:ilvl w:val="0"/>
          <w:numId w:val="72"/>
        </w:numPr>
        <w:rPr>
          <w:rFonts w:ascii="Times New Roman" w:cs="Times New Roman" w:eastAsia="Times New Roman" w:hAnsi="Times New Roman"/>
          <w:sz w:val="16"/>
          <w:szCs w:val="16"/>
          <w:color w:val="071D49"/>
        </w:rPr>
      </w:pPr>
      <w:r>
        <w:rPr>
          <w:rFonts w:ascii="Arial" w:cs="Arial" w:eastAsia="Arial" w:hAnsi="Arial"/>
          <w:sz w:val="16"/>
          <w:szCs w:val="16"/>
          <w:color w:val="auto"/>
        </w:rPr>
        <w:t>AbbVie’s compensation committee has the ability to exercise downward discretion in determining annual incentive plan payouts.</w:t>
      </w:r>
    </w:p>
    <w:p>
      <w:pPr>
        <w:ind w:left="289" w:right="60" w:hanging="289"/>
        <w:spacing w:after="0"/>
        <w:tabs>
          <w:tab w:leader="none" w:pos="289" w:val="left"/>
        </w:tabs>
        <w:numPr>
          <w:ilvl w:val="0"/>
          <w:numId w:val="72"/>
        </w:numPr>
        <w:rPr>
          <w:rFonts w:ascii="Times New Roman" w:cs="Times New Roman" w:eastAsia="Times New Roman" w:hAnsi="Times New Roman"/>
          <w:sz w:val="16"/>
          <w:szCs w:val="16"/>
          <w:color w:val="071D49"/>
        </w:rPr>
      </w:pPr>
      <w:r>
        <w:rPr>
          <w:rFonts w:ascii="Arial" w:cs="Arial" w:eastAsia="Arial" w:hAnsi="Arial"/>
          <w:sz w:val="16"/>
          <w:szCs w:val="16"/>
          <w:color w:val="auto"/>
        </w:rPr>
        <w:t>AbbVie’s compensation committee is required to clawback excess compensation in the event of a restatement, plus retains broad discretion to clawback compensation in the event of a material breach of the AbbVie Code of Business Conduct.</w:t>
      </w:r>
    </w:p>
    <w:p>
      <w:pPr>
        <w:ind w:left="289" w:right="580" w:hanging="289"/>
        <w:spacing w:after="0" w:line="261" w:lineRule="auto"/>
        <w:tabs>
          <w:tab w:leader="none" w:pos="289" w:val="left"/>
        </w:tabs>
        <w:numPr>
          <w:ilvl w:val="0"/>
          <w:numId w:val="72"/>
        </w:numPr>
        <w:rPr>
          <w:rFonts w:ascii="Times New Roman" w:cs="Times New Roman" w:eastAsia="Times New Roman" w:hAnsi="Times New Roman"/>
          <w:sz w:val="16"/>
          <w:szCs w:val="16"/>
          <w:color w:val="071D49"/>
        </w:rPr>
      </w:pPr>
      <w:r>
        <w:rPr>
          <w:rFonts w:ascii="Arial" w:cs="Arial" w:eastAsia="Arial" w:hAnsi="Arial"/>
          <w:sz w:val="16"/>
          <w:szCs w:val="16"/>
          <w:color w:val="auto"/>
        </w:rPr>
        <w:t>AbbVie requires mandatory training on its code of conduct and policies and procedures to educate its employees on appropriate behaviors and the consequences of taking inappropriate actions.</w:t>
      </w:r>
    </w:p>
    <w:p>
      <w:pPr>
        <w:spacing w:after="0" w:line="149" w:lineRule="exact"/>
        <w:rPr>
          <w:sz w:val="20"/>
          <w:szCs w:val="20"/>
          <w:color w:val="auto"/>
        </w:rPr>
      </w:pPr>
    </w:p>
    <w:p>
      <w:pPr>
        <w:ind w:left="9"/>
        <w:spacing w:after="0"/>
        <w:rPr>
          <w:sz w:val="20"/>
          <w:szCs w:val="20"/>
          <w:color w:val="auto"/>
        </w:rPr>
      </w:pPr>
      <w:r>
        <w:rPr>
          <w:rFonts w:ascii="Arial" w:cs="Arial" w:eastAsia="Arial" w:hAnsi="Arial"/>
          <w:sz w:val="16"/>
          <w:szCs w:val="16"/>
          <w:color w:val="auto"/>
        </w:rPr>
        <w:t>The risk assessment results were presented to the compensation committee by its independent compensation consultant.</w:t>
      </w:r>
    </w:p>
    <w:p>
      <w:pPr>
        <w:spacing w:after="0" w:line="200" w:lineRule="exact"/>
        <w:rPr>
          <w:sz w:val="20"/>
          <w:szCs w:val="20"/>
          <w:color w:val="auto"/>
        </w:rPr>
      </w:pPr>
    </w:p>
    <w:p>
      <w:pPr>
        <w:spacing w:after="0" w:line="371"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-492125</wp:posOffset>
            </wp:positionV>
            <wp:extent cx="797560" cy="148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52" w:name="page53"/>
    <w:bookmarkEnd w:id="52"/>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EXECUTIVE COMPENSATION</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30"/>
          <w:szCs w:val="30"/>
          <w:color w:val="auto"/>
        </w:rPr>
        <w:t>Summary Compensation Table</w:t>
      </w:r>
    </w:p>
    <w:p>
      <w:pPr>
        <w:spacing w:after="0" w:line="204" w:lineRule="exact"/>
        <w:rPr>
          <w:sz w:val="20"/>
          <w:szCs w:val="20"/>
          <w:color w:val="auto"/>
        </w:rPr>
      </w:pPr>
    </w:p>
    <w:p>
      <w:pPr>
        <w:ind w:left="9" w:right="60"/>
        <w:spacing w:after="0" w:line="254" w:lineRule="auto"/>
        <w:rPr>
          <w:sz w:val="20"/>
          <w:szCs w:val="20"/>
          <w:color w:val="auto"/>
        </w:rPr>
      </w:pPr>
      <w:r>
        <w:rPr>
          <w:rFonts w:ascii="Arial" w:cs="Arial" w:eastAsia="Arial" w:hAnsi="Arial"/>
          <w:sz w:val="16"/>
          <w:szCs w:val="16"/>
          <w:color w:val="auto"/>
        </w:rPr>
        <w:t>This section contains compensation information for AbbVie’s NEOs for the fiscal year ended December 31, 2025. The following table summarizes compensation awarded to, earned by and/or paid to AbbVie’s NEOs in connection with their service to AbbVie during 2025, 2024 and 2023, as applicable. The section of this proxy statement captioned “Compensation Plan Elements” describes in greater detail the information reported in this table.</w:t>
      </w:r>
    </w:p>
    <w:p>
      <w:pPr>
        <w:spacing w:after="0" w:line="165" w:lineRule="exact"/>
        <w:rPr>
          <w:sz w:val="20"/>
          <w:szCs w:val="20"/>
          <w:color w:val="auto"/>
        </w:rPr>
      </w:pPr>
    </w:p>
    <w:tbl>
      <w:tblPr>
        <w:tblLayout w:type="fixed"/>
        <w:tblInd w:w="9"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120" w:type="dxa"/>
            <w:vAlign w:val="bottom"/>
          </w:tcPr>
          <w:p>
            <w:pPr>
              <w:ind w:left="60"/>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right"/>
              <w:ind w:right="623"/>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right"/>
              <w:ind w:right="3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683"/>
              <w:spacing w:after="0"/>
              <w:rPr>
                <w:sz w:val="20"/>
                <w:szCs w:val="20"/>
                <w:color w:val="auto"/>
              </w:rPr>
            </w:pPr>
            <w:r>
              <w:rPr>
                <w:rFonts w:ascii="Arial" w:cs="Arial" w:eastAsia="Arial" w:hAnsi="Arial"/>
                <w:sz w:val="11"/>
                <w:szCs w:val="11"/>
                <w:b w:val="1"/>
                <w:bCs w:val="1"/>
                <w:color w:val="auto"/>
              </w:rPr>
              <w:t>​</w:t>
            </w:r>
          </w:p>
        </w:tc>
        <w:tc>
          <w:tcPr>
            <w:tcW w:w="740" w:type="dxa"/>
            <w:vAlign w:val="bottom"/>
          </w:tcPr>
          <w:p>
            <w:pPr>
              <w:jc w:val="right"/>
              <w:ind w:right="623"/>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ind w:right="903"/>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Change  ​</w:t>
            </w:r>
          </w:p>
        </w:tc>
        <w:tc>
          <w:tcPr>
            <w:tcW w:w="900" w:type="dxa"/>
            <w:vAlign w:val="bottom"/>
          </w:tcPr>
          <w:p>
            <w:pPr>
              <w:spacing w:after="0"/>
              <w:rPr>
                <w:sz w:val="10"/>
                <w:szCs w:val="10"/>
                <w:color w:val="auto"/>
              </w:rPr>
            </w:pPr>
          </w:p>
        </w:tc>
        <w:tc>
          <w:tcPr>
            <w:tcW w:w="820" w:type="dxa"/>
            <w:vAlign w:val="bottom"/>
          </w:tcPr>
          <w:p>
            <w:pPr>
              <w:jc w:val="right"/>
              <w:ind w:right="683"/>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3"/>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123"/>
              <w:spacing w:after="0" w:line="123" w:lineRule="exact"/>
              <w:rPr>
                <w:sz w:val="20"/>
                <w:szCs w:val="20"/>
                <w:color w:val="auto"/>
              </w:rPr>
            </w:pPr>
            <w:r>
              <w:rPr>
                <w:rFonts w:ascii="Arial" w:cs="Arial" w:eastAsia="Arial" w:hAnsi="Arial"/>
                <w:sz w:val="11"/>
                <w:szCs w:val="11"/>
                <w:b w:val="1"/>
                <w:bCs w:val="1"/>
                <w:color w:val="auto"/>
              </w:rPr>
              <w:t>in Pension</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123"/>
              <w:spacing w:after="0" w:line="116" w:lineRule="exact"/>
              <w:rPr>
                <w:sz w:val="20"/>
                <w:szCs w:val="20"/>
                <w:color w:val="auto"/>
              </w:rPr>
            </w:pPr>
            <w:r>
              <w:rPr>
                <w:rFonts w:ascii="Arial" w:cs="Arial" w:eastAsia="Arial" w:hAnsi="Arial"/>
                <w:sz w:val="11"/>
                <w:szCs w:val="11"/>
                <w:b w:val="1"/>
                <w:bCs w:val="1"/>
                <w:color w:val="auto"/>
              </w:rPr>
              <w:t>Value and</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vMerge w:val="restart"/>
          </w:tcPr>
          <w:p>
            <w:pPr>
              <w:jc w:val="right"/>
              <w:ind w:right="23"/>
              <w:spacing w:after="0" w:line="127" w:lineRule="exact"/>
              <w:rPr>
                <w:sz w:val="20"/>
                <w:szCs w:val="20"/>
                <w:color w:val="auto"/>
              </w:rPr>
            </w:pPr>
            <w:r>
              <w:rPr>
                <w:rFonts w:ascii="Arial" w:cs="Arial" w:eastAsia="Arial" w:hAnsi="Arial"/>
                <w:sz w:val="11"/>
                <w:szCs w:val="11"/>
                <w:b w:val="1"/>
                <w:bCs w:val="1"/>
                <w:color w:val="auto"/>
              </w:rPr>
              <w:t>Non</w:t>
            </w:r>
            <w:r>
              <w:rPr>
                <w:rFonts w:ascii="MS PGothic" w:cs="MS PGothic" w:eastAsia="MS PGothic" w:hAnsi="MS PGothic"/>
                <w:sz w:val="11"/>
                <w:szCs w:val="11"/>
                <w:color w:val="auto"/>
                <w:strike w:val="1"/>
              </w:rPr>
              <w:t>‑</w:t>
            </w:r>
            <w:r>
              <w:rPr>
                <w:rFonts w:ascii="Arial" w:cs="Arial" w:eastAsia="Arial" w:hAnsi="Arial"/>
                <w:sz w:val="11"/>
                <w:szCs w:val="11"/>
                <w:b w:val="1"/>
                <w:bCs w:val="1"/>
                <w:color w:val="auto"/>
              </w:rPr>
              <w:t>Equity</w:t>
            </w:r>
          </w:p>
        </w:tc>
        <w:tc>
          <w:tcPr>
            <w:tcW w:w="100" w:type="dxa"/>
            <w:vAlign w:val="bottom"/>
          </w:tcPr>
          <w:p>
            <w:pPr>
              <w:spacing w:after="0"/>
              <w:rPr>
                <w:sz w:val="13"/>
                <w:szCs w:val="13"/>
                <w:color w:val="auto"/>
              </w:rPr>
            </w:pPr>
          </w:p>
        </w:tc>
        <w:tc>
          <w:tcPr>
            <w:tcW w:w="1000" w:type="dxa"/>
            <w:vAlign w:val="bottom"/>
          </w:tcPr>
          <w:p>
            <w:pPr>
              <w:jc w:val="right"/>
              <w:ind w:right="123"/>
              <w:spacing w:after="0" w:line="127" w:lineRule="exact"/>
              <w:rPr>
                <w:sz w:val="20"/>
                <w:szCs w:val="20"/>
                <w:color w:val="auto"/>
              </w:rPr>
            </w:pPr>
            <w:r>
              <w:rPr>
                <w:rFonts w:ascii="Arial" w:cs="Arial" w:eastAsia="Arial" w:hAnsi="Arial"/>
                <w:sz w:val="11"/>
                <w:szCs w:val="11"/>
                <w:b w:val="1"/>
                <w:bCs w:val="1"/>
                <w:color w:val="auto"/>
              </w:rPr>
              <w:t>Non</w:t>
            </w:r>
            <w:r>
              <w:rPr>
                <w:rFonts w:ascii="MS PGothic" w:cs="MS PGothic" w:eastAsia="MS PGothic" w:hAnsi="MS PGothic"/>
                <w:sz w:val="11"/>
                <w:szCs w:val="11"/>
                <w:color w:val="auto"/>
                <w:strike w:val="1"/>
              </w:rPr>
              <w:t>‑</w:t>
            </w:r>
            <w:r>
              <w:rPr>
                <w:rFonts w:ascii="Arial" w:cs="Arial" w:eastAsia="Arial" w:hAnsi="Arial"/>
                <w:sz w:val="11"/>
                <w:szCs w:val="11"/>
                <w:b w:val="1"/>
                <w:bCs w:val="1"/>
                <w:color w:val="auto"/>
              </w:rPr>
              <w:t>qualified</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Stock</w:t>
            </w:r>
          </w:p>
        </w:tc>
        <w:tc>
          <w:tcPr>
            <w:tcW w:w="74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Option</w:t>
            </w: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123"/>
              <w:spacing w:after="0" w:line="123" w:lineRule="exact"/>
              <w:rPr>
                <w:sz w:val="20"/>
                <w:szCs w:val="20"/>
                <w:color w:val="auto"/>
              </w:rPr>
            </w:pPr>
            <w:r>
              <w:rPr>
                <w:rFonts w:ascii="Arial" w:cs="Arial" w:eastAsia="Arial" w:hAnsi="Arial"/>
                <w:sz w:val="11"/>
                <w:szCs w:val="11"/>
                <w:b w:val="1"/>
                <w:bCs w:val="1"/>
                <w:color w:val="auto"/>
              </w:rPr>
              <w:t>Deferred</w:t>
            </w:r>
          </w:p>
        </w:tc>
        <w:tc>
          <w:tcPr>
            <w:tcW w:w="90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All Other</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Salary</w:t>
            </w:r>
          </w:p>
        </w:tc>
        <w:tc>
          <w:tcPr>
            <w:tcW w:w="50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Bonus</w:t>
            </w: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Incentive Plan</w:t>
            </w:r>
          </w:p>
        </w:tc>
        <w:tc>
          <w:tcPr>
            <w:tcW w:w="100" w:type="dxa"/>
            <w:vAlign w:val="bottom"/>
          </w:tcPr>
          <w:p>
            <w:pPr>
              <w:spacing w:after="0"/>
              <w:rPr>
                <w:sz w:val="10"/>
                <w:szCs w:val="10"/>
                <w:color w:val="auto"/>
              </w:rPr>
            </w:pPr>
          </w:p>
        </w:tc>
        <w:tc>
          <w:tcPr>
            <w:tcW w:w="1000" w:type="dxa"/>
            <w:vAlign w:val="bottom"/>
          </w:tcPr>
          <w:p>
            <w:pPr>
              <w:jc w:val="right"/>
              <w:ind w:right="123"/>
              <w:spacing w:after="0" w:line="123" w:lineRule="exact"/>
              <w:rPr>
                <w:sz w:val="20"/>
                <w:szCs w:val="20"/>
                <w:color w:val="auto"/>
              </w:rPr>
            </w:pPr>
            <w:r>
              <w:rPr>
                <w:rFonts w:ascii="Arial" w:cs="Arial" w:eastAsia="Arial" w:hAnsi="Arial"/>
                <w:sz w:val="11"/>
                <w:szCs w:val="11"/>
                <w:b w:val="1"/>
                <w:bCs w:val="1"/>
                <w:color w:val="auto"/>
              </w:rPr>
              <w:t>Compensation</w:t>
            </w:r>
          </w:p>
        </w:tc>
        <w:tc>
          <w:tcPr>
            <w:tcW w:w="900" w:type="dxa"/>
            <w:vAlign w:val="bottom"/>
            <w:vMerge w:val="continue"/>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3"/>
        </w:trPr>
        <w:tc>
          <w:tcPr>
            <w:tcW w:w="22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 and Principal Position</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Year</w:t>
            </w: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2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Awards</w:t>
            </w:r>
          </w:p>
        </w:tc>
        <w:tc>
          <w:tcPr>
            <w:tcW w:w="74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Awards</w:t>
            </w:r>
          </w:p>
        </w:tc>
        <w:tc>
          <w:tcPr>
            <w:tcW w:w="102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Compensation</w:t>
            </w:r>
          </w:p>
        </w:tc>
        <w:tc>
          <w:tcPr>
            <w:tcW w:w="100" w:type="dxa"/>
            <w:vAlign w:val="bottom"/>
          </w:tcPr>
          <w:p>
            <w:pPr>
              <w:spacing w:after="0"/>
              <w:rPr>
                <w:sz w:val="10"/>
                <w:szCs w:val="10"/>
                <w:color w:val="auto"/>
              </w:rPr>
            </w:pPr>
          </w:p>
        </w:tc>
        <w:tc>
          <w:tcPr>
            <w:tcW w:w="1000" w:type="dxa"/>
            <w:vAlign w:val="bottom"/>
          </w:tcPr>
          <w:p>
            <w:pPr>
              <w:jc w:val="right"/>
              <w:ind w:right="123"/>
              <w:spacing w:after="0" w:line="123" w:lineRule="exact"/>
              <w:rPr>
                <w:sz w:val="20"/>
                <w:szCs w:val="20"/>
                <w:color w:val="auto"/>
              </w:rPr>
            </w:pPr>
            <w:r>
              <w:rPr>
                <w:rFonts w:ascii="Arial" w:cs="Arial" w:eastAsia="Arial" w:hAnsi="Arial"/>
                <w:sz w:val="11"/>
                <w:szCs w:val="11"/>
                <w:b w:val="1"/>
                <w:bCs w:val="1"/>
                <w:color w:val="auto"/>
              </w:rPr>
              <w:t>Earnings</w:t>
            </w:r>
          </w:p>
        </w:tc>
        <w:tc>
          <w:tcPr>
            <w:tcW w:w="90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auto"/>
              </w:rPr>
              <w:t>Compensation</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240" w:type="dxa"/>
            <w:vAlign w:val="bottom"/>
            <w:tcBorders>
              <w:bottom w:val="single" w:sz="8" w:color="071D49"/>
            </w:tcBorders>
            <w:gridSpan w:val="2"/>
            <w:vMerge w:val="continue"/>
          </w:tcPr>
          <w:p>
            <w:pPr>
              <w:spacing w:after="0"/>
              <w:rPr>
                <w:sz w:val="12"/>
                <w:szCs w:val="12"/>
                <w:color w:val="auto"/>
              </w:rPr>
            </w:pPr>
          </w:p>
        </w:tc>
        <w:tc>
          <w:tcPr>
            <w:tcW w:w="340" w:type="dxa"/>
            <w:vAlign w:val="bottom"/>
            <w:tcBorders>
              <w:bottom w:val="single" w:sz="8" w:color="071D49"/>
            </w:tcBorders>
            <w:gridSpan w:val="2"/>
            <w:vMerge w:val="continue"/>
          </w:tcPr>
          <w:p>
            <w:pPr>
              <w:spacing w:after="0"/>
              <w:rPr>
                <w:sz w:val="12"/>
                <w:szCs w:val="12"/>
                <w:color w:val="auto"/>
              </w:rPr>
            </w:pPr>
          </w:p>
        </w:tc>
        <w:tc>
          <w:tcPr>
            <w:tcW w:w="780" w:type="dxa"/>
            <w:vAlign w:val="bottom"/>
            <w:tcBorders>
              <w:bottom w:val="single" w:sz="8" w:color="071D49"/>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500" w:type="dxa"/>
            <w:vAlign w:val="bottom"/>
            <w:tcBorders>
              <w:bottom w:val="single" w:sz="8" w:color="071D49"/>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82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auto"/>
              </w:rPr>
              <w:t>($)(1)</w:t>
            </w:r>
          </w:p>
        </w:tc>
        <w:tc>
          <w:tcPr>
            <w:tcW w:w="74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auto"/>
              </w:rPr>
              <w:t>($)(2)</w:t>
            </w:r>
          </w:p>
        </w:tc>
        <w:tc>
          <w:tcPr>
            <w:tcW w:w="102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auto"/>
              </w:rPr>
              <w:t>($)(3)</w:t>
            </w:r>
          </w:p>
        </w:tc>
        <w:tc>
          <w:tcPr>
            <w:tcW w:w="100" w:type="dxa"/>
            <w:vAlign w:val="bottom"/>
            <w:tcBorders>
              <w:bottom w:val="single" w:sz="8" w:color="071D49"/>
            </w:tcBorders>
          </w:tcPr>
          <w:p>
            <w:pPr>
              <w:spacing w:after="0"/>
              <w:rPr>
                <w:sz w:val="12"/>
                <w:szCs w:val="12"/>
                <w:color w:val="auto"/>
              </w:rPr>
            </w:pPr>
          </w:p>
        </w:tc>
        <w:tc>
          <w:tcPr>
            <w:tcW w:w="1000" w:type="dxa"/>
            <w:vAlign w:val="bottom"/>
            <w:tcBorders>
              <w:bottom w:val="single" w:sz="8" w:color="071D49"/>
            </w:tcBorders>
          </w:tcPr>
          <w:p>
            <w:pPr>
              <w:jc w:val="right"/>
              <w:ind w:right="83"/>
              <w:spacing w:after="0"/>
              <w:rPr>
                <w:sz w:val="20"/>
                <w:szCs w:val="20"/>
                <w:color w:val="auto"/>
              </w:rPr>
            </w:pPr>
            <w:r>
              <w:rPr>
                <w:rFonts w:ascii="Arial" w:cs="Arial" w:eastAsia="Arial" w:hAnsi="Arial"/>
                <w:sz w:val="11"/>
                <w:szCs w:val="11"/>
                <w:b w:val="1"/>
                <w:bCs w:val="1"/>
                <w:color w:val="auto"/>
              </w:rPr>
              <w:t>($)(4)(5)</w:t>
            </w:r>
          </w:p>
        </w:tc>
        <w:tc>
          <w:tcPr>
            <w:tcW w:w="90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auto"/>
              </w:rPr>
              <w:t>($)(6)</w:t>
            </w:r>
          </w:p>
        </w:tc>
        <w:tc>
          <w:tcPr>
            <w:tcW w:w="82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0"/>
        </w:trPr>
        <w:tc>
          <w:tcPr>
            <w:tcW w:w="2120" w:type="dxa"/>
            <w:vAlign w:val="bottom"/>
            <w:shd w:val="clear" w:color="auto" w:fill="D9D9D9"/>
          </w:tcPr>
          <w:p>
            <w:pPr>
              <w:spacing w:after="0" w:line="100" w:lineRule="exact"/>
              <w:rPr>
                <w:sz w:val="20"/>
                <w:szCs w:val="20"/>
                <w:color w:val="auto"/>
              </w:rPr>
            </w:pPr>
            <w:r>
              <w:rPr>
                <w:rFonts w:ascii="Arial" w:cs="Arial" w:eastAsia="Arial" w:hAnsi="Arial"/>
                <w:sz w:val="11"/>
                <w:szCs w:val="11"/>
                <w:color w:val="auto"/>
              </w:rPr>
              <w:t>Robert A. Michael</w:t>
            </w:r>
          </w:p>
        </w:tc>
        <w:tc>
          <w:tcPr>
            <w:tcW w:w="120" w:type="dxa"/>
            <w:vAlign w:val="bottom"/>
            <w:shd w:val="clear" w:color="auto" w:fill="D9D9D9"/>
          </w:tcPr>
          <w:p>
            <w:pPr>
              <w:spacing w:after="0"/>
              <w:rPr>
                <w:sz w:val="8"/>
                <w:szCs w:val="8"/>
                <w:color w:val="auto"/>
              </w:rPr>
            </w:pPr>
          </w:p>
        </w:tc>
        <w:tc>
          <w:tcPr>
            <w:tcW w:w="340" w:type="dxa"/>
            <w:vAlign w:val="bottom"/>
            <w:gridSpan w:val="2"/>
            <w:shd w:val="clear" w:color="auto" w:fill="D9D9D9"/>
          </w:tcPr>
          <w:p>
            <w:pPr>
              <w:jc w:val="right"/>
              <w:ind w:right="40"/>
              <w:spacing w:after="0" w:line="100" w:lineRule="exact"/>
              <w:rPr>
                <w:sz w:val="20"/>
                <w:szCs w:val="20"/>
                <w:color w:val="auto"/>
              </w:rPr>
            </w:pPr>
            <w:r>
              <w:rPr>
                <w:rFonts w:ascii="Arial" w:cs="Arial" w:eastAsia="Arial" w:hAnsi="Arial"/>
                <w:sz w:val="11"/>
                <w:szCs w:val="11"/>
                <w:color w:val="auto"/>
              </w:rPr>
              <w:t>2025</w:t>
            </w:r>
          </w:p>
        </w:tc>
        <w:tc>
          <w:tcPr>
            <w:tcW w:w="780" w:type="dxa"/>
            <w:vAlign w:val="bottom"/>
            <w:shd w:val="clear" w:color="auto" w:fill="D9D9D9"/>
          </w:tcPr>
          <w:p>
            <w:pPr>
              <w:jc w:val="right"/>
              <w:ind w:right="3"/>
              <w:spacing w:after="0" w:line="100" w:lineRule="exact"/>
              <w:rPr>
                <w:sz w:val="20"/>
                <w:szCs w:val="20"/>
                <w:color w:val="auto"/>
              </w:rPr>
            </w:pPr>
            <w:r>
              <w:rPr>
                <w:rFonts w:ascii="Arial" w:cs="Arial" w:eastAsia="Arial" w:hAnsi="Arial"/>
                <w:sz w:val="11"/>
                <w:szCs w:val="11"/>
                <w:color w:val="auto"/>
              </w:rPr>
              <w:t>1,700,000</w:t>
            </w:r>
          </w:p>
        </w:tc>
        <w:tc>
          <w:tcPr>
            <w:tcW w:w="500" w:type="dxa"/>
            <w:vAlign w:val="bottom"/>
            <w:shd w:val="clear" w:color="auto" w:fill="D9D9D9"/>
          </w:tcPr>
          <w:p>
            <w:pPr>
              <w:jc w:val="right"/>
              <w:ind w:right="3"/>
              <w:spacing w:after="0" w:line="100" w:lineRule="exact"/>
              <w:rPr>
                <w:sz w:val="20"/>
                <w:szCs w:val="20"/>
                <w:color w:val="auto"/>
              </w:rPr>
            </w:pPr>
            <w:r>
              <w:rPr>
                <w:rFonts w:ascii="Arial" w:cs="Arial" w:eastAsia="Arial" w:hAnsi="Arial"/>
                <w:sz w:val="11"/>
                <w:szCs w:val="11"/>
                <w:color w:val="auto"/>
              </w:rPr>
              <w:t>0</w:t>
            </w:r>
          </w:p>
        </w:tc>
        <w:tc>
          <w:tcPr>
            <w:tcW w:w="820" w:type="dxa"/>
            <w:vAlign w:val="bottom"/>
            <w:shd w:val="clear" w:color="auto" w:fill="D9D9D9"/>
          </w:tcPr>
          <w:p>
            <w:pPr>
              <w:jc w:val="right"/>
              <w:ind w:right="23"/>
              <w:spacing w:after="0" w:line="100" w:lineRule="exact"/>
              <w:rPr>
                <w:sz w:val="20"/>
                <w:szCs w:val="20"/>
                <w:color w:val="auto"/>
              </w:rPr>
            </w:pPr>
            <w:r>
              <w:rPr>
                <w:rFonts w:ascii="Arial" w:cs="Arial" w:eastAsia="Arial" w:hAnsi="Arial"/>
                <w:sz w:val="11"/>
                <w:szCs w:val="11"/>
                <w:color w:val="auto"/>
              </w:rPr>
              <w:t>13,268,456</w:t>
            </w:r>
          </w:p>
        </w:tc>
        <w:tc>
          <w:tcPr>
            <w:tcW w:w="740" w:type="dxa"/>
            <w:vAlign w:val="bottom"/>
            <w:shd w:val="clear" w:color="auto" w:fill="D9D9D9"/>
          </w:tcPr>
          <w:p>
            <w:pPr>
              <w:jc w:val="right"/>
              <w:ind w:right="23"/>
              <w:spacing w:after="0" w:line="100" w:lineRule="exact"/>
              <w:rPr>
                <w:sz w:val="20"/>
                <w:szCs w:val="20"/>
                <w:color w:val="auto"/>
              </w:rPr>
            </w:pPr>
            <w:r>
              <w:rPr>
                <w:rFonts w:ascii="Arial" w:cs="Arial" w:eastAsia="Arial" w:hAnsi="Arial"/>
                <w:sz w:val="11"/>
                <w:szCs w:val="11"/>
                <w:color w:val="auto"/>
              </w:rPr>
              <w:t>3,199,154</w:t>
            </w:r>
          </w:p>
        </w:tc>
        <w:tc>
          <w:tcPr>
            <w:tcW w:w="1020" w:type="dxa"/>
            <w:vAlign w:val="bottom"/>
            <w:shd w:val="clear" w:color="auto" w:fill="D9D9D9"/>
          </w:tcPr>
          <w:p>
            <w:pPr>
              <w:jc w:val="right"/>
              <w:ind w:right="23"/>
              <w:spacing w:after="0" w:line="100" w:lineRule="exact"/>
              <w:rPr>
                <w:sz w:val="20"/>
                <w:szCs w:val="20"/>
                <w:color w:val="auto"/>
              </w:rPr>
            </w:pPr>
            <w:r>
              <w:rPr>
                <w:rFonts w:ascii="Arial" w:cs="Arial" w:eastAsia="Arial" w:hAnsi="Arial"/>
                <w:sz w:val="11"/>
                <w:szCs w:val="11"/>
                <w:color w:val="auto"/>
              </w:rPr>
              <w:t>5,200,000</w:t>
            </w:r>
          </w:p>
        </w:tc>
        <w:tc>
          <w:tcPr>
            <w:tcW w:w="100" w:type="dxa"/>
            <w:vAlign w:val="bottom"/>
            <w:shd w:val="clear" w:color="auto" w:fill="D9D9D9"/>
          </w:tcPr>
          <w:p>
            <w:pPr>
              <w:spacing w:after="0"/>
              <w:rPr>
                <w:sz w:val="8"/>
                <w:szCs w:val="8"/>
                <w:color w:val="auto"/>
              </w:rPr>
            </w:pPr>
          </w:p>
        </w:tc>
        <w:tc>
          <w:tcPr>
            <w:tcW w:w="1000" w:type="dxa"/>
            <w:vAlign w:val="bottom"/>
            <w:shd w:val="clear" w:color="auto" w:fill="D9D9D9"/>
          </w:tcPr>
          <w:p>
            <w:pPr>
              <w:jc w:val="right"/>
              <w:ind w:right="123"/>
              <w:spacing w:after="0" w:line="100" w:lineRule="exact"/>
              <w:rPr>
                <w:sz w:val="20"/>
                <w:szCs w:val="20"/>
                <w:color w:val="auto"/>
              </w:rPr>
            </w:pPr>
            <w:r>
              <w:rPr>
                <w:rFonts w:ascii="Arial" w:cs="Arial" w:eastAsia="Arial" w:hAnsi="Arial"/>
                <w:sz w:val="11"/>
                <w:szCs w:val="11"/>
                <w:color w:val="auto"/>
              </w:rPr>
              <w:t>8,647,081</w:t>
            </w:r>
          </w:p>
        </w:tc>
        <w:tc>
          <w:tcPr>
            <w:tcW w:w="900" w:type="dxa"/>
            <w:vAlign w:val="bottom"/>
            <w:shd w:val="clear" w:color="auto" w:fill="D9D9D9"/>
          </w:tcPr>
          <w:p>
            <w:pPr>
              <w:jc w:val="right"/>
              <w:ind w:right="3"/>
              <w:spacing w:after="0" w:line="100" w:lineRule="exact"/>
              <w:rPr>
                <w:sz w:val="20"/>
                <w:szCs w:val="20"/>
                <w:color w:val="auto"/>
              </w:rPr>
            </w:pPr>
            <w:r>
              <w:rPr>
                <w:rFonts w:ascii="Arial" w:cs="Arial" w:eastAsia="Arial" w:hAnsi="Arial"/>
                <w:sz w:val="11"/>
                <w:szCs w:val="11"/>
                <w:color w:val="auto"/>
              </w:rPr>
              <w:t>516,293</w:t>
            </w:r>
          </w:p>
        </w:tc>
        <w:tc>
          <w:tcPr>
            <w:tcW w:w="820" w:type="dxa"/>
            <w:vAlign w:val="bottom"/>
            <w:shd w:val="clear" w:color="auto" w:fill="D9D9D9"/>
          </w:tcPr>
          <w:p>
            <w:pPr>
              <w:jc w:val="right"/>
              <w:spacing w:after="0" w:line="100" w:lineRule="exact"/>
              <w:rPr>
                <w:sz w:val="20"/>
                <w:szCs w:val="20"/>
                <w:color w:val="auto"/>
              </w:rPr>
            </w:pPr>
            <w:r>
              <w:rPr>
                <w:rFonts w:ascii="Arial" w:cs="Arial" w:eastAsia="Arial" w:hAnsi="Arial"/>
                <w:sz w:val="11"/>
                <w:szCs w:val="11"/>
                <w:color w:val="auto"/>
              </w:rPr>
              <w:t>32,530,984</w:t>
            </w:r>
          </w:p>
        </w:tc>
        <w:tc>
          <w:tcPr>
            <w:tcW w:w="0" w:type="dxa"/>
            <w:vAlign w:val="bottom"/>
          </w:tcPr>
          <w:p>
            <w:pPr>
              <w:spacing w:after="0"/>
              <w:rPr>
                <w:sz w:val="1"/>
                <w:szCs w:val="1"/>
                <w:color w:val="auto"/>
              </w:rPr>
            </w:pPr>
          </w:p>
        </w:tc>
      </w:tr>
      <w:tr>
        <w:trPr>
          <w:trHeight w:val="123"/>
        </w:trPr>
        <w:tc>
          <w:tcPr>
            <w:tcW w:w="2120" w:type="dxa"/>
            <w:vAlign w:val="bottom"/>
            <w:shd w:val="clear" w:color="auto" w:fill="D9D9D9"/>
          </w:tcPr>
          <w:p>
            <w:pPr>
              <w:ind w:left="100"/>
              <w:spacing w:after="0" w:line="123" w:lineRule="exact"/>
              <w:rPr>
                <w:sz w:val="20"/>
                <w:szCs w:val="20"/>
                <w:color w:val="auto"/>
              </w:rPr>
            </w:pPr>
            <w:r>
              <w:rPr>
                <w:rFonts w:ascii="Arial" w:cs="Arial" w:eastAsia="Arial" w:hAnsi="Arial"/>
                <w:sz w:val="11"/>
                <w:szCs w:val="11"/>
                <w:color w:val="auto"/>
              </w:rPr>
              <w:t>Chairman of the Board and</w:t>
            </w:r>
          </w:p>
        </w:tc>
        <w:tc>
          <w:tcPr>
            <w:tcW w:w="120" w:type="dxa"/>
            <w:vAlign w:val="bottom"/>
            <w:shd w:val="clear" w:color="auto" w:fill="D9D9D9"/>
          </w:tcPr>
          <w:p>
            <w:pPr>
              <w:spacing w:after="0"/>
              <w:rPr>
                <w:sz w:val="10"/>
                <w:szCs w:val="10"/>
                <w:color w:val="auto"/>
              </w:rPr>
            </w:pPr>
          </w:p>
        </w:tc>
        <w:tc>
          <w:tcPr>
            <w:tcW w:w="340" w:type="dxa"/>
            <w:vAlign w:val="bottom"/>
            <w:gridSpan w:val="2"/>
            <w:shd w:val="clear" w:color="auto" w:fill="D9D9D9"/>
          </w:tcPr>
          <w:p>
            <w:pPr>
              <w:jc w:val="right"/>
              <w:ind w:right="40"/>
              <w:spacing w:after="0" w:line="123" w:lineRule="exact"/>
              <w:rPr>
                <w:sz w:val="20"/>
                <w:szCs w:val="20"/>
                <w:color w:val="auto"/>
              </w:rPr>
            </w:pPr>
            <w:r>
              <w:rPr>
                <w:rFonts w:ascii="Arial" w:cs="Arial" w:eastAsia="Arial" w:hAnsi="Arial"/>
                <w:sz w:val="11"/>
                <w:szCs w:val="11"/>
                <w:color w:val="auto"/>
              </w:rPr>
              <w:t>2024</w:t>
            </w:r>
          </w:p>
        </w:tc>
        <w:tc>
          <w:tcPr>
            <w:tcW w:w="78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1,607,404</w:t>
            </w:r>
          </w:p>
        </w:tc>
        <w:tc>
          <w:tcPr>
            <w:tcW w:w="50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0</w:t>
            </w:r>
          </w:p>
        </w:tc>
        <w:tc>
          <w:tcPr>
            <w:tcW w:w="820" w:type="dxa"/>
            <w:vAlign w:val="bottom"/>
            <w:shd w:val="clear" w:color="auto" w:fill="D9D9D9"/>
          </w:tcPr>
          <w:p>
            <w:pPr>
              <w:jc w:val="right"/>
              <w:ind w:right="23"/>
              <w:spacing w:after="0" w:line="123" w:lineRule="exact"/>
              <w:rPr>
                <w:sz w:val="20"/>
                <w:szCs w:val="20"/>
                <w:color w:val="auto"/>
              </w:rPr>
            </w:pPr>
            <w:r>
              <w:rPr>
                <w:rFonts w:ascii="Arial" w:cs="Arial" w:eastAsia="Arial" w:hAnsi="Arial"/>
                <w:sz w:val="11"/>
                <w:szCs w:val="11"/>
                <w:color w:val="auto"/>
              </w:rPr>
              <w:t>7,915,762</w:t>
            </w:r>
          </w:p>
        </w:tc>
        <w:tc>
          <w:tcPr>
            <w:tcW w:w="740" w:type="dxa"/>
            <w:vAlign w:val="bottom"/>
            <w:shd w:val="clear" w:color="auto" w:fill="D9D9D9"/>
          </w:tcPr>
          <w:p>
            <w:pPr>
              <w:jc w:val="right"/>
              <w:ind w:right="23"/>
              <w:spacing w:after="0" w:line="123" w:lineRule="exact"/>
              <w:rPr>
                <w:sz w:val="20"/>
                <w:szCs w:val="20"/>
                <w:color w:val="auto"/>
              </w:rPr>
            </w:pPr>
            <w:r>
              <w:rPr>
                <w:rFonts w:ascii="Arial" w:cs="Arial" w:eastAsia="Arial" w:hAnsi="Arial"/>
                <w:sz w:val="11"/>
                <w:szCs w:val="11"/>
                <w:color w:val="auto"/>
              </w:rPr>
              <w:t>1,888,269</w:t>
            </w:r>
          </w:p>
        </w:tc>
        <w:tc>
          <w:tcPr>
            <w:tcW w:w="1020" w:type="dxa"/>
            <w:vAlign w:val="bottom"/>
            <w:shd w:val="clear" w:color="auto" w:fill="D9D9D9"/>
          </w:tcPr>
          <w:p>
            <w:pPr>
              <w:jc w:val="right"/>
              <w:ind w:right="23"/>
              <w:spacing w:after="0" w:line="123" w:lineRule="exact"/>
              <w:rPr>
                <w:sz w:val="20"/>
                <w:szCs w:val="20"/>
                <w:color w:val="auto"/>
              </w:rPr>
            </w:pPr>
            <w:r>
              <w:rPr>
                <w:rFonts w:ascii="Arial" w:cs="Arial" w:eastAsia="Arial" w:hAnsi="Arial"/>
                <w:sz w:val="11"/>
                <w:szCs w:val="11"/>
                <w:color w:val="auto"/>
              </w:rPr>
              <w:t>4,590,000</w:t>
            </w:r>
          </w:p>
        </w:tc>
        <w:tc>
          <w:tcPr>
            <w:tcW w:w="100" w:type="dxa"/>
            <w:vAlign w:val="bottom"/>
            <w:shd w:val="clear" w:color="auto" w:fill="D9D9D9"/>
          </w:tcPr>
          <w:p>
            <w:pPr>
              <w:spacing w:after="0"/>
              <w:rPr>
                <w:sz w:val="10"/>
                <w:szCs w:val="10"/>
                <w:color w:val="auto"/>
              </w:rPr>
            </w:pPr>
          </w:p>
        </w:tc>
        <w:tc>
          <w:tcPr>
            <w:tcW w:w="1000" w:type="dxa"/>
            <w:vAlign w:val="bottom"/>
            <w:shd w:val="clear" w:color="auto" w:fill="D9D9D9"/>
          </w:tcPr>
          <w:p>
            <w:pPr>
              <w:jc w:val="right"/>
              <w:ind w:right="123"/>
              <w:spacing w:after="0" w:line="123" w:lineRule="exact"/>
              <w:rPr>
                <w:sz w:val="20"/>
                <w:szCs w:val="20"/>
                <w:color w:val="auto"/>
              </w:rPr>
            </w:pPr>
            <w:r>
              <w:rPr>
                <w:rFonts w:ascii="Arial" w:cs="Arial" w:eastAsia="Arial" w:hAnsi="Arial"/>
                <w:sz w:val="11"/>
                <w:szCs w:val="11"/>
                <w:color w:val="auto"/>
              </w:rPr>
              <w:t>2,008,986</w:t>
            </w:r>
          </w:p>
        </w:tc>
        <w:tc>
          <w:tcPr>
            <w:tcW w:w="90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482,096</w:t>
            </w:r>
          </w:p>
        </w:tc>
        <w:tc>
          <w:tcPr>
            <w:tcW w:w="820" w:type="dxa"/>
            <w:vAlign w:val="bottom"/>
            <w:shd w:val="clear" w:color="auto" w:fill="D9D9D9"/>
          </w:tcPr>
          <w:p>
            <w:pPr>
              <w:jc w:val="right"/>
              <w:spacing w:after="0" w:line="123" w:lineRule="exact"/>
              <w:rPr>
                <w:sz w:val="20"/>
                <w:szCs w:val="20"/>
                <w:color w:val="auto"/>
              </w:rPr>
            </w:pPr>
            <w:r>
              <w:rPr>
                <w:rFonts w:ascii="Arial" w:cs="Arial" w:eastAsia="Arial" w:hAnsi="Arial"/>
                <w:sz w:val="11"/>
                <w:szCs w:val="11"/>
                <w:color w:val="auto"/>
              </w:rPr>
              <w:t>18,492,517</w:t>
            </w:r>
          </w:p>
        </w:tc>
        <w:tc>
          <w:tcPr>
            <w:tcW w:w="0" w:type="dxa"/>
            <w:vAlign w:val="bottom"/>
          </w:tcPr>
          <w:p>
            <w:pPr>
              <w:spacing w:after="0"/>
              <w:rPr>
                <w:sz w:val="1"/>
                <w:szCs w:val="1"/>
                <w:color w:val="auto"/>
              </w:rPr>
            </w:pPr>
          </w:p>
        </w:tc>
      </w:tr>
      <w:tr>
        <w:trPr>
          <w:trHeight w:val="139"/>
        </w:trPr>
        <w:tc>
          <w:tcPr>
            <w:tcW w:w="2120" w:type="dxa"/>
            <w:vAlign w:val="bottom"/>
            <w:shd w:val="clear" w:color="auto" w:fill="D9D9D9"/>
          </w:tcPr>
          <w:p>
            <w:pPr>
              <w:ind w:left="100"/>
              <w:spacing w:after="0"/>
              <w:rPr>
                <w:sz w:val="20"/>
                <w:szCs w:val="20"/>
                <w:color w:val="auto"/>
              </w:rPr>
            </w:pPr>
            <w:r>
              <w:rPr>
                <w:rFonts w:ascii="Arial" w:cs="Arial" w:eastAsia="Arial" w:hAnsi="Arial"/>
                <w:sz w:val="11"/>
                <w:szCs w:val="11"/>
                <w:color w:val="auto"/>
              </w:rPr>
              <w:t>Chief Executive Officer</w:t>
            </w:r>
          </w:p>
        </w:tc>
        <w:tc>
          <w:tcPr>
            <w:tcW w:w="120" w:type="dxa"/>
            <w:vAlign w:val="bottom"/>
            <w:shd w:val="clear" w:color="auto" w:fill="D9D9D9"/>
          </w:tcPr>
          <w:p>
            <w:pPr>
              <w:spacing w:after="0"/>
              <w:rPr>
                <w:sz w:val="12"/>
                <w:szCs w:val="12"/>
                <w:color w:val="auto"/>
              </w:rPr>
            </w:pPr>
          </w:p>
        </w:tc>
        <w:tc>
          <w:tcPr>
            <w:tcW w:w="340" w:type="dxa"/>
            <w:vAlign w:val="bottom"/>
            <w:gridSpan w:val="2"/>
            <w:shd w:val="clear" w:color="auto" w:fill="D9D9D9"/>
          </w:tcPr>
          <w:p>
            <w:pPr>
              <w:jc w:val="right"/>
              <w:ind w:right="40"/>
              <w:spacing w:after="0"/>
              <w:rPr>
                <w:sz w:val="20"/>
                <w:szCs w:val="20"/>
                <w:color w:val="auto"/>
              </w:rPr>
            </w:pPr>
            <w:r>
              <w:rPr>
                <w:rFonts w:ascii="Arial" w:cs="Arial" w:eastAsia="Arial" w:hAnsi="Arial"/>
                <w:sz w:val="11"/>
                <w:szCs w:val="11"/>
                <w:color w:val="auto"/>
              </w:rPr>
              <w:t>2023</w:t>
            </w:r>
          </w:p>
        </w:tc>
        <w:tc>
          <w:tcPr>
            <w:tcW w:w="78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1,427,376</w:t>
            </w:r>
          </w:p>
        </w:tc>
        <w:tc>
          <w:tcPr>
            <w:tcW w:w="50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0</w:t>
            </w:r>
          </w:p>
        </w:tc>
        <w:tc>
          <w:tcPr>
            <w:tcW w:w="820" w:type="dxa"/>
            <w:vAlign w:val="bottom"/>
            <w:shd w:val="clear" w:color="auto" w:fill="D9D9D9"/>
          </w:tcPr>
          <w:p>
            <w:pPr>
              <w:jc w:val="right"/>
              <w:ind w:right="23"/>
              <w:spacing w:after="0"/>
              <w:rPr>
                <w:sz w:val="20"/>
                <w:szCs w:val="20"/>
                <w:color w:val="auto"/>
              </w:rPr>
            </w:pPr>
            <w:r>
              <w:rPr>
                <w:rFonts w:ascii="Arial" w:cs="Arial" w:eastAsia="Arial" w:hAnsi="Arial"/>
                <w:sz w:val="11"/>
                <w:szCs w:val="11"/>
                <w:color w:val="auto"/>
              </w:rPr>
              <w:t>5,440,297</w:t>
            </w:r>
          </w:p>
        </w:tc>
        <w:tc>
          <w:tcPr>
            <w:tcW w:w="740" w:type="dxa"/>
            <w:vAlign w:val="bottom"/>
            <w:shd w:val="clear" w:color="auto" w:fill="D9D9D9"/>
          </w:tcPr>
          <w:p>
            <w:pPr>
              <w:jc w:val="right"/>
              <w:ind w:right="23"/>
              <w:spacing w:after="0"/>
              <w:rPr>
                <w:sz w:val="20"/>
                <w:szCs w:val="20"/>
                <w:color w:val="auto"/>
              </w:rPr>
            </w:pPr>
            <w:r>
              <w:rPr>
                <w:rFonts w:ascii="Arial" w:cs="Arial" w:eastAsia="Arial" w:hAnsi="Arial"/>
                <w:sz w:val="11"/>
                <w:szCs w:val="11"/>
                <w:color w:val="auto"/>
              </w:rPr>
              <w:t>1,365,031</w:t>
            </w:r>
          </w:p>
        </w:tc>
        <w:tc>
          <w:tcPr>
            <w:tcW w:w="1020" w:type="dxa"/>
            <w:vAlign w:val="bottom"/>
            <w:shd w:val="clear" w:color="auto" w:fill="D9D9D9"/>
          </w:tcPr>
          <w:p>
            <w:pPr>
              <w:jc w:val="right"/>
              <w:ind w:right="23"/>
              <w:spacing w:after="0"/>
              <w:rPr>
                <w:sz w:val="20"/>
                <w:szCs w:val="20"/>
                <w:color w:val="auto"/>
              </w:rPr>
            </w:pPr>
            <w:r>
              <w:rPr>
                <w:rFonts w:ascii="Arial" w:cs="Arial" w:eastAsia="Arial" w:hAnsi="Arial"/>
                <w:sz w:val="11"/>
                <w:szCs w:val="11"/>
                <w:color w:val="auto"/>
              </w:rPr>
              <w:t>3,000,000</w:t>
            </w:r>
          </w:p>
        </w:tc>
        <w:tc>
          <w:tcPr>
            <w:tcW w:w="100" w:type="dxa"/>
            <w:vAlign w:val="bottom"/>
            <w:shd w:val="clear" w:color="auto" w:fill="D9D9D9"/>
          </w:tcPr>
          <w:p>
            <w:pPr>
              <w:spacing w:after="0"/>
              <w:rPr>
                <w:sz w:val="12"/>
                <w:szCs w:val="12"/>
                <w:color w:val="auto"/>
              </w:rPr>
            </w:pPr>
          </w:p>
        </w:tc>
        <w:tc>
          <w:tcPr>
            <w:tcW w:w="1000" w:type="dxa"/>
            <w:vAlign w:val="bottom"/>
            <w:shd w:val="clear" w:color="auto" w:fill="D9D9D9"/>
          </w:tcPr>
          <w:p>
            <w:pPr>
              <w:jc w:val="right"/>
              <w:ind w:right="123"/>
              <w:spacing w:after="0"/>
              <w:rPr>
                <w:sz w:val="20"/>
                <w:szCs w:val="20"/>
                <w:color w:val="auto"/>
              </w:rPr>
            </w:pPr>
            <w:r>
              <w:rPr>
                <w:rFonts w:ascii="Arial" w:cs="Arial" w:eastAsia="Arial" w:hAnsi="Arial"/>
                <w:sz w:val="11"/>
                <w:szCs w:val="11"/>
                <w:color w:val="auto"/>
              </w:rPr>
              <w:t>3,019,112</w:t>
            </w:r>
          </w:p>
        </w:tc>
        <w:tc>
          <w:tcPr>
            <w:tcW w:w="90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189,504</w:t>
            </w:r>
          </w:p>
        </w:tc>
        <w:tc>
          <w:tcPr>
            <w:tcW w:w="8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14,441,320</w:t>
            </w:r>
          </w:p>
        </w:tc>
        <w:tc>
          <w:tcPr>
            <w:tcW w:w="0" w:type="dxa"/>
            <w:vAlign w:val="bottom"/>
          </w:tcPr>
          <w:p>
            <w:pPr>
              <w:spacing w:after="0"/>
              <w:rPr>
                <w:sz w:val="1"/>
                <w:szCs w:val="1"/>
                <w:color w:val="auto"/>
              </w:rPr>
            </w:pPr>
          </w:p>
        </w:tc>
      </w:tr>
      <w:tr>
        <w:trPr>
          <w:trHeight w:val="108"/>
        </w:trPr>
        <w:tc>
          <w:tcPr>
            <w:tcW w:w="2120" w:type="dxa"/>
            <w:vAlign w:val="bottom"/>
          </w:tcPr>
          <w:p>
            <w:pPr>
              <w:spacing w:after="0" w:line="108" w:lineRule="exact"/>
              <w:rPr>
                <w:sz w:val="20"/>
                <w:szCs w:val="20"/>
                <w:color w:val="auto"/>
              </w:rPr>
            </w:pPr>
            <w:r>
              <w:rPr>
                <w:rFonts w:ascii="Arial" w:cs="Arial" w:eastAsia="Arial" w:hAnsi="Arial"/>
                <w:sz w:val="11"/>
                <w:szCs w:val="11"/>
                <w:color w:val="auto"/>
              </w:rPr>
              <w:t>Scott T. Reents</w:t>
            </w:r>
          </w:p>
        </w:tc>
        <w:tc>
          <w:tcPr>
            <w:tcW w:w="120" w:type="dxa"/>
            <w:vAlign w:val="bottom"/>
          </w:tcPr>
          <w:p>
            <w:pPr>
              <w:spacing w:after="0"/>
              <w:rPr>
                <w:sz w:val="9"/>
                <w:szCs w:val="9"/>
                <w:color w:val="auto"/>
              </w:rPr>
            </w:pPr>
          </w:p>
        </w:tc>
        <w:tc>
          <w:tcPr>
            <w:tcW w:w="340" w:type="dxa"/>
            <w:vAlign w:val="bottom"/>
            <w:gridSpan w:val="2"/>
          </w:tcPr>
          <w:p>
            <w:pPr>
              <w:jc w:val="right"/>
              <w:ind w:right="40"/>
              <w:spacing w:after="0" w:line="108" w:lineRule="exact"/>
              <w:rPr>
                <w:sz w:val="20"/>
                <w:szCs w:val="20"/>
                <w:color w:val="auto"/>
              </w:rPr>
            </w:pPr>
            <w:r>
              <w:rPr>
                <w:rFonts w:ascii="Arial" w:cs="Arial" w:eastAsia="Arial" w:hAnsi="Arial"/>
                <w:sz w:val="11"/>
                <w:szCs w:val="11"/>
                <w:color w:val="auto"/>
              </w:rPr>
              <w:t>2025</w:t>
            </w:r>
          </w:p>
        </w:tc>
        <w:tc>
          <w:tcPr>
            <w:tcW w:w="780" w:type="dxa"/>
            <w:vAlign w:val="bottom"/>
          </w:tcPr>
          <w:p>
            <w:pPr>
              <w:jc w:val="right"/>
              <w:ind w:right="3"/>
              <w:spacing w:after="0" w:line="108" w:lineRule="exact"/>
              <w:rPr>
                <w:sz w:val="20"/>
                <w:szCs w:val="20"/>
                <w:color w:val="auto"/>
              </w:rPr>
            </w:pPr>
            <w:r>
              <w:rPr>
                <w:rFonts w:ascii="Arial" w:cs="Arial" w:eastAsia="Arial" w:hAnsi="Arial"/>
                <w:sz w:val="11"/>
                <w:szCs w:val="11"/>
                <w:color w:val="auto"/>
              </w:rPr>
              <w:t>1,124,116</w:t>
            </w:r>
          </w:p>
        </w:tc>
        <w:tc>
          <w:tcPr>
            <w:tcW w:w="500" w:type="dxa"/>
            <w:vAlign w:val="bottom"/>
          </w:tcPr>
          <w:p>
            <w:pPr>
              <w:jc w:val="right"/>
              <w:ind w:right="3"/>
              <w:spacing w:after="0" w:line="108" w:lineRule="exact"/>
              <w:rPr>
                <w:sz w:val="20"/>
                <w:szCs w:val="20"/>
                <w:color w:val="auto"/>
              </w:rPr>
            </w:pPr>
            <w:r>
              <w:rPr>
                <w:rFonts w:ascii="Arial" w:cs="Arial" w:eastAsia="Arial" w:hAnsi="Arial"/>
                <w:sz w:val="11"/>
                <w:szCs w:val="11"/>
                <w:color w:val="auto"/>
              </w:rPr>
              <w:t>0</w:t>
            </w:r>
          </w:p>
        </w:tc>
        <w:tc>
          <w:tcPr>
            <w:tcW w:w="820" w:type="dxa"/>
            <w:vAlign w:val="bottom"/>
          </w:tcPr>
          <w:p>
            <w:pPr>
              <w:jc w:val="right"/>
              <w:ind w:right="23"/>
              <w:spacing w:after="0" w:line="108" w:lineRule="exact"/>
              <w:rPr>
                <w:sz w:val="20"/>
                <w:szCs w:val="20"/>
                <w:color w:val="auto"/>
              </w:rPr>
            </w:pPr>
            <w:r>
              <w:rPr>
                <w:rFonts w:ascii="Arial" w:cs="Arial" w:eastAsia="Arial" w:hAnsi="Arial"/>
                <w:sz w:val="11"/>
                <w:szCs w:val="11"/>
                <w:color w:val="auto"/>
              </w:rPr>
              <w:t>4,353,512</w:t>
            </w:r>
          </w:p>
        </w:tc>
        <w:tc>
          <w:tcPr>
            <w:tcW w:w="740" w:type="dxa"/>
            <w:vAlign w:val="bottom"/>
          </w:tcPr>
          <w:p>
            <w:pPr>
              <w:jc w:val="right"/>
              <w:ind w:right="23"/>
              <w:spacing w:after="0" w:line="108" w:lineRule="exact"/>
              <w:rPr>
                <w:sz w:val="20"/>
                <w:szCs w:val="20"/>
                <w:color w:val="auto"/>
              </w:rPr>
            </w:pPr>
            <w:r>
              <w:rPr>
                <w:rFonts w:ascii="Arial" w:cs="Arial" w:eastAsia="Arial" w:hAnsi="Arial"/>
                <w:sz w:val="11"/>
                <w:szCs w:val="11"/>
                <w:color w:val="auto"/>
              </w:rPr>
              <w:t>1,049,698</w:t>
            </w:r>
          </w:p>
        </w:tc>
        <w:tc>
          <w:tcPr>
            <w:tcW w:w="1020" w:type="dxa"/>
            <w:vAlign w:val="bottom"/>
          </w:tcPr>
          <w:p>
            <w:pPr>
              <w:jc w:val="right"/>
              <w:ind w:right="23"/>
              <w:spacing w:after="0" w:line="108" w:lineRule="exact"/>
              <w:rPr>
                <w:sz w:val="20"/>
                <w:szCs w:val="20"/>
                <w:color w:val="auto"/>
              </w:rPr>
            </w:pPr>
            <w:r>
              <w:rPr>
                <w:rFonts w:ascii="Arial" w:cs="Arial" w:eastAsia="Arial" w:hAnsi="Arial"/>
                <w:sz w:val="11"/>
                <w:szCs w:val="11"/>
                <w:color w:val="auto"/>
              </w:rPr>
              <w:t>2,350,000</w:t>
            </w:r>
          </w:p>
        </w:tc>
        <w:tc>
          <w:tcPr>
            <w:tcW w:w="100" w:type="dxa"/>
            <w:vAlign w:val="bottom"/>
          </w:tcPr>
          <w:p>
            <w:pPr>
              <w:spacing w:after="0"/>
              <w:rPr>
                <w:sz w:val="9"/>
                <w:szCs w:val="9"/>
                <w:color w:val="auto"/>
              </w:rPr>
            </w:pPr>
          </w:p>
        </w:tc>
        <w:tc>
          <w:tcPr>
            <w:tcW w:w="1000" w:type="dxa"/>
            <w:vAlign w:val="bottom"/>
          </w:tcPr>
          <w:p>
            <w:pPr>
              <w:jc w:val="right"/>
              <w:ind w:right="123"/>
              <w:spacing w:after="0" w:line="108" w:lineRule="exact"/>
              <w:rPr>
                <w:sz w:val="20"/>
                <w:szCs w:val="20"/>
                <w:color w:val="auto"/>
              </w:rPr>
            </w:pPr>
            <w:r>
              <w:rPr>
                <w:rFonts w:ascii="Arial" w:cs="Arial" w:eastAsia="Arial" w:hAnsi="Arial"/>
                <w:sz w:val="11"/>
                <w:szCs w:val="11"/>
                <w:color w:val="auto"/>
              </w:rPr>
              <w:t>3,002,879</w:t>
            </w:r>
          </w:p>
        </w:tc>
        <w:tc>
          <w:tcPr>
            <w:tcW w:w="900" w:type="dxa"/>
            <w:vAlign w:val="bottom"/>
          </w:tcPr>
          <w:p>
            <w:pPr>
              <w:jc w:val="right"/>
              <w:ind w:right="3"/>
              <w:spacing w:after="0" w:line="108" w:lineRule="exact"/>
              <w:rPr>
                <w:sz w:val="20"/>
                <w:szCs w:val="20"/>
                <w:color w:val="auto"/>
              </w:rPr>
            </w:pPr>
            <w:r>
              <w:rPr>
                <w:rFonts w:ascii="Arial" w:cs="Arial" w:eastAsia="Arial" w:hAnsi="Arial"/>
                <w:sz w:val="11"/>
                <w:szCs w:val="11"/>
                <w:color w:val="auto"/>
              </w:rPr>
              <w:t>472,797</w:t>
            </w:r>
          </w:p>
        </w:tc>
        <w:tc>
          <w:tcPr>
            <w:tcW w:w="820" w:type="dxa"/>
            <w:vAlign w:val="bottom"/>
          </w:tcPr>
          <w:p>
            <w:pPr>
              <w:jc w:val="right"/>
              <w:spacing w:after="0" w:line="108" w:lineRule="exact"/>
              <w:rPr>
                <w:sz w:val="20"/>
                <w:szCs w:val="20"/>
                <w:color w:val="auto"/>
              </w:rPr>
            </w:pPr>
            <w:r>
              <w:rPr>
                <w:rFonts w:ascii="Arial" w:cs="Arial" w:eastAsia="Arial" w:hAnsi="Arial"/>
                <w:sz w:val="11"/>
                <w:szCs w:val="11"/>
                <w:color w:val="auto"/>
              </w:rPr>
              <w:t>12,353,002</w:t>
            </w:r>
          </w:p>
        </w:tc>
        <w:tc>
          <w:tcPr>
            <w:tcW w:w="0" w:type="dxa"/>
            <w:vAlign w:val="bottom"/>
          </w:tcPr>
          <w:p>
            <w:pPr>
              <w:spacing w:after="0"/>
              <w:rPr>
                <w:sz w:val="1"/>
                <w:szCs w:val="1"/>
                <w:color w:val="auto"/>
              </w:rPr>
            </w:pPr>
          </w:p>
        </w:tc>
      </w:tr>
      <w:tr>
        <w:trPr>
          <w:trHeight w:val="123"/>
        </w:trPr>
        <w:tc>
          <w:tcPr>
            <w:tcW w:w="2240" w:type="dxa"/>
            <w:vAlign w:val="bottom"/>
            <w:gridSpan w:val="2"/>
          </w:tcPr>
          <w:p>
            <w:pPr>
              <w:ind w:left="100"/>
              <w:spacing w:after="0" w:line="123" w:lineRule="exact"/>
              <w:rPr>
                <w:sz w:val="20"/>
                <w:szCs w:val="20"/>
                <w:color w:val="auto"/>
              </w:rPr>
            </w:pPr>
            <w:r>
              <w:rPr>
                <w:rFonts w:ascii="Arial" w:cs="Arial" w:eastAsia="Arial" w:hAnsi="Arial"/>
                <w:sz w:val="11"/>
                <w:szCs w:val="11"/>
                <w:color w:val="auto"/>
              </w:rPr>
              <w:t>Executive Vice President, Chief</w:t>
            </w:r>
          </w:p>
        </w:tc>
        <w:tc>
          <w:tcPr>
            <w:tcW w:w="340" w:type="dxa"/>
            <w:vAlign w:val="bottom"/>
            <w:gridSpan w:val="2"/>
          </w:tcPr>
          <w:p>
            <w:pPr>
              <w:jc w:val="right"/>
              <w:ind w:right="40"/>
              <w:spacing w:after="0" w:line="123" w:lineRule="exact"/>
              <w:rPr>
                <w:sz w:val="20"/>
                <w:szCs w:val="20"/>
                <w:color w:val="auto"/>
              </w:rPr>
            </w:pPr>
            <w:r>
              <w:rPr>
                <w:rFonts w:ascii="Arial" w:cs="Arial" w:eastAsia="Arial" w:hAnsi="Arial"/>
                <w:sz w:val="11"/>
                <w:szCs w:val="11"/>
                <w:color w:val="auto"/>
              </w:rPr>
              <w:t>2024</w:t>
            </w:r>
          </w:p>
        </w:tc>
        <w:tc>
          <w:tcPr>
            <w:tcW w:w="780" w:type="dxa"/>
            <w:vAlign w:val="bottom"/>
          </w:tcPr>
          <w:p>
            <w:pPr>
              <w:jc w:val="right"/>
              <w:ind w:right="3"/>
              <w:spacing w:after="0" w:line="123" w:lineRule="exact"/>
              <w:rPr>
                <w:sz w:val="20"/>
                <w:szCs w:val="20"/>
                <w:color w:val="auto"/>
              </w:rPr>
            </w:pPr>
            <w:r>
              <w:rPr>
                <w:rFonts w:ascii="Arial" w:cs="Arial" w:eastAsia="Arial" w:hAnsi="Arial"/>
                <w:sz w:val="11"/>
                <w:szCs w:val="11"/>
                <w:color w:val="auto"/>
              </w:rPr>
              <w:t>1,073,077</w:t>
            </w:r>
          </w:p>
        </w:tc>
        <w:tc>
          <w:tcPr>
            <w:tcW w:w="500" w:type="dxa"/>
            <w:vAlign w:val="bottom"/>
          </w:tcPr>
          <w:p>
            <w:pPr>
              <w:jc w:val="right"/>
              <w:ind w:right="3"/>
              <w:spacing w:after="0" w:line="123" w:lineRule="exact"/>
              <w:rPr>
                <w:sz w:val="20"/>
                <w:szCs w:val="20"/>
                <w:color w:val="auto"/>
              </w:rPr>
            </w:pPr>
            <w:r>
              <w:rPr>
                <w:rFonts w:ascii="Arial" w:cs="Arial" w:eastAsia="Arial" w:hAnsi="Arial"/>
                <w:sz w:val="11"/>
                <w:szCs w:val="11"/>
                <w:color w:val="auto"/>
              </w:rPr>
              <w:t>0</w:t>
            </w:r>
          </w:p>
        </w:tc>
        <w:tc>
          <w:tcPr>
            <w:tcW w:w="820" w:type="dxa"/>
            <w:vAlign w:val="bottom"/>
          </w:tcPr>
          <w:p>
            <w:pPr>
              <w:jc w:val="right"/>
              <w:ind w:right="23"/>
              <w:spacing w:after="0" w:line="123" w:lineRule="exact"/>
              <w:rPr>
                <w:sz w:val="20"/>
                <w:szCs w:val="20"/>
                <w:color w:val="auto"/>
              </w:rPr>
            </w:pPr>
            <w:r>
              <w:rPr>
                <w:rFonts w:ascii="Arial" w:cs="Arial" w:eastAsia="Arial" w:hAnsi="Arial"/>
                <w:sz w:val="11"/>
                <w:szCs w:val="11"/>
                <w:color w:val="auto"/>
              </w:rPr>
              <w:t>4,166,190</w:t>
            </w:r>
          </w:p>
        </w:tc>
        <w:tc>
          <w:tcPr>
            <w:tcW w:w="740" w:type="dxa"/>
            <w:vAlign w:val="bottom"/>
          </w:tcPr>
          <w:p>
            <w:pPr>
              <w:jc w:val="right"/>
              <w:ind w:right="23"/>
              <w:spacing w:after="0" w:line="123" w:lineRule="exact"/>
              <w:rPr>
                <w:sz w:val="20"/>
                <w:szCs w:val="20"/>
                <w:color w:val="auto"/>
              </w:rPr>
            </w:pPr>
            <w:r>
              <w:rPr>
                <w:rFonts w:ascii="Arial" w:cs="Arial" w:eastAsia="Arial" w:hAnsi="Arial"/>
                <w:sz w:val="11"/>
                <w:szCs w:val="11"/>
                <w:color w:val="auto"/>
              </w:rPr>
              <w:t>993,826</w:t>
            </w:r>
          </w:p>
        </w:tc>
        <w:tc>
          <w:tcPr>
            <w:tcW w:w="1020" w:type="dxa"/>
            <w:vAlign w:val="bottom"/>
          </w:tcPr>
          <w:p>
            <w:pPr>
              <w:jc w:val="right"/>
              <w:ind w:right="23"/>
              <w:spacing w:after="0" w:line="123" w:lineRule="exact"/>
              <w:rPr>
                <w:sz w:val="20"/>
                <w:szCs w:val="20"/>
                <w:color w:val="auto"/>
              </w:rPr>
            </w:pPr>
            <w:r>
              <w:rPr>
                <w:rFonts w:ascii="Arial" w:cs="Arial" w:eastAsia="Arial" w:hAnsi="Arial"/>
                <w:sz w:val="11"/>
                <w:szCs w:val="11"/>
                <w:color w:val="auto"/>
              </w:rPr>
              <w:t>2,250,000</w:t>
            </w:r>
          </w:p>
        </w:tc>
        <w:tc>
          <w:tcPr>
            <w:tcW w:w="100" w:type="dxa"/>
            <w:vAlign w:val="bottom"/>
          </w:tcPr>
          <w:p>
            <w:pPr>
              <w:spacing w:after="0"/>
              <w:rPr>
                <w:sz w:val="10"/>
                <w:szCs w:val="10"/>
                <w:color w:val="auto"/>
              </w:rPr>
            </w:pPr>
          </w:p>
        </w:tc>
        <w:tc>
          <w:tcPr>
            <w:tcW w:w="1000" w:type="dxa"/>
            <w:vAlign w:val="bottom"/>
          </w:tcPr>
          <w:p>
            <w:pPr>
              <w:jc w:val="right"/>
              <w:ind w:right="123"/>
              <w:spacing w:after="0" w:line="123" w:lineRule="exact"/>
              <w:rPr>
                <w:sz w:val="20"/>
                <w:szCs w:val="20"/>
                <w:color w:val="auto"/>
              </w:rPr>
            </w:pPr>
            <w:r>
              <w:rPr>
                <w:rFonts w:ascii="Arial" w:cs="Arial" w:eastAsia="Arial" w:hAnsi="Arial"/>
                <w:sz w:val="11"/>
                <w:szCs w:val="11"/>
                <w:color w:val="auto"/>
              </w:rPr>
              <w:t>2,010,658</w:t>
            </w:r>
          </w:p>
        </w:tc>
        <w:tc>
          <w:tcPr>
            <w:tcW w:w="900" w:type="dxa"/>
            <w:vAlign w:val="bottom"/>
          </w:tcPr>
          <w:p>
            <w:pPr>
              <w:jc w:val="right"/>
              <w:ind w:right="3"/>
              <w:spacing w:after="0" w:line="123" w:lineRule="exact"/>
              <w:rPr>
                <w:sz w:val="20"/>
                <w:szCs w:val="20"/>
                <w:color w:val="auto"/>
              </w:rPr>
            </w:pPr>
            <w:r>
              <w:rPr>
                <w:rFonts w:ascii="Arial" w:cs="Arial" w:eastAsia="Arial" w:hAnsi="Arial"/>
                <w:sz w:val="11"/>
                <w:szCs w:val="11"/>
                <w:color w:val="auto"/>
              </w:rPr>
              <w:t>498,603</w:t>
            </w:r>
          </w:p>
        </w:tc>
        <w:tc>
          <w:tcPr>
            <w:tcW w:w="820" w:type="dxa"/>
            <w:vAlign w:val="bottom"/>
          </w:tcPr>
          <w:p>
            <w:pPr>
              <w:jc w:val="right"/>
              <w:spacing w:after="0" w:line="123" w:lineRule="exact"/>
              <w:rPr>
                <w:sz w:val="20"/>
                <w:szCs w:val="20"/>
                <w:color w:val="auto"/>
              </w:rPr>
            </w:pPr>
            <w:r>
              <w:rPr>
                <w:rFonts w:ascii="Arial" w:cs="Arial" w:eastAsia="Arial" w:hAnsi="Arial"/>
                <w:sz w:val="11"/>
                <w:szCs w:val="11"/>
                <w:color w:val="auto"/>
              </w:rPr>
              <w:t>10,992,354</w:t>
            </w:r>
          </w:p>
        </w:tc>
        <w:tc>
          <w:tcPr>
            <w:tcW w:w="0" w:type="dxa"/>
            <w:vAlign w:val="bottom"/>
          </w:tcPr>
          <w:p>
            <w:pPr>
              <w:spacing w:after="0"/>
              <w:rPr>
                <w:sz w:val="1"/>
                <w:szCs w:val="1"/>
                <w:color w:val="auto"/>
              </w:rPr>
            </w:pPr>
          </w:p>
        </w:tc>
      </w:tr>
      <w:tr>
        <w:trPr>
          <w:trHeight w:val="139"/>
        </w:trPr>
        <w:tc>
          <w:tcPr>
            <w:tcW w:w="2240" w:type="dxa"/>
            <w:vAlign w:val="bottom"/>
            <w:gridSpan w:val="2"/>
          </w:tcPr>
          <w:p>
            <w:pPr>
              <w:ind w:left="100"/>
              <w:spacing w:after="0"/>
              <w:rPr>
                <w:sz w:val="20"/>
                <w:szCs w:val="20"/>
                <w:color w:val="auto"/>
              </w:rPr>
            </w:pPr>
            <w:r>
              <w:rPr>
                <w:rFonts w:ascii="Arial" w:cs="Arial" w:eastAsia="Arial" w:hAnsi="Arial"/>
                <w:sz w:val="11"/>
                <w:szCs w:val="11"/>
                <w:color w:val="auto"/>
              </w:rPr>
              <w:t>Financial Officer</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2023</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973,077</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0</w:t>
            </w: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4,029,950</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1,011,112</w:t>
            </w: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1,850,000</w:t>
            </w:r>
          </w:p>
        </w:tc>
        <w:tc>
          <w:tcPr>
            <w:tcW w:w="100" w:type="dxa"/>
            <w:vAlign w:val="bottom"/>
          </w:tcPr>
          <w:p>
            <w:pPr>
              <w:spacing w:after="0"/>
              <w:rPr>
                <w:sz w:val="12"/>
                <w:szCs w:val="12"/>
                <w:color w:val="auto"/>
              </w:rPr>
            </w:pPr>
          </w:p>
        </w:tc>
        <w:tc>
          <w:tcPr>
            <w:tcW w:w="1000" w:type="dxa"/>
            <w:vAlign w:val="bottom"/>
          </w:tcPr>
          <w:p>
            <w:pPr>
              <w:jc w:val="right"/>
              <w:ind w:right="123"/>
              <w:spacing w:after="0"/>
              <w:rPr>
                <w:sz w:val="20"/>
                <w:szCs w:val="20"/>
                <w:color w:val="auto"/>
              </w:rPr>
            </w:pPr>
            <w:r>
              <w:rPr>
                <w:rFonts w:ascii="Arial" w:cs="Arial" w:eastAsia="Arial" w:hAnsi="Arial"/>
                <w:sz w:val="11"/>
                <w:szCs w:val="11"/>
                <w:color w:val="auto"/>
              </w:rPr>
              <w:t>2,012,889</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309,684</w:t>
            </w:r>
          </w:p>
        </w:tc>
        <w:tc>
          <w:tcPr>
            <w:tcW w:w="820" w:type="dxa"/>
            <w:vAlign w:val="bottom"/>
          </w:tcPr>
          <w:p>
            <w:pPr>
              <w:jc w:val="right"/>
              <w:spacing w:after="0"/>
              <w:rPr>
                <w:sz w:val="20"/>
                <w:szCs w:val="20"/>
                <w:color w:val="auto"/>
              </w:rPr>
            </w:pPr>
            <w:r>
              <w:rPr>
                <w:rFonts w:ascii="Arial" w:cs="Arial" w:eastAsia="Arial" w:hAnsi="Arial"/>
                <w:sz w:val="11"/>
                <w:szCs w:val="11"/>
                <w:color w:val="auto"/>
              </w:rPr>
              <w:t>10,186,712</w:t>
            </w:r>
          </w:p>
        </w:tc>
        <w:tc>
          <w:tcPr>
            <w:tcW w:w="0" w:type="dxa"/>
            <w:vAlign w:val="bottom"/>
          </w:tcPr>
          <w:p>
            <w:pPr>
              <w:spacing w:after="0"/>
              <w:rPr>
                <w:sz w:val="1"/>
                <w:szCs w:val="1"/>
                <w:color w:val="auto"/>
              </w:rPr>
            </w:pPr>
          </w:p>
        </w:tc>
      </w:tr>
      <w:tr>
        <w:trPr>
          <w:trHeight w:val="108"/>
        </w:trPr>
        <w:tc>
          <w:tcPr>
            <w:tcW w:w="2120" w:type="dxa"/>
            <w:vAlign w:val="bottom"/>
            <w:shd w:val="clear" w:color="auto" w:fill="D9D9D9"/>
          </w:tcPr>
          <w:p>
            <w:pPr>
              <w:spacing w:after="0" w:line="108" w:lineRule="exact"/>
              <w:rPr>
                <w:sz w:val="20"/>
                <w:szCs w:val="20"/>
                <w:color w:val="auto"/>
              </w:rPr>
            </w:pPr>
            <w:r>
              <w:rPr>
                <w:rFonts w:ascii="Arial" w:cs="Arial" w:eastAsia="Arial" w:hAnsi="Arial"/>
                <w:sz w:val="11"/>
                <w:szCs w:val="11"/>
                <w:color w:val="auto"/>
              </w:rPr>
              <w:t>Jeffrey R. Stewart</w:t>
            </w:r>
          </w:p>
        </w:tc>
        <w:tc>
          <w:tcPr>
            <w:tcW w:w="120" w:type="dxa"/>
            <w:vAlign w:val="bottom"/>
            <w:shd w:val="clear" w:color="auto" w:fill="D9D9D9"/>
          </w:tcPr>
          <w:p>
            <w:pPr>
              <w:spacing w:after="0"/>
              <w:rPr>
                <w:sz w:val="9"/>
                <w:szCs w:val="9"/>
                <w:color w:val="auto"/>
              </w:rPr>
            </w:pPr>
          </w:p>
        </w:tc>
        <w:tc>
          <w:tcPr>
            <w:tcW w:w="340" w:type="dxa"/>
            <w:vAlign w:val="bottom"/>
            <w:gridSpan w:val="2"/>
            <w:shd w:val="clear" w:color="auto" w:fill="D9D9D9"/>
          </w:tcPr>
          <w:p>
            <w:pPr>
              <w:jc w:val="right"/>
              <w:ind w:right="40"/>
              <w:spacing w:after="0" w:line="108" w:lineRule="exact"/>
              <w:rPr>
                <w:sz w:val="20"/>
                <w:szCs w:val="20"/>
                <w:color w:val="auto"/>
              </w:rPr>
            </w:pPr>
            <w:r>
              <w:rPr>
                <w:rFonts w:ascii="Arial" w:cs="Arial" w:eastAsia="Arial" w:hAnsi="Arial"/>
                <w:sz w:val="11"/>
                <w:szCs w:val="11"/>
                <w:color w:val="auto"/>
              </w:rPr>
              <w:t>2025</w:t>
            </w:r>
          </w:p>
        </w:tc>
        <w:tc>
          <w:tcPr>
            <w:tcW w:w="780" w:type="dxa"/>
            <w:vAlign w:val="bottom"/>
            <w:shd w:val="clear" w:color="auto" w:fill="D9D9D9"/>
          </w:tcPr>
          <w:p>
            <w:pPr>
              <w:jc w:val="right"/>
              <w:ind w:right="3"/>
              <w:spacing w:after="0" w:line="108" w:lineRule="exact"/>
              <w:rPr>
                <w:sz w:val="20"/>
                <w:szCs w:val="20"/>
                <w:color w:val="auto"/>
              </w:rPr>
            </w:pPr>
            <w:r>
              <w:rPr>
                <w:rFonts w:ascii="Arial" w:cs="Arial" w:eastAsia="Arial" w:hAnsi="Arial"/>
                <w:sz w:val="11"/>
                <w:szCs w:val="11"/>
                <w:color w:val="auto"/>
              </w:rPr>
              <w:t>1,315,726</w:t>
            </w:r>
          </w:p>
        </w:tc>
        <w:tc>
          <w:tcPr>
            <w:tcW w:w="500" w:type="dxa"/>
            <w:vAlign w:val="bottom"/>
            <w:shd w:val="clear" w:color="auto" w:fill="D9D9D9"/>
          </w:tcPr>
          <w:p>
            <w:pPr>
              <w:jc w:val="right"/>
              <w:ind w:right="3"/>
              <w:spacing w:after="0" w:line="108" w:lineRule="exact"/>
              <w:rPr>
                <w:sz w:val="20"/>
                <w:szCs w:val="20"/>
                <w:color w:val="auto"/>
              </w:rPr>
            </w:pPr>
            <w:r>
              <w:rPr>
                <w:rFonts w:ascii="Arial" w:cs="Arial" w:eastAsia="Arial" w:hAnsi="Arial"/>
                <w:sz w:val="11"/>
                <w:szCs w:val="11"/>
                <w:color w:val="auto"/>
              </w:rPr>
              <w:t>0</w:t>
            </w:r>
          </w:p>
        </w:tc>
        <w:tc>
          <w:tcPr>
            <w:tcW w:w="820" w:type="dxa"/>
            <w:vAlign w:val="bottom"/>
            <w:shd w:val="clear" w:color="auto" w:fill="D9D9D9"/>
          </w:tcPr>
          <w:p>
            <w:pPr>
              <w:jc w:val="right"/>
              <w:ind w:right="23"/>
              <w:spacing w:after="0" w:line="108" w:lineRule="exact"/>
              <w:rPr>
                <w:sz w:val="20"/>
                <w:szCs w:val="20"/>
                <w:color w:val="auto"/>
              </w:rPr>
            </w:pPr>
            <w:r>
              <w:rPr>
                <w:rFonts w:ascii="Arial" w:cs="Arial" w:eastAsia="Arial" w:hAnsi="Arial"/>
                <w:sz w:val="11"/>
                <w:szCs w:val="11"/>
                <w:color w:val="auto"/>
              </w:rPr>
              <w:t>5,390,310</w:t>
            </w:r>
          </w:p>
        </w:tc>
        <w:tc>
          <w:tcPr>
            <w:tcW w:w="740" w:type="dxa"/>
            <w:vAlign w:val="bottom"/>
            <w:shd w:val="clear" w:color="auto" w:fill="D9D9D9"/>
          </w:tcPr>
          <w:p>
            <w:pPr>
              <w:jc w:val="right"/>
              <w:ind w:right="23"/>
              <w:spacing w:after="0" w:line="108" w:lineRule="exact"/>
              <w:rPr>
                <w:sz w:val="20"/>
                <w:szCs w:val="20"/>
                <w:color w:val="auto"/>
              </w:rPr>
            </w:pPr>
            <w:r>
              <w:rPr>
                <w:rFonts w:ascii="Arial" w:cs="Arial" w:eastAsia="Arial" w:hAnsi="Arial"/>
                <w:sz w:val="11"/>
                <w:szCs w:val="11"/>
                <w:color w:val="auto"/>
              </w:rPr>
              <w:t>1,299,655</w:t>
            </w:r>
          </w:p>
        </w:tc>
        <w:tc>
          <w:tcPr>
            <w:tcW w:w="1020" w:type="dxa"/>
            <w:vAlign w:val="bottom"/>
            <w:shd w:val="clear" w:color="auto" w:fill="D9D9D9"/>
          </w:tcPr>
          <w:p>
            <w:pPr>
              <w:jc w:val="right"/>
              <w:ind w:right="23"/>
              <w:spacing w:after="0" w:line="108" w:lineRule="exact"/>
              <w:rPr>
                <w:sz w:val="20"/>
                <w:szCs w:val="20"/>
                <w:color w:val="auto"/>
              </w:rPr>
            </w:pPr>
            <w:r>
              <w:rPr>
                <w:rFonts w:ascii="Arial" w:cs="Arial" w:eastAsia="Arial" w:hAnsi="Arial"/>
                <w:sz w:val="11"/>
                <w:szCs w:val="11"/>
                <w:color w:val="auto"/>
              </w:rPr>
              <w:t>2,950,000</w:t>
            </w:r>
          </w:p>
        </w:tc>
        <w:tc>
          <w:tcPr>
            <w:tcW w:w="100" w:type="dxa"/>
            <w:vAlign w:val="bottom"/>
            <w:shd w:val="clear" w:color="auto" w:fill="D9D9D9"/>
          </w:tcPr>
          <w:p>
            <w:pPr>
              <w:spacing w:after="0"/>
              <w:rPr>
                <w:sz w:val="9"/>
                <w:szCs w:val="9"/>
                <w:color w:val="auto"/>
              </w:rPr>
            </w:pPr>
          </w:p>
        </w:tc>
        <w:tc>
          <w:tcPr>
            <w:tcW w:w="1000" w:type="dxa"/>
            <w:vAlign w:val="bottom"/>
            <w:shd w:val="clear" w:color="auto" w:fill="D9D9D9"/>
          </w:tcPr>
          <w:p>
            <w:pPr>
              <w:jc w:val="right"/>
              <w:ind w:right="123"/>
              <w:spacing w:after="0" w:line="108" w:lineRule="exact"/>
              <w:rPr>
                <w:sz w:val="20"/>
                <w:szCs w:val="20"/>
                <w:color w:val="auto"/>
              </w:rPr>
            </w:pPr>
            <w:r>
              <w:rPr>
                <w:rFonts w:ascii="Arial" w:cs="Arial" w:eastAsia="Arial" w:hAnsi="Arial"/>
                <w:sz w:val="11"/>
                <w:szCs w:val="11"/>
                <w:color w:val="auto"/>
              </w:rPr>
              <w:t>3,742,237</w:t>
            </w:r>
          </w:p>
        </w:tc>
        <w:tc>
          <w:tcPr>
            <w:tcW w:w="900" w:type="dxa"/>
            <w:vAlign w:val="bottom"/>
            <w:shd w:val="clear" w:color="auto" w:fill="D9D9D9"/>
          </w:tcPr>
          <w:p>
            <w:pPr>
              <w:jc w:val="right"/>
              <w:ind w:right="3"/>
              <w:spacing w:after="0" w:line="108" w:lineRule="exact"/>
              <w:rPr>
                <w:sz w:val="20"/>
                <w:szCs w:val="20"/>
                <w:color w:val="auto"/>
              </w:rPr>
            </w:pPr>
            <w:r>
              <w:rPr>
                <w:rFonts w:ascii="Arial" w:cs="Arial" w:eastAsia="Arial" w:hAnsi="Arial"/>
                <w:sz w:val="11"/>
                <w:szCs w:val="11"/>
                <w:color w:val="auto"/>
              </w:rPr>
              <w:t>737,376</w:t>
            </w:r>
          </w:p>
        </w:tc>
        <w:tc>
          <w:tcPr>
            <w:tcW w:w="820" w:type="dxa"/>
            <w:vAlign w:val="bottom"/>
            <w:shd w:val="clear" w:color="auto" w:fill="D9D9D9"/>
          </w:tcPr>
          <w:p>
            <w:pPr>
              <w:jc w:val="right"/>
              <w:spacing w:after="0" w:line="108" w:lineRule="exact"/>
              <w:rPr>
                <w:sz w:val="20"/>
                <w:szCs w:val="20"/>
                <w:color w:val="auto"/>
              </w:rPr>
            </w:pPr>
            <w:r>
              <w:rPr>
                <w:rFonts w:ascii="Arial" w:cs="Arial" w:eastAsia="Arial" w:hAnsi="Arial"/>
                <w:sz w:val="11"/>
                <w:szCs w:val="11"/>
                <w:color w:val="auto"/>
              </w:rPr>
              <w:t>15,435,304</w:t>
            </w:r>
          </w:p>
        </w:tc>
        <w:tc>
          <w:tcPr>
            <w:tcW w:w="0" w:type="dxa"/>
            <w:vAlign w:val="bottom"/>
          </w:tcPr>
          <w:p>
            <w:pPr>
              <w:spacing w:after="0"/>
              <w:rPr>
                <w:sz w:val="1"/>
                <w:szCs w:val="1"/>
                <w:color w:val="auto"/>
              </w:rPr>
            </w:pPr>
          </w:p>
        </w:tc>
      </w:tr>
      <w:tr>
        <w:trPr>
          <w:trHeight w:val="123"/>
        </w:trPr>
        <w:tc>
          <w:tcPr>
            <w:tcW w:w="2120" w:type="dxa"/>
            <w:vAlign w:val="bottom"/>
            <w:shd w:val="clear" w:color="auto" w:fill="D9D9D9"/>
          </w:tcPr>
          <w:p>
            <w:pPr>
              <w:ind w:left="100"/>
              <w:spacing w:after="0" w:line="123" w:lineRule="exact"/>
              <w:rPr>
                <w:sz w:val="20"/>
                <w:szCs w:val="20"/>
                <w:color w:val="auto"/>
              </w:rPr>
            </w:pPr>
            <w:r>
              <w:rPr>
                <w:rFonts w:ascii="Arial" w:cs="Arial" w:eastAsia="Arial" w:hAnsi="Arial"/>
                <w:sz w:val="11"/>
                <w:szCs w:val="11"/>
                <w:color w:val="auto"/>
              </w:rPr>
              <w:t>Executive Vice President, Chief</w:t>
            </w:r>
          </w:p>
        </w:tc>
        <w:tc>
          <w:tcPr>
            <w:tcW w:w="120" w:type="dxa"/>
            <w:vAlign w:val="bottom"/>
            <w:shd w:val="clear" w:color="auto" w:fill="D9D9D9"/>
          </w:tcPr>
          <w:p>
            <w:pPr>
              <w:spacing w:after="0"/>
              <w:rPr>
                <w:sz w:val="10"/>
                <w:szCs w:val="10"/>
                <w:color w:val="auto"/>
              </w:rPr>
            </w:pPr>
          </w:p>
        </w:tc>
        <w:tc>
          <w:tcPr>
            <w:tcW w:w="340" w:type="dxa"/>
            <w:vAlign w:val="bottom"/>
            <w:gridSpan w:val="2"/>
            <w:shd w:val="clear" w:color="auto" w:fill="D9D9D9"/>
          </w:tcPr>
          <w:p>
            <w:pPr>
              <w:jc w:val="right"/>
              <w:ind w:right="40"/>
              <w:spacing w:after="0" w:line="123" w:lineRule="exact"/>
              <w:rPr>
                <w:sz w:val="20"/>
                <w:szCs w:val="20"/>
                <w:color w:val="auto"/>
              </w:rPr>
            </w:pPr>
            <w:r>
              <w:rPr>
                <w:rFonts w:ascii="Arial" w:cs="Arial" w:eastAsia="Arial" w:hAnsi="Arial"/>
                <w:sz w:val="11"/>
                <w:szCs w:val="11"/>
                <w:color w:val="auto"/>
              </w:rPr>
              <w:t>2024</w:t>
            </w:r>
          </w:p>
        </w:tc>
        <w:tc>
          <w:tcPr>
            <w:tcW w:w="78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1,277,404</w:t>
            </w:r>
          </w:p>
        </w:tc>
        <w:tc>
          <w:tcPr>
            <w:tcW w:w="50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0</w:t>
            </w:r>
          </w:p>
        </w:tc>
        <w:tc>
          <w:tcPr>
            <w:tcW w:w="820" w:type="dxa"/>
            <w:vAlign w:val="bottom"/>
            <w:shd w:val="clear" w:color="auto" w:fill="D9D9D9"/>
          </w:tcPr>
          <w:p>
            <w:pPr>
              <w:jc w:val="right"/>
              <w:ind w:right="23"/>
              <w:spacing w:after="0" w:line="123" w:lineRule="exact"/>
              <w:rPr>
                <w:sz w:val="20"/>
                <w:szCs w:val="20"/>
                <w:color w:val="auto"/>
              </w:rPr>
            </w:pPr>
            <w:r>
              <w:rPr>
                <w:rFonts w:ascii="Arial" w:cs="Arial" w:eastAsia="Arial" w:hAnsi="Arial"/>
                <w:sz w:val="11"/>
                <w:szCs w:val="11"/>
                <w:color w:val="auto"/>
              </w:rPr>
              <w:t>5,165,930</w:t>
            </w:r>
          </w:p>
        </w:tc>
        <w:tc>
          <w:tcPr>
            <w:tcW w:w="740" w:type="dxa"/>
            <w:vAlign w:val="bottom"/>
            <w:shd w:val="clear" w:color="auto" w:fill="D9D9D9"/>
          </w:tcPr>
          <w:p>
            <w:pPr>
              <w:jc w:val="right"/>
              <w:ind w:right="23"/>
              <w:spacing w:after="0" w:line="123" w:lineRule="exact"/>
              <w:rPr>
                <w:sz w:val="20"/>
                <w:szCs w:val="20"/>
                <w:color w:val="auto"/>
              </w:rPr>
            </w:pPr>
            <w:r>
              <w:rPr>
                <w:rFonts w:ascii="Arial" w:cs="Arial" w:eastAsia="Arial" w:hAnsi="Arial"/>
                <w:sz w:val="11"/>
                <w:szCs w:val="11"/>
                <w:color w:val="auto"/>
              </w:rPr>
              <w:t>1,232,350</w:t>
            </w:r>
          </w:p>
        </w:tc>
        <w:tc>
          <w:tcPr>
            <w:tcW w:w="1020" w:type="dxa"/>
            <w:vAlign w:val="bottom"/>
            <w:shd w:val="clear" w:color="auto" w:fill="D9D9D9"/>
          </w:tcPr>
          <w:p>
            <w:pPr>
              <w:jc w:val="right"/>
              <w:ind w:right="23"/>
              <w:spacing w:after="0" w:line="123" w:lineRule="exact"/>
              <w:rPr>
                <w:sz w:val="20"/>
                <w:szCs w:val="20"/>
                <w:color w:val="auto"/>
              </w:rPr>
            </w:pPr>
            <w:r>
              <w:rPr>
                <w:rFonts w:ascii="Arial" w:cs="Arial" w:eastAsia="Arial" w:hAnsi="Arial"/>
                <w:sz w:val="11"/>
                <w:szCs w:val="11"/>
                <w:color w:val="auto"/>
              </w:rPr>
              <w:t>2,900,000</w:t>
            </w:r>
          </w:p>
        </w:tc>
        <w:tc>
          <w:tcPr>
            <w:tcW w:w="100" w:type="dxa"/>
            <w:vAlign w:val="bottom"/>
            <w:shd w:val="clear" w:color="auto" w:fill="D9D9D9"/>
          </w:tcPr>
          <w:p>
            <w:pPr>
              <w:spacing w:after="0"/>
              <w:rPr>
                <w:sz w:val="10"/>
                <w:szCs w:val="10"/>
                <w:color w:val="auto"/>
              </w:rPr>
            </w:pPr>
          </w:p>
        </w:tc>
        <w:tc>
          <w:tcPr>
            <w:tcW w:w="1000" w:type="dxa"/>
            <w:vAlign w:val="bottom"/>
            <w:shd w:val="clear" w:color="auto" w:fill="D9D9D9"/>
          </w:tcPr>
          <w:p>
            <w:pPr>
              <w:jc w:val="right"/>
              <w:ind w:right="123"/>
              <w:spacing w:after="0" w:line="123" w:lineRule="exact"/>
              <w:rPr>
                <w:sz w:val="20"/>
                <w:szCs w:val="20"/>
                <w:color w:val="auto"/>
              </w:rPr>
            </w:pPr>
            <w:r>
              <w:rPr>
                <w:rFonts w:ascii="Arial" w:cs="Arial" w:eastAsia="Arial" w:hAnsi="Arial"/>
                <w:sz w:val="11"/>
                <w:szCs w:val="11"/>
                <w:color w:val="auto"/>
              </w:rPr>
              <w:t>2,645,088</w:t>
            </w:r>
          </w:p>
        </w:tc>
        <w:tc>
          <w:tcPr>
            <w:tcW w:w="90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826,528</w:t>
            </w:r>
          </w:p>
        </w:tc>
        <w:tc>
          <w:tcPr>
            <w:tcW w:w="820" w:type="dxa"/>
            <w:vAlign w:val="bottom"/>
            <w:shd w:val="clear" w:color="auto" w:fill="D9D9D9"/>
          </w:tcPr>
          <w:p>
            <w:pPr>
              <w:jc w:val="right"/>
              <w:spacing w:after="0" w:line="123" w:lineRule="exact"/>
              <w:rPr>
                <w:sz w:val="20"/>
                <w:szCs w:val="20"/>
                <w:color w:val="auto"/>
              </w:rPr>
            </w:pPr>
            <w:r>
              <w:rPr>
                <w:rFonts w:ascii="Arial" w:cs="Arial" w:eastAsia="Arial" w:hAnsi="Arial"/>
                <w:sz w:val="11"/>
                <w:szCs w:val="11"/>
                <w:color w:val="auto"/>
              </w:rPr>
              <w:t>14,047,300</w:t>
            </w:r>
          </w:p>
        </w:tc>
        <w:tc>
          <w:tcPr>
            <w:tcW w:w="0" w:type="dxa"/>
            <w:vAlign w:val="bottom"/>
          </w:tcPr>
          <w:p>
            <w:pPr>
              <w:spacing w:after="0"/>
              <w:rPr>
                <w:sz w:val="1"/>
                <w:szCs w:val="1"/>
                <w:color w:val="auto"/>
              </w:rPr>
            </w:pPr>
          </w:p>
        </w:tc>
      </w:tr>
      <w:tr>
        <w:trPr>
          <w:trHeight w:val="139"/>
        </w:trPr>
        <w:tc>
          <w:tcPr>
            <w:tcW w:w="2120" w:type="dxa"/>
            <w:vAlign w:val="bottom"/>
            <w:shd w:val="clear" w:color="auto" w:fill="D9D9D9"/>
          </w:tcPr>
          <w:p>
            <w:pPr>
              <w:ind w:left="100"/>
              <w:spacing w:after="0"/>
              <w:rPr>
                <w:sz w:val="20"/>
                <w:szCs w:val="20"/>
                <w:color w:val="auto"/>
              </w:rPr>
            </w:pPr>
            <w:r>
              <w:rPr>
                <w:rFonts w:ascii="Arial" w:cs="Arial" w:eastAsia="Arial" w:hAnsi="Arial"/>
                <w:sz w:val="11"/>
                <w:szCs w:val="11"/>
                <w:color w:val="auto"/>
              </w:rPr>
              <w:t>Commercial Officer</w:t>
            </w:r>
          </w:p>
        </w:tc>
        <w:tc>
          <w:tcPr>
            <w:tcW w:w="120" w:type="dxa"/>
            <w:vAlign w:val="bottom"/>
            <w:shd w:val="clear" w:color="auto" w:fill="D9D9D9"/>
          </w:tcPr>
          <w:p>
            <w:pPr>
              <w:spacing w:after="0"/>
              <w:rPr>
                <w:sz w:val="12"/>
                <w:szCs w:val="12"/>
                <w:color w:val="auto"/>
              </w:rPr>
            </w:pPr>
          </w:p>
        </w:tc>
        <w:tc>
          <w:tcPr>
            <w:tcW w:w="340" w:type="dxa"/>
            <w:vAlign w:val="bottom"/>
            <w:gridSpan w:val="2"/>
            <w:shd w:val="clear" w:color="auto" w:fill="D9D9D9"/>
          </w:tcPr>
          <w:p>
            <w:pPr>
              <w:jc w:val="right"/>
              <w:ind w:right="40"/>
              <w:spacing w:after="0"/>
              <w:rPr>
                <w:sz w:val="20"/>
                <w:szCs w:val="20"/>
                <w:color w:val="auto"/>
              </w:rPr>
            </w:pPr>
            <w:r>
              <w:rPr>
                <w:rFonts w:ascii="Arial" w:cs="Arial" w:eastAsia="Arial" w:hAnsi="Arial"/>
                <w:sz w:val="11"/>
                <w:szCs w:val="11"/>
                <w:color w:val="auto"/>
              </w:rPr>
              <w:t>2023</w:t>
            </w:r>
          </w:p>
        </w:tc>
        <w:tc>
          <w:tcPr>
            <w:tcW w:w="78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1,188,500</w:t>
            </w:r>
          </w:p>
        </w:tc>
        <w:tc>
          <w:tcPr>
            <w:tcW w:w="50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0</w:t>
            </w:r>
          </w:p>
        </w:tc>
        <w:tc>
          <w:tcPr>
            <w:tcW w:w="820" w:type="dxa"/>
            <w:vAlign w:val="bottom"/>
            <w:shd w:val="clear" w:color="auto" w:fill="D9D9D9"/>
          </w:tcPr>
          <w:p>
            <w:pPr>
              <w:jc w:val="right"/>
              <w:ind w:right="23"/>
              <w:spacing w:after="0"/>
              <w:rPr>
                <w:sz w:val="20"/>
                <w:szCs w:val="20"/>
                <w:color w:val="auto"/>
              </w:rPr>
            </w:pPr>
            <w:r>
              <w:rPr>
                <w:rFonts w:ascii="Arial" w:cs="Arial" w:eastAsia="Arial" w:hAnsi="Arial"/>
                <w:sz w:val="11"/>
                <w:szCs w:val="11"/>
                <w:color w:val="auto"/>
              </w:rPr>
              <w:t>4,190,943</w:t>
            </w:r>
          </w:p>
        </w:tc>
        <w:tc>
          <w:tcPr>
            <w:tcW w:w="740" w:type="dxa"/>
            <w:vAlign w:val="bottom"/>
            <w:shd w:val="clear" w:color="auto" w:fill="D9D9D9"/>
          </w:tcPr>
          <w:p>
            <w:pPr>
              <w:jc w:val="right"/>
              <w:ind w:right="23"/>
              <w:spacing w:after="0"/>
              <w:rPr>
                <w:sz w:val="20"/>
                <w:szCs w:val="20"/>
                <w:color w:val="auto"/>
              </w:rPr>
            </w:pPr>
            <w:r>
              <w:rPr>
                <w:rFonts w:ascii="Arial" w:cs="Arial" w:eastAsia="Arial" w:hAnsi="Arial"/>
                <w:sz w:val="11"/>
                <w:szCs w:val="11"/>
                <w:color w:val="auto"/>
              </w:rPr>
              <w:t>1,051,574</w:t>
            </w:r>
          </w:p>
        </w:tc>
        <w:tc>
          <w:tcPr>
            <w:tcW w:w="1020" w:type="dxa"/>
            <w:vAlign w:val="bottom"/>
            <w:shd w:val="clear" w:color="auto" w:fill="D9D9D9"/>
          </w:tcPr>
          <w:p>
            <w:pPr>
              <w:jc w:val="right"/>
              <w:ind w:right="23"/>
              <w:spacing w:after="0"/>
              <w:rPr>
                <w:sz w:val="20"/>
                <w:szCs w:val="20"/>
                <w:color w:val="auto"/>
              </w:rPr>
            </w:pPr>
            <w:r>
              <w:rPr>
                <w:rFonts w:ascii="Arial" w:cs="Arial" w:eastAsia="Arial" w:hAnsi="Arial"/>
                <w:sz w:val="11"/>
                <w:szCs w:val="11"/>
                <w:color w:val="auto"/>
              </w:rPr>
              <w:t>2,525,000</w:t>
            </w:r>
          </w:p>
        </w:tc>
        <w:tc>
          <w:tcPr>
            <w:tcW w:w="100" w:type="dxa"/>
            <w:vAlign w:val="bottom"/>
            <w:shd w:val="clear" w:color="auto" w:fill="D9D9D9"/>
          </w:tcPr>
          <w:p>
            <w:pPr>
              <w:spacing w:after="0"/>
              <w:rPr>
                <w:sz w:val="12"/>
                <w:szCs w:val="12"/>
                <w:color w:val="auto"/>
              </w:rPr>
            </w:pPr>
          </w:p>
        </w:tc>
        <w:tc>
          <w:tcPr>
            <w:tcW w:w="1000" w:type="dxa"/>
            <w:vAlign w:val="bottom"/>
            <w:shd w:val="clear" w:color="auto" w:fill="D9D9D9"/>
          </w:tcPr>
          <w:p>
            <w:pPr>
              <w:jc w:val="right"/>
              <w:ind w:right="123"/>
              <w:spacing w:after="0"/>
              <w:rPr>
                <w:sz w:val="20"/>
                <w:szCs w:val="20"/>
                <w:color w:val="auto"/>
              </w:rPr>
            </w:pPr>
            <w:r>
              <w:rPr>
                <w:rFonts w:ascii="Arial" w:cs="Arial" w:eastAsia="Arial" w:hAnsi="Arial"/>
                <w:sz w:val="11"/>
                <w:szCs w:val="11"/>
                <w:color w:val="auto"/>
              </w:rPr>
              <w:t>5,791,678</w:t>
            </w:r>
          </w:p>
        </w:tc>
        <w:tc>
          <w:tcPr>
            <w:tcW w:w="90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601,863</w:t>
            </w:r>
          </w:p>
        </w:tc>
        <w:tc>
          <w:tcPr>
            <w:tcW w:w="8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15,349,558</w:t>
            </w:r>
          </w:p>
        </w:tc>
        <w:tc>
          <w:tcPr>
            <w:tcW w:w="0" w:type="dxa"/>
            <w:vAlign w:val="bottom"/>
          </w:tcPr>
          <w:p>
            <w:pPr>
              <w:spacing w:after="0"/>
              <w:rPr>
                <w:sz w:val="1"/>
                <w:szCs w:val="1"/>
                <w:color w:val="auto"/>
              </w:rPr>
            </w:pPr>
          </w:p>
        </w:tc>
      </w:tr>
      <w:tr>
        <w:trPr>
          <w:trHeight w:val="108"/>
        </w:trPr>
        <w:tc>
          <w:tcPr>
            <w:tcW w:w="2120" w:type="dxa"/>
            <w:vAlign w:val="bottom"/>
          </w:tcPr>
          <w:p>
            <w:pPr>
              <w:spacing w:after="0" w:line="108" w:lineRule="exact"/>
              <w:rPr>
                <w:sz w:val="20"/>
                <w:szCs w:val="20"/>
                <w:color w:val="auto"/>
              </w:rPr>
            </w:pPr>
            <w:r>
              <w:rPr>
                <w:rFonts w:ascii="Arial" w:cs="Arial" w:eastAsia="Arial" w:hAnsi="Arial"/>
                <w:sz w:val="11"/>
                <w:szCs w:val="11"/>
                <w:color w:val="auto"/>
              </w:rPr>
              <w:t>Azita Saleki-Gerhardt</w:t>
            </w:r>
          </w:p>
        </w:tc>
        <w:tc>
          <w:tcPr>
            <w:tcW w:w="120" w:type="dxa"/>
            <w:vAlign w:val="bottom"/>
          </w:tcPr>
          <w:p>
            <w:pPr>
              <w:spacing w:after="0"/>
              <w:rPr>
                <w:sz w:val="9"/>
                <w:szCs w:val="9"/>
                <w:color w:val="auto"/>
              </w:rPr>
            </w:pPr>
          </w:p>
        </w:tc>
        <w:tc>
          <w:tcPr>
            <w:tcW w:w="340" w:type="dxa"/>
            <w:vAlign w:val="bottom"/>
            <w:gridSpan w:val="2"/>
          </w:tcPr>
          <w:p>
            <w:pPr>
              <w:jc w:val="right"/>
              <w:ind w:right="40"/>
              <w:spacing w:after="0" w:line="108" w:lineRule="exact"/>
              <w:rPr>
                <w:sz w:val="20"/>
                <w:szCs w:val="20"/>
                <w:color w:val="auto"/>
              </w:rPr>
            </w:pPr>
            <w:r>
              <w:rPr>
                <w:rFonts w:ascii="Arial" w:cs="Arial" w:eastAsia="Arial" w:hAnsi="Arial"/>
                <w:sz w:val="11"/>
                <w:szCs w:val="11"/>
                <w:color w:val="auto"/>
              </w:rPr>
              <w:t>2025</w:t>
            </w:r>
          </w:p>
        </w:tc>
        <w:tc>
          <w:tcPr>
            <w:tcW w:w="780" w:type="dxa"/>
            <w:vAlign w:val="bottom"/>
          </w:tcPr>
          <w:p>
            <w:pPr>
              <w:jc w:val="right"/>
              <w:ind w:right="3"/>
              <w:spacing w:after="0" w:line="108" w:lineRule="exact"/>
              <w:rPr>
                <w:sz w:val="20"/>
                <w:szCs w:val="20"/>
                <w:color w:val="auto"/>
              </w:rPr>
            </w:pPr>
            <w:r>
              <w:rPr>
                <w:rFonts w:ascii="Arial" w:cs="Arial" w:eastAsia="Arial" w:hAnsi="Arial"/>
                <w:sz w:val="11"/>
                <w:szCs w:val="11"/>
                <w:color w:val="auto"/>
              </w:rPr>
              <w:t>1,052,581</w:t>
            </w:r>
          </w:p>
        </w:tc>
        <w:tc>
          <w:tcPr>
            <w:tcW w:w="500" w:type="dxa"/>
            <w:vAlign w:val="bottom"/>
          </w:tcPr>
          <w:p>
            <w:pPr>
              <w:jc w:val="right"/>
              <w:ind w:right="3"/>
              <w:spacing w:after="0" w:line="108" w:lineRule="exact"/>
              <w:rPr>
                <w:sz w:val="20"/>
                <w:szCs w:val="20"/>
                <w:color w:val="auto"/>
              </w:rPr>
            </w:pPr>
            <w:r>
              <w:rPr>
                <w:rFonts w:ascii="Arial" w:cs="Arial" w:eastAsia="Arial" w:hAnsi="Arial"/>
                <w:sz w:val="11"/>
                <w:szCs w:val="11"/>
                <w:color w:val="auto"/>
              </w:rPr>
              <w:t>0</w:t>
            </w:r>
          </w:p>
        </w:tc>
        <w:tc>
          <w:tcPr>
            <w:tcW w:w="820" w:type="dxa"/>
            <w:vAlign w:val="bottom"/>
          </w:tcPr>
          <w:p>
            <w:pPr>
              <w:jc w:val="right"/>
              <w:ind w:right="23"/>
              <w:spacing w:after="0" w:line="108" w:lineRule="exact"/>
              <w:rPr>
                <w:sz w:val="20"/>
                <w:szCs w:val="20"/>
                <w:color w:val="auto"/>
              </w:rPr>
            </w:pPr>
            <w:r>
              <w:rPr>
                <w:rFonts w:ascii="Arial" w:cs="Arial" w:eastAsia="Arial" w:hAnsi="Arial"/>
                <w:sz w:val="11"/>
                <w:szCs w:val="11"/>
                <w:color w:val="auto"/>
              </w:rPr>
              <w:t>3,980,457</w:t>
            </w:r>
          </w:p>
        </w:tc>
        <w:tc>
          <w:tcPr>
            <w:tcW w:w="740" w:type="dxa"/>
            <w:vAlign w:val="bottom"/>
          </w:tcPr>
          <w:p>
            <w:pPr>
              <w:jc w:val="right"/>
              <w:ind w:right="23"/>
              <w:spacing w:after="0" w:line="108" w:lineRule="exact"/>
              <w:rPr>
                <w:sz w:val="20"/>
                <w:szCs w:val="20"/>
                <w:color w:val="auto"/>
              </w:rPr>
            </w:pPr>
            <w:r>
              <w:rPr>
                <w:rFonts w:ascii="Arial" w:cs="Arial" w:eastAsia="Arial" w:hAnsi="Arial"/>
                <w:sz w:val="11"/>
                <w:szCs w:val="11"/>
                <w:color w:val="auto"/>
              </w:rPr>
              <w:t>959,750</w:t>
            </w:r>
          </w:p>
        </w:tc>
        <w:tc>
          <w:tcPr>
            <w:tcW w:w="1020" w:type="dxa"/>
            <w:vAlign w:val="bottom"/>
          </w:tcPr>
          <w:p>
            <w:pPr>
              <w:jc w:val="right"/>
              <w:ind w:right="23"/>
              <w:spacing w:after="0" w:line="108" w:lineRule="exact"/>
              <w:rPr>
                <w:sz w:val="20"/>
                <w:szCs w:val="20"/>
                <w:color w:val="auto"/>
              </w:rPr>
            </w:pPr>
            <w:r>
              <w:rPr>
                <w:rFonts w:ascii="Arial" w:cs="Arial" w:eastAsia="Arial" w:hAnsi="Arial"/>
                <w:sz w:val="11"/>
                <w:szCs w:val="11"/>
                <w:color w:val="auto"/>
              </w:rPr>
              <w:t>2,200,000</w:t>
            </w:r>
          </w:p>
        </w:tc>
        <w:tc>
          <w:tcPr>
            <w:tcW w:w="100" w:type="dxa"/>
            <w:vAlign w:val="bottom"/>
          </w:tcPr>
          <w:p>
            <w:pPr>
              <w:spacing w:after="0"/>
              <w:rPr>
                <w:sz w:val="9"/>
                <w:szCs w:val="9"/>
                <w:color w:val="auto"/>
              </w:rPr>
            </w:pPr>
          </w:p>
        </w:tc>
        <w:tc>
          <w:tcPr>
            <w:tcW w:w="1000" w:type="dxa"/>
            <w:vAlign w:val="bottom"/>
          </w:tcPr>
          <w:p>
            <w:pPr>
              <w:jc w:val="right"/>
              <w:ind w:right="123"/>
              <w:spacing w:after="0" w:line="108" w:lineRule="exact"/>
              <w:rPr>
                <w:sz w:val="20"/>
                <w:szCs w:val="20"/>
                <w:color w:val="auto"/>
              </w:rPr>
            </w:pPr>
            <w:r>
              <w:rPr>
                <w:rFonts w:ascii="Arial" w:cs="Arial" w:eastAsia="Arial" w:hAnsi="Arial"/>
                <w:sz w:val="11"/>
                <w:szCs w:val="11"/>
                <w:color w:val="auto"/>
              </w:rPr>
              <w:t>1,778,878</w:t>
            </w:r>
          </w:p>
        </w:tc>
        <w:tc>
          <w:tcPr>
            <w:tcW w:w="900" w:type="dxa"/>
            <w:vAlign w:val="bottom"/>
          </w:tcPr>
          <w:p>
            <w:pPr>
              <w:jc w:val="right"/>
              <w:ind w:right="3"/>
              <w:spacing w:after="0" w:line="108" w:lineRule="exact"/>
              <w:rPr>
                <w:sz w:val="20"/>
                <w:szCs w:val="20"/>
                <w:color w:val="auto"/>
              </w:rPr>
            </w:pPr>
            <w:r>
              <w:rPr>
                <w:rFonts w:ascii="Arial" w:cs="Arial" w:eastAsia="Arial" w:hAnsi="Arial"/>
                <w:sz w:val="11"/>
                <w:szCs w:val="11"/>
                <w:color w:val="auto"/>
              </w:rPr>
              <w:t>820,310</w:t>
            </w:r>
          </w:p>
        </w:tc>
        <w:tc>
          <w:tcPr>
            <w:tcW w:w="820" w:type="dxa"/>
            <w:vAlign w:val="bottom"/>
          </w:tcPr>
          <w:p>
            <w:pPr>
              <w:jc w:val="right"/>
              <w:spacing w:after="0" w:line="108" w:lineRule="exact"/>
              <w:rPr>
                <w:sz w:val="20"/>
                <w:szCs w:val="20"/>
                <w:color w:val="auto"/>
              </w:rPr>
            </w:pPr>
            <w:r>
              <w:rPr>
                <w:rFonts w:ascii="Arial" w:cs="Arial" w:eastAsia="Arial" w:hAnsi="Arial"/>
                <w:sz w:val="11"/>
                <w:szCs w:val="11"/>
                <w:color w:val="auto"/>
              </w:rPr>
              <w:t>10,791,976</w:t>
            </w:r>
          </w:p>
        </w:tc>
        <w:tc>
          <w:tcPr>
            <w:tcW w:w="0" w:type="dxa"/>
            <w:vAlign w:val="bottom"/>
          </w:tcPr>
          <w:p>
            <w:pPr>
              <w:spacing w:after="0"/>
              <w:rPr>
                <w:sz w:val="1"/>
                <w:szCs w:val="1"/>
                <w:color w:val="auto"/>
              </w:rPr>
            </w:pPr>
          </w:p>
        </w:tc>
      </w:tr>
      <w:tr>
        <w:trPr>
          <w:trHeight w:val="123"/>
        </w:trPr>
        <w:tc>
          <w:tcPr>
            <w:tcW w:w="2240" w:type="dxa"/>
            <w:vAlign w:val="bottom"/>
            <w:gridSpan w:val="2"/>
          </w:tcPr>
          <w:p>
            <w:pPr>
              <w:ind w:left="100"/>
              <w:spacing w:after="0" w:line="123" w:lineRule="exact"/>
              <w:rPr>
                <w:sz w:val="20"/>
                <w:szCs w:val="20"/>
                <w:color w:val="auto"/>
              </w:rPr>
            </w:pPr>
            <w:r>
              <w:rPr>
                <w:rFonts w:ascii="Arial" w:cs="Arial" w:eastAsia="Arial" w:hAnsi="Arial"/>
                <w:sz w:val="11"/>
                <w:szCs w:val="11"/>
                <w:color w:val="auto"/>
              </w:rPr>
              <w:t>Executive Vice President, Chief</w:t>
            </w:r>
          </w:p>
        </w:tc>
        <w:tc>
          <w:tcPr>
            <w:tcW w:w="340" w:type="dxa"/>
            <w:vAlign w:val="bottom"/>
            <w:gridSpan w:val="2"/>
          </w:tcPr>
          <w:p>
            <w:pPr>
              <w:jc w:val="right"/>
              <w:ind w:right="40"/>
              <w:spacing w:after="0" w:line="123" w:lineRule="exact"/>
              <w:rPr>
                <w:sz w:val="20"/>
                <w:szCs w:val="20"/>
                <w:color w:val="auto"/>
              </w:rPr>
            </w:pPr>
            <w:r>
              <w:rPr>
                <w:rFonts w:ascii="Arial" w:cs="Arial" w:eastAsia="Arial" w:hAnsi="Arial"/>
                <w:sz w:val="11"/>
                <w:szCs w:val="11"/>
                <w:color w:val="auto"/>
              </w:rPr>
              <w:t>2024</w:t>
            </w:r>
          </w:p>
        </w:tc>
        <w:tc>
          <w:tcPr>
            <w:tcW w:w="780" w:type="dxa"/>
            <w:vAlign w:val="bottom"/>
          </w:tcPr>
          <w:p>
            <w:pPr>
              <w:jc w:val="right"/>
              <w:ind w:right="3"/>
              <w:spacing w:after="0" w:line="123" w:lineRule="exact"/>
              <w:rPr>
                <w:sz w:val="20"/>
                <w:szCs w:val="20"/>
                <w:color w:val="auto"/>
              </w:rPr>
            </w:pPr>
            <w:r>
              <w:rPr>
                <w:rFonts w:ascii="Arial" w:cs="Arial" w:eastAsia="Arial" w:hAnsi="Arial"/>
                <w:sz w:val="11"/>
                <w:szCs w:val="11"/>
                <w:color w:val="auto"/>
              </w:rPr>
              <w:t>1,021,923</w:t>
            </w:r>
          </w:p>
        </w:tc>
        <w:tc>
          <w:tcPr>
            <w:tcW w:w="500" w:type="dxa"/>
            <w:vAlign w:val="bottom"/>
          </w:tcPr>
          <w:p>
            <w:pPr>
              <w:jc w:val="right"/>
              <w:ind w:right="3"/>
              <w:spacing w:after="0" w:line="123" w:lineRule="exact"/>
              <w:rPr>
                <w:sz w:val="20"/>
                <w:szCs w:val="20"/>
                <w:color w:val="auto"/>
              </w:rPr>
            </w:pPr>
            <w:r>
              <w:rPr>
                <w:rFonts w:ascii="Arial" w:cs="Arial" w:eastAsia="Arial" w:hAnsi="Arial"/>
                <w:sz w:val="11"/>
                <w:szCs w:val="11"/>
                <w:color w:val="auto"/>
              </w:rPr>
              <w:t>0</w:t>
            </w:r>
          </w:p>
        </w:tc>
        <w:tc>
          <w:tcPr>
            <w:tcW w:w="820" w:type="dxa"/>
            <w:vAlign w:val="bottom"/>
          </w:tcPr>
          <w:p>
            <w:pPr>
              <w:jc w:val="right"/>
              <w:ind w:right="23"/>
              <w:spacing w:after="0" w:line="123" w:lineRule="exact"/>
              <w:rPr>
                <w:sz w:val="20"/>
                <w:szCs w:val="20"/>
                <w:color w:val="auto"/>
              </w:rPr>
            </w:pPr>
            <w:r>
              <w:rPr>
                <w:rFonts w:ascii="Arial" w:cs="Arial" w:eastAsia="Arial" w:hAnsi="Arial"/>
                <w:sz w:val="11"/>
                <w:szCs w:val="11"/>
                <w:color w:val="auto"/>
              </w:rPr>
              <w:t>3,874,447</w:t>
            </w:r>
          </w:p>
        </w:tc>
        <w:tc>
          <w:tcPr>
            <w:tcW w:w="740" w:type="dxa"/>
            <w:vAlign w:val="bottom"/>
          </w:tcPr>
          <w:p>
            <w:pPr>
              <w:jc w:val="right"/>
              <w:ind w:right="23"/>
              <w:spacing w:after="0" w:line="123" w:lineRule="exact"/>
              <w:rPr>
                <w:sz w:val="20"/>
                <w:szCs w:val="20"/>
                <w:color w:val="auto"/>
              </w:rPr>
            </w:pPr>
            <w:r>
              <w:rPr>
                <w:rFonts w:ascii="Arial" w:cs="Arial" w:eastAsia="Arial" w:hAnsi="Arial"/>
                <w:sz w:val="11"/>
                <w:szCs w:val="11"/>
                <w:color w:val="auto"/>
              </w:rPr>
              <w:t>924,239</w:t>
            </w:r>
          </w:p>
        </w:tc>
        <w:tc>
          <w:tcPr>
            <w:tcW w:w="1020" w:type="dxa"/>
            <w:vAlign w:val="bottom"/>
          </w:tcPr>
          <w:p>
            <w:pPr>
              <w:jc w:val="right"/>
              <w:ind w:right="23"/>
              <w:spacing w:after="0" w:line="123" w:lineRule="exact"/>
              <w:rPr>
                <w:sz w:val="20"/>
                <w:szCs w:val="20"/>
                <w:color w:val="auto"/>
              </w:rPr>
            </w:pPr>
            <w:r>
              <w:rPr>
                <w:rFonts w:ascii="Arial" w:cs="Arial" w:eastAsia="Arial" w:hAnsi="Arial"/>
                <w:sz w:val="11"/>
                <w:szCs w:val="11"/>
                <w:color w:val="auto"/>
              </w:rPr>
              <w:t>2,100,000</w:t>
            </w:r>
          </w:p>
        </w:tc>
        <w:tc>
          <w:tcPr>
            <w:tcW w:w="100" w:type="dxa"/>
            <w:vAlign w:val="bottom"/>
          </w:tcPr>
          <w:p>
            <w:pPr>
              <w:spacing w:after="0"/>
              <w:rPr>
                <w:sz w:val="10"/>
                <w:szCs w:val="10"/>
                <w:color w:val="auto"/>
              </w:rPr>
            </w:pPr>
          </w:p>
        </w:tc>
        <w:tc>
          <w:tcPr>
            <w:tcW w:w="1000" w:type="dxa"/>
            <w:vAlign w:val="bottom"/>
          </w:tcPr>
          <w:p>
            <w:pPr>
              <w:jc w:val="right"/>
              <w:ind w:right="123"/>
              <w:spacing w:after="0" w:line="123" w:lineRule="exact"/>
              <w:rPr>
                <w:sz w:val="20"/>
                <w:szCs w:val="20"/>
                <w:color w:val="auto"/>
              </w:rPr>
            </w:pPr>
            <w:r>
              <w:rPr>
                <w:rFonts w:ascii="Arial" w:cs="Arial" w:eastAsia="Arial" w:hAnsi="Arial"/>
                <w:sz w:val="11"/>
                <w:szCs w:val="11"/>
                <w:color w:val="auto"/>
              </w:rPr>
              <w:t>1,052,397</w:t>
            </w:r>
          </w:p>
        </w:tc>
        <w:tc>
          <w:tcPr>
            <w:tcW w:w="900" w:type="dxa"/>
            <w:vAlign w:val="bottom"/>
          </w:tcPr>
          <w:p>
            <w:pPr>
              <w:jc w:val="right"/>
              <w:ind w:right="3"/>
              <w:spacing w:after="0" w:line="123" w:lineRule="exact"/>
              <w:rPr>
                <w:sz w:val="20"/>
                <w:szCs w:val="20"/>
                <w:color w:val="auto"/>
              </w:rPr>
            </w:pPr>
            <w:r>
              <w:rPr>
                <w:rFonts w:ascii="Arial" w:cs="Arial" w:eastAsia="Arial" w:hAnsi="Arial"/>
                <w:sz w:val="11"/>
                <w:szCs w:val="11"/>
                <w:color w:val="auto"/>
              </w:rPr>
              <w:t>943,475</w:t>
            </w:r>
          </w:p>
        </w:tc>
        <w:tc>
          <w:tcPr>
            <w:tcW w:w="820" w:type="dxa"/>
            <w:vAlign w:val="bottom"/>
          </w:tcPr>
          <w:p>
            <w:pPr>
              <w:jc w:val="right"/>
              <w:spacing w:after="0" w:line="123" w:lineRule="exact"/>
              <w:rPr>
                <w:sz w:val="20"/>
                <w:szCs w:val="20"/>
                <w:color w:val="auto"/>
              </w:rPr>
            </w:pPr>
            <w:r>
              <w:rPr>
                <w:rFonts w:ascii="Arial" w:cs="Arial" w:eastAsia="Arial" w:hAnsi="Arial"/>
                <w:sz w:val="11"/>
                <w:szCs w:val="11"/>
                <w:color w:val="auto"/>
              </w:rPr>
              <w:t>9,916,481</w:t>
            </w:r>
          </w:p>
        </w:tc>
        <w:tc>
          <w:tcPr>
            <w:tcW w:w="0" w:type="dxa"/>
            <w:vAlign w:val="bottom"/>
          </w:tcPr>
          <w:p>
            <w:pPr>
              <w:spacing w:after="0"/>
              <w:rPr>
                <w:sz w:val="1"/>
                <w:szCs w:val="1"/>
                <w:color w:val="auto"/>
              </w:rPr>
            </w:pPr>
          </w:p>
        </w:tc>
      </w:tr>
      <w:tr>
        <w:trPr>
          <w:trHeight w:val="139"/>
        </w:trPr>
        <w:tc>
          <w:tcPr>
            <w:tcW w:w="2240" w:type="dxa"/>
            <w:vAlign w:val="bottom"/>
            <w:gridSpan w:val="2"/>
          </w:tcPr>
          <w:p>
            <w:pPr>
              <w:ind w:left="100"/>
              <w:spacing w:after="0"/>
              <w:rPr>
                <w:sz w:val="20"/>
                <w:szCs w:val="20"/>
                <w:color w:val="auto"/>
              </w:rPr>
            </w:pPr>
            <w:r>
              <w:rPr>
                <w:rFonts w:ascii="Arial" w:cs="Arial" w:eastAsia="Arial" w:hAnsi="Arial"/>
                <w:sz w:val="11"/>
                <w:szCs w:val="11"/>
                <w:color w:val="auto"/>
              </w:rPr>
              <w:t>Operations Officer</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2023</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941,005</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0</w:t>
            </w: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2,740,197</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687,562</w:t>
            </w: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1,850,000</w:t>
            </w:r>
          </w:p>
        </w:tc>
        <w:tc>
          <w:tcPr>
            <w:tcW w:w="100" w:type="dxa"/>
            <w:vAlign w:val="bottom"/>
          </w:tcPr>
          <w:p>
            <w:pPr>
              <w:spacing w:after="0"/>
              <w:rPr>
                <w:sz w:val="12"/>
                <w:szCs w:val="12"/>
                <w:color w:val="auto"/>
              </w:rPr>
            </w:pPr>
          </w:p>
        </w:tc>
        <w:tc>
          <w:tcPr>
            <w:tcW w:w="1000" w:type="dxa"/>
            <w:vAlign w:val="bottom"/>
          </w:tcPr>
          <w:p>
            <w:pPr>
              <w:jc w:val="right"/>
              <w:ind w:right="123"/>
              <w:spacing w:after="0"/>
              <w:rPr>
                <w:sz w:val="20"/>
                <w:szCs w:val="20"/>
                <w:color w:val="auto"/>
              </w:rPr>
            </w:pPr>
            <w:r>
              <w:rPr>
                <w:rFonts w:ascii="Arial" w:cs="Arial" w:eastAsia="Arial" w:hAnsi="Arial"/>
                <w:sz w:val="11"/>
                <w:szCs w:val="11"/>
                <w:color w:val="auto"/>
              </w:rPr>
              <w:t>2,361,465</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719,423</w:t>
            </w:r>
          </w:p>
        </w:tc>
        <w:tc>
          <w:tcPr>
            <w:tcW w:w="820" w:type="dxa"/>
            <w:vAlign w:val="bottom"/>
          </w:tcPr>
          <w:p>
            <w:pPr>
              <w:jc w:val="right"/>
              <w:spacing w:after="0"/>
              <w:rPr>
                <w:sz w:val="20"/>
                <w:szCs w:val="20"/>
                <w:color w:val="auto"/>
              </w:rPr>
            </w:pPr>
            <w:r>
              <w:rPr>
                <w:rFonts w:ascii="Arial" w:cs="Arial" w:eastAsia="Arial" w:hAnsi="Arial"/>
                <w:sz w:val="11"/>
                <w:szCs w:val="11"/>
                <w:color w:val="auto"/>
              </w:rPr>
              <w:t>9,299,652</w:t>
            </w:r>
          </w:p>
        </w:tc>
        <w:tc>
          <w:tcPr>
            <w:tcW w:w="0" w:type="dxa"/>
            <w:vAlign w:val="bottom"/>
          </w:tcPr>
          <w:p>
            <w:pPr>
              <w:spacing w:after="0"/>
              <w:rPr>
                <w:sz w:val="1"/>
                <w:szCs w:val="1"/>
                <w:color w:val="auto"/>
              </w:rPr>
            </w:pPr>
          </w:p>
        </w:tc>
      </w:tr>
      <w:tr>
        <w:trPr>
          <w:trHeight w:val="108"/>
        </w:trPr>
        <w:tc>
          <w:tcPr>
            <w:tcW w:w="2120" w:type="dxa"/>
            <w:vAlign w:val="bottom"/>
            <w:shd w:val="clear" w:color="auto" w:fill="D9D9D9"/>
          </w:tcPr>
          <w:p>
            <w:pPr>
              <w:spacing w:after="0" w:line="108" w:lineRule="exact"/>
              <w:rPr>
                <w:sz w:val="20"/>
                <w:szCs w:val="20"/>
                <w:color w:val="auto"/>
              </w:rPr>
            </w:pPr>
            <w:r>
              <w:rPr>
                <w:rFonts w:ascii="Arial" w:cs="Arial" w:eastAsia="Arial" w:hAnsi="Arial"/>
                <w:sz w:val="11"/>
                <w:szCs w:val="11"/>
                <w:color w:val="auto"/>
              </w:rPr>
              <w:t>Roopal B. Thakkar</w:t>
            </w:r>
          </w:p>
        </w:tc>
        <w:tc>
          <w:tcPr>
            <w:tcW w:w="120" w:type="dxa"/>
            <w:vAlign w:val="bottom"/>
            <w:shd w:val="clear" w:color="auto" w:fill="D9D9D9"/>
          </w:tcPr>
          <w:p>
            <w:pPr>
              <w:spacing w:after="0"/>
              <w:rPr>
                <w:sz w:val="9"/>
                <w:szCs w:val="9"/>
                <w:color w:val="auto"/>
              </w:rPr>
            </w:pPr>
          </w:p>
        </w:tc>
        <w:tc>
          <w:tcPr>
            <w:tcW w:w="340" w:type="dxa"/>
            <w:vAlign w:val="bottom"/>
            <w:gridSpan w:val="2"/>
            <w:shd w:val="clear" w:color="auto" w:fill="D9D9D9"/>
          </w:tcPr>
          <w:p>
            <w:pPr>
              <w:jc w:val="right"/>
              <w:ind w:right="40"/>
              <w:spacing w:after="0" w:line="108" w:lineRule="exact"/>
              <w:rPr>
                <w:sz w:val="20"/>
                <w:szCs w:val="20"/>
                <w:color w:val="auto"/>
              </w:rPr>
            </w:pPr>
            <w:r>
              <w:rPr>
                <w:rFonts w:ascii="Arial" w:cs="Arial" w:eastAsia="Arial" w:hAnsi="Arial"/>
                <w:sz w:val="11"/>
                <w:szCs w:val="11"/>
                <w:color w:val="auto"/>
              </w:rPr>
              <w:t>2025</w:t>
            </w:r>
          </w:p>
        </w:tc>
        <w:tc>
          <w:tcPr>
            <w:tcW w:w="780" w:type="dxa"/>
            <w:vAlign w:val="bottom"/>
            <w:shd w:val="clear" w:color="auto" w:fill="D9D9D9"/>
          </w:tcPr>
          <w:p>
            <w:pPr>
              <w:jc w:val="right"/>
              <w:ind w:right="3"/>
              <w:spacing w:after="0" w:line="108" w:lineRule="exact"/>
              <w:rPr>
                <w:sz w:val="20"/>
                <w:szCs w:val="20"/>
                <w:color w:val="auto"/>
              </w:rPr>
            </w:pPr>
            <w:r>
              <w:rPr>
                <w:rFonts w:ascii="Arial" w:cs="Arial" w:eastAsia="Arial" w:hAnsi="Arial"/>
                <w:sz w:val="11"/>
                <w:szCs w:val="11"/>
                <w:color w:val="auto"/>
              </w:rPr>
              <w:t>1,146,154</w:t>
            </w:r>
          </w:p>
        </w:tc>
        <w:tc>
          <w:tcPr>
            <w:tcW w:w="500" w:type="dxa"/>
            <w:vAlign w:val="bottom"/>
            <w:shd w:val="clear" w:color="auto" w:fill="D9D9D9"/>
          </w:tcPr>
          <w:p>
            <w:pPr>
              <w:jc w:val="right"/>
              <w:ind w:right="3"/>
              <w:spacing w:after="0" w:line="108" w:lineRule="exact"/>
              <w:rPr>
                <w:sz w:val="20"/>
                <w:szCs w:val="20"/>
                <w:color w:val="auto"/>
              </w:rPr>
            </w:pPr>
            <w:r>
              <w:rPr>
                <w:rFonts w:ascii="Arial" w:cs="Arial" w:eastAsia="Arial" w:hAnsi="Arial"/>
                <w:sz w:val="11"/>
                <w:szCs w:val="11"/>
                <w:color w:val="auto"/>
              </w:rPr>
              <w:t>0</w:t>
            </w:r>
          </w:p>
        </w:tc>
        <w:tc>
          <w:tcPr>
            <w:tcW w:w="820" w:type="dxa"/>
            <w:vAlign w:val="bottom"/>
            <w:shd w:val="clear" w:color="auto" w:fill="D9D9D9"/>
          </w:tcPr>
          <w:p>
            <w:pPr>
              <w:jc w:val="right"/>
              <w:ind w:right="23"/>
              <w:spacing w:after="0" w:line="108" w:lineRule="exact"/>
              <w:rPr>
                <w:sz w:val="20"/>
                <w:szCs w:val="20"/>
                <w:color w:val="auto"/>
              </w:rPr>
            </w:pPr>
            <w:r>
              <w:rPr>
                <w:rFonts w:ascii="Arial" w:cs="Arial" w:eastAsia="Arial" w:hAnsi="Arial"/>
                <w:sz w:val="11"/>
                <w:szCs w:val="11"/>
                <w:color w:val="auto"/>
              </w:rPr>
              <w:t>3,980,457</w:t>
            </w:r>
          </w:p>
        </w:tc>
        <w:tc>
          <w:tcPr>
            <w:tcW w:w="740" w:type="dxa"/>
            <w:vAlign w:val="bottom"/>
            <w:shd w:val="clear" w:color="auto" w:fill="D9D9D9"/>
          </w:tcPr>
          <w:p>
            <w:pPr>
              <w:jc w:val="right"/>
              <w:ind w:right="23"/>
              <w:spacing w:after="0" w:line="108" w:lineRule="exact"/>
              <w:rPr>
                <w:sz w:val="20"/>
                <w:szCs w:val="20"/>
                <w:color w:val="auto"/>
              </w:rPr>
            </w:pPr>
            <w:r>
              <w:rPr>
                <w:rFonts w:ascii="Arial" w:cs="Arial" w:eastAsia="Arial" w:hAnsi="Arial"/>
                <w:sz w:val="11"/>
                <w:szCs w:val="11"/>
                <w:color w:val="auto"/>
              </w:rPr>
              <w:t>959,750</w:t>
            </w:r>
          </w:p>
        </w:tc>
        <w:tc>
          <w:tcPr>
            <w:tcW w:w="1020" w:type="dxa"/>
            <w:vAlign w:val="bottom"/>
            <w:shd w:val="clear" w:color="auto" w:fill="D9D9D9"/>
          </w:tcPr>
          <w:p>
            <w:pPr>
              <w:jc w:val="right"/>
              <w:ind w:right="23"/>
              <w:spacing w:after="0" w:line="108" w:lineRule="exact"/>
              <w:rPr>
                <w:sz w:val="20"/>
                <w:szCs w:val="20"/>
                <w:color w:val="auto"/>
              </w:rPr>
            </w:pPr>
            <w:r>
              <w:rPr>
                <w:rFonts w:ascii="Arial" w:cs="Arial" w:eastAsia="Arial" w:hAnsi="Arial"/>
                <w:sz w:val="11"/>
                <w:szCs w:val="11"/>
                <w:color w:val="auto"/>
              </w:rPr>
              <w:t>2,350,000</w:t>
            </w:r>
          </w:p>
        </w:tc>
        <w:tc>
          <w:tcPr>
            <w:tcW w:w="100" w:type="dxa"/>
            <w:vAlign w:val="bottom"/>
            <w:shd w:val="clear" w:color="auto" w:fill="D9D9D9"/>
          </w:tcPr>
          <w:p>
            <w:pPr>
              <w:spacing w:after="0"/>
              <w:rPr>
                <w:sz w:val="9"/>
                <w:szCs w:val="9"/>
                <w:color w:val="auto"/>
              </w:rPr>
            </w:pPr>
          </w:p>
        </w:tc>
        <w:tc>
          <w:tcPr>
            <w:tcW w:w="1000" w:type="dxa"/>
            <w:vAlign w:val="bottom"/>
            <w:shd w:val="clear" w:color="auto" w:fill="D9D9D9"/>
          </w:tcPr>
          <w:p>
            <w:pPr>
              <w:jc w:val="right"/>
              <w:ind w:right="123"/>
              <w:spacing w:after="0" w:line="108" w:lineRule="exact"/>
              <w:rPr>
                <w:sz w:val="20"/>
                <w:szCs w:val="20"/>
                <w:color w:val="auto"/>
              </w:rPr>
            </w:pPr>
            <w:r>
              <w:rPr>
                <w:rFonts w:ascii="Arial" w:cs="Arial" w:eastAsia="Arial" w:hAnsi="Arial"/>
                <w:sz w:val="11"/>
                <w:szCs w:val="11"/>
                <w:color w:val="auto"/>
              </w:rPr>
              <w:t>1,416,715</w:t>
            </w:r>
          </w:p>
        </w:tc>
        <w:tc>
          <w:tcPr>
            <w:tcW w:w="900" w:type="dxa"/>
            <w:vAlign w:val="bottom"/>
            <w:shd w:val="clear" w:color="auto" w:fill="D9D9D9"/>
          </w:tcPr>
          <w:p>
            <w:pPr>
              <w:jc w:val="right"/>
              <w:ind w:right="3"/>
              <w:spacing w:after="0" w:line="108" w:lineRule="exact"/>
              <w:rPr>
                <w:sz w:val="20"/>
                <w:szCs w:val="20"/>
                <w:color w:val="auto"/>
              </w:rPr>
            </w:pPr>
            <w:r>
              <w:rPr>
                <w:rFonts w:ascii="Arial" w:cs="Arial" w:eastAsia="Arial" w:hAnsi="Arial"/>
                <w:sz w:val="11"/>
                <w:szCs w:val="11"/>
                <w:color w:val="auto"/>
              </w:rPr>
              <w:t>59,767</w:t>
            </w:r>
          </w:p>
        </w:tc>
        <w:tc>
          <w:tcPr>
            <w:tcW w:w="820" w:type="dxa"/>
            <w:vAlign w:val="bottom"/>
            <w:shd w:val="clear" w:color="auto" w:fill="D9D9D9"/>
          </w:tcPr>
          <w:p>
            <w:pPr>
              <w:jc w:val="right"/>
              <w:spacing w:after="0" w:line="108" w:lineRule="exact"/>
              <w:rPr>
                <w:sz w:val="20"/>
                <w:szCs w:val="20"/>
                <w:color w:val="auto"/>
              </w:rPr>
            </w:pPr>
            <w:r>
              <w:rPr>
                <w:rFonts w:ascii="Arial" w:cs="Arial" w:eastAsia="Arial" w:hAnsi="Arial"/>
                <w:sz w:val="11"/>
                <w:szCs w:val="11"/>
                <w:color w:val="auto"/>
              </w:rPr>
              <w:t>9,912,843</w:t>
            </w:r>
          </w:p>
        </w:tc>
        <w:tc>
          <w:tcPr>
            <w:tcW w:w="0" w:type="dxa"/>
            <w:vAlign w:val="bottom"/>
          </w:tcPr>
          <w:p>
            <w:pPr>
              <w:spacing w:after="0"/>
              <w:rPr>
                <w:sz w:val="1"/>
                <w:szCs w:val="1"/>
                <w:color w:val="auto"/>
              </w:rPr>
            </w:pPr>
          </w:p>
        </w:tc>
      </w:tr>
      <w:tr>
        <w:trPr>
          <w:trHeight w:val="123"/>
        </w:trPr>
        <w:tc>
          <w:tcPr>
            <w:tcW w:w="2120" w:type="dxa"/>
            <w:vAlign w:val="bottom"/>
            <w:shd w:val="clear" w:color="auto" w:fill="D9D9D9"/>
          </w:tcPr>
          <w:p>
            <w:pPr>
              <w:ind w:left="100"/>
              <w:spacing w:after="0" w:line="123" w:lineRule="exact"/>
              <w:rPr>
                <w:sz w:val="20"/>
                <w:szCs w:val="20"/>
                <w:color w:val="auto"/>
              </w:rPr>
            </w:pPr>
            <w:r>
              <w:rPr>
                <w:rFonts w:ascii="Arial" w:cs="Arial" w:eastAsia="Arial" w:hAnsi="Arial"/>
                <w:sz w:val="11"/>
                <w:szCs w:val="11"/>
                <w:color w:val="auto"/>
              </w:rPr>
              <w:t>Executive Vice President,</w:t>
            </w:r>
          </w:p>
        </w:tc>
        <w:tc>
          <w:tcPr>
            <w:tcW w:w="12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780" w:type="dxa"/>
            <w:vAlign w:val="bottom"/>
            <w:shd w:val="clear" w:color="auto" w:fill="D9D9D9"/>
          </w:tcPr>
          <w:p>
            <w:pPr>
              <w:spacing w:after="0"/>
              <w:rPr>
                <w:sz w:val="10"/>
                <w:szCs w:val="10"/>
                <w:color w:val="auto"/>
              </w:rPr>
            </w:pPr>
          </w:p>
        </w:tc>
        <w:tc>
          <w:tcPr>
            <w:tcW w:w="500" w:type="dxa"/>
            <w:vAlign w:val="bottom"/>
            <w:shd w:val="clear" w:color="auto" w:fill="D9D9D9"/>
          </w:tcPr>
          <w:p>
            <w:pPr>
              <w:spacing w:after="0"/>
              <w:rPr>
                <w:sz w:val="10"/>
                <w:szCs w:val="10"/>
                <w:color w:val="auto"/>
              </w:rPr>
            </w:pPr>
          </w:p>
        </w:tc>
        <w:tc>
          <w:tcPr>
            <w:tcW w:w="820" w:type="dxa"/>
            <w:vAlign w:val="bottom"/>
            <w:shd w:val="clear" w:color="auto" w:fill="D9D9D9"/>
          </w:tcPr>
          <w:p>
            <w:pPr>
              <w:spacing w:after="0"/>
              <w:rPr>
                <w:sz w:val="10"/>
                <w:szCs w:val="10"/>
                <w:color w:val="auto"/>
              </w:rPr>
            </w:pPr>
          </w:p>
        </w:tc>
        <w:tc>
          <w:tcPr>
            <w:tcW w:w="740" w:type="dxa"/>
            <w:vAlign w:val="bottom"/>
            <w:shd w:val="clear" w:color="auto" w:fill="D9D9D9"/>
          </w:tcPr>
          <w:p>
            <w:pPr>
              <w:spacing w:after="0"/>
              <w:rPr>
                <w:sz w:val="10"/>
                <w:szCs w:val="10"/>
                <w:color w:val="auto"/>
              </w:rPr>
            </w:pPr>
          </w:p>
        </w:tc>
        <w:tc>
          <w:tcPr>
            <w:tcW w:w="10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000" w:type="dxa"/>
            <w:vAlign w:val="bottom"/>
            <w:shd w:val="clear" w:color="auto" w:fill="D9D9D9"/>
          </w:tcPr>
          <w:p>
            <w:pPr>
              <w:spacing w:after="0"/>
              <w:rPr>
                <w:sz w:val="10"/>
                <w:szCs w:val="10"/>
                <w:color w:val="auto"/>
              </w:rPr>
            </w:pPr>
          </w:p>
        </w:tc>
        <w:tc>
          <w:tcPr>
            <w:tcW w:w="900" w:type="dxa"/>
            <w:vAlign w:val="bottom"/>
            <w:shd w:val="clear" w:color="auto" w:fill="D9D9D9"/>
          </w:tcPr>
          <w:p>
            <w:pPr>
              <w:spacing w:after="0"/>
              <w:rPr>
                <w:sz w:val="10"/>
                <w:szCs w:val="10"/>
                <w:color w:val="auto"/>
              </w:rPr>
            </w:pPr>
          </w:p>
        </w:tc>
        <w:tc>
          <w:tcPr>
            <w:tcW w:w="82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120" w:type="dxa"/>
            <w:vAlign w:val="bottom"/>
            <w:shd w:val="clear" w:color="auto" w:fill="D9D9D9"/>
          </w:tcPr>
          <w:p>
            <w:pPr>
              <w:ind w:left="100"/>
              <w:spacing w:after="0" w:line="123" w:lineRule="exact"/>
              <w:rPr>
                <w:sz w:val="20"/>
                <w:szCs w:val="20"/>
                <w:color w:val="auto"/>
              </w:rPr>
            </w:pPr>
            <w:r>
              <w:rPr>
                <w:rFonts w:ascii="Arial" w:cs="Arial" w:eastAsia="Arial" w:hAnsi="Arial"/>
                <w:sz w:val="11"/>
                <w:szCs w:val="11"/>
                <w:color w:val="auto"/>
              </w:rPr>
              <w:t>Research &amp; Development and</w:t>
            </w:r>
          </w:p>
        </w:tc>
        <w:tc>
          <w:tcPr>
            <w:tcW w:w="12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780" w:type="dxa"/>
            <w:vAlign w:val="bottom"/>
            <w:shd w:val="clear" w:color="auto" w:fill="D9D9D9"/>
          </w:tcPr>
          <w:p>
            <w:pPr>
              <w:spacing w:after="0"/>
              <w:rPr>
                <w:sz w:val="10"/>
                <w:szCs w:val="10"/>
                <w:color w:val="auto"/>
              </w:rPr>
            </w:pPr>
          </w:p>
        </w:tc>
        <w:tc>
          <w:tcPr>
            <w:tcW w:w="500" w:type="dxa"/>
            <w:vAlign w:val="bottom"/>
            <w:shd w:val="clear" w:color="auto" w:fill="D9D9D9"/>
          </w:tcPr>
          <w:p>
            <w:pPr>
              <w:spacing w:after="0"/>
              <w:rPr>
                <w:sz w:val="10"/>
                <w:szCs w:val="10"/>
                <w:color w:val="auto"/>
              </w:rPr>
            </w:pPr>
          </w:p>
        </w:tc>
        <w:tc>
          <w:tcPr>
            <w:tcW w:w="820" w:type="dxa"/>
            <w:vAlign w:val="bottom"/>
            <w:shd w:val="clear" w:color="auto" w:fill="D9D9D9"/>
          </w:tcPr>
          <w:p>
            <w:pPr>
              <w:spacing w:after="0"/>
              <w:rPr>
                <w:sz w:val="10"/>
                <w:szCs w:val="10"/>
                <w:color w:val="auto"/>
              </w:rPr>
            </w:pPr>
          </w:p>
        </w:tc>
        <w:tc>
          <w:tcPr>
            <w:tcW w:w="740" w:type="dxa"/>
            <w:vAlign w:val="bottom"/>
            <w:shd w:val="clear" w:color="auto" w:fill="D9D9D9"/>
          </w:tcPr>
          <w:p>
            <w:pPr>
              <w:spacing w:after="0"/>
              <w:rPr>
                <w:sz w:val="10"/>
                <w:szCs w:val="10"/>
                <w:color w:val="auto"/>
              </w:rPr>
            </w:pPr>
          </w:p>
        </w:tc>
        <w:tc>
          <w:tcPr>
            <w:tcW w:w="10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000" w:type="dxa"/>
            <w:vAlign w:val="bottom"/>
            <w:shd w:val="clear" w:color="auto" w:fill="D9D9D9"/>
          </w:tcPr>
          <w:p>
            <w:pPr>
              <w:spacing w:after="0"/>
              <w:rPr>
                <w:sz w:val="10"/>
                <w:szCs w:val="10"/>
                <w:color w:val="auto"/>
              </w:rPr>
            </w:pPr>
          </w:p>
        </w:tc>
        <w:tc>
          <w:tcPr>
            <w:tcW w:w="900" w:type="dxa"/>
            <w:vAlign w:val="bottom"/>
            <w:shd w:val="clear" w:color="auto" w:fill="D9D9D9"/>
          </w:tcPr>
          <w:p>
            <w:pPr>
              <w:spacing w:after="0"/>
              <w:rPr>
                <w:sz w:val="10"/>
                <w:szCs w:val="10"/>
                <w:color w:val="auto"/>
              </w:rPr>
            </w:pPr>
          </w:p>
        </w:tc>
        <w:tc>
          <w:tcPr>
            <w:tcW w:w="82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20" w:type="dxa"/>
            <w:vAlign w:val="bottom"/>
            <w:shd w:val="clear" w:color="auto" w:fill="D9D9D9"/>
          </w:tcPr>
          <w:p>
            <w:pPr>
              <w:ind w:left="100"/>
              <w:spacing w:after="0"/>
              <w:rPr>
                <w:sz w:val="20"/>
                <w:szCs w:val="20"/>
                <w:color w:val="auto"/>
              </w:rPr>
            </w:pPr>
            <w:r>
              <w:rPr>
                <w:rFonts w:ascii="Arial" w:cs="Arial" w:eastAsia="Arial" w:hAnsi="Arial"/>
                <w:sz w:val="11"/>
                <w:szCs w:val="11"/>
                <w:color w:val="auto"/>
              </w:rPr>
              <w:t>Chief Scientific Officer</w:t>
            </w:r>
          </w:p>
        </w:tc>
        <w:tc>
          <w:tcPr>
            <w:tcW w:w="120" w:type="dxa"/>
            <w:vAlign w:val="bottom"/>
            <w:shd w:val="clear" w:color="auto" w:fill="D9D9D9"/>
          </w:tcPr>
          <w:p>
            <w:pPr>
              <w:spacing w:after="0"/>
              <w:rPr>
                <w:sz w:val="12"/>
                <w:szCs w:val="12"/>
                <w:color w:val="auto"/>
              </w:rPr>
            </w:pPr>
          </w:p>
        </w:tc>
        <w:tc>
          <w:tcPr>
            <w:tcW w:w="6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780" w:type="dxa"/>
            <w:vAlign w:val="bottom"/>
            <w:shd w:val="clear" w:color="auto" w:fill="D9D9D9"/>
          </w:tcPr>
          <w:p>
            <w:pPr>
              <w:spacing w:after="0"/>
              <w:rPr>
                <w:sz w:val="12"/>
                <w:szCs w:val="12"/>
                <w:color w:val="auto"/>
              </w:rPr>
            </w:pPr>
          </w:p>
        </w:tc>
        <w:tc>
          <w:tcPr>
            <w:tcW w:w="50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740" w:type="dxa"/>
            <w:vAlign w:val="bottom"/>
            <w:shd w:val="clear" w:color="auto" w:fill="D9D9D9"/>
          </w:tcPr>
          <w:p>
            <w:pPr>
              <w:spacing w:after="0"/>
              <w:rPr>
                <w:sz w:val="12"/>
                <w:szCs w:val="12"/>
                <w:color w:val="auto"/>
              </w:rPr>
            </w:pPr>
          </w:p>
        </w:tc>
        <w:tc>
          <w:tcPr>
            <w:tcW w:w="102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10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89" w:right="40" w:hanging="289"/>
        <w:spacing w:after="0" w:line="245" w:lineRule="auto"/>
        <w:tabs>
          <w:tab w:leader="none" w:pos="289"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accordance with Securities and Exchange Commission (SEC) rules, the amounts in this column represent the aggregate grant date fair value of the awards determined in accordance with Financial Accounting Standards Board (FASB) Accounting Standards Codification (ASC) Topic 718. AbbVie generally determines the grant date fair value of stock awards by multiplying the number of shares granted by the average of the high and low market prices of one share of AbbVie common stock on the award grant date. The grant date fair value of performance shares and performance-vested restricted stock units is determined assuming target performance (the most probable outcome as of the grant date), and the value of the performance shares with a TSR market condition is determined using the Monte Carlo simulation model. Assuming the maximum level of performance conditions will be achieved for all performance shares and performance-vested restricted stock units, the grant date fair values for Mr. Michael, Mr. Reents, Mr. Stewart, Dr. Saleki-Gerhardt, and Dr. Thakkar, would be $29,971,291, $9,833,878, $12,175,733, $8,991,103, and $8,991,103, respectively.</w:t>
      </w:r>
    </w:p>
    <w:p>
      <w:pPr>
        <w:spacing w:after="0" w:line="165" w:lineRule="exact"/>
        <w:rPr>
          <w:rFonts w:ascii="Arial" w:cs="Arial" w:eastAsia="Arial" w:hAnsi="Arial"/>
          <w:sz w:val="16"/>
          <w:szCs w:val="16"/>
          <w:color w:val="auto"/>
        </w:rPr>
      </w:pPr>
    </w:p>
    <w:p>
      <w:pPr>
        <w:ind w:left="289" w:right="60" w:hanging="289"/>
        <w:spacing w:after="0" w:line="247" w:lineRule="auto"/>
        <w:tabs>
          <w:tab w:leader="none" w:pos="289"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accordance with SEC rules, the amounts in this column represent the aggregate grant date fair value of the awards determined in accordance with FASB ASC Topic 718. These amounts were determined as of the option grant date using a Black-Scholes stock option valuation model. These amounts are being reported solely for the purpose of comparative disclosure in accordance with the SEC rules. There is no certainty that the amount determined using a Black-Scholes stock option valuation model would be the value, if any, eventually realized by the NEO. The weighted-average assumptions used to estimate the grant date fair value of options granted in 2025, along with the weighted-average grant date fair value, are shown below:</w:t>
      </w:r>
    </w:p>
    <w:p>
      <w:pPr>
        <w:spacing w:after="0" w:line="200" w:lineRule="exact"/>
        <w:rPr>
          <w:sz w:val="20"/>
          <w:szCs w:val="20"/>
          <w:color w:val="auto"/>
        </w:rPr>
      </w:pPr>
    </w:p>
    <w:p>
      <w:pPr>
        <w:spacing w:after="0" w:line="351"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50</w:t>
      </w:r>
      <w:r>
        <w:rPr>
          <w:sz w:val="20"/>
          <w:szCs w:val="20"/>
          <w:color w:val="auto"/>
        </w:rPr>
        <w:tab/>
      </w:r>
      <w:r>
        <w:rPr>
          <w:sz w:val="1"/>
          <w:szCs w:val="1"/>
          <w:color w:val="auto"/>
        </w:rPr>
        <w:drawing>
          <wp:inline distT="0" distB="0" distL="0" distR="0">
            <wp:extent cx="797560" cy="14859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53" w:name="page54"/>
    <w:bookmarkEnd w:id="53"/>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EXECUTIVE COMPENSATION</w:t>
      </w:r>
    </w:p>
    <w:p>
      <w:pPr>
        <w:spacing w:after="0" w:line="194" w:lineRule="exact"/>
        <w:rPr>
          <w:sz w:val="20"/>
          <w:szCs w:val="20"/>
          <w:color w:val="auto"/>
        </w:rPr>
      </w:pPr>
    </w:p>
    <w:tbl>
      <w:tblPr>
        <w:tblLayout w:type="fixed"/>
        <w:tblInd w:w="929" w:type="dxa"/>
        <w:tblCellMar>
          <w:top w:w="0" w:type="dxa"/>
          <w:left w:w="0" w:type="dxa"/>
          <w:bottom w:w="0" w:type="dxa"/>
          <w:right w:w="0" w:type="dxa"/>
        </w:tblCellMar>
      </w:tblPr>
      <w:tr>
        <w:trPr>
          <w:trHeight w:val="160"/>
        </w:trPr>
        <w:tc>
          <w:tcPr>
            <w:tcW w:w="4220" w:type="dxa"/>
            <w:vAlign w:val="bottom"/>
            <w:tcBorders>
              <w:top w:val="single" w:sz="8" w:color="071D49"/>
              <w:bottom w:val="single" w:sz="8" w:color="071D49"/>
            </w:tcBorders>
          </w:tcPr>
          <w:p>
            <w:pPr>
              <w:spacing w:after="0"/>
              <w:rPr>
                <w:sz w:val="20"/>
                <w:szCs w:val="20"/>
                <w:color w:val="auto"/>
              </w:rPr>
            </w:pPr>
            <w:r>
              <w:rPr>
                <w:rFonts w:ascii="Arial" w:cs="Arial" w:eastAsia="Arial" w:hAnsi="Arial"/>
                <w:sz w:val="13"/>
                <w:szCs w:val="13"/>
                <w:b w:val="1"/>
                <w:bCs w:val="1"/>
                <w:color w:val="auto"/>
              </w:rPr>
              <w:t>Assumption</w:t>
            </w:r>
          </w:p>
        </w:tc>
        <w:tc>
          <w:tcPr>
            <w:tcW w:w="2400" w:type="dxa"/>
            <w:vAlign w:val="bottom"/>
            <w:tcBorders>
              <w:top w:val="single" w:sz="8" w:color="071D49"/>
              <w:bottom w:val="single" w:sz="8" w:color="071D49"/>
            </w:tcBorders>
          </w:tcPr>
          <w:p>
            <w:pPr>
              <w:jc w:val="right"/>
              <w:ind w:right="146"/>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071D49"/>
              <w:bottom w:val="single" w:sz="8" w:color="071D49"/>
            </w:tcBorders>
          </w:tcPr>
          <w:p>
            <w:pPr>
              <w:spacing w:after="0"/>
              <w:rPr>
                <w:sz w:val="13"/>
                <w:szCs w:val="13"/>
                <w:color w:val="auto"/>
              </w:rPr>
            </w:pPr>
          </w:p>
        </w:tc>
        <w:tc>
          <w:tcPr>
            <w:tcW w:w="180" w:type="dxa"/>
            <w:vAlign w:val="bottom"/>
            <w:tcBorders>
              <w:top w:val="single" w:sz="8" w:color="071D49"/>
              <w:bottom w:val="single" w:sz="8" w:color="071D49"/>
            </w:tcBorders>
          </w:tcPr>
          <w:p>
            <w:pPr>
              <w:spacing w:after="0"/>
              <w:rPr>
                <w:sz w:val="13"/>
                <w:szCs w:val="13"/>
                <w:color w:val="auto"/>
              </w:rPr>
            </w:pPr>
          </w:p>
        </w:tc>
      </w:tr>
      <w:tr>
        <w:trPr>
          <w:trHeight w:val="189"/>
        </w:trPr>
        <w:tc>
          <w:tcPr>
            <w:tcW w:w="4220" w:type="dxa"/>
            <w:vAlign w:val="bottom"/>
            <w:shd w:val="clear" w:color="auto" w:fill="E7E7E8"/>
          </w:tcPr>
          <w:p>
            <w:pPr>
              <w:spacing w:after="0" w:line="184" w:lineRule="exact"/>
              <w:rPr>
                <w:sz w:val="20"/>
                <w:szCs w:val="20"/>
                <w:color w:val="auto"/>
              </w:rPr>
            </w:pPr>
            <w:r>
              <w:rPr>
                <w:rFonts w:ascii="Arial" w:cs="Arial" w:eastAsia="Arial" w:hAnsi="Arial"/>
                <w:sz w:val="16"/>
                <w:szCs w:val="16"/>
                <w:color w:val="auto"/>
              </w:rPr>
              <w:t>Risk</w:t>
            </w:r>
            <w:r>
              <w:rPr>
                <w:rFonts w:ascii="MS PGothic" w:cs="MS PGothic" w:eastAsia="MS PGothic" w:hAnsi="MS PGothic"/>
                <w:sz w:val="16"/>
                <w:szCs w:val="16"/>
                <w:color w:val="auto"/>
              </w:rPr>
              <w:t>‑</w:t>
            </w:r>
            <w:r>
              <w:rPr>
                <w:rFonts w:ascii="Arial" w:cs="Arial" w:eastAsia="Arial" w:hAnsi="Arial"/>
                <w:sz w:val="16"/>
                <w:szCs w:val="16"/>
                <w:color w:val="auto"/>
              </w:rPr>
              <w:t>free interest rate</w:t>
            </w:r>
          </w:p>
        </w:tc>
        <w:tc>
          <w:tcPr>
            <w:tcW w:w="2400" w:type="dxa"/>
            <w:vAlign w:val="bottom"/>
            <w:shd w:val="clear" w:color="auto" w:fill="E7E7E8"/>
          </w:tcPr>
          <w:p>
            <w:pPr>
              <w:spacing w:after="0"/>
              <w:rPr>
                <w:sz w:val="16"/>
                <w:szCs w:val="16"/>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4.32</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4220" w:type="dxa"/>
            <w:vAlign w:val="bottom"/>
          </w:tcPr>
          <w:p>
            <w:pPr>
              <w:spacing w:after="0"/>
              <w:rPr>
                <w:sz w:val="20"/>
                <w:szCs w:val="20"/>
                <w:color w:val="auto"/>
              </w:rPr>
            </w:pPr>
            <w:r>
              <w:rPr>
                <w:rFonts w:ascii="Arial" w:cs="Arial" w:eastAsia="Arial" w:hAnsi="Arial"/>
                <w:sz w:val="16"/>
                <w:szCs w:val="16"/>
                <w:color w:val="auto"/>
              </w:rPr>
              <w:t>Average life of options (years)</w:t>
            </w:r>
          </w:p>
        </w:tc>
        <w:tc>
          <w:tcPr>
            <w:tcW w:w="2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6"/>
                <w:szCs w:val="16"/>
                <w:color w:val="auto"/>
              </w:rPr>
            </w:pPr>
          </w:p>
        </w:tc>
      </w:tr>
      <w:tr>
        <w:trPr>
          <w:trHeight w:val="185"/>
        </w:trPr>
        <w:tc>
          <w:tcPr>
            <w:tcW w:w="4220" w:type="dxa"/>
            <w:vAlign w:val="bottom"/>
            <w:shd w:val="clear" w:color="auto" w:fill="E7E7E8"/>
          </w:tcPr>
          <w:p>
            <w:pPr>
              <w:spacing w:after="0"/>
              <w:rPr>
                <w:sz w:val="20"/>
                <w:szCs w:val="20"/>
                <w:color w:val="auto"/>
              </w:rPr>
            </w:pPr>
            <w:r>
              <w:rPr>
                <w:rFonts w:ascii="Arial" w:cs="Arial" w:eastAsia="Arial" w:hAnsi="Arial"/>
                <w:sz w:val="16"/>
                <w:szCs w:val="16"/>
                <w:color w:val="auto"/>
              </w:rPr>
              <w:t>Volatility</w:t>
            </w:r>
          </w:p>
        </w:tc>
        <w:tc>
          <w:tcPr>
            <w:tcW w:w="2400" w:type="dxa"/>
            <w:vAlign w:val="bottom"/>
            <w:shd w:val="clear" w:color="auto" w:fill="E7E7E8"/>
          </w:tcPr>
          <w:p>
            <w:pPr>
              <w:spacing w:after="0"/>
              <w:rPr>
                <w:sz w:val="16"/>
                <w:szCs w:val="16"/>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24.55</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4220" w:type="dxa"/>
            <w:vAlign w:val="bottom"/>
          </w:tcPr>
          <w:p>
            <w:pPr>
              <w:spacing w:after="0"/>
              <w:rPr>
                <w:sz w:val="20"/>
                <w:szCs w:val="20"/>
                <w:color w:val="auto"/>
              </w:rPr>
            </w:pPr>
            <w:r>
              <w:rPr>
                <w:rFonts w:ascii="Arial" w:cs="Arial" w:eastAsia="Arial" w:hAnsi="Arial"/>
                <w:sz w:val="16"/>
                <w:szCs w:val="16"/>
                <w:color w:val="auto"/>
              </w:rPr>
              <w:t>Dividend yield</w:t>
            </w:r>
          </w:p>
        </w:tc>
        <w:tc>
          <w:tcPr>
            <w:tcW w:w="24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3.69 %</w:t>
            </w:r>
          </w:p>
        </w:tc>
      </w:tr>
      <w:tr>
        <w:trPr>
          <w:trHeight w:val="185"/>
        </w:trPr>
        <w:tc>
          <w:tcPr>
            <w:tcW w:w="4220" w:type="dxa"/>
            <w:vAlign w:val="bottom"/>
            <w:tcBorders>
              <w:bottom w:val="single" w:sz="8" w:color="071D49"/>
            </w:tcBorders>
            <w:shd w:val="clear" w:color="auto" w:fill="E7E7E8"/>
          </w:tcPr>
          <w:p>
            <w:pPr>
              <w:spacing w:after="0"/>
              <w:rPr>
                <w:sz w:val="20"/>
                <w:szCs w:val="20"/>
                <w:color w:val="auto"/>
              </w:rPr>
            </w:pPr>
            <w:r>
              <w:rPr>
                <w:rFonts w:ascii="Arial" w:cs="Arial" w:eastAsia="Arial" w:hAnsi="Arial"/>
                <w:sz w:val="16"/>
                <w:szCs w:val="16"/>
                <w:color w:val="auto"/>
              </w:rPr>
              <w:t>Fair value per stock option</w:t>
            </w:r>
          </w:p>
        </w:tc>
        <w:tc>
          <w:tcPr>
            <w:tcW w:w="2400" w:type="dxa"/>
            <w:vAlign w:val="bottom"/>
            <w:tcBorders>
              <w:bottom w:val="single" w:sz="8" w:color="071D49"/>
            </w:tcBorders>
            <w:shd w:val="clear" w:color="auto" w:fill="E7E7E8"/>
          </w:tcPr>
          <w:p>
            <w:pPr>
              <w:jc w:val="right"/>
              <w:ind w:right="86"/>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071D49"/>
            </w:tcBorders>
            <w:shd w:val="clear" w:color="auto" w:fill="E7E7E8"/>
          </w:tcPr>
          <w:p>
            <w:pPr>
              <w:jc w:val="right"/>
              <w:spacing w:after="0"/>
              <w:rPr>
                <w:sz w:val="20"/>
                <w:szCs w:val="20"/>
                <w:color w:val="auto"/>
              </w:rPr>
            </w:pPr>
            <w:r>
              <w:rPr>
                <w:rFonts w:ascii="Arial" w:cs="Arial" w:eastAsia="Arial" w:hAnsi="Arial"/>
                <w:sz w:val="16"/>
                <w:szCs w:val="16"/>
                <w:color w:val="auto"/>
              </w:rPr>
              <w:t>38.39</w:t>
            </w:r>
          </w:p>
        </w:tc>
        <w:tc>
          <w:tcPr>
            <w:tcW w:w="180" w:type="dxa"/>
            <w:vAlign w:val="bottom"/>
            <w:tcBorders>
              <w:bottom w:val="single" w:sz="8" w:color="071D49"/>
            </w:tcBorders>
            <w:shd w:val="clear" w:color="auto" w:fill="E7E7E8"/>
          </w:tcPr>
          <w:p>
            <w:pPr>
              <w:spacing w:after="0"/>
              <w:rPr>
                <w:sz w:val="16"/>
                <w:szCs w:val="16"/>
                <w:color w:val="auto"/>
              </w:rPr>
            </w:pPr>
          </w:p>
        </w:tc>
      </w:tr>
    </w:tbl>
    <w:p>
      <w:pPr>
        <w:spacing w:after="0" w:line="180" w:lineRule="exact"/>
        <w:rPr>
          <w:sz w:val="20"/>
          <w:szCs w:val="20"/>
          <w:color w:val="auto"/>
        </w:rPr>
      </w:pPr>
    </w:p>
    <w:p>
      <w:pPr>
        <w:ind w:left="289" w:right="220" w:hanging="289"/>
        <w:spacing w:after="0" w:line="262" w:lineRule="auto"/>
        <w:tabs>
          <w:tab w:leader="none" w:pos="289"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compensation reported in this column for 2025 was earned as a performance-based incentive award pursuant to the AbbVie Performance Incentive Plan. Additional information regarding the plan can be found in the “Compensation Plan Elements” section of this proxy statement.</w:t>
      </w:r>
    </w:p>
    <w:p>
      <w:pPr>
        <w:spacing w:after="0" w:line="148" w:lineRule="exact"/>
        <w:rPr>
          <w:rFonts w:ascii="Arial" w:cs="Arial" w:eastAsia="Arial" w:hAnsi="Arial"/>
          <w:sz w:val="16"/>
          <w:szCs w:val="16"/>
          <w:color w:val="auto"/>
        </w:rPr>
      </w:pPr>
    </w:p>
    <w:p>
      <w:pPr>
        <w:ind w:left="289" w:right="120" w:hanging="289"/>
        <w:spacing w:after="0" w:line="262" w:lineRule="auto"/>
        <w:tabs>
          <w:tab w:leader="none" w:pos="289"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plan amounts shown below are reported in this column, excluding negative amounts under the AbbVie Pension Plan and the AbbVie Supplemental Pension Plan in accordance with SEC rules. The amounts shown below beside each NEO’s name are for 2025, 2024, and 2023, respectively, as applicable.</w:t>
      </w:r>
    </w:p>
    <w:p>
      <w:pPr>
        <w:spacing w:after="0" w:line="150" w:lineRule="exact"/>
        <w:rPr>
          <w:rFonts w:ascii="Arial" w:cs="Arial" w:eastAsia="Arial" w:hAnsi="Arial"/>
          <w:sz w:val="16"/>
          <w:szCs w:val="16"/>
          <w:color w:val="auto"/>
        </w:rPr>
      </w:pPr>
    </w:p>
    <w:p>
      <w:pPr>
        <w:ind w:left="289"/>
        <w:spacing w:after="0"/>
        <w:rPr>
          <w:rFonts w:ascii="Arial" w:cs="Arial" w:eastAsia="Arial" w:hAnsi="Arial"/>
          <w:sz w:val="16"/>
          <w:szCs w:val="16"/>
          <w:color w:val="auto"/>
        </w:rPr>
      </w:pPr>
      <w:r>
        <w:rPr>
          <w:rFonts w:ascii="Arial" w:cs="Arial" w:eastAsia="Arial" w:hAnsi="Arial"/>
          <w:sz w:val="16"/>
          <w:szCs w:val="16"/>
          <w:i w:val="1"/>
          <w:iCs w:val="1"/>
          <w:color w:val="auto"/>
        </w:rPr>
        <w:t>AbbVie Pension Plan</w:t>
      </w:r>
    </w:p>
    <w:p>
      <w:pPr>
        <w:spacing w:after="0" w:line="196" w:lineRule="exact"/>
        <w:rPr>
          <w:sz w:val="20"/>
          <w:szCs w:val="20"/>
          <w:color w:val="auto"/>
        </w:rPr>
      </w:pPr>
    </w:p>
    <w:p>
      <w:pPr>
        <w:ind w:left="289" w:right="620" w:firstLine="6"/>
        <w:spacing w:after="0" w:line="283" w:lineRule="auto"/>
        <w:tabs>
          <w:tab w:leader="none" w:pos="499" w:val="left"/>
        </w:tabs>
        <w:numPr>
          <w:ilvl w:val="0"/>
          <w:numId w:val="75"/>
        </w:numPr>
        <w:rPr>
          <w:rFonts w:ascii="Arial" w:cs="Arial" w:eastAsia="Arial" w:hAnsi="Arial"/>
          <w:sz w:val="16"/>
          <w:szCs w:val="16"/>
          <w:color w:val="auto"/>
        </w:rPr>
      </w:pPr>
      <w:r>
        <w:rPr>
          <w:rFonts w:ascii="Arial" w:cs="Arial" w:eastAsia="Arial" w:hAnsi="Arial"/>
          <w:sz w:val="16"/>
          <w:szCs w:val="16"/>
          <w:color w:val="auto"/>
        </w:rPr>
        <w:t>Michael: $273,824 / $3,402 / $119,233; S. Reents: $95,464 / $31,435 / $90,112; J. Stewart: $152,820 / $23,084 / $277,907; A. Saleki-Gerhardt: $134,069 / $76,048 / $190,794; and R. Thakkar: $66,982.</w:t>
      </w:r>
    </w:p>
    <w:p>
      <w:pPr>
        <w:spacing w:after="0" w:line="122" w:lineRule="exact"/>
        <w:rPr>
          <w:sz w:val="20"/>
          <w:szCs w:val="20"/>
          <w:color w:val="auto"/>
        </w:rPr>
      </w:pPr>
    </w:p>
    <w:p>
      <w:pPr>
        <w:ind w:left="289"/>
        <w:spacing w:after="0"/>
        <w:rPr>
          <w:sz w:val="20"/>
          <w:szCs w:val="20"/>
          <w:color w:val="auto"/>
        </w:rPr>
      </w:pPr>
      <w:r>
        <w:rPr>
          <w:rFonts w:ascii="Arial" w:cs="Arial" w:eastAsia="Arial" w:hAnsi="Arial"/>
          <w:sz w:val="16"/>
          <w:szCs w:val="16"/>
          <w:i w:val="1"/>
          <w:iCs w:val="1"/>
          <w:color w:val="auto"/>
        </w:rPr>
        <w:t>AbbVie Supplemental Pension Plan</w:t>
      </w:r>
    </w:p>
    <w:p>
      <w:pPr>
        <w:spacing w:after="0" w:line="196" w:lineRule="exact"/>
        <w:rPr>
          <w:sz w:val="20"/>
          <w:szCs w:val="20"/>
          <w:color w:val="auto"/>
        </w:rPr>
      </w:pPr>
    </w:p>
    <w:p>
      <w:pPr>
        <w:jc w:val="both"/>
        <w:ind w:left="289" w:right="860" w:firstLine="6"/>
        <w:spacing w:after="0" w:line="262" w:lineRule="auto"/>
        <w:tabs>
          <w:tab w:leader="none" w:pos="499" w:val="left"/>
        </w:tabs>
        <w:numPr>
          <w:ilvl w:val="0"/>
          <w:numId w:val="76"/>
        </w:numPr>
        <w:rPr>
          <w:rFonts w:ascii="Arial" w:cs="Arial" w:eastAsia="Arial" w:hAnsi="Arial"/>
          <w:sz w:val="16"/>
          <w:szCs w:val="16"/>
          <w:color w:val="auto"/>
        </w:rPr>
      </w:pPr>
      <w:r>
        <w:rPr>
          <w:rFonts w:ascii="Arial" w:cs="Arial" w:eastAsia="Arial" w:hAnsi="Arial"/>
          <w:sz w:val="16"/>
          <w:szCs w:val="16"/>
          <w:color w:val="auto"/>
        </w:rPr>
        <w:t>Michael: $7,873,176 / $1,669,967 / $2,776,666; S. Reents: $2,363,834 / $1,479,025 / $1,627,895; J. Stewart: $2,629,286 / $1,682,840 / $4,918,891; A. Saleki-Gerhardt: $620,095 / $(329,624) / $1,462,884; and R. Thakkar: $1,349,733.</w:t>
      </w:r>
    </w:p>
    <w:p>
      <w:pPr>
        <w:spacing w:after="0" w:line="150" w:lineRule="exact"/>
        <w:rPr>
          <w:sz w:val="20"/>
          <w:szCs w:val="20"/>
          <w:color w:val="auto"/>
        </w:rPr>
      </w:pPr>
    </w:p>
    <w:p>
      <w:pPr>
        <w:ind w:left="289"/>
        <w:spacing w:after="0"/>
        <w:rPr>
          <w:sz w:val="20"/>
          <w:szCs w:val="20"/>
          <w:color w:val="auto"/>
        </w:rPr>
      </w:pPr>
      <w:r>
        <w:rPr>
          <w:rFonts w:ascii="Arial" w:cs="Arial" w:eastAsia="Arial" w:hAnsi="Arial"/>
          <w:sz w:val="16"/>
          <w:szCs w:val="16"/>
          <w:i w:val="1"/>
          <w:iCs w:val="1"/>
          <w:color w:val="auto"/>
        </w:rPr>
        <w:t>Non-Qualified Defined Contribution Plan Earnings</w:t>
      </w:r>
    </w:p>
    <w:p>
      <w:pPr>
        <w:spacing w:after="0" w:line="196" w:lineRule="exact"/>
        <w:rPr>
          <w:sz w:val="20"/>
          <w:szCs w:val="20"/>
          <w:color w:val="auto"/>
        </w:rPr>
      </w:pPr>
    </w:p>
    <w:p>
      <w:pPr>
        <w:ind w:left="289" w:right="100"/>
        <w:spacing w:after="0" w:line="262" w:lineRule="auto"/>
        <w:rPr>
          <w:sz w:val="20"/>
          <w:szCs w:val="20"/>
          <w:color w:val="auto"/>
        </w:rPr>
      </w:pPr>
      <w:r>
        <w:rPr>
          <w:rFonts w:ascii="Arial" w:cs="Arial" w:eastAsia="Arial" w:hAnsi="Arial"/>
          <w:sz w:val="16"/>
          <w:szCs w:val="16"/>
          <w:color w:val="auto"/>
        </w:rPr>
        <w:t>The totals in this column include reportable interest credited under the AbbVie Performance Incentive Plan and the AbbVie Supplemental Savings Plan grantor trusts, which are described further in footnote (6). The reportable interest amounts shown below beside each NEO’s name are for 2025, 2024, and 2023, respectively, as applicable.</w:t>
      </w:r>
    </w:p>
    <w:p>
      <w:pPr>
        <w:spacing w:after="0" w:line="148" w:lineRule="exact"/>
        <w:rPr>
          <w:sz w:val="20"/>
          <w:szCs w:val="20"/>
          <w:color w:val="auto"/>
        </w:rPr>
      </w:pPr>
    </w:p>
    <w:p>
      <w:pPr>
        <w:ind w:left="289"/>
        <w:spacing w:after="0"/>
        <w:rPr>
          <w:sz w:val="20"/>
          <w:szCs w:val="20"/>
          <w:color w:val="auto"/>
        </w:rPr>
      </w:pPr>
      <w:r>
        <w:rPr>
          <w:rFonts w:ascii="Arial" w:cs="Arial" w:eastAsia="Arial" w:hAnsi="Arial"/>
          <w:sz w:val="16"/>
          <w:szCs w:val="16"/>
          <w:color w:val="auto"/>
        </w:rPr>
        <w:t>R. Michael: $500,081 / $335,617 / $123,213; S. Reents: $543,581 / $500,198 / $294,882; J. Stewart: $960,131 / $939,164 /</w:t>
      </w:r>
    </w:p>
    <w:p>
      <w:pPr>
        <w:spacing w:after="0" w:line="16" w:lineRule="exact"/>
        <w:rPr>
          <w:sz w:val="20"/>
          <w:szCs w:val="20"/>
          <w:color w:val="auto"/>
        </w:rPr>
      </w:pPr>
    </w:p>
    <w:p>
      <w:pPr>
        <w:ind w:left="289"/>
        <w:spacing w:after="0"/>
        <w:rPr>
          <w:sz w:val="20"/>
          <w:szCs w:val="20"/>
          <w:color w:val="auto"/>
        </w:rPr>
      </w:pPr>
      <w:r>
        <w:rPr>
          <w:rFonts w:ascii="Arial" w:cs="Arial" w:eastAsia="Arial" w:hAnsi="Arial"/>
          <w:sz w:val="16"/>
          <w:szCs w:val="16"/>
          <w:color w:val="auto"/>
        </w:rPr>
        <w:t>$594,880; and A. Saleki-Gerhardt: $1,024,714 / $1,052,397 / $707,787.</w:t>
      </w:r>
    </w:p>
    <w:p>
      <w:pPr>
        <w:spacing w:after="0" w:line="181" w:lineRule="exact"/>
        <w:rPr>
          <w:sz w:val="20"/>
          <w:szCs w:val="20"/>
          <w:color w:val="auto"/>
        </w:rPr>
      </w:pPr>
    </w:p>
    <w:p>
      <w:pPr>
        <w:ind w:left="289" w:right="120" w:hanging="289"/>
        <w:spacing w:after="0" w:line="254" w:lineRule="auto"/>
        <w:tabs>
          <w:tab w:leader="none" w:pos="289"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change in pension value during the applicable year is attributable to changes in actuarial assumptions (primarily discount rate and mortality tables) and other factors based on plan design (primarily pay, service and age). The actuarial assumptions used for purposes of calculating present value for the 2025 reporting year are described in footnote (1) to the Pension Benefits Table.</w:t>
      </w:r>
    </w:p>
    <w:p>
      <w:pPr>
        <w:spacing w:after="0" w:line="156" w:lineRule="exact"/>
        <w:rPr>
          <w:rFonts w:ascii="Arial" w:cs="Arial" w:eastAsia="Arial" w:hAnsi="Arial"/>
          <w:sz w:val="16"/>
          <w:szCs w:val="16"/>
          <w:color w:val="auto"/>
        </w:rPr>
      </w:pPr>
    </w:p>
    <w:p>
      <w:pPr>
        <w:ind w:left="289" w:right="120"/>
        <w:spacing w:after="0" w:line="249" w:lineRule="auto"/>
        <w:rPr>
          <w:rFonts w:ascii="Arial" w:cs="Arial" w:eastAsia="Arial" w:hAnsi="Arial"/>
          <w:sz w:val="16"/>
          <w:szCs w:val="16"/>
          <w:color w:val="auto"/>
        </w:rPr>
      </w:pPr>
      <w:r>
        <w:rPr>
          <w:rFonts w:ascii="Arial" w:cs="Arial" w:eastAsia="Arial" w:hAnsi="Arial"/>
          <w:sz w:val="16"/>
          <w:szCs w:val="16"/>
          <w:color w:val="auto"/>
        </w:rPr>
        <w:t>In addition to the effect of the changes in actuarial assumptions, the change in pension value reflects the application of the benefit formulas under the Pension Plan and the Supplemental Pension Plan, which are described in the section of this proxy statement captioned “Pension Benefits.” As participants’ pay changes, the formulas yield revised pension values. Furthermore, as a participant ages and service credit accumulates year over year (before the participant is eligible for unreduced pension benefits), the present value of their pension benefits increases, even without changes in pay or actuarial assumptions.</w:t>
      </w:r>
    </w:p>
    <w:p>
      <w:pPr>
        <w:spacing w:after="0" w:line="159" w:lineRule="exact"/>
        <w:rPr>
          <w:rFonts w:ascii="Arial" w:cs="Arial" w:eastAsia="Arial" w:hAnsi="Arial"/>
          <w:sz w:val="16"/>
          <w:szCs w:val="16"/>
          <w:color w:val="auto"/>
        </w:rPr>
      </w:pPr>
    </w:p>
    <w:p>
      <w:pPr>
        <w:ind w:left="289"/>
        <w:spacing w:after="0" w:line="249" w:lineRule="auto"/>
        <w:rPr>
          <w:rFonts w:ascii="Arial" w:cs="Arial" w:eastAsia="Arial" w:hAnsi="Arial"/>
          <w:sz w:val="16"/>
          <w:szCs w:val="16"/>
          <w:color w:val="auto"/>
        </w:rPr>
      </w:pPr>
      <w:r>
        <w:rPr>
          <w:rFonts w:ascii="Arial" w:cs="Arial" w:eastAsia="Arial" w:hAnsi="Arial"/>
          <w:sz w:val="16"/>
          <w:szCs w:val="16"/>
          <w:color w:val="auto"/>
        </w:rPr>
        <w:t>The increase in Mr. Michael’s change in pension value from 2024 to 2025, as shown in footnote (4), is primarily due to the following: (1) Mr. Michael’s pay adjustments in recognition of his new responsibilities as Chairman and CEO, which resulted in an increase in his 5-year final average earnings under the benefit formulas, and (2) Mr. Michael turning age 55 in 2025, which resulted in a one-time increase in the present value of his subsidized early retirement benefits payable for service after 2003, since upon reaching that milestone his benefit is actuarially reduced from age 62 under the Pension Plan and age 60 under the Supplemental Pension Plan (instead of from age 65).</w:t>
      </w:r>
    </w:p>
    <w:p>
      <w:pPr>
        <w:spacing w:after="0" w:line="200" w:lineRule="exact"/>
        <w:rPr>
          <w:sz w:val="20"/>
          <w:szCs w:val="20"/>
          <w:color w:val="auto"/>
        </w:rPr>
      </w:pPr>
    </w:p>
    <w:p>
      <w:pPr>
        <w:spacing w:after="0" w:line="345"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-492125</wp:posOffset>
            </wp:positionV>
            <wp:extent cx="797560" cy="148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54" w:name="page55"/>
    <w:bookmarkEnd w:id="54"/>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289" w:right="4320" w:hanging="289"/>
        <w:spacing w:after="0" w:line="497" w:lineRule="auto"/>
        <w:tabs>
          <w:tab w:leader="none" w:pos="289"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The amounts shown below are reported in this column for 2025. </w:t>
      </w:r>
      <w:r>
        <w:rPr>
          <w:rFonts w:ascii="Arial" w:cs="Arial" w:eastAsia="Arial" w:hAnsi="Arial"/>
          <w:sz w:val="16"/>
          <w:szCs w:val="16"/>
          <w:i w:val="1"/>
          <w:iCs w:val="1"/>
          <w:color w:val="auto"/>
        </w:rPr>
        <w:t>Earnings for Non-Qualified Defined Contribution Plans</w:t>
      </w:r>
    </w:p>
    <w:p>
      <w:pPr>
        <w:spacing w:after="0" w:line="1" w:lineRule="exact"/>
        <w:rPr>
          <w:rFonts w:ascii="Arial" w:cs="Arial" w:eastAsia="Arial" w:hAnsi="Arial"/>
          <w:sz w:val="16"/>
          <w:szCs w:val="16"/>
          <w:color w:val="auto"/>
        </w:rPr>
      </w:pPr>
    </w:p>
    <w:p>
      <w:pPr>
        <w:ind w:left="289"/>
        <w:spacing w:after="0"/>
        <w:rPr>
          <w:rFonts w:ascii="Arial" w:cs="Arial" w:eastAsia="Arial" w:hAnsi="Arial"/>
          <w:sz w:val="16"/>
          <w:szCs w:val="16"/>
          <w:color w:val="auto"/>
        </w:rPr>
      </w:pPr>
      <w:r>
        <w:rPr>
          <w:rFonts w:ascii="Arial" w:cs="Arial" w:eastAsia="Arial" w:hAnsi="Arial"/>
          <w:sz w:val="16"/>
          <w:szCs w:val="16"/>
          <w:color w:val="auto"/>
        </w:rPr>
        <w:t>R. Michael: $169,220; S. Reents: $327,713; J. Stewart: $631,388; and A. Saleki-Gerhardt: $725,085.</w:t>
      </w:r>
    </w:p>
    <w:p>
      <w:pPr>
        <w:spacing w:after="0" w:line="198" w:lineRule="exact"/>
        <w:rPr>
          <w:sz w:val="20"/>
          <w:szCs w:val="20"/>
          <w:color w:val="auto"/>
        </w:rPr>
      </w:pPr>
    </w:p>
    <w:p>
      <w:pPr>
        <w:ind w:left="289"/>
        <w:spacing w:after="0" w:line="252" w:lineRule="auto"/>
        <w:rPr>
          <w:sz w:val="20"/>
          <w:szCs w:val="20"/>
          <w:color w:val="auto"/>
        </w:rPr>
      </w:pPr>
      <w:r>
        <w:rPr>
          <w:rFonts w:ascii="Arial" w:cs="Arial" w:eastAsia="Arial" w:hAnsi="Arial"/>
          <w:sz w:val="16"/>
          <w:szCs w:val="16"/>
          <w:color w:val="auto"/>
        </w:rPr>
        <w:t>Each of the NEOs’ awards under the AbbVie Performance Incentive Plan is paid in cash to the NEO on a current basis and, for eligible NEOs, may be deposited into a grantor trust established by the NEO, net of maximum tax withholdings. Each eligible NEO has also established a grantor trust in connection with the AbbVie Supplemental Savings Plan. These amounts include earnings under those grantor trusts, net of the reportable interest previously included in the 2025 proxy statement.</w:t>
      </w:r>
    </w:p>
    <w:p>
      <w:pPr>
        <w:spacing w:after="0" w:line="349" w:lineRule="exact"/>
        <w:rPr>
          <w:sz w:val="20"/>
          <w:szCs w:val="20"/>
          <w:color w:val="auto"/>
        </w:rPr>
      </w:pPr>
    </w:p>
    <w:p>
      <w:pPr>
        <w:ind w:left="289"/>
        <w:spacing w:after="0"/>
        <w:rPr>
          <w:sz w:val="20"/>
          <w:szCs w:val="20"/>
          <w:color w:val="auto"/>
        </w:rPr>
      </w:pPr>
      <w:r>
        <w:rPr>
          <w:rFonts w:ascii="Arial" w:cs="Arial" w:eastAsia="Arial" w:hAnsi="Arial"/>
          <w:sz w:val="16"/>
          <w:szCs w:val="16"/>
          <w:i w:val="1"/>
          <w:iCs w:val="1"/>
          <w:color w:val="auto"/>
        </w:rPr>
        <w:t>Employer Contributions to Defined Contribution Plans</w:t>
      </w:r>
    </w:p>
    <w:p>
      <w:pPr>
        <w:spacing w:after="0" w:line="196" w:lineRule="exact"/>
        <w:rPr>
          <w:sz w:val="20"/>
          <w:szCs w:val="20"/>
          <w:color w:val="auto"/>
        </w:rPr>
      </w:pPr>
    </w:p>
    <w:p>
      <w:pPr>
        <w:ind w:left="289"/>
        <w:spacing w:after="0"/>
        <w:rPr>
          <w:sz w:val="20"/>
          <w:szCs w:val="20"/>
          <w:color w:val="auto"/>
        </w:rPr>
      </w:pPr>
      <w:r>
        <w:rPr>
          <w:rFonts w:ascii="Arial" w:cs="Arial" w:eastAsia="Arial" w:hAnsi="Arial"/>
          <w:sz w:val="16"/>
          <w:szCs w:val="16"/>
          <w:color w:val="auto"/>
        </w:rPr>
        <w:t>R. Michael: $85,000; S. Reents: $56,206; J. Stewart: $65,786; A. Saleki-Gerhardt: $52,629; and R. Thakkar: $17,500.</w:t>
      </w:r>
    </w:p>
    <w:p>
      <w:pPr>
        <w:spacing w:after="0" w:line="198" w:lineRule="exact"/>
        <w:rPr>
          <w:sz w:val="20"/>
          <w:szCs w:val="20"/>
          <w:color w:val="auto"/>
        </w:rPr>
      </w:pPr>
    </w:p>
    <w:p>
      <w:pPr>
        <w:ind w:left="289"/>
        <w:spacing w:after="0" w:line="246" w:lineRule="auto"/>
        <w:rPr>
          <w:sz w:val="20"/>
          <w:szCs w:val="20"/>
          <w:color w:val="auto"/>
        </w:rPr>
      </w:pPr>
      <w:r>
        <w:rPr>
          <w:rFonts w:ascii="Arial" w:cs="Arial" w:eastAsia="Arial" w:hAnsi="Arial"/>
          <w:sz w:val="16"/>
          <w:szCs w:val="16"/>
          <w:color w:val="auto"/>
        </w:rPr>
        <w:t>These amounts include AbbVie contributions to the AbbVie Savings Plan and the AbbVie Supplemental Savings Plan, as applicable. The Supplemental Savings Plan permits eligible NEOs to contribute amounts in excess of the annual limit set by the Internal Revenue Code for employee contributions to 401(k) plans up to the excess of (i) 18 percent of their base salary over (ii) the amount contributed to the AbbVie Savings Plan. AbbVie matches participant contributions at the rate of</w:t>
      </w:r>
    </w:p>
    <w:p>
      <w:pPr>
        <w:ind w:left="289" w:right="600"/>
        <w:spacing w:after="0" w:line="251" w:lineRule="auto"/>
        <w:rPr>
          <w:sz w:val="20"/>
          <w:szCs w:val="20"/>
          <w:color w:val="auto"/>
        </w:rPr>
      </w:pPr>
      <w:r>
        <w:rPr>
          <w:rFonts w:ascii="Arial" w:cs="Arial" w:eastAsia="Arial" w:hAnsi="Arial"/>
          <w:sz w:val="16"/>
          <w:szCs w:val="16"/>
          <w:color w:val="auto"/>
        </w:rPr>
        <w:t>250 percent of the first 2 percent of compensation contributed to the plan. Eligible NEOs may choose to have these amounts paid to them in cash on a current basis and deposited into a grantor trust established by the NEO, net of maximum tax withholdings.</w:t>
      </w:r>
    </w:p>
    <w:p>
      <w:pPr>
        <w:spacing w:after="0" w:line="160" w:lineRule="exact"/>
        <w:rPr>
          <w:sz w:val="20"/>
          <w:szCs w:val="20"/>
          <w:color w:val="auto"/>
        </w:rPr>
      </w:pPr>
    </w:p>
    <w:p>
      <w:pPr>
        <w:ind w:left="289"/>
        <w:spacing w:after="0"/>
        <w:rPr>
          <w:sz w:val="20"/>
          <w:szCs w:val="20"/>
          <w:color w:val="auto"/>
        </w:rPr>
      </w:pPr>
      <w:r>
        <w:rPr>
          <w:rFonts w:ascii="Arial" w:cs="Arial" w:eastAsia="Arial" w:hAnsi="Arial"/>
          <w:sz w:val="16"/>
          <w:szCs w:val="16"/>
          <w:i w:val="1"/>
          <w:iCs w:val="1"/>
          <w:color w:val="auto"/>
        </w:rPr>
        <w:t>Other 2025 Compensation</w:t>
      </w:r>
    </w:p>
    <w:p>
      <w:pPr>
        <w:spacing w:after="0" w:line="196" w:lineRule="exact"/>
        <w:rPr>
          <w:sz w:val="20"/>
          <w:szCs w:val="20"/>
          <w:color w:val="auto"/>
        </w:rPr>
      </w:pPr>
    </w:p>
    <w:p>
      <w:pPr>
        <w:ind w:left="289"/>
        <w:spacing w:after="0"/>
        <w:rPr>
          <w:sz w:val="20"/>
          <w:szCs w:val="20"/>
          <w:color w:val="auto"/>
        </w:rPr>
      </w:pPr>
      <w:r>
        <w:rPr>
          <w:rFonts w:ascii="Arial" w:cs="Arial" w:eastAsia="Arial" w:hAnsi="Arial"/>
          <w:sz w:val="16"/>
          <w:szCs w:val="16"/>
          <w:color w:val="auto"/>
        </w:rPr>
        <w:t>The totals shown in the table include the cost of providing a corporate automobile less the amount reimbursed by the NEO:</w:t>
      </w:r>
    </w:p>
    <w:p>
      <w:pPr>
        <w:spacing w:after="0" w:line="17" w:lineRule="exact"/>
        <w:rPr>
          <w:sz w:val="20"/>
          <w:szCs w:val="20"/>
          <w:color w:val="auto"/>
        </w:rPr>
      </w:pPr>
    </w:p>
    <w:p>
      <w:pPr>
        <w:ind w:left="289" w:right="100" w:firstLine="6"/>
        <w:spacing w:after="0" w:line="255" w:lineRule="auto"/>
        <w:tabs>
          <w:tab w:leader="none" w:pos="499" w:val="left"/>
        </w:tabs>
        <w:numPr>
          <w:ilvl w:val="0"/>
          <w:numId w:val="79"/>
        </w:numPr>
        <w:rPr>
          <w:rFonts w:ascii="Arial" w:cs="Arial" w:eastAsia="Arial" w:hAnsi="Arial"/>
          <w:sz w:val="16"/>
          <w:szCs w:val="16"/>
          <w:color w:val="auto"/>
        </w:rPr>
      </w:pPr>
      <w:r>
        <w:rPr>
          <w:rFonts w:ascii="Arial" w:cs="Arial" w:eastAsia="Arial" w:hAnsi="Arial"/>
          <w:sz w:val="16"/>
          <w:szCs w:val="16"/>
          <w:color w:val="auto"/>
        </w:rPr>
        <w:t>Michael: $32,262; S. Reents: $35,166; J. Stewart: $23,598; A. Saleki-Gerhardt: $25,992; and R. Thakkar: $5,993. AbbVie imputes income to the NEO, if required, and the NEO pays taxes in accordance with tax regulations without gross-ups.</w:t>
      </w:r>
    </w:p>
    <w:p>
      <w:pPr>
        <w:spacing w:after="0" w:line="344" w:lineRule="exact"/>
        <w:rPr>
          <w:sz w:val="20"/>
          <w:szCs w:val="20"/>
          <w:color w:val="auto"/>
        </w:rPr>
      </w:pPr>
    </w:p>
    <w:p>
      <w:pPr>
        <w:ind w:left="289" w:right="220"/>
        <w:spacing w:after="0" w:line="262" w:lineRule="auto"/>
        <w:rPr>
          <w:sz w:val="20"/>
          <w:szCs w:val="20"/>
          <w:color w:val="auto"/>
        </w:rPr>
      </w:pPr>
      <w:r>
        <w:rPr>
          <w:rFonts w:ascii="Arial" w:cs="Arial" w:eastAsia="Arial" w:hAnsi="Arial"/>
          <w:sz w:val="16"/>
          <w:szCs w:val="16"/>
          <w:color w:val="auto"/>
        </w:rPr>
        <w:t>The totals shown in the table include a financial planning services allowance for each NEO: R. Michael: $10,000; S. Reents: $ 10,000; J. Stewart: $10,000; A. Saleki-Gerhardt: $10,000; and R. Thakkar: $10,000. AbbVie imputes income to the NEO, if required, and the NEO pays taxes in accordance with tax regulations without gross-ups.</w:t>
      </w:r>
    </w:p>
    <w:p>
      <w:pPr>
        <w:spacing w:after="0" w:line="148" w:lineRule="exact"/>
        <w:rPr>
          <w:sz w:val="20"/>
          <w:szCs w:val="20"/>
          <w:color w:val="auto"/>
        </w:rPr>
      </w:pPr>
    </w:p>
    <w:p>
      <w:pPr>
        <w:ind w:left="289" w:right="240"/>
        <w:spacing w:after="0" w:line="251" w:lineRule="auto"/>
        <w:rPr>
          <w:sz w:val="20"/>
          <w:szCs w:val="20"/>
          <w:color w:val="auto"/>
        </w:rPr>
      </w:pPr>
      <w:r>
        <w:rPr>
          <w:rFonts w:ascii="Arial" w:cs="Arial" w:eastAsia="Arial" w:hAnsi="Arial"/>
          <w:sz w:val="16"/>
          <w:szCs w:val="16"/>
          <w:color w:val="auto"/>
        </w:rPr>
        <w:t>The totals shown in the table include the following costs for non-business-related air travel and services less the amount reimbursed by the NEO: R. Michael: $212,609; S. Reents: $41,403; and R. Thakkar: $23,966. AbbVie determines the incremental cost for flights based on the direct cost to AbbVie, including fuel costs, parking, handling and landing fees, catering, travel fees, and other miscellaneous direct costs. AbbVie imputes income to the NEO, if required, and the NEO pays taxes in accordance with tax regulations without gross-ups.</w:t>
      </w:r>
    </w:p>
    <w:p>
      <w:pPr>
        <w:spacing w:after="0" w:line="158" w:lineRule="exact"/>
        <w:rPr>
          <w:sz w:val="20"/>
          <w:szCs w:val="20"/>
          <w:color w:val="auto"/>
        </w:rPr>
      </w:pPr>
    </w:p>
    <w:p>
      <w:pPr>
        <w:ind w:left="289" w:right="320"/>
        <w:spacing w:after="0" w:line="283" w:lineRule="auto"/>
        <w:rPr>
          <w:sz w:val="20"/>
          <w:szCs w:val="20"/>
          <w:color w:val="auto"/>
        </w:rPr>
      </w:pPr>
      <w:r>
        <w:rPr>
          <w:rFonts w:ascii="Arial" w:cs="Arial" w:eastAsia="Arial" w:hAnsi="Arial"/>
          <w:sz w:val="16"/>
          <w:szCs w:val="16"/>
          <w:color w:val="auto"/>
        </w:rPr>
        <w:t>The totals shown in the table also include the cost of seasonal gifts for all NEOs. AbbVie imputes income to the NEO, if required, and the NEO pays taxes in accordance with tax regulations without gross-ups.</w:t>
      </w:r>
    </w:p>
    <w:p>
      <w:pPr>
        <w:spacing w:after="0" w:line="132" w:lineRule="exact"/>
        <w:rPr>
          <w:sz w:val="20"/>
          <w:szCs w:val="20"/>
          <w:color w:val="auto"/>
        </w:rPr>
      </w:pPr>
    </w:p>
    <w:p>
      <w:pPr>
        <w:ind w:left="289" w:right="140"/>
        <w:spacing w:after="0" w:line="283" w:lineRule="auto"/>
        <w:rPr>
          <w:sz w:val="20"/>
          <w:szCs w:val="20"/>
          <w:color w:val="auto"/>
        </w:rPr>
      </w:pPr>
      <w:r>
        <w:rPr>
          <w:rFonts w:ascii="Arial" w:cs="Arial" w:eastAsia="Arial" w:hAnsi="Arial"/>
          <w:sz w:val="16"/>
          <w:szCs w:val="16"/>
          <w:color w:val="auto"/>
        </w:rPr>
        <w:t>The NEOs also are eligible to receive an annual executive physical, as well as participate in an executive disability benefit described in the “Potential Payments upon Termination or Change in Control” section of this proxy statement.</w:t>
      </w:r>
    </w:p>
    <w:p>
      <w:pPr>
        <w:spacing w:after="0" w:line="200" w:lineRule="exact"/>
        <w:rPr>
          <w:sz w:val="20"/>
          <w:szCs w:val="20"/>
          <w:color w:val="auto"/>
        </w:rPr>
      </w:pPr>
    </w:p>
    <w:p>
      <w:pPr>
        <w:spacing w:after="0" w:line="320"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52</w:t>
      </w:r>
      <w:r>
        <w:rPr>
          <w:sz w:val="20"/>
          <w:szCs w:val="20"/>
          <w:color w:val="auto"/>
        </w:rPr>
        <w:tab/>
      </w:r>
      <w:r>
        <w:rPr>
          <w:sz w:val="1"/>
          <w:szCs w:val="1"/>
          <w:color w:val="auto"/>
        </w:rPr>
        <w:drawing>
          <wp:inline distT="0" distB="0" distL="0" distR="0">
            <wp:extent cx="797560" cy="14859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49"/>
          </w:cols>
          <w:pgMar w:left="1311" w:top="480" w:right="1339" w:bottom="1440" w:gutter="0" w:footer="0" w:header="0"/>
        </w:sectPr>
      </w:pPr>
    </w:p>
    <w:bookmarkStart w:id="55" w:name="page56"/>
    <w:bookmarkEnd w:id="55"/>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6969"/>
        <w:spacing w:after="0"/>
        <w:rPr>
          <w:sz w:val="20"/>
          <w:szCs w:val="20"/>
          <w:color w:val="auto"/>
        </w:rPr>
      </w:pPr>
      <w:r>
        <w:rPr>
          <w:rFonts w:ascii="Arial" w:cs="Arial" w:eastAsia="Arial" w:hAnsi="Arial"/>
          <w:sz w:val="16"/>
          <w:szCs w:val="16"/>
          <w:color w:val="808080"/>
        </w:rPr>
        <w:t>EXECUTIVE COMPENSATION</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30"/>
          <w:szCs w:val="30"/>
          <w:color w:val="auto"/>
        </w:rPr>
        <w:t>2025 Grants of Plan-Based Awards</w:t>
      </w:r>
    </w:p>
    <w:p>
      <w:pPr>
        <w:spacing w:after="0" w:line="204" w:lineRule="exact"/>
        <w:rPr>
          <w:sz w:val="20"/>
          <w:szCs w:val="20"/>
          <w:color w:val="auto"/>
        </w:rPr>
      </w:pPr>
    </w:p>
    <w:p>
      <w:pPr>
        <w:ind w:left="9" w:right="80"/>
        <w:spacing w:after="0" w:line="283" w:lineRule="auto"/>
        <w:rPr>
          <w:sz w:val="20"/>
          <w:szCs w:val="20"/>
          <w:color w:val="auto"/>
        </w:rPr>
      </w:pPr>
      <w:r>
        <w:rPr>
          <w:rFonts w:ascii="Arial" w:cs="Arial" w:eastAsia="Arial" w:hAnsi="Arial"/>
          <w:sz w:val="16"/>
          <w:szCs w:val="16"/>
          <w:color w:val="auto"/>
        </w:rPr>
        <w:t>The following table shows information about non-equity incentive awards and summarizes the equity awards granted under the AbbVie Amended and Restated 2013 Incentive Stock Program to the NEOs during 2025.</w:t>
      </w:r>
    </w:p>
    <w:p>
      <w:pPr>
        <w:spacing w:after="0" w:line="399" w:lineRule="exact"/>
        <w:rPr>
          <w:sz w:val="20"/>
          <w:szCs w:val="20"/>
          <w:color w:val="auto"/>
        </w:rPr>
      </w:pPr>
    </w:p>
    <w:tbl>
      <w:tblPr>
        <w:tblLayout w:type="fixed"/>
        <w:tblInd w:w="9" w:type="dxa"/>
        <w:tblCellMar>
          <w:top w:w="0" w:type="dxa"/>
          <w:left w:w="0" w:type="dxa"/>
          <w:bottom w:w="0" w:type="dxa"/>
          <w:right w:w="0" w:type="dxa"/>
        </w:tblCellMar>
      </w:tblPr>
      <w:tr>
        <w:trPr>
          <w:trHeight w:val="126"/>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454968"/>
              </w:rPr>
              <w:t>All Other</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Option</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b w:val="1"/>
                <w:bCs w:val="1"/>
                <w:color w:val="454968"/>
              </w:rPr>
              <w:t>Exercise</w:t>
            </w:r>
          </w:p>
        </w:tc>
        <w:tc>
          <w:tcPr>
            <w:tcW w:w="2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454968"/>
              </w:rPr>
              <w:t>Grant Date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gridSpan w:val="5"/>
            <w:vMerge w:val="restart"/>
          </w:tcPr>
          <w:p>
            <w:pPr>
              <w:jc w:val="right"/>
              <w:ind w:right="263"/>
              <w:spacing w:after="0"/>
              <w:rPr>
                <w:sz w:val="20"/>
                <w:szCs w:val="20"/>
                <w:color w:val="auto"/>
              </w:rPr>
            </w:pPr>
            <w:r>
              <w:rPr>
                <w:rFonts w:ascii="Arial" w:cs="Arial" w:eastAsia="Arial" w:hAnsi="Arial"/>
                <w:sz w:val="11"/>
                <w:szCs w:val="11"/>
                <w:b w:val="1"/>
                <w:bCs w:val="1"/>
                <w:color w:val="454968"/>
              </w:rPr>
              <w:t>Estimated Future Payouts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20" w:type="dxa"/>
            <w:vAlign w:val="bottom"/>
            <w:gridSpan w:val="5"/>
            <w:vMerge w:val="restart"/>
          </w:tcPr>
          <w:p>
            <w:pPr>
              <w:jc w:val="center"/>
              <w:ind w:right="3"/>
              <w:spacing w:after="0"/>
              <w:rPr>
                <w:sz w:val="20"/>
                <w:szCs w:val="20"/>
                <w:color w:val="auto"/>
              </w:rPr>
            </w:pPr>
            <w:r>
              <w:rPr>
                <w:rFonts w:ascii="Arial" w:cs="Arial" w:eastAsia="Arial" w:hAnsi="Arial"/>
                <w:sz w:val="11"/>
                <w:szCs w:val="11"/>
                <w:b w:val="1"/>
                <w:bCs w:val="1"/>
                <w:color w:val="454968"/>
              </w:rPr>
              <w:t>Estimated Future Payouts</w:t>
            </w:r>
          </w:p>
        </w:tc>
        <w:tc>
          <w:tcPr>
            <w:tcW w:w="12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Awards:</w:t>
            </w: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2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Numbers of</w:t>
            </w:r>
          </w:p>
        </w:tc>
        <w:tc>
          <w:tcPr>
            <w:tcW w:w="14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or Base</w:t>
            </w:r>
          </w:p>
        </w:tc>
        <w:tc>
          <w:tcPr>
            <w:tcW w:w="2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Fair Value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20" w:type="dxa"/>
            <w:vAlign w:val="bottom"/>
            <w:gridSpan w:val="4"/>
          </w:tcPr>
          <w:p>
            <w:pPr>
              <w:jc w:val="right"/>
              <w:ind w:right="483"/>
              <w:spacing w:after="0" w:line="123" w:lineRule="exact"/>
              <w:rPr>
                <w:sz w:val="20"/>
                <w:szCs w:val="20"/>
                <w:color w:val="auto"/>
              </w:rPr>
            </w:pPr>
            <w:r>
              <w:rPr>
                <w:rFonts w:ascii="Arial" w:cs="Arial" w:eastAsia="Arial" w:hAnsi="Arial"/>
                <w:sz w:val="11"/>
                <w:szCs w:val="11"/>
                <w:b w:val="1"/>
                <w:bCs w:val="1"/>
                <w:color w:val="454968"/>
              </w:rPr>
              <w:t>Under Non-Equity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3"/>
          </w:tcPr>
          <w:p>
            <w:pPr>
              <w:jc w:val="center"/>
              <w:ind w:right="195"/>
              <w:spacing w:after="0" w:line="123" w:lineRule="exact"/>
              <w:rPr>
                <w:sz w:val="20"/>
                <w:szCs w:val="20"/>
                <w:color w:val="auto"/>
              </w:rPr>
            </w:pPr>
            <w:r>
              <w:rPr>
                <w:rFonts w:ascii="Arial" w:cs="Arial" w:eastAsia="Arial" w:hAnsi="Arial"/>
                <w:sz w:val="11"/>
                <w:szCs w:val="11"/>
                <w:b w:val="1"/>
                <w:bCs w:val="1"/>
                <w:color w:val="454968"/>
              </w:rPr>
              <w:t>Under Equity</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Securities</w:t>
            </w:r>
          </w:p>
        </w:tc>
        <w:tc>
          <w:tcPr>
            <w:tcW w:w="14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Price of</w:t>
            </w:r>
          </w:p>
        </w:tc>
        <w:tc>
          <w:tcPr>
            <w:tcW w:w="2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of Stock</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071D49"/>
            </w:tcBorders>
          </w:tcPr>
          <w:p>
            <w:pPr>
              <w:spacing w:after="0"/>
              <w:rPr>
                <w:sz w:val="12"/>
                <w:szCs w:val="12"/>
                <w:color w:val="auto"/>
              </w:rPr>
            </w:pPr>
          </w:p>
        </w:tc>
        <w:tc>
          <w:tcPr>
            <w:tcW w:w="140" w:type="dxa"/>
            <w:vAlign w:val="bottom"/>
            <w:tcBorders>
              <w:bottom w:val="single" w:sz="8" w:color="071D49"/>
            </w:tcBorders>
          </w:tcPr>
          <w:p>
            <w:pPr>
              <w:spacing w:after="0"/>
              <w:rPr>
                <w:sz w:val="12"/>
                <w:szCs w:val="12"/>
                <w:color w:val="auto"/>
              </w:rPr>
            </w:pPr>
          </w:p>
        </w:tc>
        <w:tc>
          <w:tcPr>
            <w:tcW w:w="1940" w:type="dxa"/>
            <w:vAlign w:val="bottom"/>
            <w:tcBorders>
              <w:bottom w:val="single" w:sz="8" w:color="071D49"/>
            </w:tcBorders>
            <w:gridSpan w:val="5"/>
          </w:tcPr>
          <w:p>
            <w:pPr>
              <w:jc w:val="right"/>
              <w:ind w:right="323"/>
              <w:spacing w:after="0" w:line="141" w:lineRule="exact"/>
              <w:rPr>
                <w:sz w:val="20"/>
                <w:szCs w:val="20"/>
                <w:color w:val="auto"/>
              </w:rPr>
            </w:pPr>
            <w:r>
              <w:rPr>
                <w:rFonts w:ascii="Arial" w:cs="Arial" w:eastAsia="Arial" w:hAnsi="Arial"/>
                <w:sz w:val="11"/>
                <w:szCs w:val="11"/>
                <w:b w:val="1"/>
                <w:bCs w:val="1"/>
                <w:color w:val="454968"/>
              </w:rPr>
              <w:t>Incentive Plan Awards</w:t>
            </w:r>
            <w:r>
              <w:rPr>
                <w:rFonts w:ascii="Arial" w:cs="Arial" w:eastAsia="Arial" w:hAnsi="Arial"/>
                <w:sz w:val="16"/>
                <w:szCs w:val="16"/>
                <w:b w:val="1"/>
                <w:bCs w:val="1"/>
                <w:color w:val="454968"/>
                <w:vertAlign w:val="superscript"/>
              </w:rPr>
              <w:t>(1)</w:t>
            </w:r>
          </w:p>
        </w:tc>
        <w:tc>
          <w:tcPr>
            <w:tcW w:w="60" w:type="dxa"/>
            <w:vAlign w:val="bottom"/>
            <w:tcBorders>
              <w:bottom w:val="single" w:sz="8" w:color="071D49"/>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071D49"/>
            </w:tcBorders>
          </w:tcPr>
          <w:p>
            <w:pPr>
              <w:spacing w:after="0"/>
              <w:rPr>
                <w:sz w:val="12"/>
                <w:szCs w:val="12"/>
                <w:color w:val="auto"/>
              </w:rPr>
            </w:pPr>
          </w:p>
        </w:tc>
        <w:tc>
          <w:tcPr>
            <w:tcW w:w="1680" w:type="dxa"/>
            <w:vAlign w:val="bottom"/>
            <w:tcBorders>
              <w:bottom w:val="single" w:sz="8" w:color="071D49"/>
            </w:tcBorders>
            <w:gridSpan w:val="4"/>
          </w:tcPr>
          <w:p>
            <w:pPr>
              <w:jc w:val="center"/>
              <w:ind w:left="323"/>
              <w:spacing w:after="0"/>
              <w:rPr>
                <w:sz w:val="20"/>
                <w:szCs w:val="20"/>
                <w:color w:val="auto"/>
              </w:rPr>
            </w:pPr>
            <w:r>
              <w:rPr>
                <w:rFonts w:ascii="Arial" w:cs="Arial" w:eastAsia="Arial" w:hAnsi="Arial"/>
                <w:sz w:val="11"/>
                <w:szCs w:val="11"/>
                <w:b w:val="1"/>
                <w:bCs w:val="1"/>
                <w:color w:val="454968"/>
              </w:rPr>
              <w:t>Incentive Plan Awards</w:t>
            </w:r>
          </w:p>
        </w:tc>
        <w:tc>
          <w:tcPr>
            <w:tcW w:w="440" w:type="dxa"/>
            <w:vAlign w:val="bottom"/>
            <w:tcBorders>
              <w:bottom w:val="single" w:sz="8" w:color="071D49"/>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454968"/>
              </w:rPr>
              <w:t>Underlying</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454968"/>
              </w:rPr>
              <w:t>Option</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454968"/>
              </w:rPr>
              <w:t>and Option</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220" w:type="dxa"/>
            <w:vAlign w:val="bottom"/>
            <w:vMerge w:val="restart"/>
          </w:tcPr>
          <w:p>
            <w:pPr>
              <w:ind w:left="100"/>
              <w:spacing w:after="0"/>
              <w:rPr>
                <w:sz w:val="20"/>
                <w:szCs w:val="20"/>
                <w:color w:val="auto"/>
              </w:rPr>
            </w:pPr>
            <w:r>
              <w:rPr>
                <w:rFonts w:ascii="Arial" w:cs="Arial" w:eastAsia="Arial" w:hAnsi="Arial"/>
                <w:sz w:val="11"/>
                <w:szCs w:val="11"/>
                <w:b w:val="1"/>
                <w:bCs w:val="1"/>
                <w:color w:val="454968"/>
              </w:rPr>
              <w:t>Name</w:t>
            </w:r>
          </w:p>
        </w:tc>
        <w:tc>
          <w:tcPr>
            <w:tcW w:w="100" w:type="dxa"/>
            <w:vAlign w:val="bottom"/>
            <w:vMerge w:val="restart"/>
          </w:tcPr>
          <w:p>
            <w:pPr>
              <w:ind w:left="80"/>
              <w:spacing w:after="0"/>
              <w:rPr>
                <w:sz w:val="20"/>
                <w:szCs w:val="20"/>
                <w:color w:val="auto"/>
              </w:rPr>
            </w:pPr>
            <w:r>
              <w:rPr>
                <w:rFonts w:ascii="Arial" w:cs="Arial" w:eastAsia="Arial" w:hAnsi="Arial"/>
                <w:sz w:val="1"/>
                <w:szCs w:val="1"/>
                <w:b w:val="1"/>
                <w:bCs w:val="1"/>
                <w:color w:val="454968"/>
                <w:w w:val="4294942296"/>
              </w:rPr>
              <w:t>​</w:t>
            </w:r>
          </w:p>
        </w:tc>
        <w:tc>
          <w:tcPr>
            <w:tcW w:w="720" w:type="dxa"/>
            <w:vAlign w:val="bottom"/>
          </w:tcPr>
          <w:p>
            <w:pPr>
              <w:jc w:val="right"/>
              <w:spacing w:after="0" w:line="98" w:lineRule="exact"/>
              <w:rPr>
                <w:sz w:val="20"/>
                <w:szCs w:val="20"/>
                <w:color w:val="auto"/>
              </w:rPr>
            </w:pPr>
            <w:r>
              <w:rPr>
                <w:rFonts w:ascii="Arial" w:cs="Arial" w:eastAsia="Arial" w:hAnsi="Arial"/>
                <w:sz w:val="11"/>
                <w:szCs w:val="11"/>
                <w:b w:val="1"/>
                <w:bCs w:val="1"/>
                <w:color w:val="454968"/>
              </w:rPr>
              <w:t>Grant</w:t>
            </w:r>
          </w:p>
        </w:tc>
        <w:tc>
          <w:tcPr>
            <w:tcW w:w="1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454968"/>
              </w:rPr>
              <w:t>​</w:t>
            </w:r>
          </w:p>
        </w:tc>
        <w:tc>
          <w:tcPr>
            <w:tcW w:w="560" w:type="dxa"/>
            <w:vAlign w:val="bottom"/>
            <w:gridSpan w:val="2"/>
          </w:tcPr>
          <w:p>
            <w:pPr>
              <w:jc w:val="right"/>
              <w:spacing w:after="0" w:line="98" w:lineRule="exact"/>
              <w:rPr>
                <w:sz w:val="20"/>
                <w:szCs w:val="20"/>
                <w:color w:val="auto"/>
              </w:rPr>
            </w:pPr>
            <w:r>
              <w:rPr>
                <w:rFonts w:ascii="Arial" w:cs="Arial" w:eastAsia="Arial" w:hAnsi="Arial"/>
                <w:sz w:val="11"/>
                <w:szCs w:val="11"/>
                <w:b w:val="1"/>
                <w:bCs w:val="1"/>
                <w:color w:val="454968"/>
              </w:rPr>
              <w:t>Threshold</w:t>
            </w:r>
          </w:p>
        </w:tc>
        <w:tc>
          <w:tcPr>
            <w:tcW w:w="200" w:type="dxa"/>
            <w:vAlign w:val="bottom"/>
            <w:vMerge w:val="restart"/>
          </w:tcPr>
          <w:p>
            <w:pPr>
              <w:jc w:val="right"/>
              <w:spacing w:after="0"/>
              <w:rPr>
                <w:sz w:val="20"/>
                <w:szCs w:val="20"/>
                <w:color w:val="auto"/>
              </w:rPr>
            </w:pPr>
            <w:r>
              <w:rPr>
                <w:rFonts w:ascii="Arial" w:cs="Arial" w:eastAsia="Arial" w:hAnsi="Arial"/>
                <w:sz w:val="11"/>
                <w:szCs w:val="11"/>
                <w:b w:val="1"/>
                <w:bCs w:val="1"/>
                <w:color w:val="454968"/>
              </w:rPr>
              <w:t>​</w:t>
            </w:r>
          </w:p>
        </w:tc>
        <w:tc>
          <w:tcPr>
            <w:tcW w:w="560" w:type="dxa"/>
            <w:vAlign w:val="bottom"/>
          </w:tcPr>
          <w:p>
            <w:pPr>
              <w:jc w:val="right"/>
              <w:spacing w:after="0" w:line="98" w:lineRule="exact"/>
              <w:rPr>
                <w:sz w:val="20"/>
                <w:szCs w:val="20"/>
                <w:color w:val="auto"/>
              </w:rPr>
            </w:pPr>
            <w:r>
              <w:rPr>
                <w:rFonts w:ascii="Arial" w:cs="Arial" w:eastAsia="Arial" w:hAnsi="Arial"/>
                <w:sz w:val="11"/>
                <w:szCs w:val="11"/>
                <w:b w:val="1"/>
                <w:bCs w:val="1"/>
                <w:color w:val="454968"/>
              </w:rPr>
              <w:t>Target</w:t>
            </w:r>
          </w:p>
        </w:tc>
        <w:tc>
          <w:tcPr>
            <w:tcW w:w="160" w:type="dxa"/>
            <w:vAlign w:val="bottom"/>
            <w:vMerge w:val="restart"/>
          </w:tcPr>
          <w:p>
            <w:pPr>
              <w:jc w:val="right"/>
              <w:spacing w:after="0"/>
              <w:rPr>
                <w:sz w:val="20"/>
                <w:szCs w:val="20"/>
                <w:color w:val="auto"/>
              </w:rPr>
            </w:pPr>
            <w:r>
              <w:rPr>
                <w:rFonts w:ascii="Arial" w:cs="Arial" w:eastAsia="Arial" w:hAnsi="Arial"/>
                <w:sz w:val="11"/>
                <w:szCs w:val="11"/>
                <w:b w:val="1"/>
                <w:bCs w:val="1"/>
                <w:color w:val="454968"/>
              </w:rPr>
              <w:t>​</w:t>
            </w:r>
          </w:p>
        </w:tc>
        <w:tc>
          <w:tcPr>
            <w:tcW w:w="600" w:type="dxa"/>
            <w:vAlign w:val="bottom"/>
          </w:tcPr>
          <w:p>
            <w:pPr>
              <w:jc w:val="right"/>
              <w:ind w:right="3"/>
              <w:spacing w:after="0" w:line="98" w:lineRule="exact"/>
              <w:rPr>
                <w:sz w:val="20"/>
                <w:szCs w:val="20"/>
                <w:color w:val="auto"/>
              </w:rPr>
            </w:pPr>
            <w:r>
              <w:rPr>
                <w:rFonts w:ascii="Arial" w:cs="Arial" w:eastAsia="Arial" w:hAnsi="Arial"/>
                <w:sz w:val="11"/>
                <w:szCs w:val="11"/>
                <w:b w:val="1"/>
                <w:bCs w:val="1"/>
                <w:color w:val="454968"/>
              </w:rPr>
              <w:t>Maximum</w:t>
            </w:r>
          </w:p>
        </w:tc>
        <w:tc>
          <w:tcPr>
            <w:tcW w:w="1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454968"/>
              </w:rPr>
              <w:t>​ ​</w:t>
            </w:r>
          </w:p>
        </w:tc>
        <w:tc>
          <w:tcPr>
            <w:tcW w:w="620" w:type="dxa"/>
            <w:vAlign w:val="bottom"/>
          </w:tcPr>
          <w:p>
            <w:pPr>
              <w:jc w:val="right"/>
              <w:ind w:right="3"/>
              <w:spacing w:after="0" w:line="98" w:lineRule="exact"/>
              <w:rPr>
                <w:sz w:val="20"/>
                <w:szCs w:val="20"/>
                <w:color w:val="auto"/>
              </w:rPr>
            </w:pPr>
            <w:r>
              <w:rPr>
                <w:rFonts w:ascii="Arial" w:cs="Arial" w:eastAsia="Arial" w:hAnsi="Arial"/>
                <w:sz w:val="11"/>
                <w:szCs w:val="11"/>
                <w:b w:val="1"/>
                <w:bCs w:val="1"/>
                <w:color w:val="454968"/>
              </w:rPr>
              <w:t>Threshold</w:t>
            </w:r>
          </w:p>
        </w:tc>
        <w:tc>
          <w:tcPr>
            <w:tcW w:w="200" w:type="dxa"/>
            <w:vAlign w:val="bottom"/>
            <w:vMerge w:val="restart"/>
          </w:tcPr>
          <w:p>
            <w:pPr>
              <w:ind w:left="80"/>
              <w:spacing w:after="0"/>
              <w:rPr>
                <w:sz w:val="20"/>
                <w:szCs w:val="20"/>
                <w:color w:val="auto"/>
              </w:rPr>
            </w:pPr>
            <w:r>
              <w:rPr>
                <w:rFonts w:ascii="Arial" w:cs="Arial" w:eastAsia="Arial" w:hAnsi="Arial"/>
                <w:sz w:val="11"/>
                <w:szCs w:val="11"/>
                <w:b w:val="1"/>
                <w:bCs w:val="1"/>
                <w:color w:val="454968"/>
              </w:rPr>
              <w:t>​</w:t>
            </w:r>
          </w:p>
        </w:tc>
        <w:tc>
          <w:tcPr>
            <w:tcW w:w="460" w:type="dxa"/>
            <w:vAlign w:val="bottom"/>
          </w:tcPr>
          <w:p>
            <w:pPr>
              <w:jc w:val="right"/>
              <w:spacing w:after="0" w:line="98" w:lineRule="exact"/>
              <w:rPr>
                <w:sz w:val="20"/>
                <w:szCs w:val="20"/>
                <w:color w:val="auto"/>
              </w:rPr>
            </w:pPr>
            <w:r>
              <w:rPr>
                <w:rFonts w:ascii="Arial" w:cs="Arial" w:eastAsia="Arial" w:hAnsi="Arial"/>
                <w:sz w:val="11"/>
                <w:szCs w:val="11"/>
                <w:b w:val="1"/>
                <w:bCs w:val="1"/>
                <w:color w:val="454968"/>
              </w:rPr>
              <w:t>Target</w:t>
            </w:r>
          </w:p>
        </w:tc>
        <w:tc>
          <w:tcPr>
            <w:tcW w:w="840" w:type="dxa"/>
            <w:vAlign w:val="bottom"/>
            <w:gridSpan w:val="2"/>
          </w:tcPr>
          <w:p>
            <w:pPr>
              <w:jc w:val="right"/>
              <w:ind w:right="3"/>
              <w:spacing w:after="0" w:line="98" w:lineRule="exact"/>
              <w:rPr>
                <w:sz w:val="20"/>
                <w:szCs w:val="20"/>
                <w:color w:val="auto"/>
              </w:rPr>
            </w:pPr>
            <w:r>
              <w:rPr>
                <w:rFonts w:ascii="Arial" w:cs="Arial" w:eastAsia="Arial" w:hAnsi="Arial"/>
                <w:sz w:val="11"/>
                <w:szCs w:val="11"/>
                <w:b w:val="1"/>
                <w:bCs w:val="1"/>
                <w:color w:val="454968"/>
              </w:rPr>
              <w:t>Maximum</w:t>
            </w:r>
          </w:p>
        </w:tc>
        <w:tc>
          <w:tcPr>
            <w:tcW w:w="120" w:type="dxa"/>
            <w:vAlign w:val="bottom"/>
            <w:vMerge w:val="restart"/>
          </w:tcPr>
          <w:p>
            <w:pPr>
              <w:ind w:left="60"/>
              <w:spacing w:after="0"/>
              <w:rPr>
                <w:sz w:val="20"/>
                <w:szCs w:val="20"/>
                <w:color w:val="auto"/>
              </w:rPr>
            </w:pPr>
            <w:r>
              <w:rPr>
                <w:rFonts w:ascii="Arial" w:cs="Arial" w:eastAsia="Arial" w:hAnsi="Arial"/>
                <w:sz w:val="11"/>
                <w:szCs w:val="11"/>
                <w:b w:val="1"/>
                <w:bCs w:val="1"/>
                <w:color w:val="454968"/>
              </w:rPr>
              <w:t>​</w:t>
            </w:r>
          </w:p>
        </w:tc>
        <w:tc>
          <w:tcPr>
            <w:tcW w:w="700" w:type="dxa"/>
            <w:vAlign w:val="bottom"/>
          </w:tcPr>
          <w:p>
            <w:pPr>
              <w:jc w:val="right"/>
              <w:spacing w:after="0" w:line="98" w:lineRule="exact"/>
              <w:rPr>
                <w:sz w:val="20"/>
                <w:szCs w:val="20"/>
                <w:color w:val="auto"/>
              </w:rPr>
            </w:pPr>
            <w:r>
              <w:rPr>
                <w:rFonts w:ascii="Arial" w:cs="Arial" w:eastAsia="Arial" w:hAnsi="Arial"/>
                <w:sz w:val="11"/>
                <w:szCs w:val="11"/>
                <w:b w:val="1"/>
                <w:bCs w:val="1"/>
                <w:color w:val="454968"/>
              </w:rPr>
              <w:t>Options</w:t>
            </w:r>
          </w:p>
        </w:tc>
        <w:tc>
          <w:tcPr>
            <w:tcW w:w="140" w:type="dxa"/>
            <w:vAlign w:val="bottom"/>
            <w:vMerge w:val="restart"/>
          </w:tcPr>
          <w:p>
            <w:pPr>
              <w:jc w:val="right"/>
              <w:spacing w:after="0"/>
              <w:rPr>
                <w:sz w:val="20"/>
                <w:szCs w:val="20"/>
                <w:color w:val="auto"/>
              </w:rPr>
            </w:pPr>
            <w:r>
              <w:rPr>
                <w:rFonts w:ascii="Arial" w:cs="Arial" w:eastAsia="Arial" w:hAnsi="Arial"/>
                <w:sz w:val="11"/>
                <w:szCs w:val="11"/>
                <w:b w:val="1"/>
                <w:bCs w:val="1"/>
                <w:color w:val="454968"/>
              </w:rPr>
              <w:t>​</w:t>
            </w:r>
          </w:p>
        </w:tc>
        <w:tc>
          <w:tcPr>
            <w:tcW w:w="620" w:type="dxa"/>
            <w:vAlign w:val="bottom"/>
          </w:tcPr>
          <w:p>
            <w:pPr>
              <w:jc w:val="right"/>
              <w:spacing w:after="0" w:line="98" w:lineRule="exact"/>
              <w:rPr>
                <w:sz w:val="20"/>
                <w:szCs w:val="20"/>
                <w:color w:val="auto"/>
              </w:rPr>
            </w:pPr>
            <w:r>
              <w:rPr>
                <w:rFonts w:ascii="Arial" w:cs="Arial" w:eastAsia="Arial" w:hAnsi="Arial"/>
                <w:sz w:val="11"/>
                <w:szCs w:val="11"/>
                <w:b w:val="1"/>
                <w:bCs w:val="1"/>
                <w:color w:val="454968"/>
              </w:rPr>
              <w:t>Awards</w:t>
            </w:r>
          </w:p>
        </w:tc>
        <w:tc>
          <w:tcPr>
            <w:tcW w:w="24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454968"/>
              </w:rPr>
              <w:t>​</w:t>
            </w:r>
          </w:p>
        </w:tc>
        <w:tc>
          <w:tcPr>
            <w:tcW w:w="720" w:type="dxa"/>
            <w:vAlign w:val="bottom"/>
          </w:tcPr>
          <w:p>
            <w:pPr>
              <w:jc w:val="right"/>
              <w:spacing w:after="0" w:line="98" w:lineRule="exact"/>
              <w:rPr>
                <w:sz w:val="20"/>
                <w:szCs w:val="20"/>
                <w:color w:val="auto"/>
              </w:rPr>
            </w:pPr>
            <w:r>
              <w:rPr>
                <w:rFonts w:ascii="Arial" w:cs="Arial" w:eastAsia="Arial" w:hAnsi="Arial"/>
                <w:sz w:val="11"/>
                <w:szCs w:val="11"/>
                <w:b w:val="1"/>
                <w:bCs w:val="1"/>
                <w:color w:val="454968"/>
              </w:rPr>
              <w:t>Awards</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220" w:type="dxa"/>
            <w:vAlign w:val="bottom"/>
            <w:tcBorders>
              <w:bottom w:val="single" w:sz="8" w:color="071D49"/>
            </w:tcBorders>
            <w:vMerge w:val="continue"/>
          </w:tcPr>
          <w:p>
            <w:pPr>
              <w:spacing w:after="0"/>
              <w:rPr>
                <w:sz w:val="12"/>
                <w:szCs w:val="12"/>
                <w:color w:val="auto"/>
              </w:rPr>
            </w:pPr>
          </w:p>
        </w:tc>
        <w:tc>
          <w:tcPr>
            <w:tcW w:w="100" w:type="dxa"/>
            <w:vAlign w:val="bottom"/>
            <w:tcBorders>
              <w:bottom w:val="single" w:sz="8" w:color="071D49"/>
            </w:tcBorders>
            <w:vMerge w:val="continue"/>
          </w:tcPr>
          <w:p>
            <w:pPr>
              <w:spacing w:after="0"/>
              <w:rPr>
                <w:sz w:val="12"/>
                <w:szCs w:val="12"/>
                <w:color w:val="auto"/>
              </w:rPr>
            </w:pPr>
          </w:p>
        </w:tc>
        <w:tc>
          <w:tcPr>
            <w:tcW w:w="72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454968"/>
              </w:rPr>
              <w:t>Date</w:t>
            </w:r>
          </w:p>
        </w:tc>
        <w:tc>
          <w:tcPr>
            <w:tcW w:w="120" w:type="dxa"/>
            <w:vAlign w:val="bottom"/>
            <w:tcBorders>
              <w:bottom w:val="single" w:sz="8" w:color="071D49"/>
            </w:tcBorders>
            <w:gridSpan w:val="2"/>
            <w:vMerge w:val="continue"/>
          </w:tcPr>
          <w:p>
            <w:pPr>
              <w:spacing w:after="0"/>
              <w:rPr>
                <w:sz w:val="12"/>
                <w:szCs w:val="12"/>
                <w:color w:val="auto"/>
              </w:rPr>
            </w:pPr>
          </w:p>
        </w:tc>
        <w:tc>
          <w:tcPr>
            <w:tcW w:w="560" w:type="dxa"/>
            <w:vAlign w:val="bottom"/>
            <w:tcBorders>
              <w:bottom w:val="single" w:sz="8" w:color="071D49"/>
            </w:tcBorders>
            <w:gridSpan w:val="2"/>
          </w:tcPr>
          <w:p>
            <w:pPr>
              <w:jc w:val="right"/>
              <w:spacing w:after="0"/>
              <w:rPr>
                <w:sz w:val="20"/>
                <w:szCs w:val="20"/>
                <w:color w:val="auto"/>
              </w:rPr>
            </w:pPr>
            <w:r>
              <w:rPr>
                <w:rFonts w:ascii="Arial" w:cs="Arial" w:eastAsia="Arial" w:hAnsi="Arial"/>
                <w:sz w:val="11"/>
                <w:szCs w:val="11"/>
                <w:b w:val="1"/>
                <w:bCs w:val="1"/>
                <w:color w:val="454968"/>
              </w:rPr>
              <w:t>($)</w:t>
            </w:r>
          </w:p>
        </w:tc>
        <w:tc>
          <w:tcPr>
            <w:tcW w:w="200" w:type="dxa"/>
            <w:vAlign w:val="bottom"/>
            <w:tcBorders>
              <w:bottom w:val="single" w:sz="8" w:color="071D49"/>
            </w:tcBorders>
            <w:vMerge w:val="continue"/>
          </w:tcPr>
          <w:p>
            <w:pPr>
              <w:spacing w:after="0"/>
              <w:rPr>
                <w:sz w:val="12"/>
                <w:szCs w:val="12"/>
                <w:color w:val="auto"/>
              </w:rPr>
            </w:pPr>
          </w:p>
        </w:tc>
        <w:tc>
          <w:tcPr>
            <w:tcW w:w="56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454968"/>
              </w:rPr>
              <w:t>($)</w:t>
            </w:r>
          </w:p>
        </w:tc>
        <w:tc>
          <w:tcPr>
            <w:tcW w:w="160" w:type="dxa"/>
            <w:vAlign w:val="bottom"/>
            <w:tcBorders>
              <w:bottom w:val="single" w:sz="8" w:color="071D49"/>
            </w:tcBorders>
            <w:vMerge w:val="continue"/>
          </w:tcPr>
          <w:p>
            <w:pPr>
              <w:spacing w:after="0"/>
              <w:rPr>
                <w:sz w:val="12"/>
                <w:szCs w:val="12"/>
                <w:color w:val="auto"/>
              </w:rPr>
            </w:pPr>
          </w:p>
        </w:tc>
        <w:tc>
          <w:tcPr>
            <w:tcW w:w="600" w:type="dxa"/>
            <w:vAlign w:val="bottom"/>
            <w:tcBorders>
              <w:bottom w:val="single" w:sz="8" w:color="071D49"/>
            </w:tcBorders>
          </w:tcPr>
          <w:p>
            <w:pPr>
              <w:jc w:val="right"/>
              <w:ind w:right="3"/>
              <w:spacing w:after="0"/>
              <w:rPr>
                <w:sz w:val="20"/>
                <w:szCs w:val="20"/>
                <w:color w:val="auto"/>
              </w:rPr>
            </w:pPr>
            <w:r>
              <w:rPr>
                <w:rFonts w:ascii="Arial" w:cs="Arial" w:eastAsia="Arial" w:hAnsi="Arial"/>
                <w:sz w:val="11"/>
                <w:szCs w:val="11"/>
                <w:b w:val="1"/>
                <w:bCs w:val="1"/>
                <w:color w:val="454968"/>
              </w:rPr>
              <w:t>($)</w:t>
            </w:r>
          </w:p>
        </w:tc>
        <w:tc>
          <w:tcPr>
            <w:tcW w:w="180" w:type="dxa"/>
            <w:vAlign w:val="bottom"/>
            <w:tcBorders>
              <w:bottom w:val="single" w:sz="8" w:color="071D49"/>
            </w:tcBorders>
            <w:gridSpan w:val="3"/>
            <w:vMerge w:val="continue"/>
          </w:tcPr>
          <w:p>
            <w:pPr>
              <w:spacing w:after="0"/>
              <w:rPr>
                <w:sz w:val="12"/>
                <w:szCs w:val="12"/>
                <w:color w:val="auto"/>
              </w:rPr>
            </w:pPr>
          </w:p>
        </w:tc>
        <w:tc>
          <w:tcPr>
            <w:tcW w:w="620" w:type="dxa"/>
            <w:vAlign w:val="bottom"/>
            <w:tcBorders>
              <w:bottom w:val="single" w:sz="8" w:color="071D49"/>
            </w:tcBorders>
          </w:tcPr>
          <w:p>
            <w:pPr>
              <w:jc w:val="right"/>
              <w:ind w:right="3"/>
              <w:spacing w:after="0"/>
              <w:rPr>
                <w:sz w:val="20"/>
                <w:szCs w:val="20"/>
                <w:color w:val="auto"/>
              </w:rPr>
            </w:pPr>
            <w:r>
              <w:rPr>
                <w:rFonts w:ascii="Arial" w:cs="Arial" w:eastAsia="Arial" w:hAnsi="Arial"/>
                <w:sz w:val="11"/>
                <w:szCs w:val="11"/>
                <w:b w:val="1"/>
                <w:bCs w:val="1"/>
                <w:color w:val="454968"/>
              </w:rPr>
              <w:t>(#)</w:t>
            </w:r>
          </w:p>
        </w:tc>
        <w:tc>
          <w:tcPr>
            <w:tcW w:w="200" w:type="dxa"/>
            <w:vAlign w:val="bottom"/>
            <w:tcBorders>
              <w:bottom w:val="single" w:sz="8" w:color="071D49"/>
            </w:tcBorders>
            <w:vMerge w:val="continue"/>
          </w:tcPr>
          <w:p>
            <w:pPr>
              <w:spacing w:after="0"/>
              <w:rPr>
                <w:sz w:val="12"/>
                <w:szCs w:val="12"/>
                <w:color w:val="auto"/>
              </w:rPr>
            </w:pPr>
          </w:p>
        </w:tc>
        <w:tc>
          <w:tcPr>
            <w:tcW w:w="46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454968"/>
              </w:rPr>
              <w:t>(#)</w:t>
            </w:r>
          </w:p>
        </w:tc>
        <w:tc>
          <w:tcPr>
            <w:tcW w:w="400" w:type="dxa"/>
            <w:vAlign w:val="bottom"/>
            <w:tcBorders>
              <w:bottom w:val="single" w:sz="8" w:color="071D49"/>
            </w:tcBorders>
          </w:tcPr>
          <w:p>
            <w:pPr>
              <w:jc w:val="right"/>
              <w:ind w:right="135"/>
              <w:spacing w:after="0"/>
              <w:rPr>
                <w:sz w:val="20"/>
                <w:szCs w:val="20"/>
                <w:color w:val="auto"/>
              </w:rPr>
            </w:pPr>
            <w:r>
              <w:rPr>
                <w:rFonts w:ascii="Arial" w:cs="Arial" w:eastAsia="Arial" w:hAnsi="Arial"/>
                <w:sz w:val="11"/>
                <w:szCs w:val="11"/>
                <w:b w:val="1"/>
                <w:bCs w:val="1"/>
                <w:color w:val="454968"/>
              </w:rPr>
              <w:t>​</w:t>
            </w:r>
          </w:p>
        </w:tc>
        <w:tc>
          <w:tcPr>
            <w:tcW w:w="440" w:type="dxa"/>
            <w:vAlign w:val="bottom"/>
            <w:tcBorders>
              <w:bottom w:val="single" w:sz="8" w:color="071D49"/>
            </w:tcBorders>
          </w:tcPr>
          <w:p>
            <w:pPr>
              <w:jc w:val="right"/>
              <w:ind w:right="3"/>
              <w:spacing w:after="0"/>
              <w:rPr>
                <w:sz w:val="20"/>
                <w:szCs w:val="20"/>
                <w:color w:val="auto"/>
              </w:rPr>
            </w:pPr>
            <w:r>
              <w:rPr>
                <w:rFonts w:ascii="Arial" w:cs="Arial" w:eastAsia="Arial" w:hAnsi="Arial"/>
                <w:sz w:val="11"/>
                <w:szCs w:val="11"/>
                <w:b w:val="1"/>
                <w:bCs w:val="1"/>
                <w:color w:val="454968"/>
              </w:rPr>
              <w:t>(#)</w:t>
            </w:r>
          </w:p>
        </w:tc>
        <w:tc>
          <w:tcPr>
            <w:tcW w:w="120" w:type="dxa"/>
            <w:vAlign w:val="bottom"/>
            <w:tcBorders>
              <w:bottom w:val="single" w:sz="8" w:color="071D49"/>
            </w:tcBorders>
            <w:vMerge w:val="continue"/>
          </w:tcPr>
          <w:p>
            <w:pPr>
              <w:spacing w:after="0"/>
              <w:rPr>
                <w:sz w:val="12"/>
                <w:szCs w:val="12"/>
                <w:color w:val="auto"/>
              </w:rPr>
            </w:pPr>
          </w:p>
        </w:tc>
        <w:tc>
          <w:tcPr>
            <w:tcW w:w="70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454968"/>
              </w:rPr>
              <w:t>(#)</w:t>
            </w:r>
          </w:p>
        </w:tc>
        <w:tc>
          <w:tcPr>
            <w:tcW w:w="140" w:type="dxa"/>
            <w:vAlign w:val="bottom"/>
            <w:tcBorders>
              <w:bottom w:val="single" w:sz="8" w:color="071D49"/>
            </w:tcBorders>
            <w:vMerge w:val="continue"/>
          </w:tcPr>
          <w:p>
            <w:pPr>
              <w:spacing w:after="0"/>
              <w:rPr>
                <w:sz w:val="12"/>
                <w:szCs w:val="12"/>
                <w:color w:val="auto"/>
              </w:rPr>
            </w:pPr>
          </w:p>
        </w:tc>
        <w:tc>
          <w:tcPr>
            <w:tcW w:w="62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454968"/>
              </w:rPr>
              <w:t>($)</w:t>
            </w:r>
          </w:p>
        </w:tc>
        <w:tc>
          <w:tcPr>
            <w:tcW w:w="240" w:type="dxa"/>
            <w:vAlign w:val="bottom"/>
            <w:tcBorders>
              <w:bottom w:val="single" w:sz="8" w:color="071D49"/>
            </w:tcBorders>
            <w:vMerge w:val="continue"/>
          </w:tcPr>
          <w:p>
            <w:pPr>
              <w:spacing w:after="0"/>
              <w:rPr>
                <w:sz w:val="12"/>
                <w:szCs w:val="12"/>
                <w:color w:val="auto"/>
              </w:rPr>
            </w:pPr>
          </w:p>
        </w:tc>
        <w:tc>
          <w:tcPr>
            <w:tcW w:w="72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454968"/>
              </w:rPr>
              <w:t>($)</w:t>
            </w:r>
          </w:p>
        </w:tc>
        <w:tc>
          <w:tcPr>
            <w:tcW w:w="180" w:type="dxa"/>
            <w:vAlign w:val="bottom"/>
            <w:tcBorders>
              <w:bottom w:val="single" w:sz="8" w:color="071D49"/>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20" w:type="dxa"/>
            <w:vAlign w:val="bottom"/>
            <w:shd w:val="clear" w:color="auto" w:fill="D9D9D9"/>
          </w:tcPr>
          <w:p>
            <w:pPr>
              <w:ind w:left="100"/>
              <w:spacing w:after="0" w:line="115" w:lineRule="exact"/>
              <w:rPr>
                <w:sz w:val="20"/>
                <w:szCs w:val="20"/>
                <w:color w:val="auto"/>
              </w:rPr>
            </w:pPr>
            <w:r>
              <w:rPr>
                <w:rFonts w:ascii="Arial" w:cs="Arial" w:eastAsia="Arial" w:hAnsi="Arial"/>
                <w:sz w:val="11"/>
                <w:szCs w:val="11"/>
                <w:color w:val="auto"/>
              </w:rPr>
              <w:t>R. Michael</w:t>
            </w:r>
          </w:p>
        </w:tc>
        <w:tc>
          <w:tcPr>
            <w:tcW w:w="100" w:type="dxa"/>
            <w:vAlign w:val="bottom"/>
            <w:shd w:val="clear" w:color="auto" w:fill="D9D9D9"/>
          </w:tcPr>
          <w:p>
            <w:pPr>
              <w:spacing w:after="0"/>
              <w:rPr>
                <w:sz w:val="10"/>
                <w:szCs w:val="10"/>
                <w:color w:val="auto"/>
              </w:rPr>
            </w:pPr>
          </w:p>
        </w:tc>
        <w:tc>
          <w:tcPr>
            <w:tcW w:w="720" w:type="dxa"/>
            <w:vAlign w:val="bottom"/>
            <w:vMerge w:val="restart"/>
            <w:shd w:val="clear" w:color="auto" w:fill="D9D9D9"/>
          </w:tcPr>
          <w:p>
            <w:pPr>
              <w:jc w:val="right"/>
              <w:spacing w:after="0"/>
              <w:rPr>
                <w:sz w:val="20"/>
                <w:szCs w:val="20"/>
                <w:color w:val="auto"/>
              </w:rPr>
            </w:pPr>
            <w:r>
              <w:rPr>
                <w:rFonts w:ascii="Arial" w:cs="Arial" w:eastAsia="Arial" w:hAnsi="Arial"/>
                <w:sz w:val="11"/>
                <w:szCs w:val="11"/>
                <w:color w:val="auto"/>
              </w:rPr>
              <w:t>2/13/2025</w:t>
            </w:r>
          </w:p>
        </w:tc>
        <w:tc>
          <w:tcPr>
            <w:tcW w:w="8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560" w:type="dxa"/>
            <w:vAlign w:val="bottom"/>
            <w:gridSpan w:val="2"/>
            <w:shd w:val="clear" w:color="auto" w:fill="D9D9D9"/>
          </w:tcPr>
          <w:p>
            <w:pPr>
              <w:jc w:val="right"/>
              <w:spacing w:after="0"/>
              <w:rPr>
                <w:sz w:val="20"/>
                <w:szCs w:val="20"/>
                <w:color w:val="auto"/>
              </w:rPr>
            </w:pPr>
            <w:r>
              <w:rPr>
                <w:rFonts w:ascii="Arial" w:cs="Arial" w:eastAsia="Arial" w:hAnsi="Arial"/>
                <w:sz w:val="9"/>
                <w:szCs w:val="9"/>
                <w:color w:val="auto"/>
              </w:rPr>
              <w:t>(1)</w:t>
            </w:r>
          </w:p>
        </w:tc>
        <w:tc>
          <w:tcPr>
            <w:tcW w:w="20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w:t>
            </w:r>
          </w:p>
        </w:tc>
        <w:tc>
          <w:tcPr>
            <w:tcW w:w="56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2,805,000</w:t>
            </w:r>
          </w:p>
        </w:tc>
        <w:tc>
          <w:tcPr>
            <w:tcW w:w="160" w:type="dxa"/>
            <w:vAlign w:val="bottom"/>
            <w:shd w:val="clear" w:color="auto" w:fill="D9D9D9"/>
          </w:tcPr>
          <w:p>
            <w:pPr>
              <w:jc w:val="right"/>
              <w:ind w:right="23"/>
              <w:spacing w:after="0" w:line="115" w:lineRule="exact"/>
              <w:rPr>
                <w:sz w:val="20"/>
                <w:szCs w:val="20"/>
                <w:color w:val="auto"/>
              </w:rPr>
            </w:pPr>
            <w:r>
              <w:rPr>
                <w:rFonts w:ascii="Arial" w:cs="Arial" w:eastAsia="Arial" w:hAnsi="Arial"/>
                <w:sz w:val="11"/>
                <w:szCs w:val="11"/>
                <w:color w:val="auto"/>
                <w:w w:val="97"/>
              </w:rPr>
              <w:t>$</w:t>
            </w:r>
          </w:p>
        </w:tc>
        <w:tc>
          <w:tcPr>
            <w:tcW w:w="60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5,610,000</w:t>
            </w: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20" w:type="dxa"/>
            <w:vAlign w:val="bottom"/>
            <w:vMerge w:val="restart"/>
            <w:shd w:val="clear" w:color="auto" w:fill="D9D9D9"/>
          </w:tcPr>
          <w:p>
            <w:pPr>
              <w:jc w:val="right"/>
              <w:ind w:right="3"/>
              <w:spacing w:after="0"/>
              <w:rPr>
                <w:sz w:val="20"/>
                <w:szCs w:val="20"/>
                <w:color w:val="auto"/>
              </w:rPr>
            </w:pPr>
            <w:r>
              <w:rPr>
                <w:rFonts w:ascii="Arial" w:cs="Arial" w:eastAsia="Arial" w:hAnsi="Arial"/>
                <w:sz w:val="11"/>
                <w:szCs w:val="11"/>
                <w:color w:val="auto"/>
              </w:rPr>
              <w:t>12,444</w:t>
            </w:r>
          </w:p>
        </w:tc>
        <w:tc>
          <w:tcPr>
            <w:tcW w:w="200" w:type="dxa"/>
            <w:vAlign w:val="bottom"/>
            <w:shd w:val="clear" w:color="auto" w:fill="D9D9D9"/>
          </w:tcPr>
          <w:p>
            <w:pPr>
              <w:spacing w:after="0"/>
              <w:rPr>
                <w:sz w:val="10"/>
                <w:szCs w:val="10"/>
                <w:color w:val="auto"/>
              </w:rPr>
            </w:pPr>
          </w:p>
        </w:tc>
        <w:tc>
          <w:tcPr>
            <w:tcW w:w="460" w:type="dxa"/>
            <w:vAlign w:val="bottom"/>
            <w:vMerge w:val="restart"/>
            <w:shd w:val="clear" w:color="auto" w:fill="D9D9D9"/>
          </w:tcPr>
          <w:p>
            <w:pPr>
              <w:jc w:val="right"/>
              <w:spacing w:after="0"/>
              <w:rPr>
                <w:sz w:val="20"/>
                <w:szCs w:val="20"/>
                <w:color w:val="auto"/>
              </w:rPr>
            </w:pPr>
            <w:r>
              <w:rPr>
                <w:rFonts w:ascii="Arial" w:cs="Arial" w:eastAsia="Arial" w:hAnsi="Arial"/>
                <w:sz w:val="11"/>
                <w:szCs w:val="11"/>
                <w:color w:val="auto"/>
              </w:rPr>
              <w:t>33,184</w:t>
            </w:r>
          </w:p>
        </w:tc>
        <w:tc>
          <w:tcPr>
            <w:tcW w:w="400" w:type="dxa"/>
            <w:vAlign w:val="bottom"/>
            <w:vMerge w:val="restart"/>
            <w:shd w:val="clear" w:color="auto" w:fill="D9D9D9"/>
          </w:tcPr>
          <w:p>
            <w:pPr>
              <w:jc w:val="right"/>
              <w:ind w:right="235"/>
              <w:spacing w:after="0"/>
              <w:rPr>
                <w:sz w:val="20"/>
                <w:szCs w:val="20"/>
                <w:color w:val="auto"/>
              </w:rPr>
            </w:pPr>
            <w:r>
              <w:rPr>
                <w:rFonts w:ascii="Arial" w:cs="Arial" w:eastAsia="Arial" w:hAnsi="Arial"/>
                <w:sz w:val="9"/>
                <w:szCs w:val="9"/>
                <w:color w:val="auto"/>
                <w:w w:val="90"/>
              </w:rPr>
              <w:t>(2)</w:t>
            </w:r>
          </w:p>
        </w:tc>
        <w:tc>
          <w:tcPr>
            <w:tcW w:w="440" w:type="dxa"/>
            <w:vAlign w:val="bottom"/>
            <w:vMerge w:val="restart"/>
            <w:shd w:val="clear" w:color="auto" w:fill="D9D9D9"/>
          </w:tcPr>
          <w:p>
            <w:pPr>
              <w:jc w:val="right"/>
              <w:ind w:right="3"/>
              <w:spacing w:after="0"/>
              <w:rPr>
                <w:sz w:val="20"/>
                <w:szCs w:val="20"/>
                <w:color w:val="auto"/>
              </w:rPr>
            </w:pPr>
            <w:r>
              <w:rPr>
                <w:rFonts w:ascii="Arial" w:cs="Arial" w:eastAsia="Arial" w:hAnsi="Arial"/>
                <w:sz w:val="11"/>
                <w:szCs w:val="11"/>
                <w:color w:val="auto"/>
              </w:rPr>
              <w:t>82,960</w:t>
            </w:r>
          </w:p>
        </w:tc>
        <w:tc>
          <w:tcPr>
            <w:tcW w:w="120" w:type="dxa"/>
            <w:vAlign w:val="bottom"/>
            <w:shd w:val="clear" w:color="auto" w:fill="D9D9D9"/>
          </w:tcPr>
          <w:p>
            <w:pPr>
              <w:spacing w:after="0"/>
              <w:rPr>
                <w:sz w:val="10"/>
                <w:szCs w:val="10"/>
                <w:color w:val="auto"/>
              </w:rPr>
            </w:pPr>
          </w:p>
        </w:tc>
        <w:tc>
          <w:tcPr>
            <w:tcW w:w="70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240" w:type="dxa"/>
            <w:vAlign w:val="bottom"/>
            <w:vMerge w:val="restart"/>
            <w:shd w:val="clear" w:color="auto" w:fill="D9D9D9"/>
          </w:tcPr>
          <w:p>
            <w:pPr>
              <w:jc w:val="right"/>
              <w:ind w:right="43"/>
              <w:spacing w:after="0"/>
              <w:rPr>
                <w:sz w:val="20"/>
                <w:szCs w:val="20"/>
                <w:color w:val="auto"/>
              </w:rPr>
            </w:pPr>
            <w:r>
              <w:rPr>
                <w:rFonts w:ascii="Arial" w:cs="Arial" w:eastAsia="Arial" w:hAnsi="Arial"/>
                <w:sz w:val="11"/>
                <w:szCs w:val="11"/>
                <w:color w:val="auto"/>
              </w:rPr>
              <w:t>$</w:t>
            </w:r>
          </w:p>
        </w:tc>
        <w:tc>
          <w:tcPr>
            <w:tcW w:w="900" w:type="dxa"/>
            <w:vAlign w:val="bottom"/>
            <w:gridSpan w:val="2"/>
            <w:vMerge w:val="restart"/>
            <w:shd w:val="clear" w:color="auto" w:fill="D9D9D9"/>
          </w:tcPr>
          <w:p>
            <w:pPr>
              <w:jc w:val="right"/>
              <w:ind w:right="17"/>
              <w:spacing w:after="0"/>
              <w:rPr>
                <w:sz w:val="20"/>
                <w:szCs w:val="20"/>
                <w:color w:val="auto"/>
              </w:rPr>
            </w:pPr>
            <w:r>
              <w:rPr>
                <w:rFonts w:ascii="Arial" w:cs="Arial" w:eastAsia="Arial" w:hAnsi="Arial"/>
                <w:sz w:val="11"/>
                <w:szCs w:val="11"/>
                <w:color w:val="auto"/>
              </w:rPr>
              <w:t xml:space="preserve">6,868,756 </w:t>
            </w:r>
            <w:r>
              <w:rPr>
                <w:rFonts w:ascii="Arial" w:cs="Arial" w:eastAsia="Arial" w:hAnsi="Arial"/>
                <w:sz w:val="17"/>
                <w:szCs w:val="17"/>
                <w:color w:val="auto"/>
                <w:vertAlign w:val="superscript"/>
              </w:rPr>
              <w:t>(4)</w:t>
            </w:r>
          </w:p>
        </w:tc>
        <w:tc>
          <w:tcPr>
            <w:tcW w:w="0" w:type="dxa"/>
            <w:vAlign w:val="bottom"/>
          </w:tcPr>
          <w:p>
            <w:pPr>
              <w:spacing w:after="0"/>
              <w:rPr>
                <w:sz w:val="1"/>
                <w:szCs w:val="1"/>
                <w:color w:val="auto"/>
              </w:rPr>
            </w:pPr>
          </w:p>
        </w:tc>
      </w:tr>
      <w:tr>
        <w:trPr>
          <w:trHeight w:val="108"/>
        </w:trPr>
        <w:tc>
          <w:tcPr>
            <w:tcW w:w="12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720" w:type="dxa"/>
            <w:vAlign w:val="bottom"/>
            <w:vMerge w:val="continue"/>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4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420" w:type="dxa"/>
            <w:vAlign w:val="bottom"/>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560" w:type="dxa"/>
            <w:vAlign w:val="bottom"/>
            <w:shd w:val="clear" w:color="auto" w:fill="D9D9D9"/>
          </w:tcPr>
          <w:p>
            <w:pPr>
              <w:spacing w:after="0"/>
              <w:rPr>
                <w:sz w:val="9"/>
                <w:szCs w:val="9"/>
                <w:color w:val="auto"/>
              </w:rPr>
            </w:pPr>
          </w:p>
        </w:tc>
        <w:tc>
          <w:tcPr>
            <w:tcW w:w="160" w:type="dxa"/>
            <w:vAlign w:val="bottom"/>
            <w:shd w:val="clear" w:color="auto" w:fill="D9D9D9"/>
          </w:tcPr>
          <w:p>
            <w:pPr>
              <w:spacing w:after="0"/>
              <w:rPr>
                <w:sz w:val="9"/>
                <w:szCs w:val="9"/>
                <w:color w:val="auto"/>
              </w:rPr>
            </w:pPr>
          </w:p>
        </w:tc>
        <w:tc>
          <w:tcPr>
            <w:tcW w:w="60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620" w:type="dxa"/>
            <w:vAlign w:val="bottom"/>
            <w:vMerge w:val="continue"/>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460" w:type="dxa"/>
            <w:vAlign w:val="bottom"/>
            <w:vMerge w:val="continue"/>
            <w:shd w:val="clear" w:color="auto" w:fill="D9D9D9"/>
          </w:tcPr>
          <w:p>
            <w:pPr>
              <w:spacing w:after="0"/>
              <w:rPr>
                <w:sz w:val="9"/>
                <w:szCs w:val="9"/>
                <w:color w:val="auto"/>
              </w:rPr>
            </w:pPr>
          </w:p>
        </w:tc>
        <w:tc>
          <w:tcPr>
            <w:tcW w:w="400" w:type="dxa"/>
            <w:vAlign w:val="bottom"/>
            <w:vMerge w:val="continue"/>
            <w:shd w:val="clear" w:color="auto" w:fill="D9D9D9"/>
          </w:tcPr>
          <w:p>
            <w:pPr>
              <w:spacing w:after="0"/>
              <w:rPr>
                <w:sz w:val="9"/>
                <w:szCs w:val="9"/>
                <w:color w:val="auto"/>
              </w:rPr>
            </w:pPr>
          </w:p>
        </w:tc>
        <w:tc>
          <w:tcPr>
            <w:tcW w:w="440" w:type="dxa"/>
            <w:vAlign w:val="bottom"/>
            <w:vMerge w:val="continue"/>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70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620" w:type="dxa"/>
            <w:vAlign w:val="bottom"/>
            <w:shd w:val="clear" w:color="auto" w:fill="D9D9D9"/>
          </w:tcPr>
          <w:p>
            <w:pPr>
              <w:spacing w:after="0"/>
              <w:rPr>
                <w:sz w:val="9"/>
                <w:szCs w:val="9"/>
                <w:color w:val="auto"/>
              </w:rPr>
            </w:pPr>
          </w:p>
        </w:tc>
        <w:tc>
          <w:tcPr>
            <w:tcW w:w="240" w:type="dxa"/>
            <w:vAlign w:val="bottom"/>
            <w:vMerge w:val="continue"/>
            <w:shd w:val="clear" w:color="auto" w:fill="D9D9D9"/>
          </w:tcPr>
          <w:p>
            <w:pPr>
              <w:spacing w:after="0"/>
              <w:rPr>
                <w:sz w:val="9"/>
                <w:szCs w:val="9"/>
                <w:color w:val="auto"/>
              </w:rPr>
            </w:pPr>
          </w:p>
        </w:tc>
        <w:tc>
          <w:tcPr>
            <w:tcW w:w="900" w:type="dxa"/>
            <w:vAlign w:val="bottom"/>
            <w:gridSpan w:val="2"/>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2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720" w:type="dxa"/>
            <w:vAlign w:val="bottom"/>
            <w:shd w:val="clear" w:color="auto" w:fill="D9D9D9"/>
          </w:tcPr>
          <w:p>
            <w:pPr>
              <w:jc w:val="right"/>
              <w:spacing w:after="0" w:line="123" w:lineRule="exact"/>
              <w:rPr>
                <w:sz w:val="20"/>
                <w:szCs w:val="20"/>
                <w:color w:val="auto"/>
              </w:rPr>
            </w:pPr>
            <w:r>
              <w:rPr>
                <w:rFonts w:ascii="Arial" w:cs="Arial" w:eastAsia="Arial" w:hAnsi="Arial"/>
                <w:sz w:val="11"/>
                <w:szCs w:val="11"/>
                <w:color w:val="auto"/>
              </w:rPr>
              <w:t>2/13/2025</w:t>
            </w:r>
          </w:p>
        </w:tc>
        <w:tc>
          <w:tcPr>
            <w:tcW w:w="8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420" w:type="dxa"/>
            <w:vAlign w:val="bottom"/>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5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6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2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16,592</w:t>
            </w:r>
          </w:p>
        </w:tc>
        <w:tc>
          <w:tcPr>
            <w:tcW w:w="200" w:type="dxa"/>
            <w:vAlign w:val="bottom"/>
            <w:shd w:val="clear" w:color="auto" w:fill="D9D9D9"/>
          </w:tcPr>
          <w:p>
            <w:pPr>
              <w:spacing w:after="0"/>
              <w:rPr>
                <w:sz w:val="10"/>
                <w:szCs w:val="10"/>
                <w:color w:val="auto"/>
              </w:rPr>
            </w:pPr>
          </w:p>
        </w:tc>
        <w:tc>
          <w:tcPr>
            <w:tcW w:w="460" w:type="dxa"/>
            <w:vAlign w:val="bottom"/>
            <w:shd w:val="clear" w:color="auto" w:fill="D9D9D9"/>
          </w:tcPr>
          <w:p>
            <w:pPr>
              <w:jc w:val="right"/>
              <w:spacing w:after="0" w:line="123" w:lineRule="exact"/>
              <w:rPr>
                <w:sz w:val="20"/>
                <w:szCs w:val="20"/>
                <w:color w:val="auto"/>
              </w:rPr>
            </w:pPr>
            <w:r>
              <w:rPr>
                <w:rFonts w:ascii="Arial" w:cs="Arial" w:eastAsia="Arial" w:hAnsi="Arial"/>
                <w:sz w:val="11"/>
                <w:szCs w:val="11"/>
                <w:color w:val="auto"/>
              </w:rPr>
              <w:t>33,184</w:t>
            </w:r>
          </w:p>
        </w:tc>
        <w:tc>
          <w:tcPr>
            <w:tcW w:w="400" w:type="dxa"/>
            <w:vAlign w:val="bottom"/>
            <w:shd w:val="clear" w:color="auto" w:fill="D9D9D9"/>
          </w:tcPr>
          <w:p>
            <w:pPr>
              <w:jc w:val="right"/>
              <w:ind w:right="235"/>
              <w:spacing w:after="0"/>
              <w:rPr>
                <w:sz w:val="20"/>
                <w:szCs w:val="20"/>
                <w:color w:val="auto"/>
              </w:rPr>
            </w:pPr>
            <w:r>
              <w:rPr>
                <w:rFonts w:ascii="Arial" w:cs="Arial" w:eastAsia="Arial" w:hAnsi="Arial"/>
                <w:sz w:val="9"/>
                <w:szCs w:val="9"/>
                <w:color w:val="auto"/>
                <w:w w:val="90"/>
              </w:rPr>
              <w:t>(3)</w:t>
            </w:r>
          </w:p>
        </w:tc>
        <w:tc>
          <w:tcPr>
            <w:tcW w:w="44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66,368</w:t>
            </w:r>
          </w:p>
        </w:tc>
        <w:tc>
          <w:tcPr>
            <w:tcW w:w="120" w:type="dxa"/>
            <w:vAlign w:val="bottom"/>
            <w:shd w:val="clear" w:color="auto" w:fill="D9D9D9"/>
          </w:tcPr>
          <w:p>
            <w:pPr>
              <w:spacing w:after="0"/>
              <w:rPr>
                <w:sz w:val="10"/>
                <w:szCs w:val="10"/>
                <w:color w:val="auto"/>
              </w:rPr>
            </w:pPr>
          </w:p>
        </w:tc>
        <w:tc>
          <w:tcPr>
            <w:tcW w:w="70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720" w:type="dxa"/>
            <w:vAlign w:val="bottom"/>
            <w:shd w:val="clear" w:color="auto" w:fill="D9D9D9"/>
          </w:tcPr>
          <w:p>
            <w:pPr>
              <w:jc w:val="right"/>
              <w:spacing w:after="0" w:line="123" w:lineRule="exact"/>
              <w:rPr>
                <w:sz w:val="20"/>
                <w:szCs w:val="20"/>
                <w:color w:val="auto"/>
              </w:rPr>
            </w:pPr>
            <w:r>
              <w:rPr>
                <w:rFonts w:ascii="Arial" w:cs="Arial" w:eastAsia="Arial" w:hAnsi="Arial"/>
                <w:sz w:val="11"/>
                <w:szCs w:val="11"/>
                <w:color w:val="auto"/>
              </w:rPr>
              <w:t>6,399,700</w:t>
            </w:r>
          </w:p>
        </w:tc>
        <w:tc>
          <w:tcPr>
            <w:tcW w:w="180" w:type="dxa"/>
            <w:vAlign w:val="bottom"/>
            <w:shd w:val="clear" w:color="auto" w:fill="D9D9D9"/>
          </w:tcPr>
          <w:p>
            <w:pPr>
              <w:jc w:val="right"/>
              <w:ind w:right="17"/>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39"/>
        </w:trPr>
        <w:tc>
          <w:tcPr>
            <w:tcW w:w="122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7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2/13/2025</w:t>
            </w:r>
          </w:p>
        </w:tc>
        <w:tc>
          <w:tcPr>
            <w:tcW w:w="80" w:type="dxa"/>
            <w:vAlign w:val="bottom"/>
            <w:shd w:val="clear" w:color="auto" w:fill="D9D9D9"/>
          </w:tcPr>
          <w:p>
            <w:pPr>
              <w:spacing w:after="0"/>
              <w:rPr>
                <w:sz w:val="12"/>
                <w:szCs w:val="12"/>
                <w:color w:val="auto"/>
              </w:rPr>
            </w:pPr>
          </w:p>
        </w:tc>
        <w:tc>
          <w:tcPr>
            <w:tcW w:w="4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4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56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00" w:type="dxa"/>
            <w:vAlign w:val="bottom"/>
            <w:shd w:val="clear" w:color="auto" w:fill="D9D9D9"/>
          </w:tcPr>
          <w:p>
            <w:pPr>
              <w:spacing w:after="0"/>
              <w:rPr>
                <w:sz w:val="12"/>
                <w:szCs w:val="12"/>
                <w:color w:val="auto"/>
              </w:rPr>
            </w:pPr>
          </w:p>
        </w:tc>
        <w:tc>
          <w:tcPr>
            <w:tcW w:w="60" w:type="dxa"/>
            <w:vAlign w:val="bottom"/>
            <w:shd w:val="clear" w:color="auto" w:fill="D9D9D9"/>
          </w:tcPr>
          <w:p>
            <w:pPr>
              <w:spacing w:after="0"/>
              <w:rPr>
                <w:sz w:val="12"/>
                <w:szCs w:val="12"/>
                <w:color w:val="auto"/>
              </w:rPr>
            </w:pPr>
          </w:p>
        </w:tc>
        <w:tc>
          <w:tcPr>
            <w:tcW w:w="60" w:type="dxa"/>
            <w:vAlign w:val="bottom"/>
            <w:shd w:val="clear" w:color="auto" w:fill="D9D9D9"/>
          </w:tcPr>
          <w:p>
            <w:pPr>
              <w:spacing w:after="0"/>
              <w:rPr>
                <w:sz w:val="12"/>
                <w:szCs w:val="12"/>
                <w:color w:val="auto"/>
              </w:rPr>
            </w:pPr>
          </w:p>
        </w:tc>
        <w:tc>
          <w:tcPr>
            <w:tcW w:w="60" w:type="dxa"/>
            <w:vAlign w:val="bottom"/>
            <w:shd w:val="clear" w:color="auto" w:fill="D9D9D9"/>
          </w:tcPr>
          <w:p>
            <w:pPr>
              <w:spacing w:after="0"/>
              <w:rPr>
                <w:sz w:val="12"/>
                <w:szCs w:val="12"/>
                <w:color w:val="auto"/>
              </w:rPr>
            </w:pPr>
          </w:p>
        </w:tc>
        <w:tc>
          <w:tcPr>
            <w:tcW w:w="6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460" w:type="dxa"/>
            <w:vAlign w:val="bottom"/>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83,333</w:t>
            </w:r>
          </w:p>
        </w:tc>
        <w:tc>
          <w:tcPr>
            <w:tcW w:w="140" w:type="dxa"/>
            <w:vAlign w:val="bottom"/>
            <w:shd w:val="clear" w:color="auto" w:fill="D9D9D9"/>
          </w:tcPr>
          <w:p>
            <w:pPr>
              <w:jc w:val="right"/>
              <w:spacing w:after="0"/>
              <w:rPr>
                <w:sz w:val="20"/>
                <w:szCs w:val="20"/>
                <w:color w:val="auto"/>
              </w:rPr>
            </w:pPr>
            <w:r>
              <w:rPr>
                <w:rFonts w:ascii="Arial" w:cs="Arial" w:eastAsia="Arial" w:hAnsi="Arial"/>
                <w:sz w:val="9"/>
                <w:szCs w:val="9"/>
                <w:color w:val="auto"/>
                <w:w w:val="90"/>
              </w:rPr>
              <w:t>(5)</w:t>
            </w:r>
          </w:p>
        </w:tc>
        <w:tc>
          <w:tcPr>
            <w:tcW w:w="6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  192.86</w:t>
            </w:r>
          </w:p>
        </w:tc>
        <w:tc>
          <w:tcPr>
            <w:tcW w:w="240" w:type="dxa"/>
            <w:vAlign w:val="bottom"/>
            <w:shd w:val="clear" w:color="auto" w:fill="D9D9D9"/>
          </w:tcPr>
          <w:p>
            <w:pPr>
              <w:spacing w:after="0"/>
              <w:rPr>
                <w:sz w:val="12"/>
                <w:szCs w:val="12"/>
                <w:color w:val="auto"/>
              </w:rPr>
            </w:pPr>
          </w:p>
        </w:tc>
        <w:tc>
          <w:tcPr>
            <w:tcW w:w="7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3,199,154</w:t>
            </w:r>
          </w:p>
        </w:tc>
        <w:tc>
          <w:tcPr>
            <w:tcW w:w="180" w:type="dxa"/>
            <w:vAlign w:val="bottom"/>
            <w:shd w:val="clear" w:color="auto" w:fill="D9D9D9"/>
          </w:tcPr>
          <w:p>
            <w:pPr>
              <w:jc w:val="right"/>
              <w:ind w:right="17"/>
              <w:spacing w:after="0"/>
              <w:rPr>
                <w:sz w:val="20"/>
                <w:szCs w:val="20"/>
                <w:color w:val="auto"/>
              </w:rPr>
            </w:pPr>
            <w:r>
              <w:rPr>
                <w:rFonts w:ascii="Arial" w:cs="Arial" w:eastAsia="Arial" w:hAnsi="Arial"/>
                <w:sz w:val="9"/>
                <w:szCs w:val="9"/>
                <w:color w:val="auto"/>
                <w:w w:val="90"/>
              </w:rPr>
              <w:t>(6)</w:t>
            </w:r>
          </w:p>
        </w:tc>
        <w:tc>
          <w:tcPr>
            <w:tcW w:w="0" w:type="dxa"/>
            <w:vAlign w:val="bottom"/>
          </w:tcPr>
          <w:p>
            <w:pPr>
              <w:spacing w:after="0"/>
              <w:rPr>
                <w:sz w:val="1"/>
                <w:szCs w:val="1"/>
                <w:color w:val="auto"/>
              </w:rPr>
            </w:pPr>
          </w:p>
        </w:tc>
      </w:tr>
      <w:tr>
        <w:trPr>
          <w:trHeight w:val="150"/>
        </w:trPr>
        <w:tc>
          <w:tcPr>
            <w:tcW w:w="1220" w:type="dxa"/>
            <w:vAlign w:val="bottom"/>
          </w:tcPr>
          <w:p>
            <w:pPr>
              <w:ind w:left="100"/>
              <w:spacing w:after="0"/>
              <w:rPr>
                <w:sz w:val="20"/>
                <w:szCs w:val="20"/>
                <w:color w:val="auto"/>
              </w:rPr>
            </w:pPr>
            <w:r>
              <w:rPr>
                <w:rFonts w:ascii="Arial" w:cs="Arial" w:eastAsia="Arial" w:hAnsi="Arial"/>
                <w:sz w:val="11"/>
                <w:szCs w:val="11"/>
                <w:color w:val="auto"/>
              </w:rPr>
              <w:t>S. Reents</w:t>
            </w: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2/13/2025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1,359,600</w:t>
            </w:r>
          </w:p>
        </w:tc>
        <w:tc>
          <w:tcPr>
            <w:tcW w:w="16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2,719,200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restart"/>
          </w:tcPr>
          <w:p>
            <w:pPr>
              <w:jc w:val="right"/>
              <w:ind w:right="3"/>
              <w:spacing w:after="0"/>
              <w:rPr>
                <w:sz w:val="20"/>
                <w:szCs w:val="20"/>
                <w:color w:val="auto"/>
              </w:rPr>
            </w:pPr>
            <w:r>
              <w:rPr>
                <w:rFonts w:ascii="Arial" w:cs="Arial" w:eastAsia="Arial" w:hAnsi="Arial"/>
                <w:sz w:val="11"/>
                <w:szCs w:val="11"/>
                <w:color w:val="auto"/>
              </w:rPr>
              <w:t>4,083</w:t>
            </w:r>
          </w:p>
        </w:tc>
        <w:tc>
          <w:tcPr>
            <w:tcW w:w="20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10,888</w:t>
            </w:r>
          </w:p>
        </w:tc>
        <w:tc>
          <w:tcPr>
            <w:tcW w:w="400" w:type="dxa"/>
            <w:vAlign w:val="bottom"/>
            <w:vMerge w:val="restart"/>
          </w:tcPr>
          <w:p>
            <w:pPr>
              <w:jc w:val="right"/>
              <w:ind w:right="235"/>
              <w:spacing w:after="0"/>
              <w:rPr>
                <w:sz w:val="20"/>
                <w:szCs w:val="20"/>
                <w:color w:val="auto"/>
              </w:rPr>
            </w:pPr>
            <w:r>
              <w:rPr>
                <w:rFonts w:ascii="Arial" w:cs="Arial" w:eastAsia="Arial" w:hAnsi="Arial"/>
                <w:sz w:val="9"/>
                <w:szCs w:val="9"/>
                <w:color w:val="auto"/>
                <w:w w:val="90"/>
              </w:rPr>
              <w:t>(2)</w:t>
            </w:r>
          </w:p>
        </w:tc>
        <w:tc>
          <w:tcPr>
            <w:tcW w:w="440" w:type="dxa"/>
            <w:vAlign w:val="bottom"/>
            <w:vMerge w:val="restart"/>
          </w:tcPr>
          <w:p>
            <w:pPr>
              <w:jc w:val="right"/>
              <w:ind w:right="3"/>
              <w:spacing w:after="0"/>
              <w:rPr>
                <w:sz w:val="20"/>
                <w:szCs w:val="20"/>
                <w:color w:val="auto"/>
              </w:rPr>
            </w:pPr>
            <w:r>
              <w:rPr>
                <w:rFonts w:ascii="Arial" w:cs="Arial" w:eastAsia="Arial" w:hAnsi="Arial"/>
                <w:sz w:val="11"/>
                <w:szCs w:val="11"/>
                <w:color w:val="auto"/>
              </w:rPr>
              <w:t>27,220</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2,253,707</w:t>
            </w:r>
          </w:p>
        </w:tc>
        <w:tc>
          <w:tcPr>
            <w:tcW w:w="180" w:type="dxa"/>
            <w:vAlign w:val="bottom"/>
            <w:vMerge w:val="restart"/>
          </w:tcPr>
          <w:p>
            <w:pPr>
              <w:jc w:val="right"/>
              <w:ind w:right="17"/>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1"/>
                <w:szCs w:val="11"/>
                <w:color w:val="auto"/>
              </w:rPr>
              <w:t>2/13/2025</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3"/>
              <w:spacing w:after="0" w:line="123" w:lineRule="exact"/>
              <w:rPr>
                <w:sz w:val="20"/>
                <w:szCs w:val="20"/>
                <w:color w:val="auto"/>
              </w:rPr>
            </w:pPr>
            <w:r>
              <w:rPr>
                <w:rFonts w:ascii="Arial" w:cs="Arial" w:eastAsia="Arial" w:hAnsi="Arial"/>
                <w:sz w:val="11"/>
                <w:szCs w:val="11"/>
                <w:color w:val="auto"/>
              </w:rPr>
              <w:t>5,444</w:t>
            </w:r>
          </w:p>
        </w:tc>
        <w:tc>
          <w:tcPr>
            <w:tcW w:w="20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10,888</w:t>
            </w:r>
          </w:p>
        </w:tc>
        <w:tc>
          <w:tcPr>
            <w:tcW w:w="400" w:type="dxa"/>
            <w:vAlign w:val="bottom"/>
          </w:tcPr>
          <w:p>
            <w:pPr>
              <w:jc w:val="right"/>
              <w:ind w:right="235"/>
              <w:spacing w:after="0"/>
              <w:rPr>
                <w:sz w:val="20"/>
                <w:szCs w:val="20"/>
                <w:color w:val="auto"/>
              </w:rPr>
            </w:pPr>
            <w:r>
              <w:rPr>
                <w:rFonts w:ascii="Arial" w:cs="Arial" w:eastAsia="Arial" w:hAnsi="Arial"/>
                <w:sz w:val="9"/>
                <w:szCs w:val="9"/>
                <w:color w:val="auto"/>
                <w:w w:val="90"/>
              </w:rPr>
              <w:t>(3)</w:t>
            </w:r>
          </w:p>
        </w:tc>
        <w:tc>
          <w:tcPr>
            <w:tcW w:w="440" w:type="dxa"/>
            <w:vAlign w:val="bottom"/>
          </w:tcPr>
          <w:p>
            <w:pPr>
              <w:jc w:val="right"/>
              <w:ind w:right="3"/>
              <w:spacing w:after="0" w:line="123" w:lineRule="exact"/>
              <w:rPr>
                <w:sz w:val="20"/>
                <w:szCs w:val="20"/>
                <w:color w:val="auto"/>
              </w:rPr>
            </w:pPr>
            <w:r>
              <w:rPr>
                <w:rFonts w:ascii="Arial" w:cs="Arial" w:eastAsia="Arial" w:hAnsi="Arial"/>
                <w:sz w:val="11"/>
                <w:szCs w:val="11"/>
                <w:color w:val="auto"/>
              </w:rPr>
              <w:t>21,776</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1"/>
                <w:szCs w:val="11"/>
                <w:color w:val="auto"/>
              </w:rPr>
              <w:t>2,099,805</w:t>
            </w:r>
          </w:p>
        </w:tc>
        <w:tc>
          <w:tcPr>
            <w:tcW w:w="180" w:type="dxa"/>
            <w:vAlign w:val="bottom"/>
          </w:tcPr>
          <w:p>
            <w:pPr>
              <w:jc w:val="right"/>
              <w:ind w:right="17"/>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2/13/2025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27,343</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620" w:type="dxa"/>
            <w:vAlign w:val="bottom"/>
          </w:tcPr>
          <w:p>
            <w:pPr>
              <w:jc w:val="right"/>
              <w:spacing w:after="0"/>
              <w:rPr>
                <w:sz w:val="20"/>
                <w:szCs w:val="20"/>
                <w:color w:val="auto"/>
              </w:rPr>
            </w:pPr>
            <w:r>
              <w:rPr>
                <w:rFonts w:ascii="Arial" w:cs="Arial" w:eastAsia="Arial" w:hAnsi="Arial"/>
                <w:sz w:val="11"/>
                <w:szCs w:val="11"/>
                <w:color w:val="auto"/>
              </w:rPr>
              <w:t>192.86</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1,049,698</w:t>
            </w:r>
          </w:p>
        </w:tc>
        <w:tc>
          <w:tcPr>
            <w:tcW w:w="180" w:type="dxa"/>
            <w:vAlign w:val="bottom"/>
          </w:tcPr>
          <w:p>
            <w:pPr>
              <w:jc w:val="right"/>
              <w:ind w:right="17"/>
              <w:spacing w:after="0"/>
              <w:rPr>
                <w:sz w:val="20"/>
                <w:szCs w:val="20"/>
                <w:color w:val="auto"/>
              </w:rPr>
            </w:pPr>
            <w:r>
              <w:rPr>
                <w:rFonts w:ascii="Arial" w:cs="Arial" w:eastAsia="Arial" w:hAnsi="Arial"/>
                <w:sz w:val="9"/>
                <w:szCs w:val="9"/>
                <w:color w:val="auto"/>
                <w:w w:val="90"/>
              </w:rPr>
              <w:t>(6)</w:t>
            </w:r>
          </w:p>
        </w:tc>
        <w:tc>
          <w:tcPr>
            <w:tcW w:w="0" w:type="dxa"/>
            <w:vAlign w:val="bottom"/>
          </w:tcPr>
          <w:p>
            <w:pPr>
              <w:spacing w:after="0"/>
              <w:rPr>
                <w:sz w:val="1"/>
                <w:szCs w:val="1"/>
                <w:color w:val="auto"/>
              </w:rPr>
            </w:pPr>
          </w:p>
        </w:tc>
      </w:tr>
      <w:tr>
        <w:trPr>
          <w:trHeight w:val="123"/>
        </w:trPr>
        <w:tc>
          <w:tcPr>
            <w:tcW w:w="1220" w:type="dxa"/>
            <w:vAlign w:val="bottom"/>
            <w:shd w:val="clear" w:color="auto" w:fill="D9D9D9"/>
          </w:tcPr>
          <w:p>
            <w:pPr>
              <w:ind w:left="100"/>
              <w:spacing w:after="0" w:line="123" w:lineRule="exact"/>
              <w:rPr>
                <w:sz w:val="20"/>
                <w:szCs w:val="20"/>
                <w:color w:val="auto"/>
              </w:rPr>
            </w:pPr>
            <w:r>
              <w:rPr>
                <w:rFonts w:ascii="Arial" w:cs="Arial" w:eastAsia="Arial" w:hAnsi="Arial"/>
                <w:sz w:val="11"/>
                <w:szCs w:val="11"/>
                <w:color w:val="auto"/>
              </w:rPr>
              <w:t>J. Stewart</w:t>
            </w:r>
          </w:p>
        </w:tc>
        <w:tc>
          <w:tcPr>
            <w:tcW w:w="100" w:type="dxa"/>
            <w:vAlign w:val="bottom"/>
            <w:shd w:val="clear" w:color="auto" w:fill="D9D9D9"/>
          </w:tcPr>
          <w:p>
            <w:pPr>
              <w:spacing w:after="0"/>
              <w:rPr>
                <w:sz w:val="10"/>
                <w:szCs w:val="10"/>
                <w:color w:val="auto"/>
              </w:rPr>
            </w:pPr>
          </w:p>
        </w:tc>
        <w:tc>
          <w:tcPr>
            <w:tcW w:w="720" w:type="dxa"/>
            <w:vAlign w:val="bottom"/>
            <w:vMerge w:val="restart"/>
            <w:shd w:val="clear" w:color="auto" w:fill="D9D9D9"/>
          </w:tcPr>
          <w:p>
            <w:pPr>
              <w:jc w:val="right"/>
              <w:spacing w:after="0"/>
              <w:rPr>
                <w:sz w:val="20"/>
                <w:szCs w:val="20"/>
                <w:color w:val="auto"/>
              </w:rPr>
            </w:pPr>
            <w:r>
              <w:rPr>
                <w:rFonts w:ascii="Arial" w:cs="Arial" w:eastAsia="Arial" w:hAnsi="Arial"/>
                <w:sz w:val="11"/>
                <w:szCs w:val="11"/>
                <w:color w:val="auto"/>
              </w:rPr>
              <w:t>2/13/2025</w:t>
            </w:r>
          </w:p>
        </w:tc>
        <w:tc>
          <w:tcPr>
            <w:tcW w:w="8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560" w:type="dxa"/>
            <w:vAlign w:val="bottom"/>
            <w:gridSpan w:val="2"/>
            <w:shd w:val="clear" w:color="auto" w:fill="D9D9D9"/>
          </w:tcPr>
          <w:p>
            <w:pPr>
              <w:jc w:val="right"/>
              <w:spacing w:after="0"/>
              <w:rPr>
                <w:sz w:val="20"/>
                <w:szCs w:val="20"/>
                <w:color w:val="auto"/>
              </w:rPr>
            </w:pPr>
            <w:r>
              <w:rPr>
                <w:rFonts w:ascii="Arial" w:cs="Arial" w:eastAsia="Arial" w:hAnsi="Arial"/>
                <w:sz w:val="9"/>
                <w:szCs w:val="9"/>
                <w:color w:val="auto"/>
              </w:rPr>
              <w:t>(1)</w:t>
            </w:r>
          </w:p>
        </w:tc>
        <w:tc>
          <w:tcPr>
            <w:tcW w:w="200" w:type="dxa"/>
            <w:vAlign w:val="bottom"/>
            <w:shd w:val="clear" w:color="auto" w:fill="D9D9D9"/>
          </w:tcPr>
          <w:p>
            <w:pPr>
              <w:spacing w:after="0"/>
              <w:rPr>
                <w:sz w:val="10"/>
                <w:szCs w:val="10"/>
                <w:color w:val="auto"/>
              </w:rPr>
            </w:pPr>
          </w:p>
        </w:tc>
        <w:tc>
          <w:tcPr>
            <w:tcW w:w="560" w:type="dxa"/>
            <w:vAlign w:val="bottom"/>
            <w:shd w:val="clear" w:color="auto" w:fill="D9D9D9"/>
          </w:tcPr>
          <w:p>
            <w:pPr>
              <w:jc w:val="right"/>
              <w:spacing w:after="0" w:line="123" w:lineRule="exact"/>
              <w:rPr>
                <w:sz w:val="20"/>
                <w:szCs w:val="20"/>
                <w:color w:val="auto"/>
              </w:rPr>
            </w:pPr>
            <w:r>
              <w:rPr>
                <w:rFonts w:ascii="Arial" w:cs="Arial" w:eastAsia="Arial" w:hAnsi="Arial"/>
                <w:sz w:val="11"/>
                <w:szCs w:val="11"/>
                <w:color w:val="auto"/>
              </w:rPr>
              <w:t>1,591,350</w:t>
            </w:r>
          </w:p>
        </w:tc>
        <w:tc>
          <w:tcPr>
            <w:tcW w:w="160" w:type="dxa"/>
            <w:vAlign w:val="bottom"/>
            <w:shd w:val="clear" w:color="auto" w:fill="D9D9D9"/>
          </w:tcPr>
          <w:p>
            <w:pPr>
              <w:spacing w:after="0"/>
              <w:rPr>
                <w:sz w:val="10"/>
                <w:szCs w:val="10"/>
                <w:color w:val="auto"/>
              </w:rPr>
            </w:pPr>
          </w:p>
        </w:tc>
        <w:tc>
          <w:tcPr>
            <w:tcW w:w="60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3,182,700</w:t>
            </w: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20" w:type="dxa"/>
            <w:vAlign w:val="bottom"/>
            <w:vMerge w:val="restart"/>
            <w:shd w:val="clear" w:color="auto" w:fill="D9D9D9"/>
          </w:tcPr>
          <w:p>
            <w:pPr>
              <w:jc w:val="right"/>
              <w:ind w:right="3"/>
              <w:spacing w:after="0"/>
              <w:rPr>
                <w:sz w:val="20"/>
                <w:szCs w:val="20"/>
                <w:color w:val="auto"/>
              </w:rPr>
            </w:pPr>
            <w:r>
              <w:rPr>
                <w:rFonts w:ascii="Arial" w:cs="Arial" w:eastAsia="Arial" w:hAnsi="Arial"/>
                <w:sz w:val="11"/>
                <w:szCs w:val="11"/>
                <w:color w:val="auto"/>
              </w:rPr>
              <w:t>5,055</w:t>
            </w:r>
          </w:p>
        </w:tc>
        <w:tc>
          <w:tcPr>
            <w:tcW w:w="200" w:type="dxa"/>
            <w:vAlign w:val="bottom"/>
            <w:shd w:val="clear" w:color="auto" w:fill="D9D9D9"/>
          </w:tcPr>
          <w:p>
            <w:pPr>
              <w:spacing w:after="0"/>
              <w:rPr>
                <w:sz w:val="10"/>
                <w:szCs w:val="10"/>
                <w:color w:val="auto"/>
              </w:rPr>
            </w:pPr>
          </w:p>
        </w:tc>
        <w:tc>
          <w:tcPr>
            <w:tcW w:w="460" w:type="dxa"/>
            <w:vAlign w:val="bottom"/>
            <w:vMerge w:val="restart"/>
            <w:shd w:val="clear" w:color="auto" w:fill="D9D9D9"/>
          </w:tcPr>
          <w:p>
            <w:pPr>
              <w:jc w:val="right"/>
              <w:spacing w:after="0"/>
              <w:rPr>
                <w:sz w:val="20"/>
                <w:szCs w:val="20"/>
                <w:color w:val="auto"/>
              </w:rPr>
            </w:pPr>
            <w:r>
              <w:rPr>
                <w:rFonts w:ascii="Arial" w:cs="Arial" w:eastAsia="Arial" w:hAnsi="Arial"/>
                <w:sz w:val="11"/>
                <w:szCs w:val="11"/>
                <w:color w:val="auto"/>
              </w:rPr>
              <w:t>13,481</w:t>
            </w:r>
          </w:p>
        </w:tc>
        <w:tc>
          <w:tcPr>
            <w:tcW w:w="400" w:type="dxa"/>
            <w:vAlign w:val="bottom"/>
            <w:vMerge w:val="restart"/>
            <w:shd w:val="clear" w:color="auto" w:fill="D9D9D9"/>
          </w:tcPr>
          <w:p>
            <w:pPr>
              <w:jc w:val="right"/>
              <w:ind w:right="235"/>
              <w:spacing w:after="0"/>
              <w:rPr>
                <w:sz w:val="20"/>
                <w:szCs w:val="20"/>
                <w:color w:val="auto"/>
              </w:rPr>
            </w:pPr>
            <w:r>
              <w:rPr>
                <w:rFonts w:ascii="Arial" w:cs="Arial" w:eastAsia="Arial" w:hAnsi="Arial"/>
                <w:sz w:val="9"/>
                <w:szCs w:val="9"/>
                <w:color w:val="auto"/>
                <w:w w:val="90"/>
              </w:rPr>
              <w:t>(2)</w:t>
            </w:r>
          </w:p>
        </w:tc>
        <w:tc>
          <w:tcPr>
            <w:tcW w:w="440" w:type="dxa"/>
            <w:vAlign w:val="bottom"/>
            <w:vMerge w:val="restart"/>
            <w:shd w:val="clear" w:color="auto" w:fill="D9D9D9"/>
          </w:tcPr>
          <w:p>
            <w:pPr>
              <w:jc w:val="right"/>
              <w:ind w:right="3"/>
              <w:spacing w:after="0"/>
              <w:rPr>
                <w:sz w:val="20"/>
                <w:szCs w:val="20"/>
                <w:color w:val="auto"/>
              </w:rPr>
            </w:pPr>
            <w:r>
              <w:rPr>
                <w:rFonts w:ascii="Arial" w:cs="Arial" w:eastAsia="Arial" w:hAnsi="Arial"/>
                <w:sz w:val="11"/>
                <w:szCs w:val="11"/>
                <w:color w:val="auto"/>
              </w:rPr>
              <w:t>33,702</w:t>
            </w:r>
          </w:p>
        </w:tc>
        <w:tc>
          <w:tcPr>
            <w:tcW w:w="120" w:type="dxa"/>
            <w:vAlign w:val="bottom"/>
            <w:shd w:val="clear" w:color="auto" w:fill="D9D9D9"/>
          </w:tcPr>
          <w:p>
            <w:pPr>
              <w:spacing w:after="0"/>
              <w:rPr>
                <w:sz w:val="10"/>
                <w:szCs w:val="10"/>
                <w:color w:val="auto"/>
              </w:rPr>
            </w:pPr>
          </w:p>
        </w:tc>
        <w:tc>
          <w:tcPr>
            <w:tcW w:w="70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720" w:type="dxa"/>
            <w:vAlign w:val="bottom"/>
            <w:vMerge w:val="restart"/>
            <w:shd w:val="clear" w:color="auto" w:fill="D9D9D9"/>
          </w:tcPr>
          <w:p>
            <w:pPr>
              <w:jc w:val="right"/>
              <w:spacing w:after="0"/>
              <w:rPr>
                <w:sz w:val="20"/>
                <w:szCs w:val="20"/>
                <w:color w:val="auto"/>
              </w:rPr>
            </w:pPr>
            <w:r>
              <w:rPr>
                <w:rFonts w:ascii="Arial" w:cs="Arial" w:eastAsia="Arial" w:hAnsi="Arial"/>
                <w:sz w:val="11"/>
                <w:szCs w:val="11"/>
                <w:color w:val="auto"/>
              </w:rPr>
              <w:t>2,790,432</w:t>
            </w:r>
          </w:p>
        </w:tc>
        <w:tc>
          <w:tcPr>
            <w:tcW w:w="180" w:type="dxa"/>
            <w:vAlign w:val="bottom"/>
            <w:vMerge w:val="restart"/>
            <w:shd w:val="clear" w:color="auto" w:fill="D9D9D9"/>
          </w:tcPr>
          <w:p>
            <w:pPr>
              <w:jc w:val="right"/>
              <w:ind w:right="17"/>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08"/>
        </w:trPr>
        <w:tc>
          <w:tcPr>
            <w:tcW w:w="12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720" w:type="dxa"/>
            <w:vAlign w:val="bottom"/>
            <w:vMerge w:val="continue"/>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4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420" w:type="dxa"/>
            <w:vAlign w:val="bottom"/>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560" w:type="dxa"/>
            <w:vAlign w:val="bottom"/>
            <w:shd w:val="clear" w:color="auto" w:fill="D9D9D9"/>
          </w:tcPr>
          <w:p>
            <w:pPr>
              <w:spacing w:after="0"/>
              <w:rPr>
                <w:sz w:val="9"/>
                <w:szCs w:val="9"/>
                <w:color w:val="auto"/>
              </w:rPr>
            </w:pPr>
          </w:p>
        </w:tc>
        <w:tc>
          <w:tcPr>
            <w:tcW w:w="160" w:type="dxa"/>
            <w:vAlign w:val="bottom"/>
            <w:shd w:val="clear" w:color="auto" w:fill="D9D9D9"/>
          </w:tcPr>
          <w:p>
            <w:pPr>
              <w:spacing w:after="0"/>
              <w:rPr>
                <w:sz w:val="9"/>
                <w:szCs w:val="9"/>
                <w:color w:val="auto"/>
              </w:rPr>
            </w:pPr>
          </w:p>
        </w:tc>
        <w:tc>
          <w:tcPr>
            <w:tcW w:w="60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620" w:type="dxa"/>
            <w:vAlign w:val="bottom"/>
            <w:vMerge w:val="continue"/>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460" w:type="dxa"/>
            <w:vAlign w:val="bottom"/>
            <w:vMerge w:val="continue"/>
            <w:shd w:val="clear" w:color="auto" w:fill="D9D9D9"/>
          </w:tcPr>
          <w:p>
            <w:pPr>
              <w:spacing w:after="0"/>
              <w:rPr>
                <w:sz w:val="9"/>
                <w:szCs w:val="9"/>
                <w:color w:val="auto"/>
              </w:rPr>
            </w:pPr>
          </w:p>
        </w:tc>
        <w:tc>
          <w:tcPr>
            <w:tcW w:w="400" w:type="dxa"/>
            <w:vAlign w:val="bottom"/>
            <w:vMerge w:val="continue"/>
            <w:shd w:val="clear" w:color="auto" w:fill="D9D9D9"/>
          </w:tcPr>
          <w:p>
            <w:pPr>
              <w:spacing w:after="0"/>
              <w:rPr>
                <w:sz w:val="9"/>
                <w:szCs w:val="9"/>
                <w:color w:val="auto"/>
              </w:rPr>
            </w:pPr>
          </w:p>
        </w:tc>
        <w:tc>
          <w:tcPr>
            <w:tcW w:w="440" w:type="dxa"/>
            <w:vAlign w:val="bottom"/>
            <w:vMerge w:val="continue"/>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70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62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720" w:type="dxa"/>
            <w:vAlign w:val="bottom"/>
            <w:vMerge w:val="continue"/>
            <w:shd w:val="clear" w:color="auto" w:fill="D9D9D9"/>
          </w:tcPr>
          <w:p>
            <w:pPr>
              <w:spacing w:after="0"/>
              <w:rPr>
                <w:sz w:val="9"/>
                <w:szCs w:val="9"/>
                <w:color w:val="auto"/>
              </w:rPr>
            </w:pPr>
          </w:p>
        </w:tc>
        <w:tc>
          <w:tcPr>
            <w:tcW w:w="180" w:type="dxa"/>
            <w:vAlign w:val="bottom"/>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2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720" w:type="dxa"/>
            <w:vAlign w:val="bottom"/>
            <w:shd w:val="clear" w:color="auto" w:fill="D9D9D9"/>
          </w:tcPr>
          <w:p>
            <w:pPr>
              <w:jc w:val="right"/>
              <w:spacing w:after="0" w:line="123" w:lineRule="exact"/>
              <w:rPr>
                <w:sz w:val="20"/>
                <w:szCs w:val="20"/>
                <w:color w:val="auto"/>
              </w:rPr>
            </w:pPr>
            <w:r>
              <w:rPr>
                <w:rFonts w:ascii="Arial" w:cs="Arial" w:eastAsia="Arial" w:hAnsi="Arial"/>
                <w:sz w:val="11"/>
                <w:szCs w:val="11"/>
                <w:color w:val="auto"/>
              </w:rPr>
              <w:t>2/13/2025</w:t>
            </w:r>
          </w:p>
        </w:tc>
        <w:tc>
          <w:tcPr>
            <w:tcW w:w="8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420" w:type="dxa"/>
            <w:vAlign w:val="bottom"/>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5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6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2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6,740</w:t>
            </w:r>
          </w:p>
        </w:tc>
        <w:tc>
          <w:tcPr>
            <w:tcW w:w="200" w:type="dxa"/>
            <w:vAlign w:val="bottom"/>
            <w:shd w:val="clear" w:color="auto" w:fill="D9D9D9"/>
          </w:tcPr>
          <w:p>
            <w:pPr>
              <w:spacing w:after="0"/>
              <w:rPr>
                <w:sz w:val="10"/>
                <w:szCs w:val="10"/>
                <w:color w:val="auto"/>
              </w:rPr>
            </w:pPr>
          </w:p>
        </w:tc>
        <w:tc>
          <w:tcPr>
            <w:tcW w:w="460" w:type="dxa"/>
            <w:vAlign w:val="bottom"/>
            <w:shd w:val="clear" w:color="auto" w:fill="D9D9D9"/>
          </w:tcPr>
          <w:p>
            <w:pPr>
              <w:jc w:val="right"/>
              <w:spacing w:after="0" w:line="123" w:lineRule="exact"/>
              <w:rPr>
                <w:sz w:val="20"/>
                <w:szCs w:val="20"/>
                <w:color w:val="auto"/>
              </w:rPr>
            </w:pPr>
            <w:r>
              <w:rPr>
                <w:rFonts w:ascii="Arial" w:cs="Arial" w:eastAsia="Arial" w:hAnsi="Arial"/>
                <w:sz w:val="11"/>
                <w:szCs w:val="11"/>
                <w:color w:val="auto"/>
              </w:rPr>
              <w:t>13,481</w:t>
            </w:r>
          </w:p>
        </w:tc>
        <w:tc>
          <w:tcPr>
            <w:tcW w:w="400" w:type="dxa"/>
            <w:vAlign w:val="bottom"/>
            <w:shd w:val="clear" w:color="auto" w:fill="D9D9D9"/>
          </w:tcPr>
          <w:p>
            <w:pPr>
              <w:jc w:val="right"/>
              <w:ind w:right="235"/>
              <w:spacing w:after="0"/>
              <w:rPr>
                <w:sz w:val="20"/>
                <w:szCs w:val="20"/>
                <w:color w:val="auto"/>
              </w:rPr>
            </w:pPr>
            <w:r>
              <w:rPr>
                <w:rFonts w:ascii="Arial" w:cs="Arial" w:eastAsia="Arial" w:hAnsi="Arial"/>
                <w:sz w:val="9"/>
                <w:szCs w:val="9"/>
                <w:color w:val="auto"/>
                <w:w w:val="90"/>
              </w:rPr>
              <w:t>(3)</w:t>
            </w:r>
          </w:p>
        </w:tc>
        <w:tc>
          <w:tcPr>
            <w:tcW w:w="44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26,962</w:t>
            </w:r>
          </w:p>
        </w:tc>
        <w:tc>
          <w:tcPr>
            <w:tcW w:w="120" w:type="dxa"/>
            <w:vAlign w:val="bottom"/>
            <w:shd w:val="clear" w:color="auto" w:fill="D9D9D9"/>
          </w:tcPr>
          <w:p>
            <w:pPr>
              <w:spacing w:after="0"/>
              <w:rPr>
                <w:sz w:val="10"/>
                <w:szCs w:val="10"/>
                <w:color w:val="auto"/>
              </w:rPr>
            </w:pPr>
          </w:p>
        </w:tc>
        <w:tc>
          <w:tcPr>
            <w:tcW w:w="70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720" w:type="dxa"/>
            <w:vAlign w:val="bottom"/>
            <w:shd w:val="clear" w:color="auto" w:fill="D9D9D9"/>
          </w:tcPr>
          <w:p>
            <w:pPr>
              <w:jc w:val="right"/>
              <w:spacing w:after="0" w:line="123" w:lineRule="exact"/>
              <w:rPr>
                <w:sz w:val="20"/>
                <w:szCs w:val="20"/>
                <w:color w:val="auto"/>
              </w:rPr>
            </w:pPr>
            <w:r>
              <w:rPr>
                <w:rFonts w:ascii="Arial" w:cs="Arial" w:eastAsia="Arial" w:hAnsi="Arial"/>
                <w:sz w:val="11"/>
                <w:szCs w:val="11"/>
                <w:color w:val="auto"/>
              </w:rPr>
              <w:t>2,599,878</w:t>
            </w:r>
          </w:p>
        </w:tc>
        <w:tc>
          <w:tcPr>
            <w:tcW w:w="180" w:type="dxa"/>
            <w:vAlign w:val="bottom"/>
            <w:shd w:val="clear" w:color="auto" w:fill="D9D9D9"/>
          </w:tcPr>
          <w:p>
            <w:pPr>
              <w:jc w:val="right"/>
              <w:ind w:right="17"/>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39"/>
        </w:trPr>
        <w:tc>
          <w:tcPr>
            <w:tcW w:w="122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7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2/13/2025</w:t>
            </w:r>
          </w:p>
        </w:tc>
        <w:tc>
          <w:tcPr>
            <w:tcW w:w="80" w:type="dxa"/>
            <w:vAlign w:val="bottom"/>
            <w:shd w:val="clear" w:color="auto" w:fill="D9D9D9"/>
          </w:tcPr>
          <w:p>
            <w:pPr>
              <w:spacing w:after="0"/>
              <w:rPr>
                <w:sz w:val="12"/>
                <w:szCs w:val="12"/>
                <w:color w:val="auto"/>
              </w:rPr>
            </w:pPr>
          </w:p>
        </w:tc>
        <w:tc>
          <w:tcPr>
            <w:tcW w:w="4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4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56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00" w:type="dxa"/>
            <w:vAlign w:val="bottom"/>
            <w:shd w:val="clear" w:color="auto" w:fill="D9D9D9"/>
          </w:tcPr>
          <w:p>
            <w:pPr>
              <w:spacing w:after="0"/>
              <w:rPr>
                <w:sz w:val="12"/>
                <w:szCs w:val="12"/>
                <w:color w:val="auto"/>
              </w:rPr>
            </w:pPr>
          </w:p>
        </w:tc>
        <w:tc>
          <w:tcPr>
            <w:tcW w:w="60" w:type="dxa"/>
            <w:vAlign w:val="bottom"/>
            <w:shd w:val="clear" w:color="auto" w:fill="D9D9D9"/>
          </w:tcPr>
          <w:p>
            <w:pPr>
              <w:spacing w:after="0"/>
              <w:rPr>
                <w:sz w:val="12"/>
                <w:szCs w:val="12"/>
                <w:color w:val="auto"/>
              </w:rPr>
            </w:pPr>
          </w:p>
        </w:tc>
        <w:tc>
          <w:tcPr>
            <w:tcW w:w="60" w:type="dxa"/>
            <w:vAlign w:val="bottom"/>
            <w:shd w:val="clear" w:color="auto" w:fill="D9D9D9"/>
          </w:tcPr>
          <w:p>
            <w:pPr>
              <w:spacing w:after="0"/>
              <w:rPr>
                <w:sz w:val="12"/>
                <w:szCs w:val="12"/>
                <w:color w:val="auto"/>
              </w:rPr>
            </w:pPr>
          </w:p>
        </w:tc>
        <w:tc>
          <w:tcPr>
            <w:tcW w:w="60" w:type="dxa"/>
            <w:vAlign w:val="bottom"/>
            <w:shd w:val="clear" w:color="auto" w:fill="D9D9D9"/>
          </w:tcPr>
          <w:p>
            <w:pPr>
              <w:spacing w:after="0"/>
              <w:rPr>
                <w:sz w:val="12"/>
                <w:szCs w:val="12"/>
                <w:color w:val="auto"/>
              </w:rPr>
            </w:pPr>
          </w:p>
        </w:tc>
        <w:tc>
          <w:tcPr>
            <w:tcW w:w="6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460" w:type="dxa"/>
            <w:vAlign w:val="bottom"/>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33,854</w:t>
            </w:r>
          </w:p>
        </w:tc>
        <w:tc>
          <w:tcPr>
            <w:tcW w:w="140" w:type="dxa"/>
            <w:vAlign w:val="bottom"/>
            <w:shd w:val="clear" w:color="auto" w:fill="D9D9D9"/>
          </w:tcPr>
          <w:p>
            <w:pPr>
              <w:jc w:val="right"/>
              <w:spacing w:after="0"/>
              <w:rPr>
                <w:sz w:val="20"/>
                <w:szCs w:val="20"/>
                <w:color w:val="auto"/>
              </w:rPr>
            </w:pPr>
            <w:r>
              <w:rPr>
                <w:rFonts w:ascii="Arial" w:cs="Arial" w:eastAsia="Arial" w:hAnsi="Arial"/>
                <w:sz w:val="9"/>
                <w:szCs w:val="9"/>
                <w:color w:val="auto"/>
                <w:w w:val="90"/>
              </w:rPr>
              <w:t>(5)</w:t>
            </w:r>
          </w:p>
        </w:tc>
        <w:tc>
          <w:tcPr>
            <w:tcW w:w="6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192.86</w:t>
            </w:r>
          </w:p>
        </w:tc>
        <w:tc>
          <w:tcPr>
            <w:tcW w:w="240" w:type="dxa"/>
            <w:vAlign w:val="bottom"/>
            <w:shd w:val="clear" w:color="auto" w:fill="D9D9D9"/>
          </w:tcPr>
          <w:p>
            <w:pPr>
              <w:spacing w:after="0"/>
              <w:rPr>
                <w:sz w:val="12"/>
                <w:szCs w:val="12"/>
                <w:color w:val="auto"/>
              </w:rPr>
            </w:pPr>
          </w:p>
        </w:tc>
        <w:tc>
          <w:tcPr>
            <w:tcW w:w="7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1,299,655</w:t>
            </w:r>
          </w:p>
        </w:tc>
        <w:tc>
          <w:tcPr>
            <w:tcW w:w="180" w:type="dxa"/>
            <w:vAlign w:val="bottom"/>
            <w:shd w:val="clear" w:color="auto" w:fill="D9D9D9"/>
          </w:tcPr>
          <w:p>
            <w:pPr>
              <w:jc w:val="right"/>
              <w:ind w:right="17"/>
              <w:spacing w:after="0"/>
              <w:rPr>
                <w:sz w:val="20"/>
                <w:szCs w:val="20"/>
                <w:color w:val="auto"/>
              </w:rPr>
            </w:pPr>
            <w:r>
              <w:rPr>
                <w:rFonts w:ascii="Arial" w:cs="Arial" w:eastAsia="Arial" w:hAnsi="Arial"/>
                <w:sz w:val="9"/>
                <w:szCs w:val="9"/>
                <w:color w:val="auto"/>
                <w:w w:val="90"/>
              </w:rPr>
              <w:t>(6)</w:t>
            </w:r>
          </w:p>
        </w:tc>
        <w:tc>
          <w:tcPr>
            <w:tcW w:w="0" w:type="dxa"/>
            <w:vAlign w:val="bottom"/>
          </w:tcPr>
          <w:p>
            <w:pPr>
              <w:spacing w:after="0"/>
              <w:rPr>
                <w:sz w:val="1"/>
                <w:szCs w:val="1"/>
                <w:color w:val="auto"/>
              </w:rPr>
            </w:pPr>
          </w:p>
        </w:tc>
      </w:tr>
      <w:tr>
        <w:trPr>
          <w:trHeight w:val="150"/>
        </w:trPr>
        <w:tc>
          <w:tcPr>
            <w:tcW w:w="1220" w:type="dxa"/>
            <w:vAlign w:val="bottom"/>
          </w:tcPr>
          <w:p>
            <w:pPr>
              <w:ind w:left="100"/>
              <w:spacing w:after="0"/>
              <w:rPr>
                <w:sz w:val="20"/>
                <w:szCs w:val="20"/>
                <w:color w:val="auto"/>
              </w:rPr>
            </w:pPr>
            <w:r>
              <w:rPr>
                <w:rFonts w:ascii="Arial" w:cs="Arial" w:eastAsia="Arial" w:hAnsi="Arial"/>
                <w:sz w:val="11"/>
                <w:szCs w:val="11"/>
                <w:color w:val="auto"/>
              </w:rPr>
              <w:t>A. Saleki-Gerhardt</w:t>
            </w: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2/13/2025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1,273,080</w:t>
            </w:r>
          </w:p>
        </w:tc>
        <w:tc>
          <w:tcPr>
            <w:tcW w:w="16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2,546,160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restart"/>
          </w:tcPr>
          <w:p>
            <w:pPr>
              <w:jc w:val="right"/>
              <w:ind w:right="3"/>
              <w:spacing w:after="0"/>
              <w:rPr>
                <w:sz w:val="20"/>
                <w:szCs w:val="20"/>
                <w:color w:val="auto"/>
              </w:rPr>
            </w:pPr>
            <w:r>
              <w:rPr>
                <w:rFonts w:ascii="Arial" w:cs="Arial" w:eastAsia="Arial" w:hAnsi="Arial"/>
                <w:sz w:val="11"/>
                <w:szCs w:val="11"/>
                <w:color w:val="auto"/>
              </w:rPr>
              <w:t>3,733</w:t>
            </w:r>
          </w:p>
        </w:tc>
        <w:tc>
          <w:tcPr>
            <w:tcW w:w="20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9,955</w:t>
            </w:r>
          </w:p>
        </w:tc>
        <w:tc>
          <w:tcPr>
            <w:tcW w:w="400" w:type="dxa"/>
            <w:vAlign w:val="bottom"/>
            <w:vMerge w:val="restart"/>
          </w:tcPr>
          <w:p>
            <w:pPr>
              <w:jc w:val="right"/>
              <w:ind w:right="235"/>
              <w:spacing w:after="0"/>
              <w:rPr>
                <w:sz w:val="20"/>
                <w:szCs w:val="20"/>
                <w:color w:val="auto"/>
              </w:rPr>
            </w:pPr>
            <w:r>
              <w:rPr>
                <w:rFonts w:ascii="Arial" w:cs="Arial" w:eastAsia="Arial" w:hAnsi="Arial"/>
                <w:sz w:val="9"/>
                <w:szCs w:val="9"/>
                <w:color w:val="auto"/>
                <w:w w:val="90"/>
              </w:rPr>
              <w:t>(2)</w:t>
            </w:r>
          </w:p>
        </w:tc>
        <w:tc>
          <w:tcPr>
            <w:tcW w:w="440" w:type="dxa"/>
            <w:vAlign w:val="bottom"/>
            <w:vMerge w:val="restart"/>
          </w:tcPr>
          <w:p>
            <w:pPr>
              <w:jc w:val="right"/>
              <w:ind w:right="3"/>
              <w:spacing w:after="0"/>
              <w:rPr>
                <w:sz w:val="20"/>
                <w:szCs w:val="20"/>
                <w:color w:val="auto"/>
              </w:rPr>
            </w:pPr>
            <w:r>
              <w:rPr>
                <w:rFonts w:ascii="Arial" w:cs="Arial" w:eastAsia="Arial" w:hAnsi="Arial"/>
                <w:sz w:val="11"/>
                <w:szCs w:val="11"/>
                <w:color w:val="auto"/>
              </w:rPr>
              <w:t>24,887</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2,060,585</w:t>
            </w:r>
          </w:p>
        </w:tc>
        <w:tc>
          <w:tcPr>
            <w:tcW w:w="180" w:type="dxa"/>
            <w:vAlign w:val="bottom"/>
            <w:vMerge w:val="restart"/>
          </w:tcPr>
          <w:p>
            <w:pPr>
              <w:jc w:val="right"/>
              <w:ind w:right="17"/>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1"/>
                <w:szCs w:val="11"/>
                <w:color w:val="auto"/>
              </w:rPr>
              <w:t>2/13/2025</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3"/>
              <w:spacing w:after="0" w:line="123" w:lineRule="exact"/>
              <w:rPr>
                <w:sz w:val="20"/>
                <w:szCs w:val="20"/>
                <w:color w:val="auto"/>
              </w:rPr>
            </w:pPr>
            <w:r>
              <w:rPr>
                <w:rFonts w:ascii="Arial" w:cs="Arial" w:eastAsia="Arial" w:hAnsi="Arial"/>
                <w:sz w:val="11"/>
                <w:szCs w:val="11"/>
                <w:color w:val="auto"/>
              </w:rPr>
              <w:t>4,977</w:t>
            </w:r>
          </w:p>
        </w:tc>
        <w:tc>
          <w:tcPr>
            <w:tcW w:w="20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9,955</w:t>
            </w:r>
          </w:p>
        </w:tc>
        <w:tc>
          <w:tcPr>
            <w:tcW w:w="400" w:type="dxa"/>
            <w:vAlign w:val="bottom"/>
          </w:tcPr>
          <w:p>
            <w:pPr>
              <w:jc w:val="right"/>
              <w:ind w:right="235"/>
              <w:spacing w:after="0"/>
              <w:rPr>
                <w:sz w:val="20"/>
                <w:szCs w:val="20"/>
                <w:color w:val="auto"/>
              </w:rPr>
            </w:pPr>
            <w:r>
              <w:rPr>
                <w:rFonts w:ascii="Arial" w:cs="Arial" w:eastAsia="Arial" w:hAnsi="Arial"/>
                <w:sz w:val="9"/>
                <w:szCs w:val="9"/>
                <w:color w:val="auto"/>
                <w:w w:val="90"/>
              </w:rPr>
              <w:t>(3)</w:t>
            </w:r>
          </w:p>
        </w:tc>
        <w:tc>
          <w:tcPr>
            <w:tcW w:w="440" w:type="dxa"/>
            <w:vAlign w:val="bottom"/>
          </w:tcPr>
          <w:p>
            <w:pPr>
              <w:jc w:val="right"/>
              <w:ind w:right="3"/>
              <w:spacing w:after="0" w:line="123" w:lineRule="exact"/>
              <w:rPr>
                <w:sz w:val="20"/>
                <w:szCs w:val="20"/>
                <w:color w:val="auto"/>
              </w:rPr>
            </w:pPr>
            <w:r>
              <w:rPr>
                <w:rFonts w:ascii="Arial" w:cs="Arial" w:eastAsia="Arial" w:hAnsi="Arial"/>
                <w:sz w:val="11"/>
                <w:szCs w:val="11"/>
                <w:color w:val="auto"/>
              </w:rPr>
              <w:t>19,910</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1"/>
                <w:szCs w:val="11"/>
                <w:color w:val="auto"/>
              </w:rPr>
              <w:t>1,919,872</w:t>
            </w:r>
          </w:p>
        </w:tc>
        <w:tc>
          <w:tcPr>
            <w:tcW w:w="180" w:type="dxa"/>
            <w:vAlign w:val="bottom"/>
          </w:tcPr>
          <w:p>
            <w:pPr>
              <w:jc w:val="right"/>
              <w:ind w:right="17"/>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2/13/2025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620" w:type="dxa"/>
            <w:vAlign w:val="bottom"/>
          </w:tcPr>
          <w:p>
            <w:pPr>
              <w:jc w:val="right"/>
              <w:spacing w:after="0"/>
              <w:rPr>
                <w:sz w:val="20"/>
                <w:szCs w:val="20"/>
                <w:color w:val="auto"/>
              </w:rPr>
            </w:pPr>
            <w:r>
              <w:rPr>
                <w:rFonts w:ascii="Arial" w:cs="Arial" w:eastAsia="Arial" w:hAnsi="Arial"/>
                <w:sz w:val="11"/>
                <w:szCs w:val="11"/>
                <w:color w:val="auto"/>
              </w:rPr>
              <w:t>192.86</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959,750</w:t>
            </w:r>
          </w:p>
        </w:tc>
        <w:tc>
          <w:tcPr>
            <w:tcW w:w="180" w:type="dxa"/>
            <w:vAlign w:val="bottom"/>
          </w:tcPr>
          <w:p>
            <w:pPr>
              <w:jc w:val="right"/>
              <w:ind w:right="17"/>
              <w:spacing w:after="0"/>
              <w:rPr>
                <w:sz w:val="20"/>
                <w:szCs w:val="20"/>
                <w:color w:val="auto"/>
              </w:rPr>
            </w:pPr>
            <w:r>
              <w:rPr>
                <w:rFonts w:ascii="Arial" w:cs="Arial" w:eastAsia="Arial" w:hAnsi="Arial"/>
                <w:sz w:val="9"/>
                <w:szCs w:val="9"/>
                <w:color w:val="auto"/>
                <w:w w:val="90"/>
              </w:rPr>
              <w:t>(6)</w:t>
            </w:r>
          </w:p>
        </w:tc>
        <w:tc>
          <w:tcPr>
            <w:tcW w:w="0" w:type="dxa"/>
            <w:vAlign w:val="bottom"/>
          </w:tcPr>
          <w:p>
            <w:pPr>
              <w:spacing w:after="0"/>
              <w:rPr>
                <w:sz w:val="1"/>
                <w:szCs w:val="1"/>
                <w:color w:val="auto"/>
              </w:rPr>
            </w:pPr>
          </w:p>
        </w:tc>
      </w:tr>
      <w:tr>
        <w:trPr>
          <w:trHeight w:val="123"/>
        </w:trPr>
        <w:tc>
          <w:tcPr>
            <w:tcW w:w="1220" w:type="dxa"/>
            <w:vAlign w:val="bottom"/>
            <w:shd w:val="clear" w:color="auto" w:fill="D9D9D9"/>
          </w:tcPr>
          <w:p>
            <w:pPr>
              <w:ind w:left="100"/>
              <w:spacing w:after="0" w:line="123" w:lineRule="exact"/>
              <w:rPr>
                <w:sz w:val="20"/>
                <w:szCs w:val="20"/>
                <w:color w:val="auto"/>
              </w:rPr>
            </w:pPr>
            <w:r>
              <w:rPr>
                <w:rFonts w:ascii="Arial" w:cs="Arial" w:eastAsia="Arial" w:hAnsi="Arial"/>
                <w:sz w:val="11"/>
                <w:szCs w:val="11"/>
                <w:color w:val="auto"/>
              </w:rPr>
              <w:t>R. Thakkar</w:t>
            </w:r>
          </w:p>
        </w:tc>
        <w:tc>
          <w:tcPr>
            <w:tcW w:w="100" w:type="dxa"/>
            <w:vAlign w:val="bottom"/>
            <w:shd w:val="clear" w:color="auto" w:fill="D9D9D9"/>
          </w:tcPr>
          <w:p>
            <w:pPr>
              <w:spacing w:after="0"/>
              <w:rPr>
                <w:sz w:val="10"/>
                <w:szCs w:val="10"/>
                <w:color w:val="auto"/>
              </w:rPr>
            </w:pPr>
          </w:p>
        </w:tc>
        <w:tc>
          <w:tcPr>
            <w:tcW w:w="720" w:type="dxa"/>
            <w:vAlign w:val="bottom"/>
            <w:vMerge w:val="restart"/>
            <w:shd w:val="clear" w:color="auto" w:fill="D9D9D9"/>
          </w:tcPr>
          <w:p>
            <w:pPr>
              <w:jc w:val="right"/>
              <w:spacing w:after="0"/>
              <w:rPr>
                <w:sz w:val="20"/>
                <w:szCs w:val="20"/>
                <w:color w:val="auto"/>
              </w:rPr>
            </w:pPr>
            <w:r>
              <w:rPr>
                <w:rFonts w:ascii="Arial" w:cs="Arial" w:eastAsia="Arial" w:hAnsi="Arial"/>
                <w:sz w:val="11"/>
                <w:szCs w:val="11"/>
                <w:color w:val="auto"/>
              </w:rPr>
              <w:t>2/13/2025</w:t>
            </w:r>
          </w:p>
        </w:tc>
        <w:tc>
          <w:tcPr>
            <w:tcW w:w="8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560" w:type="dxa"/>
            <w:vAlign w:val="bottom"/>
            <w:gridSpan w:val="2"/>
            <w:shd w:val="clear" w:color="auto" w:fill="D9D9D9"/>
          </w:tcPr>
          <w:p>
            <w:pPr>
              <w:jc w:val="right"/>
              <w:spacing w:after="0"/>
              <w:rPr>
                <w:sz w:val="20"/>
                <w:szCs w:val="20"/>
                <w:color w:val="auto"/>
              </w:rPr>
            </w:pPr>
            <w:r>
              <w:rPr>
                <w:rFonts w:ascii="Arial" w:cs="Arial" w:eastAsia="Arial" w:hAnsi="Arial"/>
                <w:sz w:val="9"/>
                <w:szCs w:val="9"/>
                <w:color w:val="auto"/>
              </w:rPr>
              <w:t>(1)</w:t>
            </w:r>
          </w:p>
        </w:tc>
        <w:tc>
          <w:tcPr>
            <w:tcW w:w="200" w:type="dxa"/>
            <w:vAlign w:val="bottom"/>
            <w:shd w:val="clear" w:color="auto" w:fill="D9D9D9"/>
          </w:tcPr>
          <w:p>
            <w:pPr>
              <w:spacing w:after="0"/>
              <w:rPr>
                <w:sz w:val="10"/>
                <w:szCs w:val="10"/>
                <w:color w:val="auto"/>
              </w:rPr>
            </w:pPr>
          </w:p>
        </w:tc>
        <w:tc>
          <w:tcPr>
            <w:tcW w:w="560" w:type="dxa"/>
            <w:vAlign w:val="bottom"/>
            <w:shd w:val="clear" w:color="auto" w:fill="D9D9D9"/>
          </w:tcPr>
          <w:p>
            <w:pPr>
              <w:jc w:val="right"/>
              <w:spacing w:after="0" w:line="123" w:lineRule="exact"/>
              <w:rPr>
                <w:sz w:val="20"/>
                <w:szCs w:val="20"/>
                <w:color w:val="auto"/>
              </w:rPr>
            </w:pPr>
            <w:r>
              <w:rPr>
                <w:rFonts w:ascii="Arial" w:cs="Arial" w:eastAsia="Arial" w:hAnsi="Arial"/>
                <w:sz w:val="11"/>
                <w:szCs w:val="11"/>
                <w:color w:val="auto"/>
              </w:rPr>
              <w:t>1,320,000</w:t>
            </w:r>
          </w:p>
        </w:tc>
        <w:tc>
          <w:tcPr>
            <w:tcW w:w="160" w:type="dxa"/>
            <w:vAlign w:val="bottom"/>
            <w:shd w:val="clear" w:color="auto" w:fill="D9D9D9"/>
          </w:tcPr>
          <w:p>
            <w:pPr>
              <w:spacing w:after="0"/>
              <w:rPr>
                <w:sz w:val="10"/>
                <w:szCs w:val="10"/>
                <w:color w:val="auto"/>
              </w:rPr>
            </w:pPr>
          </w:p>
        </w:tc>
        <w:tc>
          <w:tcPr>
            <w:tcW w:w="60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2,640,000</w:t>
            </w: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20" w:type="dxa"/>
            <w:vAlign w:val="bottom"/>
            <w:vMerge w:val="restart"/>
            <w:shd w:val="clear" w:color="auto" w:fill="D9D9D9"/>
          </w:tcPr>
          <w:p>
            <w:pPr>
              <w:jc w:val="right"/>
              <w:ind w:right="3"/>
              <w:spacing w:after="0"/>
              <w:rPr>
                <w:sz w:val="20"/>
                <w:szCs w:val="20"/>
                <w:color w:val="auto"/>
              </w:rPr>
            </w:pPr>
            <w:r>
              <w:rPr>
                <w:rFonts w:ascii="Arial" w:cs="Arial" w:eastAsia="Arial" w:hAnsi="Arial"/>
                <w:sz w:val="11"/>
                <w:szCs w:val="11"/>
                <w:color w:val="auto"/>
              </w:rPr>
              <w:t>3,733</w:t>
            </w:r>
          </w:p>
        </w:tc>
        <w:tc>
          <w:tcPr>
            <w:tcW w:w="200" w:type="dxa"/>
            <w:vAlign w:val="bottom"/>
            <w:shd w:val="clear" w:color="auto" w:fill="D9D9D9"/>
          </w:tcPr>
          <w:p>
            <w:pPr>
              <w:spacing w:after="0"/>
              <w:rPr>
                <w:sz w:val="10"/>
                <w:szCs w:val="10"/>
                <w:color w:val="auto"/>
              </w:rPr>
            </w:pPr>
          </w:p>
        </w:tc>
        <w:tc>
          <w:tcPr>
            <w:tcW w:w="460" w:type="dxa"/>
            <w:vAlign w:val="bottom"/>
            <w:vMerge w:val="restart"/>
            <w:shd w:val="clear" w:color="auto" w:fill="D9D9D9"/>
          </w:tcPr>
          <w:p>
            <w:pPr>
              <w:jc w:val="right"/>
              <w:spacing w:after="0"/>
              <w:rPr>
                <w:sz w:val="20"/>
                <w:szCs w:val="20"/>
                <w:color w:val="auto"/>
              </w:rPr>
            </w:pPr>
            <w:r>
              <w:rPr>
                <w:rFonts w:ascii="Arial" w:cs="Arial" w:eastAsia="Arial" w:hAnsi="Arial"/>
                <w:sz w:val="11"/>
                <w:szCs w:val="11"/>
                <w:color w:val="auto"/>
              </w:rPr>
              <w:t>9,955</w:t>
            </w:r>
          </w:p>
        </w:tc>
        <w:tc>
          <w:tcPr>
            <w:tcW w:w="400" w:type="dxa"/>
            <w:vAlign w:val="bottom"/>
            <w:vMerge w:val="restart"/>
            <w:shd w:val="clear" w:color="auto" w:fill="D9D9D9"/>
          </w:tcPr>
          <w:p>
            <w:pPr>
              <w:jc w:val="right"/>
              <w:ind w:right="235"/>
              <w:spacing w:after="0"/>
              <w:rPr>
                <w:sz w:val="20"/>
                <w:szCs w:val="20"/>
                <w:color w:val="auto"/>
              </w:rPr>
            </w:pPr>
            <w:r>
              <w:rPr>
                <w:rFonts w:ascii="Arial" w:cs="Arial" w:eastAsia="Arial" w:hAnsi="Arial"/>
                <w:sz w:val="9"/>
                <w:szCs w:val="9"/>
                <w:color w:val="auto"/>
                <w:w w:val="90"/>
              </w:rPr>
              <w:t>(2)</w:t>
            </w:r>
          </w:p>
        </w:tc>
        <w:tc>
          <w:tcPr>
            <w:tcW w:w="440" w:type="dxa"/>
            <w:vAlign w:val="bottom"/>
            <w:vMerge w:val="restart"/>
            <w:shd w:val="clear" w:color="auto" w:fill="D9D9D9"/>
          </w:tcPr>
          <w:p>
            <w:pPr>
              <w:jc w:val="right"/>
              <w:ind w:right="3"/>
              <w:spacing w:after="0"/>
              <w:rPr>
                <w:sz w:val="20"/>
                <w:szCs w:val="20"/>
                <w:color w:val="auto"/>
              </w:rPr>
            </w:pPr>
            <w:r>
              <w:rPr>
                <w:rFonts w:ascii="Arial" w:cs="Arial" w:eastAsia="Arial" w:hAnsi="Arial"/>
                <w:sz w:val="11"/>
                <w:szCs w:val="11"/>
                <w:color w:val="auto"/>
              </w:rPr>
              <w:t>24,887</w:t>
            </w:r>
          </w:p>
        </w:tc>
        <w:tc>
          <w:tcPr>
            <w:tcW w:w="120" w:type="dxa"/>
            <w:vAlign w:val="bottom"/>
            <w:shd w:val="clear" w:color="auto" w:fill="D9D9D9"/>
          </w:tcPr>
          <w:p>
            <w:pPr>
              <w:spacing w:after="0"/>
              <w:rPr>
                <w:sz w:val="10"/>
                <w:szCs w:val="10"/>
                <w:color w:val="auto"/>
              </w:rPr>
            </w:pPr>
          </w:p>
        </w:tc>
        <w:tc>
          <w:tcPr>
            <w:tcW w:w="70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720" w:type="dxa"/>
            <w:vAlign w:val="bottom"/>
            <w:vMerge w:val="restart"/>
            <w:shd w:val="clear" w:color="auto" w:fill="D9D9D9"/>
          </w:tcPr>
          <w:p>
            <w:pPr>
              <w:jc w:val="right"/>
              <w:spacing w:after="0"/>
              <w:rPr>
                <w:sz w:val="20"/>
                <w:szCs w:val="20"/>
                <w:color w:val="auto"/>
              </w:rPr>
            </w:pPr>
            <w:r>
              <w:rPr>
                <w:rFonts w:ascii="Arial" w:cs="Arial" w:eastAsia="Arial" w:hAnsi="Arial"/>
                <w:sz w:val="11"/>
                <w:szCs w:val="11"/>
                <w:color w:val="auto"/>
              </w:rPr>
              <w:t>2,060,585</w:t>
            </w:r>
          </w:p>
        </w:tc>
        <w:tc>
          <w:tcPr>
            <w:tcW w:w="180" w:type="dxa"/>
            <w:vAlign w:val="bottom"/>
            <w:vMerge w:val="restart"/>
            <w:shd w:val="clear" w:color="auto" w:fill="D9D9D9"/>
          </w:tcPr>
          <w:p>
            <w:pPr>
              <w:jc w:val="right"/>
              <w:ind w:right="17"/>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08"/>
        </w:trPr>
        <w:tc>
          <w:tcPr>
            <w:tcW w:w="122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720" w:type="dxa"/>
            <w:vAlign w:val="bottom"/>
            <w:vMerge w:val="continue"/>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4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420" w:type="dxa"/>
            <w:vAlign w:val="bottom"/>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560" w:type="dxa"/>
            <w:vAlign w:val="bottom"/>
            <w:shd w:val="clear" w:color="auto" w:fill="D9D9D9"/>
          </w:tcPr>
          <w:p>
            <w:pPr>
              <w:spacing w:after="0"/>
              <w:rPr>
                <w:sz w:val="9"/>
                <w:szCs w:val="9"/>
                <w:color w:val="auto"/>
              </w:rPr>
            </w:pPr>
          </w:p>
        </w:tc>
        <w:tc>
          <w:tcPr>
            <w:tcW w:w="160" w:type="dxa"/>
            <w:vAlign w:val="bottom"/>
            <w:shd w:val="clear" w:color="auto" w:fill="D9D9D9"/>
          </w:tcPr>
          <w:p>
            <w:pPr>
              <w:spacing w:after="0"/>
              <w:rPr>
                <w:sz w:val="9"/>
                <w:szCs w:val="9"/>
                <w:color w:val="auto"/>
              </w:rPr>
            </w:pPr>
          </w:p>
        </w:tc>
        <w:tc>
          <w:tcPr>
            <w:tcW w:w="60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620" w:type="dxa"/>
            <w:vAlign w:val="bottom"/>
            <w:vMerge w:val="continue"/>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460" w:type="dxa"/>
            <w:vAlign w:val="bottom"/>
            <w:vMerge w:val="continue"/>
            <w:shd w:val="clear" w:color="auto" w:fill="D9D9D9"/>
          </w:tcPr>
          <w:p>
            <w:pPr>
              <w:spacing w:after="0"/>
              <w:rPr>
                <w:sz w:val="9"/>
                <w:szCs w:val="9"/>
                <w:color w:val="auto"/>
              </w:rPr>
            </w:pPr>
          </w:p>
        </w:tc>
        <w:tc>
          <w:tcPr>
            <w:tcW w:w="400" w:type="dxa"/>
            <w:vAlign w:val="bottom"/>
            <w:vMerge w:val="continue"/>
            <w:shd w:val="clear" w:color="auto" w:fill="D9D9D9"/>
          </w:tcPr>
          <w:p>
            <w:pPr>
              <w:spacing w:after="0"/>
              <w:rPr>
                <w:sz w:val="9"/>
                <w:szCs w:val="9"/>
                <w:color w:val="auto"/>
              </w:rPr>
            </w:pPr>
          </w:p>
        </w:tc>
        <w:tc>
          <w:tcPr>
            <w:tcW w:w="440" w:type="dxa"/>
            <w:vAlign w:val="bottom"/>
            <w:vMerge w:val="continue"/>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70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62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720" w:type="dxa"/>
            <w:vAlign w:val="bottom"/>
            <w:vMerge w:val="continue"/>
            <w:shd w:val="clear" w:color="auto" w:fill="D9D9D9"/>
          </w:tcPr>
          <w:p>
            <w:pPr>
              <w:spacing w:after="0"/>
              <w:rPr>
                <w:sz w:val="9"/>
                <w:szCs w:val="9"/>
                <w:color w:val="auto"/>
              </w:rPr>
            </w:pPr>
          </w:p>
        </w:tc>
        <w:tc>
          <w:tcPr>
            <w:tcW w:w="180" w:type="dxa"/>
            <w:vAlign w:val="bottom"/>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2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720" w:type="dxa"/>
            <w:vAlign w:val="bottom"/>
            <w:shd w:val="clear" w:color="auto" w:fill="D9D9D9"/>
          </w:tcPr>
          <w:p>
            <w:pPr>
              <w:jc w:val="right"/>
              <w:spacing w:after="0" w:line="123" w:lineRule="exact"/>
              <w:rPr>
                <w:sz w:val="20"/>
                <w:szCs w:val="20"/>
                <w:color w:val="auto"/>
              </w:rPr>
            </w:pPr>
            <w:r>
              <w:rPr>
                <w:rFonts w:ascii="Arial" w:cs="Arial" w:eastAsia="Arial" w:hAnsi="Arial"/>
                <w:sz w:val="11"/>
                <w:szCs w:val="11"/>
                <w:color w:val="auto"/>
              </w:rPr>
              <w:t>2/13/2025</w:t>
            </w:r>
          </w:p>
        </w:tc>
        <w:tc>
          <w:tcPr>
            <w:tcW w:w="8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420" w:type="dxa"/>
            <w:vAlign w:val="bottom"/>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5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6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2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4,977</w:t>
            </w:r>
          </w:p>
        </w:tc>
        <w:tc>
          <w:tcPr>
            <w:tcW w:w="200" w:type="dxa"/>
            <w:vAlign w:val="bottom"/>
            <w:shd w:val="clear" w:color="auto" w:fill="D9D9D9"/>
          </w:tcPr>
          <w:p>
            <w:pPr>
              <w:spacing w:after="0"/>
              <w:rPr>
                <w:sz w:val="10"/>
                <w:szCs w:val="10"/>
                <w:color w:val="auto"/>
              </w:rPr>
            </w:pPr>
          </w:p>
        </w:tc>
        <w:tc>
          <w:tcPr>
            <w:tcW w:w="460" w:type="dxa"/>
            <w:vAlign w:val="bottom"/>
            <w:shd w:val="clear" w:color="auto" w:fill="D9D9D9"/>
          </w:tcPr>
          <w:p>
            <w:pPr>
              <w:jc w:val="right"/>
              <w:spacing w:after="0" w:line="123" w:lineRule="exact"/>
              <w:rPr>
                <w:sz w:val="20"/>
                <w:szCs w:val="20"/>
                <w:color w:val="auto"/>
              </w:rPr>
            </w:pPr>
            <w:r>
              <w:rPr>
                <w:rFonts w:ascii="Arial" w:cs="Arial" w:eastAsia="Arial" w:hAnsi="Arial"/>
                <w:sz w:val="11"/>
                <w:szCs w:val="11"/>
                <w:color w:val="auto"/>
              </w:rPr>
              <w:t>9,955</w:t>
            </w:r>
          </w:p>
        </w:tc>
        <w:tc>
          <w:tcPr>
            <w:tcW w:w="400" w:type="dxa"/>
            <w:vAlign w:val="bottom"/>
            <w:shd w:val="clear" w:color="auto" w:fill="D9D9D9"/>
          </w:tcPr>
          <w:p>
            <w:pPr>
              <w:jc w:val="right"/>
              <w:ind w:right="235"/>
              <w:spacing w:after="0"/>
              <w:rPr>
                <w:sz w:val="20"/>
                <w:szCs w:val="20"/>
                <w:color w:val="auto"/>
              </w:rPr>
            </w:pPr>
            <w:r>
              <w:rPr>
                <w:rFonts w:ascii="Arial" w:cs="Arial" w:eastAsia="Arial" w:hAnsi="Arial"/>
                <w:sz w:val="9"/>
                <w:szCs w:val="9"/>
                <w:color w:val="auto"/>
                <w:w w:val="90"/>
              </w:rPr>
              <w:t>(3)</w:t>
            </w:r>
          </w:p>
        </w:tc>
        <w:tc>
          <w:tcPr>
            <w:tcW w:w="44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19,910</w:t>
            </w:r>
          </w:p>
        </w:tc>
        <w:tc>
          <w:tcPr>
            <w:tcW w:w="120" w:type="dxa"/>
            <w:vAlign w:val="bottom"/>
            <w:shd w:val="clear" w:color="auto" w:fill="D9D9D9"/>
          </w:tcPr>
          <w:p>
            <w:pPr>
              <w:spacing w:after="0"/>
              <w:rPr>
                <w:sz w:val="10"/>
                <w:szCs w:val="10"/>
                <w:color w:val="auto"/>
              </w:rPr>
            </w:pPr>
          </w:p>
        </w:tc>
        <w:tc>
          <w:tcPr>
            <w:tcW w:w="70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720" w:type="dxa"/>
            <w:vAlign w:val="bottom"/>
            <w:shd w:val="clear" w:color="auto" w:fill="D9D9D9"/>
          </w:tcPr>
          <w:p>
            <w:pPr>
              <w:jc w:val="right"/>
              <w:spacing w:after="0" w:line="123" w:lineRule="exact"/>
              <w:rPr>
                <w:sz w:val="20"/>
                <w:szCs w:val="20"/>
                <w:color w:val="auto"/>
              </w:rPr>
            </w:pPr>
            <w:r>
              <w:rPr>
                <w:rFonts w:ascii="Arial" w:cs="Arial" w:eastAsia="Arial" w:hAnsi="Arial"/>
                <w:sz w:val="11"/>
                <w:szCs w:val="11"/>
                <w:color w:val="auto"/>
              </w:rPr>
              <w:t>1,919,872</w:t>
            </w:r>
          </w:p>
        </w:tc>
        <w:tc>
          <w:tcPr>
            <w:tcW w:w="180" w:type="dxa"/>
            <w:vAlign w:val="bottom"/>
            <w:shd w:val="clear" w:color="auto" w:fill="D9D9D9"/>
          </w:tcPr>
          <w:p>
            <w:pPr>
              <w:jc w:val="right"/>
              <w:ind w:right="17"/>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39"/>
        </w:trPr>
        <w:tc>
          <w:tcPr>
            <w:tcW w:w="122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7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2/13/2025</w:t>
            </w:r>
          </w:p>
        </w:tc>
        <w:tc>
          <w:tcPr>
            <w:tcW w:w="80" w:type="dxa"/>
            <w:vAlign w:val="bottom"/>
            <w:shd w:val="clear" w:color="auto" w:fill="D9D9D9"/>
          </w:tcPr>
          <w:p>
            <w:pPr>
              <w:spacing w:after="0"/>
              <w:rPr>
                <w:sz w:val="12"/>
                <w:szCs w:val="12"/>
                <w:color w:val="auto"/>
              </w:rPr>
            </w:pPr>
          </w:p>
        </w:tc>
        <w:tc>
          <w:tcPr>
            <w:tcW w:w="4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4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56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00" w:type="dxa"/>
            <w:vAlign w:val="bottom"/>
            <w:shd w:val="clear" w:color="auto" w:fill="D9D9D9"/>
          </w:tcPr>
          <w:p>
            <w:pPr>
              <w:spacing w:after="0"/>
              <w:rPr>
                <w:sz w:val="12"/>
                <w:szCs w:val="12"/>
                <w:color w:val="auto"/>
              </w:rPr>
            </w:pPr>
          </w:p>
        </w:tc>
        <w:tc>
          <w:tcPr>
            <w:tcW w:w="60" w:type="dxa"/>
            <w:vAlign w:val="bottom"/>
            <w:shd w:val="clear" w:color="auto" w:fill="D9D9D9"/>
          </w:tcPr>
          <w:p>
            <w:pPr>
              <w:spacing w:after="0"/>
              <w:rPr>
                <w:sz w:val="12"/>
                <w:szCs w:val="12"/>
                <w:color w:val="auto"/>
              </w:rPr>
            </w:pPr>
          </w:p>
        </w:tc>
        <w:tc>
          <w:tcPr>
            <w:tcW w:w="60" w:type="dxa"/>
            <w:vAlign w:val="bottom"/>
            <w:shd w:val="clear" w:color="auto" w:fill="D9D9D9"/>
          </w:tcPr>
          <w:p>
            <w:pPr>
              <w:spacing w:after="0"/>
              <w:rPr>
                <w:sz w:val="12"/>
                <w:szCs w:val="12"/>
                <w:color w:val="auto"/>
              </w:rPr>
            </w:pPr>
          </w:p>
        </w:tc>
        <w:tc>
          <w:tcPr>
            <w:tcW w:w="60" w:type="dxa"/>
            <w:vAlign w:val="bottom"/>
            <w:shd w:val="clear" w:color="auto" w:fill="D9D9D9"/>
          </w:tcPr>
          <w:p>
            <w:pPr>
              <w:spacing w:after="0"/>
              <w:rPr>
                <w:sz w:val="12"/>
                <w:szCs w:val="12"/>
                <w:color w:val="auto"/>
              </w:rPr>
            </w:pPr>
          </w:p>
        </w:tc>
        <w:tc>
          <w:tcPr>
            <w:tcW w:w="6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460" w:type="dxa"/>
            <w:vAlign w:val="bottom"/>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25,000</w:t>
            </w:r>
          </w:p>
        </w:tc>
        <w:tc>
          <w:tcPr>
            <w:tcW w:w="140" w:type="dxa"/>
            <w:vAlign w:val="bottom"/>
            <w:shd w:val="clear" w:color="auto" w:fill="D9D9D9"/>
          </w:tcPr>
          <w:p>
            <w:pPr>
              <w:jc w:val="right"/>
              <w:spacing w:after="0"/>
              <w:rPr>
                <w:sz w:val="20"/>
                <w:szCs w:val="20"/>
                <w:color w:val="auto"/>
              </w:rPr>
            </w:pPr>
            <w:r>
              <w:rPr>
                <w:rFonts w:ascii="Arial" w:cs="Arial" w:eastAsia="Arial" w:hAnsi="Arial"/>
                <w:sz w:val="9"/>
                <w:szCs w:val="9"/>
                <w:color w:val="auto"/>
                <w:w w:val="90"/>
              </w:rPr>
              <w:t>(5)</w:t>
            </w:r>
          </w:p>
        </w:tc>
        <w:tc>
          <w:tcPr>
            <w:tcW w:w="6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192.86</w:t>
            </w:r>
          </w:p>
        </w:tc>
        <w:tc>
          <w:tcPr>
            <w:tcW w:w="240" w:type="dxa"/>
            <w:vAlign w:val="bottom"/>
            <w:shd w:val="clear" w:color="auto" w:fill="D9D9D9"/>
          </w:tcPr>
          <w:p>
            <w:pPr>
              <w:spacing w:after="0"/>
              <w:rPr>
                <w:sz w:val="12"/>
                <w:szCs w:val="12"/>
                <w:color w:val="auto"/>
              </w:rPr>
            </w:pPr>
          </w:p>
        </w:tc>
        <w:tc>
          <w:tcPr>
            <w:tcW w:w="7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959,750</w:t>
            </w:r>
          </w:p>
        </w:tc>
        <w:tc>
          <w:tcPr>
            <w:tcW w:w="180" w:type="dxa"/>
            <w:vAlign w:val="bottom"/>
            <w:shd w:val="clear" w:color="auto" w:fill="D9D9D9"/>
          </w:tcPr>
          <w:p>
            <w:pPr>
              <w:jc w:val="right"/>
              <w:ind w:right="17"/>
              <w:spacing w:after="0"/>
              <w:rPr>
                <w:sz w:val="20"/>
                <w:szCs w:val="20"/>
                <w:color w:val="auto"/>
              </w:rPr>
            </w:pPr>
            <w:r>
              <w:rPr>
                <w:rFonts w:ascii="Arial" w:cs="Arial" w:eastAsia="Arial" w:hAnsi="Arial"/>
                <w:sz w:val="9"/>
                <w:szCs w:val="9"/>
                <w:color w:val="auto"/>
                <w:w w:val="90"/>
              </w:rPr>
              <w:t>(6)</w:t>
            </w:r>
          </w:p>
        </w:tc>
        <w:tc>
          <w:tcPr>
            <w:tcW w:w="0" w:type="dxa"/>
            <w:vAlign w:val="bottom"/>
          </w:tcPr>
          <w:p>
            <w:pPr>
              <w:spacing w:after="0"/>
              <w:rPr>
                <w:sz w:val="1"/>
                <w:szCs w:val="1"/>
                <w:color w:val="auto"/>
              </w:rPr>
            </w:pPr>
          </w:p>
        </w:tc>
      </w:tr>
      <w:tr>
        <w:trPr>
          <w:trHeight w:val="98"/>
        </w:trPr>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89" w:right="100" w:hanging="289"/>
        <w:spacing w:after="0" w:line="246" w:lineRule="auto"/>
        <w:tabs>
          <w:tab w:leader="none" w:pos="289" w:val="left"/>
        </w:tabs>
        <w:numPr>
          <w:ilvl w:val="0"/>
          <w:numId w:val="80"/>
        </w:numPr>
        <w:rPr>
          <w:rFonts w:ascii="Arial" w:cs="Arial" w:eastAsia="Arial" w:hAnsi="Arial"/>
          <w:sz w:val="16"/>
          <w:szCs w:val="16"/>
          <w:color w:val="auto"/>
        </w:rPr>
      </w:pPr>
      <w:r>
        <w:rPr>
          <w:rFonts w:ascii="Arial" w:cs="Arial" w:eastAsia="Arial" w:hAnsi="Arial"/>
          <w:sz w:val="16"/>
          <w:szCs w:val="16"/>
          <w:color w:val="auto"/>
        </w:rPr>
        <w:t>During 2025, each of the NEOs participated in the AbbVie Performance Incentive Plan (PIP). The awards shown represent the potential value of annual cash incentive awards that could be earned under the PIP assuming target performance (100% of target PIP opportunity) and maximum performance (200% of target PIP opportunity). The PIP does not include a threshold payout level. The PIP provides the compensation committee with discretion to reduce an executive’s award, including no payout. The actual annual cash incentive award earned by the NEO in 2025 under the plan is shown in the Summary Compensation Table in the column captioned “Non-Equity Incentive Plan Compensation.” The plan is described in greater detail in the section of this proxy statement captioned “Compensation Discussion and Analysis—Compensation Plan Elements—Short-Term Incentives and 2025 Results.”</w:t>
      </w:r>
    </w:p>
    <w:p>
      <w:pPr>
        <w:spacing w:after="0" w:line="79" w:lineRule="exact"/>
        <w:rPr>
          <w:rFonts w:ascii="Arial" w:cs="Arial" w:eastAsia="Arial" w:hAnsi="Arial"/>
          <w:sz w:val="16"/>
          <w:szCs w:val="16"/>
          <w:color w:val="auto"/>
        </w:rPr>
      </w:pPr>
    </w:p>
    <w:p>
      <w:pPr>
        <w:ind w:left="289" w:right="40" w:hanging="289"/>
        <w:spacing w:after="0" w:line="244" w:lineRule="auto"/>
        <w:tabs>
          <w:tab w:leader="none" w:pos="28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This is a performance share award that has the potential to vest at 0% to 250% of target after a three-year performance period and is earned based on company performance in adjusted diluted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in cash at vesting only to the extent that shares are earned. The threshold amounts shown represent 37.5% of the target performance shares that could have been earned based on threshold adjusted diluted EPS performance of $9.41 (50% payout), adjusted by -25% for threshold relative TSR performance of 15 points below the index. No performance shares would be earned for adjusted diluted EPS performance below threshold. In 2025, AbbVie’s actual adjusted diluted EPS performance resulted in the banking of the award on February 27, 2026 at 200% of target, with vesting to be determined based on the company’s relative TSR performance following the three-year performance period that ends December 31, 2027. The performance metrics are described in the section of this proxy statement captioned “Compensation Discussion and Analysis—Compensation Plan Elements—Long-Term Incentives and 2025 Results.”</w:t>
      </w:r>
    </w:p>
    <w:p>
      <w:pPr>
        <w:spacing w:after="0" w:line="266" w:lineRule="exact"/>
        <w:rPr>
          <w:rFonts w:ascii="Arial" w:cs="Arial" w:eastAsia="Arial" w:hAnsi="Arial"/>
          <w:sz w:val="16"/>
          <w:szCs w:val="16"/>
          <w:color w:val="auto"/>
        </w:rPr>
      </w:pPr>
    </w:p>
    <w:p>
      <w:pPr>
        <w:ind w:left="289" w:right="180" w:hanging="289"/>
        <w:spacing w:after="0" w:line="262" w:lineRule="auto"/>
        <w:tabs>
          <w:tab w:leader="none" w:pos="28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This is a performance-vested restricted stock unit award that has the potential to vest at 0% to 200% of target in one-third increments during a three-year performance period and is earned based on AbbVie’s return on invested capital (ROIC) relative to a group made up of companies that are constituents in either the S&amp;P</w:t>
      </w:r>
    </w:p>
    <w:p>
      <w:pPr>
        <w:spacing w:after="0" w:line="200" w:lineRule="exact"/>
        <w:rPr>
          <w:sz w:val="20"/>
          <w:szCs w:val="20"/>
          <w:color w:val="auto"/>
        </w:rPr>
      </w:pPr>
    </w:p>
    <w:p>
      <w:pPr>
        <w:spacing w:after="0" w:line="260"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-492125</wp:posOffset>
            </wp:positionV>
            <wp:extent cx="797560" cy="148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56" w:name="page57"/>
    <w:bookmarkEnd w:id="56"/>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289" w:right="40"/>
        <w:spacing w:after="0" w:line="231" w:lineRule="auto"/>
        <w:rPr>
          <w:sz w:val="20"/>
          <w:szCs w:val="20"/>
          <w:color w:val="auto"/>
        </w:rPr>
      </w:pPr>
      <w:r>
        <w:rPr>
          <w:rFonts w:ascii="Arial" w:cs="Arial" w:eastAsia="Arial" w:hAnsi="Arial"/>
          <w:sz w:val="16"/>
          <w:szCs w:val="16"/>
          <w:color w:val="auto"/>
        </w:rPr>
        <w:t>Pharmaceutical, Biotech, and Life Science Index or the NYSE Arca Pharmaceutical Index. Dividends accrue during the performance period and are paid in cash at vesting only to the extent that shares are earned. The threshold amounts shown represent 50% of the target performance-vested restricted stock units that may be earned at threshold ROIC performance of 40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to 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 during the three-year performance period. No performance-vested restricted stock units would be earned for ROIC performance below threshold. In 2025, AbbVie’s relative ROIC performance resulted in the vesting on February 27, 2026 of one-third of the award at 200% of target. The performance metrics are described in the section of this proxy statement captioned “Compensation Discussion and Analysis—Compensation Plan Elements—Long-Term Incentives and 2025 Results.”</w:t>
      </w:r>
    </w:p>
    <w:p>
      <w:pPr>
        <w:spacing w:after="0" w:line="83" w:lineRule="exact"/>
        <w:rPr>
          <w:sz w:val="20"/>
          <w:szCs w:val="20"/>
          <w:color w:val="auto"/>
        </w:rPr>
      </w:pPr>
    </w:p>
    <w:p>
      <w:pPr>
        <w:ind w:left="289" w:hanging="289"/>
        <w:spacing w:after="0" w:line="246" w:lineRule="auto"/>
        <w:tabs>
          <w:tab w:leader="none" w:pos="28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grant date fair value of stock awards is generally determined by multiplying the number of shares granted (at target, for the performance shares and performance-vested restricted stock unit awards) by the average of the high and low market prices of one share of AbbVie common stock on the award grant date. The grant date fair value of performance shares with a TSR market condition is determined using the Monte Carlo simulation model. See footnote (1) of the Summary Compensation Table for more information. In the event of a grantee’s death or termination due to disability, these awards will be deemed earned either based on actual performance through the date of death or disability or at target, depending on which is greater and/or the timing of the death or disability, as set forth in the award agreements. Upon a change in control, the treatment of these awards is determined as described in the section of this proxy statement captioned “Potential Payments upon Termination or Change in Control—Equity Awards.”</w:t>
      </w:r>
    </w:p>
    <w:p>
      <w:pPr>
        <w:spacing w:after="0" w:line="161" w:lineRule="exact"/>
        <w:rPr>
          <w:rFonts w:ascii="Arial" w:cs="Arial" w:eastAsia="Arial" w:hAnsi="Arial"/>
          <w:sz w:val="16"/>
          <w:szCs w:val="16"/>
          <w:color w:val="auto"/>
        </w:rPr>
      </w:pPr>
    </w:p>
    <w:p>
      <w:pPr>
        <w:ind w:left="289" w:right="180" w:hanging="289"/>
        <w:spacing w:after="0" w:line="247" w:lineRule="auto"/>
        <w:tabs>
          <w:tab w:leader="none" w:pos="289" w:val="left"/>
        </w:tabs>
        <w:numPr>
          <w:ilvl w:val="0"/>
          <w:numId w:val="81"/>
        </w:numPr>
        <w:rPr>
          <w:rFonts w:ascii="Arial" w:cs="Arial" w:eastAsia="Arial" w:hAnsi="Arial"/>
          <w:sz w:val="16"/>
          <w:szCs w:val="16"/>
          <w:color w:val="auto"/>
        </w:rPr>
      </w:pPr>
      <w:r>
        <w:rPr>
          <w:rFonts w:ascii="Arial" w:cs="Arial" w:eastAsia="Arial" w:hAnsi="Arial"/>
          <w:sz w:val="16"/>
          <w:szCs w:val="16"/>
          <w:color w:val="auto"/>
        </w:rPr>
        <w:t>One-third of the shares of common stock covered by these options are exercisable after one year, two-thirds after two years, and all after three years, subject to satisfaction of the service requirements set forth in the award agreements. The options vest in the event of the grantee’s death or termination due to disability. Upon a change in control, the treatment of these awards is determined as described in the section of this proxy statement captioned “Potential Payments upon Termination or Change in Control—Equity Awards.” Under the AbbVie Amended and Restated 2013 Incentive Stock Program, these options have an exercise price equal to the average of the high and low market prices (rounded up to the next even penny) of one share of AbbVie common stock on the date of grant.</w:t>
      </w:r>
    </w:p>
    <w:p>
      <w:pPr>
        <w:spacing w:after="0" w:line="164" w:lineRule="exact"/>
        <w:rPr>
          <w:rFonts w:ascii="Arial" w:cs="Arial" w:eastAsia="Arial" w:hAnsi="Arial"/>
          <w:sz w:val="16"/>
          <w:szCs w:val="16"/>
          <w:color w:val="auto"/>
        </w:rPr>
      </w:pPr>
    </w:p>
    <w:p>
      <w:pPr>
        <w:ind w:left="289" w:right="40" w:hanging="289"/>
        <w:spacing w:after="0" w:line="262" w:lineRule="auto"/>
        <w:tabs>
          <w:tab w:leader="none" w:pos="28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grant date fair value of option awards is determined as of the option grant date using a Black-Scholes stock option valuation model. The assumptions used to determine the grant date fair value are described in footnote (2) to the Summary Compensation Table.</w:t>
      </w:r>
    </w:p>
    <w:p>
      <w:pPr>
        <w:spacing w:after="0" w:line="200" w:lineRule="exact"/>
        <w:rPr>
          <w:sz w:val="20"/>
          <w:szCs w:val="20"/>
          <w:color w:val="auto"/>
        </w:rPr>
      </w:pPr>
    </w:p>
    <w:p>
      <w:pPr>
        <w:spacing w:after="0" w:line="336"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54</w:t>
      </w:r>
      <w:r>
        <w:rPr>
          <w:sz w:val="20"/>
          <w:szCs w:val="20"/>
          <w:color w:val="auto"/>
        </w:rPr>
        <w:tab/>
      </w:r>
      <w:r>
        <w:rPr>
          <w:sz w:val="1"/>
          <w:szCs w:val="1"/>
          <w:color w:val="auto"/>
        </w:rPr>
        <w:drawing>
          <wp:inline distT="0" distB="0" distL="0" distR="0">
            <wp:extent cx="797560" cy="14859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234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49"/>
          </w:cols>
          <w:pgMar w:left="1311" w:top="480" w:right="1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6960"/>
        <w:spacing w:after="0"/>
        <w:rPr>
          <w:sz w:val="20"/>
          <w:szCs w:val="20"/>
          <w:color w:val="auto"/>
        </w:rPr>
      </w:pPr>
      <w:r>
        <w:rPr>
          <w:rFonts w:ascii="Arial" w:cs="Arial" w:eastAsia="Arial" w:hAnsi="Arial"/>
          <w:sz w:val="16"/>
          <w:szCs w:val="16"/>
          <w:color w:val="808080"/>
        </w:rPr>
        <w:t>EXECUTIVE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30"/>
          <w:szCs w:val="30"/>
          <w:color w:val="auto"/>
        </w:rPr>
        <w:t>2025 Outstanding Equity Awards at Fiscal Year End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outstanding AbbVie equity awards held by the NEOs at year end.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071D49"/>
            </w:tcBorders>
          </w:tcPr>
          <w:p>
            <w:pPr>
              <w:spacing w:after="0"/>
              <w:rPr>
                <w:sz w:val="12"/>
                <w:szCs w:val="12"/>
                <w:color w:val="auto"/>
              </w:rPr>
            </w:pPr>
          </w:p>
        </w:tc>
        <w:tc>
          <w:tcPr>
            <w:tcW w:w="140" w:type="dxa"/>
            <w:vAlign w:val="bottom"/>
            <w:tcBorders>
              <w:bottom w:val="single" w:sz="8" w:color="071D49"/>
            </w:tcBorders>
          </w:tcPr>
          <w:p>
            <w:pPr>
              <w:spacing w:after="0"/>
              <w:rPr>
                <w:sz w:val="12"/>
                <w:szCs w:val="12"/>
                <w:color w:val="auto"/>
              </w:rPr>
            </w:pPr>
          </w:p>
        </w:tc>
        <w:tc>
          <w:tcPr>
            <w:tcW w:w="2180" w:type="dxa"/>
            <w:vAlign w:val="bottom"/>
            <w:tcBorders>
              <w:bottom w:val="single" w:sz="8" w:color="071D49"/>
            </w:tcBorders>
            <w:gridSpan w:val="4"/>
          </w:tcPr>
          <w:p>
            <w:pPr>
              <w:jc w:val="center"/>
              <w:ind w:right="127"/>
              <w:spacing w:after="0"/>
              <w:rPr>
                <w:sz w:val="20"/>
                <w:szCs w:val="20"/>
                <w:color w:val="auto"/>
              </w:rPr>
            </w:pPr>
            <w:r>
              <w:rPr>
                <w:rFonts w:ascii="Arial" w:cs="Arial" w:eastAsia="Arial" w:hAnsi="Arial"/>
                <w:sz w:val="11"/>
                <w:szCs w:val="11"/>
                <w:b w:val="1"/>
                <w:bCs w:val="1"/>
                <w:color w:val="454968"/>
              </w:rPr>
              <w:t>Option Awards(1)</w:t>
            </w:r>
          </w:p>
        </w:tc>
        <w:tc>
          <w:tcPr>
            <w:tcW w:w="740" w:type="dxa"/>
            <w:vAlign w:val="bottom"/>
            <w:tcBorders>
              <w:bottom w:val="single" w:sz="8" w:color="071D49"/>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071D49"/>
            </w:tcBorders>
          </w:tcPr>
          <w:p>
            <w:pPr>
              <w:spacing w:after="0"/>
              <w:rPr>
                <w:sz w:val="12"/>
                <w:szCs w:val="12"/>
                <w:color w:val="auto"/>
              </w:rPr>
            </w:pPr>
          </w:p>
        </w:tc>
        <w:tc>
          <w:tcPr>
            <w:tcW w:w="1800" w:type="dxa"/>
            <w:vAlign w:val="bottom"/>
            <w:tcBorders>
              <w:bottom w:val="single" w:sz="8" w:color="071D49"/>
            </w:tcBorders>
            <w:gridSpan w:val="2"/>
          </w:tcPr>
          <w:p>
            <w:pPr>
              <w:jc w:val="right"/>
              <w:ind w:right="190"/>
              <w:spacing w:after="0"/>
              <w:rPr>
                <w:sz w:val="20"/>
                <w:szCs w:val="20"/>
                <w:color w:val="auto"/>
              </w:rPr>
            </w:pPr>
            <w:r>
              <w:rPr>
                <w:rFonts w:ascii="Arial" w:cs="Arial" w:eastAsia="Arial" w:hAnsi="Arial"/>
                <w:sz w:val="11"/>
                <w:szCs w:val="11"/>
                <w:b w:val="1"/>
                <w:bCs w:val="1"/>
                <w:color w:val="454968"/>
              </w:rPr>
              <w:t>Stock Awards</w:t>
            </w:r>
          </w:p>
        </w:tc>
        <w:tc>
          <w:tcPr>
            <w:tcW w:w="160" w:type="dxa"/>
            <w:vAlign w:val="bottom"/>
            <w:tcBorders>
              <w:bottom w:val="single" w:sz="8" w:color="071D49"/>
            </w:tcBorders>
          </w:tcPr>
          <w:p>
            <w:pPr>
              <w:spacing w:after="0"/>
              <w:rPr>
                <w:sz w:val="12"/>
                <w:szCs w:val="12"/>
                <w:color w:val="auto"/>
              </w:rPr>
            </w:pPr>
          </w:p>
        </w:tc>
        <w:tc>
          <w:tcPr>
            <w:tcW w:w="220" w:type="dxa"/>
            <w:vAlign w:val="bottom"/>
            <w:tcBorders>
              <w:bottom w:val="single" w:sz="8" w:color="071D49"/>
            </w:tcBorders>
          </w:tcPr>
          <w:p>
            <w:pPr>
              <w:spacing w:after="0"/>
              <w:rPr>
                <w:sz w:val="12"/>
                <w:szCs w:val="12"/>
                <w:color w:val="auto"/>
              </w:rPr>
            </w:pPr>
          </w:p>
        </w:tc>
        <w:tc>
          <w:tcPr>
            <w:tcW w:w="860" w:type="dxa"/>
            <w:vAlign w:val="bottom"/>
            <w:tcBorders>
              <w:bottom w:val="single" w:sz="8" w:color="071D49"/>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b w:val="1"/>
                <w:bCs w:val="1"/>
                <w:color w:val="454968"/>
              </w:rPr>
              <w:t>Equity</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line="98" w:lineRule="exact"/>
              <w:rPr>
                <w:sz w:val="20"/>
                <w:szCs w:val="20"/>
                <w:color w:val="auto"/>
              </w:rPr>
            </w:pPr>
            <w:r>
              <w:rPr>
                <w:rFonts w:ascii="Arial" w:cs="Arial" w:eastAsia="Arial" w:hAnsi="Arial"/>
                <w:sz w:val="11"/>
                <w:szCs w:val="11"/>
                <w:b w:val="1"/>
                <w:bCs w:val="1"/>
                <w:color w:val="454968"/>
              </w:rPr>
              <w:t>Equity</w:t>
            </w: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Incentive</w:t>
            </w: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Incentive</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Plan Awards:</w:t>
            </w: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Plan Awards:</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Market or</w:t>
            </w: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b w:val="1"/>
                <w:bCs w:val="1"/>
                <w:color w:val="454968"/>
              </w:rPr>
              <w:t>Number of</w:t>
            </w: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b w:val="1"/>
                <w:bCs w:val="1"/>
                <w:color w:val="454968"/>
              </w:rPr>
              <w:t>Number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vMerge w:val="restart"/>
          </w:tcPr>
          <w:p>
            <w:pPr>
              <w:jc w:val="right"/>
              <w:ind w:right="183"/>
              <w:spacing w:after="0"/>
              <w:rPr>
                <w:sz w:val="20"/>
                <w:szCs w:val="20"/>
                <w:color w:val="auto"/>
              </w:rPr>
            </w:pPr>
            <w:r>
              <w:rPr>
                <w:rFonts w:ascii="Arial" w:cs="Arial" w:eastAsia="Arial" w:hAnsi="Arial"/>
                <w:sz w:val="11"/>
                <w:szCs w:val="11"/>
                <w:b w:val="1"/>
                <w:bCs w:val="1"/>
                <w:color w:val="454968"/>
              </w:rPr>
              <w:t>Market</w:t>
            </w:r>
          </w:p>
        </w:tc>
        <w:tc>
          <w:tcPr>
            <w:tcW w:w="7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Number of</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Payout Value</w:t>
            </w: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454968"/>
              </w:rPr>
              <w:t>Number of</w:t>
            </w:r>
          </w:p>
        </w:tc>
        <w:tc>
          <w:tcPr>
            <w:tcW w:w="1040" w:type="dxa"/>
            <w:vAlign w:val="bottom"/>
            <w:vMerge w:val="continue"/>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Unearned</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of Unearned</w:t>
            </w: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Securities</w:t>
            </w:r>
          </w:p>
        </w:tc>
        <w:tc>
          <w:tcPr>
            <w:tcW w:w="14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Securities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040" w:type="dxa"/>
            <w:vAlign w:val="bottom"/>
          </w:tcPr>
          <w:p>
            <w:pPr>
              <w:jc w:val="right"/>
              <w:ind w:right="183"/>
              <w:spacing w:after="0" w:line="123" w:lineRule="exact"/>
              <w:rPr>
                <w:sz w:val="20"/>
                <w:szCs w:val="20"/>
                <w:color w:val="auto"/>
              </w:rPr>
            </w:pPr>
            <w:r>
              <w:rPr>
                <w:rFonts w:ascii="Arial" w:cs="Arial" w:eastAsia="Arial" w:hAnsi="Arial"/>
                <w:sz w:val="11"/>
                <w:szCs w:val="11"/>
                <w:b w:val="1"/>
                <w:bCs w:val="1"/>
                <w:color w:val="454968"/>
              </w:rPr>
              <w:t>Value of</w:t>
            </w:r>
          </w:p>
        </w:tc>
        <w:tc>
          <w:tcPr>
            <w:tcW w:w="7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Shares</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Shares</w:t>
            </w: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Underlying</w:t>
            </w:r>
          </w:p>
        </w:tc>
        <w:tc>
          <w:tcPr>
            <w:tcW w:w="14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Underlying</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right"/>
              <w:ind w:right="147"/>
              <w:spacing w:after="0"/>
              <w:rPr>
                <w:sz w:val="20"/>
                <w:szCs w:val="20"/>
                <w:color w:val="auto"/>
              </w:rPr>
            </w:pPr>
            <w:r>
              <w:rPr>
                <w:rFonts w:ascii="Arial" w:cs="Arial" w:eastAsia="Arial" w:hAnsi="Arial"/>
                <w:sz w:val="11"/>
                <w:szCs w:val="11"/>
                <w:b w:val="1"/>
                <w:bCs w:val="1"/>
                <w:color w:val="454968"/>
              </w:rPr>
              <w:t>Option</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454968"/>
              </w:rPr>
              <w:t>Option</w:t>
            </w:r>
          </w:p>
        </w:tc>
        <w:tc>
          <w:tcPr>
            <w:tcW w:w="8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Shares of</w:t>
            </w:r>
          </w:p>
        </w:tc>
        <w:tc>
          <w:tcPr>
            <w:tcW w:w="1040" w:type="dxa"/>
            <w:vAlign w:val="bottom"/>
          </w:tcPr>
          <w:p>
            <w:pPr>
              <w:jc w:val="right"/>
              <w:ind w:right="183"/>
              <w:spacing w:after="0" w:line="123" w:lineRule="exact"/>
              <w:rPr>
                <w:sz w:val="20"/>
                <w:szCs w:val="20"/>
                <w:color w:val="auto"/>
              </w:rPr>
            </w:pPr>
            <w:r>
              <w:rPr>
                <w:rFonts w:ascii="Arial" w:cs="Arial" w:eastAsia="Arial" w:hAnsi="Arial"/>
                <w:sz w:val="11"/>
                <w:szCs w:val="11"/>
                <w:b w:val="1"/>
                <w:bCs w:val="1"/>
                <w:color w:val="454968"/>
              </w:rPr>
              <w:t>Shares of</w:t>
            </w:r>
          </w:p>
        </w:tc>
        <w:tc>
          <w:tcPr>
            <w:tcW w:w="7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or Other</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or Other</w:t>
            </w: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Unexercised</w:t>
            </w:r>
          </w:p>
        </w:tc>
        <w:tc>
          <w:tcPr>
            <w:tcW w:w="14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Unexercised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Stock That</w:t>
            </w:r>
          </w:p>
        </w:tc>
        <w:tc>
          <w:tcPr>
            <w:tcW w:w="1040" w:type="dxa"/>
            <w:vAlign w:val="bottom"/>
          </w:tcPr>
          <w:p>
            <w:pPr>
              <w:jc w:val="right"/>
              <w:ind w:right="183"/>
              <w:spacing w:after="0" w:line="123" w:lineRule="exact"/>
              <w:rPr>
                <w:sz w:val="20"/>
                <w:szCs w:val="20"/>
                <w:color w:val="auto"/>
              </w:rPr>
            </w:pPr>
            <w:r>
              <w:rPr>
                <w:rFonts w:ascii="Arial" w:cs="Arial" w:eastAsia="Arial" w:hAnsi="Arial"/>
                <w:sz w:val="11"/>
                <w:szCs w:val="11"/>
                <w:b w:val="1"/>
                <w:bCs w:val="1"/>
                <w:color w:val="454968"/>
              </w:rPr>
              <w:t>Stock That</w:t>
            </w:r>
          </w:p>
        </w:tc>
        <w:tc>
          <w:tcPr>
            <w:tcW w:w="7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Rights That</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Rights That</w:t>
            </w:r>
          </w:p>
        </w:tc>
        <w:tc>
          <w:tcPr>
            <w:tcW w:w="0" w:type="dxa"/>
            <w:vAlign w:val="bottom"/>
          </w:tcPr>
          <w:p>
            <w:pPr>
              <w:spacing w:after="0"/>
              <w:rPr>
                <w:sz w:val="1"/>
                <w:szCs w:val="1"/>
                <w:color w:val="auto"/>
              </w:rPr>
            </w:pPr>
          </w:p>
        </w:tc>
      </w:tr>
      <w:tr>
        <w:trPr>
          <w:trHeight w:val="123"/>
        </w:trPr>
        <w:tc>
          <w:tcPr>
            <w:tcW w:w="1360" w:type="dxa"/>
            <w:vAlign w:val="bottom"/>
            <w:vMerge w:val="restart"/>
          </w:tcPr>
          <w:p>
            <w:pPr>
              <w:spacing w:after="0"/>
              <w:rPr>
                <w:sz w:val="20"/>
                <w:szCs w:val="20"/>
                <w:color w:val="auto"/>
              </w:rPr>
            </w:pPr>
            <w:r>
              <w:rPr>
                <w:rFonts w:ascii="Arial" w:cs="Arial" w:eastAsia="Arial" w:hAnsi="Arial"/>
                <w:sz w:val="11"/>
                <w:szCs w:val="11"/>
                <w:b w:val="1"/>
                <w:bCs w:val="1"/>
                <w:color w:val="454968"/>
              </w:rPr>
              <w:t>Name</w:t>
            </w:r>
          </w:p>
        </w:tc>
        <w:tc>
          <w:tcPr>
            <w:tcW w:w="14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Options -(#)</w:t>
            </w:r>
          </w:p>
        </w:tc>
        <w:tc>
          <w:tcPr>
            <w:tcW w:w="14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Options -(#)</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1"/>
                <w:szCs w:val="11"/>
                <w:b w:val="1"/>
                <w:bCs w:val="1"/>
                <w:color w:val="454968"/>
              </w:rPr>
              <w:t>​​​</w:t>
            </w:r>
          </w:p>
        </w:tc>
        <w:tc>
          <w:tcPr>
            <w:tcW w:w="980" w:type="dxa"/>
            <w:vAlign w:val="bottom"/>
          </w:tcPr>
          <w:p>
            <w:pPr>
              <w:jc w:val="right"/>
              <w:ind w:right="147"/>
              <w:spacing w:after="0" w:line="123" w:lineRule="exact"/>
              <w:rPr>
                <w:sz w:val="20"/>
                <w:szCs w:val="20"/>
                <w:color w:val="auto"/>
              </w:rPr>
            </w:pPr>
            <w:r>
              <w:rPr>
                <w:rFonts w:ascii="Arial" w:cs="Arial" w:eastAsia="Arial" w:hAnsi="Arial"/>
                <w:sz w:val="11"/>
                <w:szCs w:val="11"/>
                <w:b w:val="1"/>
                <w:bCs w:val="1"/>
                <w:color w:val="454968"/>
              </w:rPr>
              <w:t>Exercise</w:t>
            </w:r>
          </w:p>
        </w:tc>
        <w:tc>
          <w:tcPr>
            <w:tcW w:w="820" w:type="dxa"/>
            <w:vAlign w:val="bottom"/>
            <w:gridSpan w:val="2"/>
          </w:tcPr>
          <w:p>
            <w:pPr>
              <w:jc w:val="right"/>
              <w:ind w:right="120"/>
              <w:spacing w:after="0" w:line="123" w:lineRule="exact"/>
              <w:rPr>
                <w:sz w:val="20"/>
                <w:szCs w:val="20"/>
                <w:color w:val="auto"/>
              </w:rPr>
            </w:pPr>
            <w:r>
              <w:rPr>
                <w:rFonts w:ascii="Arial" w:cs="Arial" w:eastAsia="Arial" w:hAnsi="Arial"/>
                <w:sz w:val="11"/>
                <w:szCs w:val="11"/>
                <w:b w:val="1"/>
                <w:bCs w:val="1"/>
                <w:color w:val="454968"/>
              </w:rPr>
              <w:t>Expiration</w:t>
            </w:r>
          </w:p>
        </w:tc>
        <w:tc>
          <w:tcPr>
            <w:tcW w:w="8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Have Not</w:t>
            </w:r>
          </w:p>
        </w:tc>
        <w:tc>
          <w:tcPr>
            <w:tcW w:w="1040" w:type="dxa"/>
            <w:vAlign w:val="bottom"/>
          </w:tcPr>
          <w:p>
            <w:pPr>
              <w:jc w:val="right"/>
              <w:ind w:right="183"/>
              <w:spacing w:after="0" w:line="123" w:lineRule="exact"/>
              <w:rPr>
                <w:sz w:val="20"/>
                <w:szCs w:val="20"/>
                <w:color w:val="auto"/>
              </w:rPr>
            </w:pPr>
            <w:r>
              <w:rPr>
                <w:rFonts w:ascii="Arial" w:cs="Arial" w:eastAsia="Arial" w:hAnsi="Arial"/>
                <w:sz w:val="11"/>
                <w:szCs w:val="11"/>
                <w:b w:val="1"/>
                <w:bCs w:val="1"/>
                <w:color w:val="454968"/>
              </w:rPr>
              <w:t>Have Not</w:t>
            </w:r>
          </w:p>
        </w:tc>
        <w:tc>
          <w:tcPr>
            <w:tcW w:w="7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Have Not</w:t>
            </w:r>
          </w:p>
        </w:tc>
        <w:tc>
          <w:tcPr>
            <w:tcW w:w="160" w:type="dxa"/>
            <w:vAlign w:val="bottom"/>
          </w:tcPr>
          <w:p>
            <w:pPr>
              <w:spacing w:after="0"/>
              <w:rPr>
                <w:sz w:val="10"/>
                <w:szCs w:val="10"/>
                <w:color w:val="auto"/>
              </w:rPr>
            </w:pPr>
          </w:p>
        </w:tc>
        <w:tc>
          <w:tcPr>
            <w:tcW w:w="220" w:type="dxa"/>
            <w:vAlign w:val="bottom"/>
            <w:vMerge w:val="restart"/>
          </w:tcPr>
          <w:p>
            <w:pPr>
              <w:jc w:val="right"/>
              <w:ind w:right="54"/>
              <w:spacing w:after="0"/>
              <w:rPr>
                <w:sz w:val="20"/>
                <w:szCs w:val="20"/>
                <w:color w:val="auto"/>
              </w:rPr>
            </w:pPr>
            <w:r>
              <w:rPr>
                <w:rFonts w:ascii="Arial" w:cs="Arial" w:eastAsia="Arial" w:hAnsi="Arial"/>
                <w:sz w:val="11"/>
                <w:szCs w:val="11"/>
                <w:b w:val="1"/>
                <w:bCs w:val="1"/>
                <w:color w:val="454968"/>
              </w:rPr>
              <w:t>​​​</w:t>
            </w:r>
          </w:p>
        </w:tc>
        <w:tc>
          <w:tcPr>
            <w:tcW w:w="86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Have Not</w:t>
            </w:r>
          </w:p>
        </w:tc>
        <w:tc>
          <w:tcPr>
            <w:tcW w:w="0" w:type="dxa"/>
            <w:vAlign w:val="bottom"/>
          </w:tcPr>
          <w:p>
            <w:pPr>
              <w:spacing w:after="0"/>
              <w:rPr>
                <w:sz w:val="1"/>
                <w:szCs w:val="1"/>
                <w:color w:val="auto"/>
              </w:rPr>
            </w:pPr>
          </w:p>
        </w:tc>
      </w:tr>
      <w:tr>
        <w:trPr>
          <w:trHeight w:val="141"/>
        </w:trPr>
        <w:tc>
          <w:tcPr>
            <w:tcW w:w="1360" w:type="dxa"/>
            <w:vAlign w:val="bottom"/>
            <w:tcBorders>
              <w:bottom w:val="single" w:sz="8" w:color="071D49"/>
            </w:tcBorders>
            <w:vMerge w:val="continue"/>
          </w:tcPr>
          <w:p>
            <w:pPr>
              <w:spacing w:after="0"/>
              <w:rPr>
                <w:sz w:val="12"/>
                <w:szCs w:val="12"/>
                <w:color w:val="auto"/>
              </w:rPr>
            </w:pPr>
          </w:p>
        </w:tc>
        <w:tc>
          <w:tcPr>
            <w:tcW w:w="940" w:type="dxa"/>
            <w:vAlign w:val="bottom"/>
            <w:tcBorders>
              <w:bottom w:val="single" w:sz="8" w:color="071D49"/>
            </w:tcBorders>
            <w:gridSpan w:val="2"/>
          </w:tcPr>
          <w:p>
            <w:pPr>
              <w:jc w:val="right"/>
              <w:spacing w:after="0"/>
              <w:rPr>
                <w:sz w:val="20"/>
                <w:szCs w:val="20"/>
                <w:color w:val="auto"/>
              </w:rPr>
            </w:pPr>
            <w:r>
              <w:rPr>
                <w:rFonts w:ascii="Arial" w:cs="Arial" w:eastAsia="Arial" w:hAnsi="Arial"/>
                <w:sz w:val="11"/>
                <w:szCs w:val="11"/>
                <w:b w:val="1"/>
                <w:bCs w:val="1"/>
                <w:color w:val="454968"/>
              </w:rPr>
              <w:t>​​​  Exercisable</w:t>
            </w:r>
          </w:p>
        </w:tc>
        <w:tc>
          <w:tcPr>
            <w:tcW w:w="1040" w:type="dxa"/>
            <w:vAlign w:val="bottom"/>
            <w:tcBorders>
              <w:bottom w:val="single" w:sz="8" w:color="071D49"/>
            </w:tcBorders>
            <w:gridSpan w:val="2"/>
          </w:tcPr>
          <w:p>
            <w:pPr>
              <w:jc w:val="right"/>
              <w:spacing w:after="0"/>
              <w:rPr>
                <w:sz w:val="20"/>
                <w:szCs w:val="20"/>
                <w:color w:val="auto"/>
              </w:rPr>
            </w:pPr>
            <w:r>
              <w:rPr>
                <w:rFonts w:ascii="Arial" w:cs="Arial" w:eastAsia="Arial" w:hAnsi="Arial"/>
                <w:sz w:val="11"/>
                <w:szCs w:val="11"/>
                <w:color w:val="454968"/>
              </w:rPr>
              <w:t xml:space="preserve">​​​ </w:t>
            </w:r>
            <w:r>
              <w:rPr>
                <w:rFonts w:ascii="Arial" w:cs="Arial" w:eastAsia="Arial" w:hAnsi="Arial"/>
                <w:sz w:val="11"/>
                <w:szCs w:val="11"/>
                <w:b w:val="1"/>
                <w:bCs w:val="1"/>
                <w:color w:val="454968"/>
              </w:rPr>
              <w:t>Unexercisable</w:t>
            </w:r>
          </w:p>
        </w:tc>
        <w:tc>
          <w:tcPr>
            <w:tcW w:w="300" w:type="dxa"/>
            <w:vAlign w:val="bottom"/>
            <w:tcBorders>
              <w:bottom w:val="single" w:sz="8" w:color="071D49"/>
            </w:tcBorders>
            <w:gridSpan w:val="2"/>
            <w:vMerge w:val="continue"/>
          </w:tcPr>
          <w:p>
            <w:pPr>
              <w:spacing w:after="0"/>
              <w:rPr>
                <w:sz w:val="12"/>
                <w:szCs w:val="12"/>
                <w:color w:val="auto"/>
              </w:rPr>
            </w:pPr>
          </w:p>
        </w:tc>
        <w:tc>
          <w:tcPr>
            <w:tcW w:w="98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454968"/>
              </w:rPr>
              <w:t>Price -($)  ​​​</w:t>
            </w:r>
          </w:p>
        </w:tc>
        <w:tc>
          <w:tcPr>
            <w:tcW w:w="820" w:type="dxa"/>
            <w:vAlign w:val="bottom"/>
            <w:tcBorders>
              <w:bottom w:val="single" w:sz="8" w:color="071D49"/>
            </w:tcBorders>
            <w:gridSpan w:val="2"/>
          </w:tcPr>
          <w:p>
            <w:pPr>
              <w:jc w:val="right"/>
              <w:ind w:right="120"/>
              <w:spacing w:after="0"/>
              <w:rPr>
                <w:sz w:val="20"/>
                <w:szCs w:val="20"/>
                <w:color w:val="auto"/>
              </w:rPr>
            </w:pPr>
            <w:r>
              <w:rPr>
                <w:rFonts w:ascii="Arial" w:cs="Arial" w:eastAsia="Arial" w:hAnsi="Arial"/>
                <w:sz w:val="11"/>
                <w:szCs w:val="11"/>
                <w:b w:val="1"/>
                <w:bCs w:val="1"/>
                <w:color w:val="454968"/>
              </w:rPr>
              <w:t>Date</w:t>
            </w:r>
          </w:p>
        </w:tc>
        <w:tc>
          <w:tcPr>
            <w:tcW w:w="780" w:type="dxa"/>
            <w:vAlign w:val="bottom"/>
            <w:tcBorders>
              <w:bottom w:val="single" w:sz="8" w:color="071D49"/>
            </w:tcBorders>
            <w:gridSpan w:val="2"/>
          </w:tcPr>
          <w:p>
            <w:pPr>
              <w:jc w:val="right"/>
              <w:spacing w:after="0"/>
              <w:rPr>
                <w:sz w:val="20"/>
                <w:szCs w:val="20"/>
                <w:color w:val="auto"/>
              </w:rPr>
            </w:pPr>
            <w:r>
              <w:rPr>
                <w:rFonts w:ascii="Arial" w:cs="Arial" w:eastAsia="Arial" w:hAnsi="Arial"/>
                <w:sz w:val="11"/>
                <w:szCs w:val="11"/>
                <w:b w:val="1"/>
                <w:bCs w:val="1"/>
                <w:color w:val="454968"/>
              </w:rPr>
              <w:t>​ ​ Vested -(#)</w:t>
            </w:r>
          </w:p>
        </w:tc>
        <w:tc>
          <w:tcPr>
            <w:tcW w:w="104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454968"/>
              </w:rPr>
              <w:t xml:space="preserve">​​​ Vested -($)  </w:t>
            </w:r>
            <w:r>
              <w:rPr>
                <w:rFonts w:ascii="Arial" w:cs="Arial" w:eastAsia="Arial" w:hAnsi="Arial"/>
                <w:sz w:val="11"/>
                <w:szCs w:val="11"/>
                <w:color w:val="454968"/>
              </w:rPr>
              <w:t>​​​</w:t>
            </w:r>
          </w:p>
        </w:tc>
        <w:tc>
          <w:tcPr>
            <w:tcW w:w="76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454968"/>
              </w:rPr>
              <w:t>Vested -(#)</w:t>
            </w:r>
          </w:p>
        </w:tc>
        <w:tc>
          <w:tcPr>
            <w:tcW w:w="160" w:type="dxa"/>
            <w:vAlign w:val="bottom"/>
            <w:tcBorders>
              <w:bottom w:val="single" w:sz="8" w:color="071D49"/>
            </w:tcBorders>
          </w:tcPr>
          <w:p>
            <w:pPr>
              <w:spacing w:after="0"/>
              <w:rPr>
                <w:sz w:val="12"/>
                <w:szCs w:val="12"/>
                <w:color w:val="auto"/>
              </w:rPr>
            </w:pPr>
          </w:p>
        </w:tc>
        <w:tc>
          <w:tcPr>
            <w:tcW w:w="220" w:type="dxa"/>
            <w:vAlign w:val="bottom"/>
            <w:tcBorders>
              <w:bottom w:val="single" w:sz="8" w:color="071D49"/>
            </w:tcBorders>
            <w:vMerge w:val="continue"/>
          </w:tcPr>
          <w:p>
            <w:pPr>
              <w:spacing w:after="0"/>
              <w:rPr>
                <w:sz w:val="12"/>
                <w:szCs w:val="12"/>
                <w:color w:val="auto"/>
              </w:rPr>
            </w:pPr>
          </w:p>
        </w:tc>
        <w:tc>
          <w:tcPr>
            <w:tcW w:w="86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454968"/>
              </w:rPr>
              <w:t>Vested -($)</w:t>
            </w:r>
          </w:p>
        </w:tc>
        <w:tc>
          <w:tcPr>
            <w:tcW w:w="0" w:type="dxa"/>
            <w:vAlign w:val="bottom"/>
          </w:tcPr>
          <w:p>
            <w:pPr>
              <w:spacing w:after="0"/>
              <w:rPr>
                <w:sz w:val="1"/>
                <w:szCs w:val="1"/>
                <w:color w:val="auto"/>
              </w:rPr>
            </w:pPr>
          </w:p>
        </w:tc>
      </w:tr>
      <w:tr>
        <w:trPr>
          <w:trHeight w:val="141"/>
        </w:trPr>
        <w:tc>
          <w:tcPr>
            <w:tcW w:w="1360" w:type="dxa"/>
            <w:vAlign w:val="bottom"/>
            <w:shd w:val="clear" w:color="auto" w:fill="D9D9D9"/>
          </w:tcPr>
          <w:p>
            <w:pPr>
              <w:spacing w:after="0" w:line="141" w:lineRule="exact"/>
              <w:rPr>
                <w:sz w:val="20"/>
                <w:szCs w:val="20"/>
                <w:color w:val="auto"/>
              </w:rPr>
            </w:pPr>
            <w:r>
              <w:rPr>
                <w:rFonts w:ascii="Arial" w:cs="Arial" w:eastAsia="Arial" w:hAnsi="Arial"/>
                <w:sz w:val="15"/>
                <w:szCs w:val="15"/>
                <w:color w:val="auto"/>
              </w:rPr>
              <w:t>R. Michael</w:t>
            </w:r>
          </w:p>
        </w:tc>
        <w:tc>
          <w:tcPr>
            <w:tcW w:w="940" w:type="dxa"/>
            <w:vAlign w:val="bottom"/>
            <w:gridSpan w:val="2"/>
            <w:shd w:val="clear" w:color="auto" w:fill="D9D9D9"/>
          </w:tcPr>
          <w:p>
            <w:pPr>
              <w:jc w:val="right"/>
              <w:spacing w:after="0" w:line="141" w:lineRule="exact"/>
              <w:rPr>
                <w:sz w:val="20"/>
                <w:szCs w:val="20"/>
                <w:color w:val="auto"/>
              </w:rPr>
            </w:pPr>
            <w:r>
              <w:rPr>
                <w:rFonts w:ascii="Arial" w:cs="Arial" w:eastAsia="Arial" w:hAnsi="Arial"/>
                <w:sz w:val="15"/>
                <w:szCs w:val="15"/>
                <w:color w:val="auto"/>
              </w:rPr>
              <w:t>8,030</w:t>
            </w:r>
          </w:p>
        </w:tc>
        <w:tc>
          <w:tcPr>
            <w:tcW w:w="140" w:type="dxa"/>
            <w:vAlign w:val="bottom"/>
            <w:shd w:val="clear" w:color="auto" w:fill="D9D9D9"/>
          </w:tcPr>
          <w:p>
            <w:pPr>
              <w:spacing w:after="0"/>
              <w:rPr>
                <w:sz w:val="12"/>
                <w:szCs w:val="12"/>
                <w:color w:val="auto"/>
              </w:rPr>
            </w:pPr>
          </w:p>
        </w:tc>
        <w:tc>
          <w:tcPr>
            <w:tcW w:w="900" w:type="dxa"/>
            <w:vAlign w:val="bottom"/>
            <w:shd w:val="clear" w:color="auto" w:fill="D9D9D9"/>
          </w:tcPr>
          <w:p>
            <w:pPr>
              <w:jc w:val="right"/>
              <w:spacing w:after="0" w:line="141" w:lineRule="exact"/>
              <w:rPr>
                <w:sz w:val="20"/>
                <w:szCs w:val="20"/>
                <w:color w:val="auto"/>
              </w:rPr>
            </w:pPr>
            <w:r>
              <w:rPr>
                <w:rFonts w:ascii="Arial" w:cs="Arial" w:eastAsia="Arial" w:hAnsi="Arial"/>
                <w:sz w:val="15"/>
                <w:szCs w:val="15"/>
                <w:color w:val="auto"/>
              </w:rPr>
              <w:t>—</w:t>
            </w:r>
          </w:p>
        </w:tc>
        <w:tc>
          <w:tcPr>
            <w:tcW w:w="300" w:type="dxa"/>
            <w:vAlign w:val="bottom"/>
            <w:gridSpan w:val="2"/>
            <w:shd w:val="clear" w:color="auto" w:fill="D9D9D9"/>
          </w:tcPr>
          <w:p>
            <w:pPr>
              <w:jc w:val="right"/>
              <w:spacing w:after="0" w:line="141" w:lineRule="exact"/>
              <w:rPr>
                <w:sz w:val="20"/>
                <w:szCs w:val="20"/>
                <w:color w:val="auto"/>
              </w:rPr>
            </w:pPr>
            <w:r>
              <w:rPr>
                <w:rFonts w:ascii="Arial" w:cs="Arial" w:eastAsia="Arial" w:hAnsi="Arial"/>
                <w:sz w:val="15"/>
                <w:szCs w:val="15"/>
                <w:color w:val="auto"/>
              </w:rPr>
              <w:t>$</w:t>
            </w:r>
          </w:p>
        </w:tc>
        <w:tc>
          <w:tcPr>
            <w:tcW w:w="980" w:type="dxa"/>
            <w:vAlign w:val="bottom"/>
            <w:shd w:val="clear" w:color="auto" w:fill="D9D9D9"/>
          </w:tcPr>
          <w:p>
            <w:pPr>
              <w:jc w:val="right"/>
              <w:ind w:right="167"/>
              <w:spacing w:after="0" w:line="141" w:lineRule="exact"/>
              <w:rPr>
                <w:sz w:val="20"/>
                <w:szCs w:val="20"/>
                <w:color w:val="auto"/>
              </w:rPr>
            </w:pPr>
            <w:r>
              <w:rPr>
                <w:rFonts w:ascii="Arial" w:cs="Arial" w:eastAsia="Arial" w:hAnsi="Arial"/>
                <w:sz w:val="15"/>
                <w:szCs w:val="15"/>
                <w:color w:val="auto"/>
              </w:rPr>
              <w:t>114.3600</w:t>
            </w:r>
          </w:p>
        </w:tc>
        <w:tc>
          <w:tcPr>
            <w:tcW w:w="740" w:type="dxa"/>
            <w:vAlign w:val="bottom"/>
            <w:shd w:val="clear" w:color="auto" w:fill="D9D9D9"/>
          </w:tcPr>
          <w:p>
            <w:pPr>
              <w:jc w:val="right"/>
              <w:spacing w:after="0" w:line="141" w:lineRule="exact"/>
              <w:rPr>
                <w:sz w:val="20"/>
                <w:szCs w:val="20"/>
                <w:color w:val="auto"/>
              </w:rPr>
            </w:pPr>
            <w:r>
              <w:rPr>
                <w:rFonts w:ascii="Arial" w:cs="Arial" w:eastAsia="Arial" w:hAnsi="Arial"/>
                <w:sz w:val="15"/>
                <w:szCs w:val="15"/>
                <w:color w:val="auto"/>
              </w:rPr>
              <w:t>2/14/2028</w:t>
            </w: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760" w:type="dxa"/>
            <w:vAlign w:val="bottom"/>
            <w:shd w:val="clear" w:color="auto" w:fill="D9D9D9"/>
          </w:tcPr>
          <w:p>
            <w:pPr>
              <w:jc w:val="right"/>
              <w:spacing w:after="0" w:line="141" w:lineRule="exact"/>
              <w:rPr>
                <w:sz w:val="20"/>
                <w:szCs w:val="20"/>
                <w:color w:val="auto"/>
              </w:rPr>
            </w:pPr>
            <w:r>
              <w:rPr>
                <w:rFonts w:ascii="Arial" w:cs="Arial" w:eastAsia="Arial" w:hAnsi="Arial"/>
                <w:sz w:val="15"/>
                <w:szCs w:val="15"/>
                <w:color w:val="auto"/>
              </w:rPr>
              <w:t>24,060</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220" w:type="dxa"/>
            <w:vAlign w:val="bottom"/>
            <w:shd w:val="clear" w:color="auto" w:fill="D9D9D9"/>
          </w:tcPr>
          <w:p>
            <w:pPr>
              <w:jc w:val="right"/>
              <w:spacing w:after="0" w:line="141" w:lineRule="exact"/>
              <w:rPr>
                <w:sz w:val="20"/>
                <w:szCs w:val="20"/>
                <w:color w:val="auto"/>
              </w:rPr>
            </w:pPr>
            <w:r>
              <w:rPr>
                <w:rFonts w:ascii="Arial" w:cs="Arial" w:eastAsia="Arial" w:hAnsi="Arial"/>
                <w:sz w:val="15"/>
                <w:szCs w:val="15"/>
                <w:color w:val="auto"/>
              </w:rPr>
              <w:t>$</w:t>
            </w:r>
          </w:p>
        </w:tc>
        <w:tc>
          <w:tcPr>
            <w:tcW w:w="860" w:type="dxa"/>
            <w:vAlign w:val="bottom"/>
            <w:shd w:val="clear" w:color="auto" w:fill="D9D9D9"/>
          </w:tcPr>
          <w:p>
            <w:pPr>
              <w:jc w:val="right"/>
              <w:spacing w:after="0" w:line="141" w:lineRule="exact"/>
              <w:rPr>
                <w:sz w:val="20"/>
                <w:szCs w:val="20"/>
                <w:color w:val="auto"/>
              </w:rPr>
            </w:pPr>
            <w:r>
              <w:rPr>
                <w:rFonts w:ascii="Arial" w:cs="Arial" w:eastAsia="Arial" w:hAnsi="Arial"/>
                <w:sz w:val="15"/>
                <w:szCs w:val="15"/>
                <w:color w:val="auto"/>
              </w:rPr>
              <w:t>5,497,469</w:t>
            </w: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54,517</w:t>
            </w:r>
          </w:p>
        </w:tc>
        <w:tc>
          <w:tcPr>
            <w:tcW w:w="140" w:type="dxa"/>
            <w:vAlign w:val="bottom"/>
            <w:shd w:val="clear" w:color="auto" w:fill="D9D9D9"/>
          </w:tcPr>
          <w:p>
            <w:pPr>
              <w:spacing w:after="0"/>
              <w:rPr>
                <w:sz w:val="14"/>
                <w:szCs w:val="14"/>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980" w:type="dxa"/>
            <w:vAlign w:val="bottom"/>
            <w:shd w:val="clear" w:color="auto" w:fill="D9D9D9"/>
          </w:tcPr>
          <w:p>
            <w:pPr>
              <w:jc w:val="right"/>
              <w:ind w:right="167"/>
              <w:spacing w:after="0"/>
              <w:rPr>
                <w:sz w:val="20"/>
                <w:szCs w:val="20"/>
                <w:color w:val="auto"/>
              </w:rPr>
            </w:pPr>
            <w:r>
              <w:rPr>
                <w:rFonts w:ascii="Arial" w:cs="Arial" w:eastAsia="Arial" w:hAnsi="Arial"/>
                <w:sz w:val="15"/>
                <w:szCs w:val="15"/>
                <w:color w:val="auto"/>
              </w:rPr>
              <w:t>79.0200</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2/20/2029</w:t>
            </w: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700" w:type="dxa"/>
            <w:vAlign w:val="bottom"/>
            <w:shd w:val="clear" w:color="auto" w:fill="D9D9D9"/>
          </w:tcPr>
          <w:p>
            <w:pPr>
              <w:spacing w:after="0"/>
              <w:rPr>
                <w:sz w:val="14"/>
                <w:szCs w:val="14"/>
                <w:color w:val="auto"/>
              </w:rPr>
            </w:pPr>
          </w:p>
        </w:tc>
        <w:tc>
          <w:tcPr>
            <w:tcW w:w="1040" w:type="dxa"/>
            <w:vAlign w:val="bottom"/>
            <w:shd w:val="clear" w:color="auto" w:fill="D9D9D9"/>
          </w:tcPr>
          <w:p>
            <w:pPr>
              <w:spacing w:after="0"/>
              <w:rPr>
                <w:sz w:val="14"/>
                <w:szCs w:val="1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36,131</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220" w:type="dxa"/>
            <w:vAlign w:val="bottom"/>
            <w:shd w:val="clear" w:color="auto" w:fill="D9D9D9"/>
          </w:tcPr>
          <w:p>
            <w:pPr>
              <w:spacing w:after="0"/>
              <w:rPr>
                <w:sz w:val="14"/>
                <w:szCs w:val="14"/>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8,255,572</w:t>
            </w:r>
          </w:p>
        </w:tc>
        <w:tc>
          <w:tcPr>
            <w:tcW w:w="0" w:type="dxa"/>
            <w:vAlign w:val="bottom"/>
          </w:tcPr>
          <w:p>
            <w:pPr>
              <w:spacing w:after="0"/>
              <w:rPr>
                <w:sz w:val="1"/>
                <w:szCs w:val="1"/>
                <w:color w:val="auto"/>
              </w:rPr>
            </w:pPr>
          </w:p>
        </w:tc>
      </w:tr>
      <w:tr>
        <w:trPr>
          <w:trHeight w:val="196"/>
        </w:trPr>
        <w:tc>
          <w:tcPr>
            <w:tcW w:w="13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106,382</w:t>
            </w:r>
          </w:p>
        </w:tc>
        <w:tc>
          <w:tcPr>
            <w:tcW w:w="140" w:type="dxa"/>
            <w:vAlign w:val="bottom"/>
            <w:shd w:val="clear" w:color="auto" w:fill="D9D9D9"/>
          </w:tcPr>
          <w:p>
            <w:pPr>
              <w:spacing w:after="0"/>
              <w:rPr>
                <w:sz w:val="17"/>
                <w:szCs w:val="17"/>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980" w:type="dxa"/>
            <w:vAlign w:val="bottom"/>
            <w:shd w:val="clear" w:color="auto" w:fill="D9D9D9"/>
          </w:tcPr>
          <w:p>
            <w:pPr>
              <w:jc w:val="right"/>
              <w:ind w:right="167"/>
              <w:spacing w:after="0"/>
              <w:rPr>
                <w:sz w:val="20"/>
                <w:szCs w:val="20"/>
                <w:color w:val="auto"/>
              </w:rPr>
            </w:pPr>
            <w:r>
              <w:rPr>
                <w:rFonts w:ascii="Arial" w:cs="Arial" w:eastAsia="Arial" w:hAnsi="Arial"/>
                <w:sz w:val="15"/>
                <w:szCs w:val="15"/>
                <w:color w:val="auto"/>
              </w:rPr>
              <w:t>93.5000</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2/19/2030</w:t>
            </w:r>
          </w:p>
        </w:tc>
        <w:tc>
          <w:tcPr>
            <w:tcW w:w="8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66,368</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22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15,164,424</w:t>
            </w: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65,217</w:t>
            </w:r>
          </w:p>
        </w:tc>
        <w:tc>
          <w:tcPr>
            <w:tcW w:w="140" w:type="dxa"/>
            <w:vAlign w:val="bottom"/>
            <w:shd w:val="clear" w:color="auto" w:fill="D9D9D9"/>
          </w:tcPr>
          <w:p>
            <w:pPr>
              <w:spacing w:after="0"/>
              <w:rPr>
                <w:sz w:val="14"/>
                <w:szCs w:val="14"/>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980" w:type="dxa"/>
            <w:vAlign w:val="bottom"/>
            <w:shd w:val="clear" w:color="auto" w:fill="D9D9D9"/>
          </w:tcPr>
          <w:p>
            <w:pPr>
              <w:jc w:val="right"/>
              <w:ind w:right="167"/>
              <w:spacing w:after="0"/>
              <w:rPr>
                <w:sz w:val="20"/>
                <w:szCs w:val="20"/>
                <w:color w:val="auto"/>
              </w:rPr>
            </w:pPr>
            <w:r>
              <w:rPr>
                <w:rFonts w:ascii="Arial" w:cs="Arial" w:eastAsia="Arial" w:hAnsi="Arial"/>
                <w:sz w:val="15"/>
                <w:szCs w:val="15"/>
                <w:color w:val="auto"/>
              </w:rPr>
              <w:t>105.9200</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2/17/2031</w:t>
            </w: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700" w:type="dxa"/>
            <w:vAlign w:val="bottom"/>
            <w:shd w:val="clear" w:color="auto" w:fill="D9D9D9"/>
          </w:tcPr>
          <w:p>
            <w:pPr>
              <w:spacing w:after="0"/>
              <w:rPr>
                <w:sz w:val="14"/>
                <w:szCs w:val="14"/>
                <w:color w:val="auto"/>
              </w:rPr>
            </w:pPr>
          </w:p>
        </w:tc>
        <w:tc>
          <w:tcPr>
            <w:tcW w:w="1040" w:type="dxa"/>
            <w:vAlign w:val="bottom"/>
            <w:shd w:val="clear" w:color="auto" w:fill="D9D9D9"/>
          </w:tcPr>
          <w:p>
            <w:pPr>
              <w:spacing w:after="0"/>
              <w:rPr>
                <w:sz w:val="14"/>
                <w:szCs w:val="1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48,161</w:t>
            </w:r>
          </w:p>
        </w:tc>
        <w:tc>
          <w:tcPr>
            <w:tcW w:w="140" w:type="dxa"/>
            <w:vAlign w:val="bottom"/>
            <w:shd w:val="clear" w:color="auto" w:fill="D9D9D9"/>
          </w:tcPr>
          <w:p>
            <w:pPr>
              <w:spacing w:after="0"/>
              <w:rPr>
                <w:sz w:val="14"/>
                <w:szCs w:val="14"/>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20" w:type="dxa"/>
            <w:vAlign w:val="bottom"/>
            <w:vMerge w:val="restart"/>
            <w:shd w:val="clear" w:color="auto" w:fill="D9D9D9"/>
          </w:tcPr>
          <w:p>
            <w:pPr>
              <w:jc w:val="center"/>
              <w:ind w:right="23"/>
              <w:spacing w:after="0"/>
              <w:rPr>
                <w:sz w:val="20"/>
                <w:szCs w:val="20"/>
                <w:color w:val="auto"/>
              </w:rPr>
            </w:pPr>
            <w:r>
              <w:rPr>
                <w:rFonts w:ascii="Arial" w:cs="Arial" w:eastAsia="Arial" w:hAnsi="Arial"/>
                <w:sz w:val="11"/>
                <w:szCs w:val="11"/>
                <w:color w:val="auto"/>
              </w:rPr>
              <w:t>(2)</w:t>
            </w:r>
          </w:p>
        </w:tc>
        <w:tc>
          <w:tcPr>
            <w:tcW w:w="80" w:type="dxa"/>
            <w:vAlign w:val="bottom"/>
            <w:shd w:val="clear" w:color="auto" w:fill="D9D9D9"/>
          </w:tcPr>
          <w:p>
            <w:pPr>
              <w:spacing w:after="0"/>
              <w:rPr>
                <w:sz w:val="14"/>
                <w:szCs w:val="14"/>
                <w:color w:val="auto"/>
              </w:rPr>
            </w:pPr>
          </w:p>
        </w:tc>
        <w:tc>
          <w:tcPr>
            <w:tcW w:w="980" w:type="dxa"/>
            <w:vAlign w:val="bottom"/>
            <w:shd w:val="clear" w:color="auto" w:fill="D9D9D9"/>
          </w:tcPr>
          <w:p>
            <w:pPr>
              <w:jc w:val="right"/>
              <w:ind w:right="167"/>
              <w:spacing w:after="0"/>
              <w:rPr>
                <w:sz w:val="20"/>
                <w:szCs w:val="20"/>
                <w:color w:val="auto"/>
              </w:rPr>
            </w:pPr>
            <w:r>
              <w:rPr>
                <w:rFonts w:ascii="Arial" w:cs="Arial" w:eastAsia="Arial" w:hAnsi="Arial"/>
                <w:sz w:val="15"/>
                <w:szCs w:val="15"/>
                <w:color w:val="auto"/>
              </w:rPr>
              <w:t>144.5400</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2/16/2032</w:t>
            </w: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700" w:type="dxa"/>
            <w:vAlign w:val="bottom"/>
            <w:shd w:val="clear" w:color="auto" w:fill="D9D9D9"/>
          </w:tcPr>
          <w:p>
            <w:pPr>
              <w:spacing w:after="0"/>
              <w:rPr>
                <w:sz w:val="14"/>
                <w:szCs w:val="14"/>
                <w:color w:val="auto"/>
              </w:rPr>
            </w:pPr>
          </w:p>
        </w:tc>
        <w:tc>
          <w:tcPr>
            <w:tcW w:w="1040" w:type="dxa"/>
            <w:vAlign w:val="bottom"/>
            <w:shd w:val="clear" w:color="auto" w:fill="D9D9D9"/>
          </w:tcPr>
          <w:p>
            <w:pPr>
              <w:spacing w:after="0"/>
              <w:rPr>
                <w:sz w:val="14"/>
                <w:szCs w:val="1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80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30,385</w:t>
            </w:r>
          </w:p>
        </w:tc>
        <w:tc>
          <w:tcPr>
            <w:tcW w:w="140" w:type="dxa"/>
            <w:vAlign w:val="bottom"/>
            <w:shd w:val="clear" w:color="auto" w:fill="D9D9D9"/>
          </w:tcPr>
          <w:p>
            <w:pPr>
              <w:spacing w:after="0"/>
              <w:rPr>
                <w:sz w:val="12"/>
                <w:szCs w:val="12"/>
                <w:color w:val="auto"/>
              </w:rPr>
            </w:pPr>
          </w:p>
        </w:tc>
        <w:tc>
          <w:tcPr>
            <w:tcW w:w="90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15,192</w:t>
            </w:r>
          </w:p>
        </w:tc>
        <w:tc>
          <w:tcPr>
            <w:tcW w:w="220" w:type="dxa"/>
            <w:vAlign w:val="bottom"/>
            <w:vMerge w:val="continue"/>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980" w:type="dxa"/>
            <w:vAlign w:val="bottom"/>
            <w:shd w:val="clear" w:color="auto" w:fill="D9D9D9"/>
          </w:tcPr>
          <w:p>
            <w:pPr>
              <w:jc w:val="right"/>
              <w:ind w:right="167"/>
              <w:spacing w:after="0" w:line="149" w:lineRule="exact"/>
              <w:rPr>
                <w:sz w:val="20"/>
                <w:szCs w:val="20"/>
                <w:color w:val="auto"/>
              </w:rPr>
            </w:pPr>
            <w:r>
              <w:rPr>
                <w:rFonts w:ascii="Arial" w:cs="Arial" w:eastAsia="Arial" w:hAnsi="Arial"/>
                <w:sz w:val="15"/>
                <w:szCs w:val="15"/>
                <w:color w:val="auto"/>
              </w:rPr>
              <w:t>149.6200</w:t>
            </w:r>
          </w:p>
        </w:tc>
        <w:tc>
          <w:tcPr>
            <w:tcW w:w="74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2/15/2033</w:t>
            </w: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76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w:t>
            </w:r>
          </w:p>
        </w:tc>
        <w:tc>
          <w:tcPr>
            <w:tcW w:w="16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86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19,963</w:t>
            </w:r>
          </w:p>
        </w:tc>
        <w:tc>
          <w:tcPr>
            <w:tcW w:w="140" w:type="dxa"/>
            <w:vAlign w:val="bottom"/>
            <w:shd w:val="clear" w:color="auto" w:fill="D9D9D9"/>
          </w:tcPr>
          <w:p>
            <w:pPr>
              <w:spacing w:after="0"/>
              <w:rPr>
                <w:sz w:val="14"/>
                <w:szCs w:val="14"/>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39,925</w:t>
            </w:r>
          </w:p>
        </w:tc>
        <w:tc>
          <w:tcPr>
            <w:tcW w:w="220" w:type="dxa"/>
            <w:vAlign w:val="bottom"/>
            <w:shd w:val="clear" w:color="auto" w:fill="D9D9D9"/>
          </w:tcPr>
          <w:p>
            <w:pPr>
              <w:jc w:val="center"/>
              <w:ind w:right="23"/>
              <w:spacing w:after="0"/>
              <w:rPr>
                <w:sz w:val="20"/>
                <w:szCs w:val="20"/>
                <w:color w:val="auto"/>
              </w:rPr>
            </w:pPr>
            <w:r>
              <w:rPr>
                <w:rFonts w:ascii="Arial" w:cs="Arial" w:eastAsia="Arial" w:hAnsi="Arial"/>
                <w:sz w:val="11"/>
                <w:szCs w:val="11"/>
                <w:color w:val="auto"/>
              </w:rPr>
              <w:t>(2)</w:t>
            </w:r>
          </w:p>
        </w:tc>
        <w:tc>
          <w:tcPr>
            <w:tcW w:w="80" w:type="dxa"/>
            <w:vAlign w:val="bottom"/>
            <w:shd w:val="clear" w:color="auto" w:fill="D9D9D9"/>
          </w:tcPr>
          <w:p>
            <w:pPr>
              <w:spacing w:after="0"/>
              <w:rPr>
                <w:sz w:val="14"/>
                <w:szCs w:val="14"/>
                <w:color w:val="auto"/>
              </w:rPr>
            </w:pPr>
          </w:p>
        </w:tc>
        <w:tc>
          <w:tcPr>
            <w:tcW w:w="980" w:type="dxa"/>
            <w:vAlign w:val="bottom"/>
            <w:shd w:val="clear" w:color="auto" w:fill="D9D9D9"/>
          </w:tcPr>
          <w:p>
            <w:pPr>
              <w:jc w:val="right"/>
              <w:ind w:right="167"/>
              <w:spacing w:after="0"/>
              <w:rPr>
                <w:sz w:val="20"/>
                <w:szCs w:val="20"/>
                <w:color w:val="auto"/>
              </w:rPr>
            </w:pPr>
            <w:r>
              <w:rPr>
                <w:rFonts w:ascii="Arial" w:cs="Arial" w:eastAsia="Arial" w:hAnsi="Arial"/>
                <w:sz w:val="15"/>
                <w:szCs w:val="15"/>
                <w:color w:val="auto"/>
              </w:rPr>
              <w:t>175.2800</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2/14/2034</w:t>
            </w: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700" w:type="dxa"/>
            <w:vAlign w:val="bottom"/>
            <w:shd w:val="clear" w:color="auto" w:fill="D9D9D9"/>
          </w:tcPr>
          <w:p>
            <w:pPr>
              <w:spacing w:after="0"/>
              <w:rPr>
                <w:sz w:val="14"/>
                <w:szCs w:val="14"/>
                <w:color w:val="auto"/>
              </w:rPr>
            </w:pPr>
          </w:p>
        </w:tc>
        <w:tc>
          <w:tcPr>
            <w:tcW w:w="1040" w:type="dxa"/>
            <w:vAlign w:val="bottom"/>
            <w:shd w:val="clear" w:color="auto" w:fill="D9D9D9"/>
          </w:tcPr>
          <w:p>
            <w:pPr>
              <w:spacing w:after="0"/>
              <w:rPr>
                <w:sz w:val="14"/>
                <w:szCs w:val="1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3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9D9D9"/>
          </w:tcPr>
          <w:p>
            <w:pPr>
              <w:spacing w:after="0"/>
              <w:rPr>
                <w:sz w:val="17"/>
                <w:szCs w:val="17"/>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83,333</w:t>
            </w:r>
          </w:p>
        </w:tc>
        <w:tc>
          <w:tcPr>
            <w:tcW w:w="220" w:type="dxa"/>
            <w:vAlign w:val="bottom"/>
            <w:shd w:val="clear" w:color="auto" w:fill="D9D9D9"/>
          </w:tcPr>
          <w:p>
            <w:pPr>
              <w:jc w:val="center"/>
              <w:ind w:right="23"/>
              <w:spacing w:after="0"/>
              <w:rPr>
                <w:sz w:val="20"/>
                <w:szCs w:val="20"/>
                <w:color w:val="auto"/>
              </w:rPr>
            </w:pPr>
            <w:r>
              <w:rPr>
                <w:rFonts w:ascii="Arial" w:cs="Arial" w:eastAsia="Arial" w:hAnsi="Arial"/>
                <w:sz w:val="11"/>
                <w:szCs w:val="11"/>
                <w:color w:val="auto"/>
              </w:rPr>
              <w:t>(2)</w:t>
            </w:r>
          </w:p>
        </w:tc>
        <w:tc>
          <w:tcPr>
            <w:tcW w:w="80" w:type="dxa"/>
            <w:vAlign w:val="bottom"/>
            <w:shd w:val="clear" w:color="auto" w:fill="D9D9D9"/>
          </w:tcPr>
          <w:p>
            <w:pPr>
              <w:spacing w:after="0"/>
              <w:rPr>
                <w:sz w:val="17"/>
                <w:szCs w:val="17"/>
                <w:color w:val="auto"/>
              </w:rPr>
            </w:pPr>
          </w:p>
        </w:tc>
        <w:tc>
          <w:tcPr>
            <w:tcW w:w="980" w:type="dxa"/>
            <w:vAlign w:val="bottom"/>
            <w:shd w:val="clear" w:color="auto" w:fill="D9D9D9"/>
          </w:tcPr>
          <w:p>
            <w:pPr>
              <w:jc w:val="right"/>
              <w:ind w:right="167"/>
              <w:spacing w:after="0"/>
              <w:rPr>
                <w:sz w:val="20"/>
                <w:szCs w:val="20"/>
                <w:color w:val="auto"/>
              </w:rPr>
            </w:pPr>
            <w:r>
              <w:rPr>
                <w:rFonts w:ascii="Arial" w:cs="Arial" w:eastAsia="Arial" w:hAnsi="Arial"/>
                <w:sz w:val="15"/>
                <w:szCs w:val="15"/>
                <w:color w:val="auto"/>
              </w:rPr>
              <w:t>192.8600</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2/12/2035</w:t>
            </w:r>
          </w:p>
        </w:tc>
        <w:tc>
          <w:tcPr>
            <w:tcW w:w="8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line="149" w:lineRule="exact"/>
              <w:rPr>
                <w:sz w:val="20"/>
                <w:szCs w:val="20"/>
                <w:color w:val="auto"/>
              </w:rPr>
            </w:pPr>
            <w:r>
              <w:rPr>
                <w:rFonts w:ascii="Arial" w:cs="Arial" w:eastAsia="Arial" w:hAnsi="Arial"/>
                <w:sz w:val="15"/>
                <w:szCs w:val="15"/>
                <w:color w:val="auto"/>
              </w:rPr>
              <w:t>S. Reents</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5"/>
                <w:szCs w:val="15"/>
                <w:color w:val="auto"/>
              </w:rPr>
              <w:t>11,810</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67"/>
              <w:spacing w:after="0" w:line="149" w:lineRule="exact"/>
              <w:rPr>
                <w:sz w:val="20"/>
                <w:szCs w:val="20"/>
                <w:color w:val="auto"/>
              </w:rPr>
            </w:pPr>
            <w:r>
              <w:rPr>
                <w:rFonts w:ascii="Arial" w:cs="Arial" w:eastAsia="Arial" w:hAnsi="Arial"/>
                <w:sz w:val="15"/>
                <w:szCs w:val="15"/>
                <w:color w:val="auto"/>
              </w:rPr>
              <w:t>114.3600</w:t>
            </w:r>
          </w:p>
        </w:tc>
        <w:tc>
          <w:tcPr>
            <w:tcW w:w="740" w:type="dxa"/>
            <w:vAlign w:val="bottom"/>
          </w:tcPr>
          <w:p>
            <w:pPr>
              <w:jc w:val="right"/>
              <w:spacing w:after="0" w:line="149" w:lineRule="exact"/>
              <w:rPr>
                <w:sz w:val="20"/>
                <w:szCs w:val="20"/>
                <w:color w:val="auto"/>
              </w:rPr>
            </w:pPr>
            <w:r>
              <w:rPr>
                <w:rFonts w:ascii="Arial" w:cs="Arial" w:eastAsia="Arial" w:hAnsi="Arial"/>
                <w:sz w:val="15"/>
                <w:szCs w:val="15"/>
                <w:color w:val="auto"/>
              </w:rPr>
              <w:t>2/14/2028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5"/>
                <w:szCs w:val="15"/>
                <w:color w:val="auto"/>
              </w:rPr>
              <w:t>17,822</w:t>
            </w:r>
          </w:p>
        </w:tc>
        <w:tc>
          <w:tcPr>
            <w:tcW w:w="160" w:type="dxa"/>
            <w:vAlign w:val="bottom"/>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5"/>
                <w:szCs w:val="15"/>
                <w:color w:val="auto"/>
              </w:rPr>
              <w:t>4,072,149</w:t>
            </w:r>
          </w:p>
        </w:tc>
        <w:tc>
          <w:tcPr>
            <w:tcW w:w="0" w:type="dxa"/>
            <w:vAlign w:val="bottom"/>
          </w:tcPr>
          <w:p>
            <w:pPr>
              <w:spacing w:after="0"/>
              <w:rPr>
                <w:sz w:val="1"/>
                <w:szCs w:val="1"/>
                <w:color w:val="auto"/>
              </w:rPr>
            </w:pPr>
          </w:p>
        </w:tc>
      </w:tr>
      <w:tr>
        <w:trPr>
          <w:trHeight w:val="172"/>
        </w:trPr>
        <w:tc>
          <w:tcPr>
            <w:tcW w:w="1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19,470</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color w:val="auto"/>
              </w:rPr>
              <w:t>79.0200</w:t>
            </w:r>
          </w:p>
        </w:tc>
        <w:tc>
          <w:tcPr>
            <w:tcW w:w="740" w:type="dxa"/>
            <w:vAlign w:val="bottom"/>
          </w:tcPr>
          <w:p>
            <w:pPr>
              <w:jc w:val="right"/>
              <w:spacing w:after="0"/>
              <w:rPr>
                <w:sz w:val="20"/>
                <w:szCs w:val="20"/>
                <w:color w:val="auto"/>
              </w:rPr>
            </w:pPr>
            <w:r>
              <w:rPr>
                <w:rFonts w:ascii="Arial" w:cs="Arial" w:eastAsia="Arial" w:hAnsi="Arial"/>
                <w:sz w:val="15"/>
                <w:szCs w:val="15"/>
                <w:color w:val="auto"/>
              </w:rPr>
              <w:t>2/20/2029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19,016</w:t>
            </w:r>
          </w:p>
        </w:tc>
        <w:tc>
          <w:tcPr>
            <w:tcW w:w="160" w:type="dxa"/>
            <w:vAlign w:val="bottom"/>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4,344,966</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28,641</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color w:val="auto"/>
              </w:rPr>
              <w:t>93.5000</w:t>
            </w:r>
          </w:p>
        </w:tc>
        <w:tc>
          <w:tcPr>
            <w:tcW w:w="740" w:type="dxa"/>
            <w:vAlign w:val="bottom"/>
          </w:tcPr>
          <w:p>
            <w:pPr>
              <w:jc w:val="right"/>
              <w:spacing w:after="0"/>
              <w:rPr>
                <w:sz w:val="20"/>
                <w:szCs w:val="20"/>
                <w:color w:val="auto"/>
              </w:rPr>
            </w:pPr>
            <w:r>
              <w:rPr>
                <w:rFonts w:ascii="Arial" w:cs="Arial" w:eastAsia="Arial" w:hAnsi="Arial"/>
                <w:sz w:val="15"/>
                <w:szCs w:val="15"/>
                <w:color w:val="auto"/>
              </w:rPr>
              <w:t>2/19/2030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21,776</w:t>
            </w:r>
          </w:p>
        </w:tc>
        <w:tc>
          <w:tcPr>
            <w:tcW w:w="160" w:type="dxa"/>
            <w:vAlign w:val="bottom"/>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4,975,598</w:t>
            </w:r>
          </w:p>
        </w:tc>
        <w:tc>
          <w:tcPr>
            <w:tcW w:w="0" w:type="dxa"/>
            <w:vAlign w:val="bottom"/>
          </w:tcPr>
          <w:p>
            <w:pPr>
              <w:spacing w:after="0"/>
              <w:rPr>
                <w:sz w:val="1"/>
                <w:szCs w:val="1"/>
                <w:color w:val="auto"/>
              </w:rPr>
            </w:pPr>
          </w:p>
        </w:tc>
      </w:tr>
      <w:tr>
        <w:trPr>
          <w:trHeight w:val="172"/>
        </w:trPr>
        <w:tc>
          <w:tcPr>
            <w:tcW w:w="1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15,527</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color w:val="auto"/>
              </w:rPr>
              <w:t>105.9200</w:t>
            </w:r>
          </w:p>
        </w:tc>
        <w:tc>
          <w:tcPr>
            <w:tcW w:w="740" w:type="dxa"/>
            <w:vAlign w:val="bottom"/>
          </w:tcPr>
          <w:p>
            <w:pPr>
              <w:jc w:val="right"/>
              <w:spacing w:after="0"/>
              <w:rPr>
                <w:sz w:val="20"/>
                <w:szCs w:val="20"/>
                <w:color w:val="auto"/>
              </w:rPr>
            </w:pPr>
            <w:r>
              <w:rPr>
                <w:rFonts w:ascii="Arial" w:cs="Arial" w:eastAsia="Arial" w:hAnsi="Arial"/>
                <w:sz w:val="15"/>
                <w:szCs w:val="15"/>
                <w:color w:val="auto"/>
              </w:rPr>
              <w:t>2/17/2031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1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11,383</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jc w:val="center"/>
              <w:ind w:right="23"/>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color w:val="auto"/>
              </w:rPr>
              <w:t>144.5400</w:t>
            </w:r>
          </w:p>
        </w:tc>
        <w:tc>
          <w:tcPr>
            <w:tcW w:w="740" w:type="dxa"/>
            <w:vAlign w:val="bottom"/>
          </w:tcPr>
          <w:p>
            <w:pPr>
              <w:jc w:val="right"/>
              <w:spacing w:after="0"/>
              <w:rPr>
                <w:sz w:val="20"/>
                <w:szCs w:val="20"/>
                <w:color w:val="auto"/>
              </w:rPr>
            </w:pPr>
            <w:r>
              <w:rPr>
                <w:rFonts w:ascii="Arial" w:cs="Arial" w:eastAsia="Arial" w:hAnsi="Arial"/>
                <w:sz w:val="15"/>
                <w:szCs w:val="15"/>
                <w:color w:val="auto"/>
              </w:rPr>
              <w:t>2/16/2032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3"/>
                <w:szCs w:val="13"/>
                <w:color w:val="auto"/>
              </w:rPr>
            </w:pPr>
          </w:p>
        </w:tc>
        <w:tc>
          <w:tcPr>
            <w:tcW w:w="94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22,507</w:t>
            </w:r>
          </w:p>
        </w:tc>
        <w:tc>
          <w:tcPr>
            <w:tcW w:w="104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11,253</w:t>
            </w: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167"/>
              <w:spacing w:after="0" w:line="161" w:lineRule="exact"/>
              <w:rPr>
                <w:sz w:val="20"/>
                <w:szCs w:val="20"/>
                <w:color w:val="auto"/>
              </w:rPr>
            </w:pPr>
            <w:r>
              <w:rPr>
                <w:rFonts w:ascii="Arial" w:cs="Arial" w:eastAsia="Arial" w:hAnsi="Arial"/>
                <w:sz w:val="15"/>
                <w:szCs w:val="15"/>
                <w:color w:val="auto"/>
              </w:rPr>
              <w:t>149.6200</w:t>
            </w:r>
          </w:p>
        </w:tc>
        <w:tc>
          <w:tcPr>
            <w:tcW w:w="740" w:type="dxa"/>
            <w:vAlign w:val="bottom"/>
          </w:tcPr>
          <w:p>
            <w:pPr>
              <w:jc w:val="right"/>
              <w:spacing w:after="0" w:line="161" w:lineRule="exact"/>
              <w:rPr>
                <w:sz w:val="20"/>
                <w:szCs w:val="20"/>
                <w:color w:val="auto"/>
              </w:rPr>
            </w:pPr>
            <w:r>
              <w:rPr>
                <w:rFonts w:ascii="Arial" w:cs="Arial" w:eastAsia="Arial" w:hAnsi="Arial"/>
                <w:sz w:val="15"/>
                <w:szCs w:val="15"/>
                <w:color w:val="auto"/>
              </w:rPr>
              <w:t>2/15/2033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1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10,507</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21,013</w:t>
            </w:r>
          </w:p>
        </w:tc>
        <w:tc>
          <w:tcPr>
            <w:tcW w:w="220" w:type="dxa"/>
            <w:vAlign w:val="bottom"/>
          </w:tcPr>
          <w:p>
            <w:pPr>
              <w:jc w:val="center"/>
              <w:ind w:right="23"/>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color w:val="auto"/>
              </w:rPr>
              <w:t>175.2800</w:t>
            </w:r>
          </w:p>
        </w:tc>
        <w:tc>
          <w:tcPr>
            <w:tcW w:w="740" w:type="dxa"/>
            <w:vAlign w:val="bottom"/>
          </w:tcPr>
          <w:p>
            <w:pPr>
              <w:jc w:val="right"/>
              <w:spacing w:after="0"/>
              <w:rPr>
                <w:sz w:val="20"/>
                <w:szCs w:val="20"/>
                <w:color w:val="auto"/>
              </w:rPr>
            </w:pPr>
            <w:r>
              <w:rPr>
                <w:rFonts w:ascii="Arial" w:cs="Arial" w:eastAsia="Arial" w:hAnsi="Arial"/>
                <w:sz w:val="15"/>
                <w:szCs w:val="15"/>
                <w:color w:val="auto"/>
              </w:rPr>
              <w:t>2/14/2034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27,343</w:t>
            </w:r>
          </w:p>
        </w:tc>
        <w:tc>
          <w:tcPr>
            <w:tcW w:w="220" w:type="dxa"/>
            <w:vAlign w:val="bottom"/>
          </w:tcPr>
          <w:p>
            <w:pPr>
              <w:jc w:val="center"/>
              <w:ind w:right="23"/>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7"/>
                <w:szCs w:val="17"/>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color w:val="auto"/>
              </w:rPr>
              <w:t>192.8600</w:t>
            </w:r>
          </w:p>
        </w:tc>
        <w:tc>
          <w:tcPr>
            <w:tcW w:w="740" w:type="dxa"/>
            <w:vAlign w:val="bottom"/>
          </w:tcPr>
          <w:p>
            <w:pPr>
              <w:jc w:val="right"/>
              <w:spacing w:after="0"/>
              <w:rPr>
                <w:sz w:val="20"/>
                <w:szCs w:val="20"/>
                <w:color w:val="auto"/>
              </w:rPr>
            </w:pPr>
            <w:r>
              <w:rPr>
                <w:rFonts w:ascii="Arial" w:cs="Arial" w:eastAsia="Arial" w:hAnsi="Arial"/>
                <w:sz w:val="15"/>
                <w:szCs w:val="15"/>
                <w:color w:val="auto"/>
              </w:rPr>
              <w:t>2/12/2035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D9D9D9"/>
          </w:tcPr>
          <w:p>
            <w:pPr>
              <w:spacing w:after="0" w:line="149" w:lineRule="exact"/>
              <w:rPr>
                <w:sz w:val="20"/>
                <w:szCs w:val="20"/>
                <w:color w:val="auto"/>
              </w:rPr>
            </w:pPr>
            <w:r>
              <w:rPr>
                <w:rFonts w:ascii="Arial" w:cs="Arial" w:eastAsia="Arial" w:hAnsi="Arial"/>
                <w:sz w:val="15"/>
                <w:szCs w:val="15"/>
                <w:color w:val="auto"/>
              </w:rPr>
              <w:t>J. Stewart</w:t>
            </w:r>
          </w:p>
        </w:tc>
        <w:tc>
          <w:tcPr>
            <w:tcW w:w="94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5"/>
                <w:szCs w:val="15"/>
                <w:color w:val="auto"/>
              </w:rPr>
              <w:t>16,070</w:t>
            </w:r>
          </w:p>
        </w:tc>
        <w:tc>
          <w:tcPr>
            <w:tcW w:w="140" w:type="dxa"/>
            <w:vAlign w:val="bottom"/>
            <w:shd w:val="clear" w:color="auto" w:fill="D9D9D9"/>
          </w:tcPr>
          <w:p>
            <w:pPr>
              <w:spacing w:after="0"/>
              <w:rPr>
                <w:sz w:val="12"/>
                <w:szCs w:val="12"/>
                <w:color w:val="auto"/>
              </w:rPr>
            </w:pPr>
          </w:p>
        </w:tc>
        <w:tc>
          <w:tcPr>
            <w:tcW w:w="90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w:t>
            </w:r>
          </w:p>
        </w:tc>
        <w:tc>
          <w:tcPr>
            <w:tcW w:w="2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980" w:type="dxa"/>
            <w:vAlign w:val="bottom"/>
            <w:shd w:val="clear" w:color="auto" w:fill="D9D9D9"/>
          </w:tcPr>
          <w:p>
            <w:pPr>
              <w:jc w:val="right"/>
              <w:ind w:right="167"/>
              <w:spacing w:after="0" w:line="149" w:lineRule="exact"/>
              <w:rPr>
                <w:sz w:val="20"/>
                <w:szCs w:val="20"/>
                <w:color w:val="auto"/>
              </w:rPr>
            </w:pPr>
            <w:r>
              <w:rPr>
                <w:rFonts w:ascii="Arial" w:cs="Arial" w:eastAsia="Arial" w:hAnsi="Arial"/>
                <w:sz w:val="15"/>
                <w:szCs w:val="15"/>
                <w:color w:val="auto"/>
              </w:rPr>
              <w:t>114.3600</w:t>
            </w:r>
          </w:p>
        </w:tc>
        <w:tc>
          <w:tcPr>
            <w:tcW w:w="74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2/14/2028</w:t>
            </w: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76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18,534</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220" w:type="dxa"/>
            <w:vAlign w:val="bottom"/>
            <w:shd w:val="clear" w:color="auto" w:fill="D9D9D9"/>
          </w:tcPr>
          <w:p>
            <w:pPr>
              <w:spacing w:after="0"/>
              <w:rPr>
                <w:sz w:val="12"/>
                <w:szCs w:val="12"/>
                <w:color w:val="auto"/>
              </w:rPr>
            </w:pPr>
          </w:p>
        </w:tc>
        <w:tc>
          <w:tcPr>
            <w:tcW w:w="86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4,234,834</w:t>
            </w: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49,099</w:t>
            </w:r>
          </w:p>
        </w:tc>
        <w:tc>
          <w:tcPr>
            <w:tcW w:w="140" w:type="dxa"/>
            <w:vAlign w:val="bottom"/>
            <w:shd w:val="clear" w:color="auto" w:fill="D9D9D9"/>
          </w:tcPr>
          <w:p>
            <w:pPr>
              <w:spacing w:after="0"/>
              <w:rPr>
                <w:sz w:val="14"/>
                <w:szCs w:val="14"/>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980" w:type="dxa"/>
            <w:vAlign w:val="bottom"/>
            <w:shd w:val="clear" w:color="auto" w:fill="D9D9D9"/>
          </w:tcPr>
          <w:p>
            <w:pPr>
              <w:jc w:val="right"/>
              <w:ind w:right="167"/>
              <w:spacing w:after="0"/>
              <w:rPr>
                <w:sz w:val="20"/>
                <w:szCs w:val="20"/>
                <w:color w:val="auto"/>
              </w:rPr>
            </w:pPr>
            <w:r>
              <w:rPr>
                <w:rFonts w:ascii="Arial" w:cs="Arial" w:eastAsia="Arial" w:hAnsi="Arial"/>
                <w:sz w:val="15"/>
                <w:szCs w:val="15"/>
                <w:color w:val="auto"/>
              </w:rPr>
              <w:t>93.5000</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2/19/2030</w:t>
            </w: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700" w:type="dxa"/>
            <w:vAlign w:val="bottom"/>
            <w:shd w:val="clear" w:color="auto" w:fill="D9D9D9"/>
          </w:tcPr>
          <w:p>
            <w:pPr>
              <w:spacing w:after="0"/>
              <w:rPr>
                <w:sz w:val="14"/>
                <w:szCs w:val="14"/>
                <w:color w:val="auto"/>
              </w:rPr>
            </w:pPr>
          </w:p>
        </w:tc>
        <w:tc>
          <w:tcPr>
            <w:tcW w:w="1040" w:type="dxa"/>
            <w:vAlign w:val="bottom"/>
            <w:shd w:val="clear" w:color="auto" w:fill="D9D9D9"/>
          </w:tcPr>
          <w:p>
            <w:pPr>
              <w:spacing w:after="0"/>
              <w:rPr>
                <w:sz w:val="14"/>
                <w:szCs w:val="1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23,580</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220" w:type="dxa"/>
            <w:vAlign w:val="bottom"/>
            <w:shd w:val="clear" w:color="auto" w:fill="D9D9D9"/>
          </w:tcPr>
          <w:p>
            <w:pPr>
              <w:spacing w:after="0"/>
              <w:rPr>
                <w:sz w:val="14"/>
                <w:szCs w:val="14"/>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5,387,794</w:t>
            </w:r>
          </w:p>
        </w:tc>
        <w:tc>
          <w:tcPr>
            <w:tcW w:w="0" w:type="dxa"/>
            <w:vAlign w:val="bottom"/>
          </w:tcPr>
          <w:p>
            <w:pPr>
              <w:spacing w:after="0"/>
              <w:rPr>
                <w:sz w:val="1"/>
                <w:szCs w:val="1"/>
                <w:color w:val="auto"/>
              </w:rPr>
            </w:pPr>
          </w:p>
        </w:tc>
      </w:tr>
      <w:tr>
        <w:trPr>
          <w:trHeight w:val="196"/>
        </w:trPr>
        <w:tc>
          <w:tcPr>
            <w:tcW w:w="13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43,478</w:t>
            </w:r>
          </w:p>
        </w:tc>
        <w:tc>
          <w:tcPr>
            <w:tcW w:w="140" w:type="dxa"/>
            <w:vAlign w:val="bottom"/>
            <w:shd w:val="clear" w:color="auto" w:fill="D9D9D9"/>
          </w:tcPr>
          <w:p>
            <w:pPr>
              <w:spacing w:after="0"/>
              <w:rPr>
                <w:sz w:val="17"/>
                <w:szCs w:val="17"/>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980" w:type="dxa"/>
            <w:vAlign w:val="bottom"/>
            <w:shd w:val="clear" w:color="auto" w:fill="D9D9D9"/>
          </w:tcPr>
          <w:p>
            <w:pPr>
              <w:jc w:val="right"/>
              <w:ind w:right="167"/>
              <w:spacing w:after="0"/>
              <w:rPr>
                <w:sz w:val="20"/>
                <w:szCs w:val="20"/>
                <w:color w:val="auto"/>
              </w:rPr>
            </w:pPr>
            <w:r>
              <w:rPr>
                <w:rFonts w:ascii="Arial" w:cs="Arial" w:eastAsia="Arial" w:hAnsi="Arial"/>
                <w:sz w:val="15"/>
                <w:szCs w:val="15"/>
                <w:color w:val="auto"/>
              </w:rPr>
              <w:t>105.9200</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2/17/2031</w:t>
            </w:r>
          </w:p>
        </w:tc>
        <w:tc>
          <w:tcPr>
            <w:tcW w:w="8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26,962</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22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6,160,547</w:t>
            </w: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37,215</w:t>
            </w:r>
          </w:p>
        </w:tc>
        <w:tc>
          <w:tcPr>
            <w:tcW w:w="140" w:type="dxa"/>
            <w:vAlign w:val="bottom"/>
            <w:shd w:val="clear" w:color="auto" w:fill="D9D9D9"/>
          </w:tcPr>
          <w:p>
            <w:pPr>
              <w:spacing w:after="0"/>
              <w:rPr>
                <w:sz w:val="14"/>
                <w:szCs w:val="14"/>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20" w:type="dxa"/>
            <w:vAlign w:val="bottom"/>
            <w:vMerge w:val="restart"/>
            <w:shd w:val="clear" w:color="auto" w:fill="D9D9D9"/>
          </w:tcPr>
          <w:p>
            <w:pPr>
              <w:jc w:val="center"/>
              <w:ind w:right="23"/>
              <w:spacing w:after="0"/>
              <w:rPr>
                <w:sz w:val="20"/>
                <w:szCs w:val="20"/>
                <w:color w:val="auto"/>
              </w:rPr>
            </w:pPr>
            <w:r>
              <w:rPr>
                <w:rFonts w:ascii="Arial" w:cs="Arial" w:eastAsia="Arial" w:hAnsi="Arial"/>
                <w:sz w:val="11"/>
                <w:szCs w:val="11"/>
                <w:color w:val="auto"/>
              </w:rPr>
              <w:t>(2)</w:t>
            </w:r>
          </w:p>
        </w:tc>
        <w:tc>
          <w:tcPr>
            <w:tcW w:w="80" w:type="dxa"/>
            <w:vAlign w:val="bottom"/>
            <w:shd w:val="clear" w:color="auto" w:fill="D9D9D9"/>
          </w:tcPr>
          <w:p>
            <w:pPr>
              <w:spacing w:after="0"/>
              <w:rPr>
                <w:sz w:val="14"/>
                <w:szCs w:val="14"/>
                <w:color w:val="auto"/>
              </w:rPr>
            </w:pPr>
          </w:p>
        </w:tc>
        <w:tc>
          <w:tcPr>
            <w:tcW w:w="980" w:type="dxa"/>
            <w:vAlign w:val="bottom"/>
            <w:shd w:val="clear" w:color="auto" w:fill="D9D9D9"/>
          </w:tcPr>
          <w:p>
            <w:pPr>
              <w:jc w:val="right"/>
              <w:ind w:right="167"/>
              <w:spacing w:after="0"/>
              <w:rPr>
                <w:sz w:val="20"/>
                <w:szCs w:val="20"/>
                <w:color w:val="auto"/>
              </w:rPr>
            </w:pPr>
            <w:r>
              <w:rPr>
                <w:rFonts w:ascii="Arial" w:cs="Arial" w:eastAsia="Arial" w:hAnsi="Arial"/>
                <w:sz w:val="15"/>
                <w:szCs w:val="15"/>
                <w:color w:val="auto"/>
              </w:rPr>
              <w:t>144.5400</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2/16/2032</w:t>
            </w: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700" w:type="dxa"/>
            <w:vAlign w:val="bottom"/>
            <w:shd w:val="clear" w:color="auto" w:fill="D9D9D9"/>
          </w:tcPr>
          <w:p>
            <w:pPr>
              <w:spacing w:after="0"/>
              <w:rPr>
                <w:sz w:val="14"/>
                <w:szCs w:val="14"/>
                <w:color w:val="auto"/>
              </w:rPr>
            </w:pPr>
          </w:p>
        </w:tc>
        <w:tc>
          <w:tcPr>
            <w:tcW w:w="1040" w:type="dxa"/>
            <w:vAlign w:val="bottom"/>
            <w:shd w:val="clear" w:color="auto" w:fill="D9D9D9"/>
          </w:tcPr>
          <w:p>
            <w:pPr>
              <w:spacing w:after="0"/>
              <w:rPr>
                <w:sz w:val="14"/>
                <w:szCs w:val="1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80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23,408</w:t>
            </w:r>
          </w:p>
        </w:tc>
        <w:tc>
          <w:tcPr>
            <w:tcW w:w="140" w:type="dxa"/>
            <w:vAlign w:val="bottom"/>
            <w:shd w:val="clear" w:color="auto" w:fill="D9D9D9"/>
          </w:tcPr>
          <w:p>
            <w:pPr>
              <w:spacing w:after="0"/>
              <w:rPr>
                <w:sz w:val="12"/>
                <w:szCs w:val="12"/>
                <w:color w:val="auto"/>
              </w:rPr>
            </w:pPr>
          </w:p>
        </w:tc>
        <w:tc>
          <w:tcPr>
            <w:tcW w:w="90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11,703</w:t>
            </w:r>
          </w:p>
        </w:tc>
        <w:tc>
          <w:tcPr>
            <w:tcW w:w="220" w:type="dxa"/>
            <w:vAlign w:val="bottom"/>
            <w:vMerge w:val="continue"/>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980" w:type="dxa"/>
            <w:vAlign w:val="bottom"/>
            <w:shd w:val="clear" w:color="auto" w:fill="D9D9D9"/>
          </w:tcPr>
          <w:p>
            <w:pPr>
              <w:jc w:val="right"/>
              <w:ind w:right="167"/>
              <w:spacing w:after="0" w:line="149" w:lineRule="exact"/>
              <w:rPr>
                <w:sz w:val="20"/>
                <w:szCs w:val="20"/>
                <w:color w:val="auto"/>
              </w:rPr>
            </w:pPr>
            <w:r>
              <w:rPr>
                <w:rFonts w:ascii="Arial" w:cs="Arial" w:eastAsia="Arial" w:hAnsi="Arial"/>
                <w:sz w:val="15"/>
                <w:szCs w:val="15"/>
                <w:color w:val="auto"/>
              </w:rPr>
              <w:t>149.6200</w:t>
            </w:r>
          </w:p>
        </w:tc>
        <w:tc>
          <w:tcPr>
            <w:tcW w:w="74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2/15/2033</w:t>
            </w: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76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w:t>
            </w:r>
          </w:p>
        </w:tc>
        <w:tc>
          <w:tcPr>
            <w:tcW w:w="16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86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13,029</w:t>
            </w:r>
          </w:p>
        </w:tc>
        <w:tc>
          <w:tcPr>
            <w:tcW w:w="140" w:type="dxa"/>
            <w:vAlign w:val="bottom"/>
            <w:shd w:val="clear" w:color="auto" w:fill="D9D9D9"/>
          </w:tcPr>
          <w:p>
            <w:pPr>
              <w:spacing w:after="0"/>
              <w:rPr>
                <w:sz w:val="14"/>
                <w:szCs w:val="14"/>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26,056</w:t>
            </w:r>
          </w:p>
        </w:tc>
        <w:tc>
          <w:tcPr>
            <w:tcW w:w="220" w:type="dxa"/>
            <w:vAlign w:val="bottom"/>
            <w:shd w:val="clear" w:color="auto" w:fill="D9D9D9"/>
          </w:tcPr>
          <w:p>
            <w:pPr>
              <w:jc w:val="center"/>
              <w:ind w:right="23"/>
              <w:spacing w:after="0"/>
              <w:rPr>
                <w:sz w:val="20"/>
                <w:szCs w:val="20"/>
                <w:color w:val="auto"/>
              </w:rPr>
            </w:pPr>
            <w:r>
              <w:rPr>
                <w:rFonts w:ascii="Arial" w:cs="Arial" w:eastAsia="Arial" w:hAnsi="Arial"/>
                <w:sz w:val="11"/>
                <w:szCs w:val="11"/>
                <w:color w:val="auto"/>
              </w:rPr>
              <w:t>(2)</w:t>
            </w:r>
          </w:p>
        </w:tc>
        <w:tc>
          <w:tcPr>
            <w:tcW w:w="80" w:type="dxa"/>
            <w:vAlign w:val="bottom"/>
            <w:shd w:val="clear" w:color="auto" w:fill="D9D9D9"/>
          </w:tcPr>
          <w:p>
            <w:pPr>
              <w:spacing w:after="0"/>
              <w:rPr>
                <w:sz w:val="14"/>
                <w:szCs w:val="14"/>
                <w:color w:val="auto"/>
              </w:rPr>
            </w:pPr>
          </w:p>
        </w:tc>
        <w:tc>
          <w:tcPr>
            <w:tcW w:w="980" w:type="dxa"/>
            <w:vAlign w:val="bottom"/>
            <w:shd w:val="clear" w:color="auto" w:fill="D9D9D9"/>
          </w:tcPr>
          <w:p>
            <w:pPr>
              <w:jc w:val="right"/>
              <w:ind w:right="167"/>
              <w:spacing w:after="0"/>
              <w:rPr>
                <w:sz w:val="20"/>
                <w:szCs w:val="20"/>
                <w:color w:val="auto"/>
              </w:rPr>
            </w:pPr>
            <w:r>
              <w:rPr>
                <w:rFonts w:ascii="Arial" w:cs="Arial" w:eastAsia="Arial" w:hAnsi="Arial"/>
                <w:sz w:val="15"/>
                <w:szCs w:val="15"/>
                <w:color w:val="auto"/>
              </w:rPr>
              <w:t>175.2800</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2/14/2034</w:t>
            </w: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700" w:type="dxa"/>
            <w:vAlign w:val="bottom"/>
            <w:shd w:val="clear" w:color="auto" w:fill="D9D9D9"/>
          </w:tcPr>
          <w:p>
            <w:pPr>
              <w:spacing w:after="0"/>
              <w:rPr>
                <w:sz w:val="14"/>
                <w:szCs w:val="14"/>
                <w:color w:val="auto"/>
              </w:rPr>
            </w:pPr>
          </w:p>
        </w:tc>
        <w:tc>
          <w:tcPr>
            <w:tcW w:w="1040" w:type="dxa"/>
            <w:vAlign w:val="bottom"/>
            <w:shd w:val="clear" w:color="auto" w:fill="D9D9D9"/>
          </w:tcPr>
          <w:p>
            <w:pPr>
              <w:spacing w:after="0"/>
              <w:rPr>
                <w:sz w:val="14"/>
                <w:szCs w:val="1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3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9D9D9"/>
          </w:tcPr>
          <w:p>
            <w:pPr>
              <w:spacing w:after="0"/>
              <w:rPr>
                <w:sz w:val="17"/>
                <w:szCs w:val="17"/>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33,854</w:t>
            </w:r>
          </w:p>
        </w:tc>
        <w:tc>
          <w:tcPr>
            <w:tcW w:w="220" w:type="dxa"/>
            <w:vAlign w:val="bottom"/>
            <w:shd w:val="clear" w:color="auto" w:fill="D9D9D9"/>
          </w:tcPr>
          <w:p>
            <w:pPr>
              <w:jc w:val="center"/>
              <w:ind w:right="23"/>
              <w:spacing w:after="0"/>
              <w:rPr>
                <w:sz w:val="20"/>
                <w:szCs w:val="20"/>
                <w:color w:val="auto"/>
              </w:rPr>
            </w:pPr>
            <w:r>
              <w:rPr>
                <w:rFonts w:ascii="Arial" w:cs="Arial" w:eastAsia="Arial" w:hAnsi="Arial"/>
                <w:sz w:val="11"/>
                <w:szCs w:val="11"/>
                <w:color w:val="auto"/>
              </w:rPr>
              <w:t>(2)</w:t>
            </w:r>
          </w:p>
        </w:tc>
        <w:tc>
          <w:tcPr>
            <w:tcW w:w="80" w:type="dxa"/>
            <w:vAlign w:val="bottom"/>
            <w:shd w:val="clear" w:color="auto" w:fill="D9D9D9"/>
          </w:tcPr>
          <w:p>
            <w:pPr>
              <w:spacing w:after="0"/>
              <w:rPr>
                <w:sz w:val="17"/>
                <w:szCs w:val="17"/>
                <w:color w:val="auto"/>
              </w:rPr>
            </w:pPr>
          </w:p>
        </w:tc>
        <w:tc>
          <w:tcPr>
            <w:tcW w:w="980" w:type="dxa"/>
            <w:vAlign w:val="bottom"/>
            <w:shd w:val="clear" w:color="auto" w:fill="D9D9D9"/>
          </w:tcPr>
          <w:p>
            <w:pPr>
              <w:jc w:val="right"/>
              <w:ind w:right="167"/>
              <w:spacing w:after="0"/>
              <w:rPr>
                <w:sz w:val="20"/>
                <w:szCs w:val="20"/>
                <w:color w:val="auto"/>
              </w:rPr>
            </w:pPr>
            <w:r>
              <w:rPr>
                <w:rFonts w:ascii="Arial" w:cs="Arial" w:eastAsia="Arial" w:hAnsi="Arial"/>
                <w:sz w:val="15"/>
                <w:szCs w:val="15"/>
                <w:color w:val="auto"/>
              </w:rPr>
              <w:t>192.8600</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2/12/2035</w:t>
            </w:r>
          </w:p>
        </w:tc>
        <w:tc>
          <w:tcPr>
            <w:tcW w:w="8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line="149" w:lineRule="exact"/>
              <w:rPr>
                <w:sz w:val="20"/>
                <w:szCs w:val="20"/>
                <w:color w:val="auto"/>
              </w:rPr>
            </w:pPr>
            <w:r>
              <w:rPr>
                <w:rFonts w:ascii="Arial" w:cs="Arial" w:eastAsia="Arial" w:hAnsi="Arial"/>
                <w:sz w:val="15"/>
                <w:szCs w:val="15"/>
                <w:color w:val="auto"/>
              </w:rPr>
              <w:t>A. Saleki-Gerhardt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5"/>
                <w:szCs w:val="15"/>
                <w:color w:val="auto"/>
              </w:rPr>
              <w:t>47,870</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67"/>
              <w:spacing w:after="0" w:line="149" w:lineRule="exact"/>
              <w:rPr>
                <w:sz w:val="20"/>
                <w:szCs w:val="20"/>
                <w:color w:val="auto"/>
              </w:rPr>
            </w:pPr>
            <w:r>
              <w:rPr>
                <w:rFonts w:ascii="Arial" w:cs="Arial" w:eastAsia="Arial" w:hAnsi="Arial"/>
                <w:sz w:val="15"/>
                <w:szCs w:val="15"/>
                <w:color w:val="auto"/>
              </w:rPr>
              <w:t>61.3600</w:t>
            </w:r>
          </w:p>
        </w:tc>
        <w:tc>
          <w:tcPr>
            <w:tcW w:w="740" w:type="dxa"/>
            <w:vAlign w:val="bottom"/>
          </w:tcPr>
          <w:p>
            <w:pPr>
              <w:jc w:val="right"/>
              <w:spacing w:after="0" w:line="149" w:lineRule="exact"/>
              <w:rPr>
                <w:sz w:val="20"/>
                <w:szCs w:val="20"/>
                <w:color w:val="auto"/>
              </w:rPr>
            </w:pPr>
            <w:r>
              <w:rPr>
                <w:rFonts w:ascii="Arial" w:cs="Arial" w:eastAsia="Arial" w:hAnsi="Arial"/>
                <w:sz w:val="15"/>
                <w:szCs w:val="15"/>
                <w:color w:val="auto"/>
              </w:rPr>
              <w:t>2/15/2027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5"/>
                <w:szCs w:val="15"/>
                <w:color w:val="auto"/>
              </w:rPr>
              <w:t>12,118</w:t>
            </w:r>
          </w:p>
        </w:tc>
        <w:tc>
          <w:tcPr>
            <w:tcW w:w="160" w:type="dxa"/>
            <w:vAlign w:val="bottom"/>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5"/>
                <w:szCs w:val="15"/>
                <w:color w:val="auto"/>
              </w:rPr>
              <w:t>2,768,842</w:t>
            </w:r>
          </w:p>
        </w:tc>
        <w:tc>
          <w:tcPr>
            <w:tcW w:w="0" w:type="dxa"/>
            <w:vAlign w:val="bottom"/>
          </w:tcPr>
          <w:p>
            <w:pPr>
              <w:spacing w:after="0"/>
              <w:rPr>
                <w:sz w:val="1"/>
                <w:szCs w:val="1"/>
                <w:color w:val="auto"/>
              </w:rPr>
            </w:pPr>
          </w:p>
        </w:tc>
      </w:tr>
      <w:tr>
        <w:trPr>
          <w:trHeight w:val="172"/>
        </w:trPr>
        <w:tc>
          <w:tcPr>
            <w:tcW w:w="1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23,160</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color w:val="auto"/>
              </w:rPr>
              <w:t>114.3600</w:t>
            </w:r>
          </w:p>
        </w:tc>
        <w:tc>
          <w:tcPr>
            <w:tcW w:w="740" w:type="dxa"/>
            <w:vAlign w:val="bottom"/>
          </w:tcPr>
          <w:p>
            <w:pPr>
              <w:jc w:val="right"/>
              <w:spacing w:after="0"/>
              <w:rPr>
                <w:sz w:val="20"/>
                <w:szCs w:val="20"/>
                <w:color w:val="auto"/>
              </w:rPr>
            </w:pPr>
            <w:r>
              <w:rPr>
                <w:rFonts w:ascii="Arial" w:cs="Arial" w:eastAsia="Arial" w:hAnsi="Arial"/>
                <w:sz w:val="15"/>
                <w:szCs w:val="15"/>
                <w:color w:val="auto"/>
              </w:rPr>
              <w:t>2/14/2028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17,685</w:t>
            </w:r>
          </w:p>
        </w:tc>
        <w:tc>
          <w:tcPr>
            <w:tcW w:w="160" w:type="dxa"/>
            <w:vAlign w:val="bottom"/>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4,040,846</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34,267</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color w:val="auto"/>
              </w:rPr>
              <w:t>79.0200</w:t>
            </w:r>
          </w:p>
        </w:tc>
        <w:tc>
          <w:tcPr>
            <w:tcW w:w="740" w:type="dxa"/>
            <w:vAlign w:val="bottom"/>
          </w:tcPr>
          <w:p>
            <w:pPr>
              <w:jc w:val="right"/>
              <w:spacing w:after="0"/>
              <w:rPr>
                <w:sz w:val="20"/>
                <w:szCs w:val="20"/>
                <w:color w:val="auto"/>
              </w:rPr>
            </w:pPr>
            <w:r>
              <w:rPr>
                <w:rFonts w:ascii="Arial" w:cs="Arial" w:eastAsia="Arial" w:hAnsi="Arial"/>
                <w:sz w:val="15"/>
                <w:szCs w:val="15"/>
                <w:color w:val="auto"/>
              </w:rPr>
              <w:t>2/20/2029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19,910</w:t>
            </w:r>
          </w:p>
        </w:tc>
        <w:tc>
          <w:tcPr>
            <w:tcW w:w="160" w:type="dxa"/>
            <w:vAlign w:val="bottom"/>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4,549,236</w:t>
            </w:r>
          </w:p>
        </w:tc>
        <w:tc>
          <w:tcPr>
            <w:tcW w:w="0" w:type="dxa"/>
            <w:vAlign w:val="bottom"/>
          </w:tcPr>
          <w:p>
            <w:pPr>
              <w:spacing w:after="0"/>
              <w:rPr>
                <w:sz w:val="1"/>
                <w:szCs w:val="1"/>
                <w:color w:val="auto"/>
              </w:rPr>
            </w:pPr>
          </w:p>
        </w:tc>
      </w:tr>
      <w:tr>
        <w:trPr>
          <w:trHeight w:val="172"/>
        </w:trPr>
        <w:tc>
          <w:tcPr>
            <w:tcW w:w="1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73,649</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color w:val="auto"/>
              </w:rPr>
              <w:t>93.5000</w:t>
            </w:r>
          </w:p>
        </w:tc>
        <w:tc>
          <w:tcPr>
            <w:tcW w:w="740" w:type="dxa"/>
            <w:vAlign w:val="bottom"/>
          </w:tcPr>
          <w:p>
            <w:pPr>
              <w:jc w:val="right"/>
              <w:spacing w:after="0"/>
              <w:rPr>
                <w:sz w:val="20"/>
                <w:szCs w:val="20"/>
                <w:color w:val="auto"/>
              </w:rPr>
            </w:pPr>
            <w:r>
              <w:rPr>
                <w:rFonts w:ascii="Arial" w:cs="Arial" w:eastAsia="Arial" w:hAnsi="Arial"/>
                <w:sz w:val="15"/>
                <w:szCs w:val="15"/>
                <w:color w:val="auto"/>
              </w:rPr>
              <w:t>2/19/2030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1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42,236</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color w:val="auto"/>
              </w:rPr>
              <w:t>105.9200</w:t>
            </w:r>
          </w:p>
        </w:tc>
        <w:tc>
          <w:tcPr>
            <w:tcW w:w="740" w:type="dxa"/>
            <w:vAlign w:val="bottom"/>
          </w:tcPr>
          <w:p>
            <w:pPr>
              <w:jc w:val="right"/>
              <w:spacing w:after="0"/>
              <w:rPr>
                <w:sz w:val="20"/>
                <w:szCs w:val="20"/>
                <w:color w:val="auto"/>
              </w:rPr>
            </w:pPr>
            <w:r>
              <w:rPr>
                <w:rFonts w:ascii="Arial" w:cs="Arial" w:eastAsia="Arial" w:hAnsi="Arial"/>
                <w:sz w:val="15"/>
                <w:szCs w:val="15"/>
                <w:color w:val="auto"/>
              </w:rPr>
              <w:t>2/17/2031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1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35,026</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jc w:val="center"/>
              <w:ind w:right="23"/>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color w:val="auto"/>
              </w:rPr>
              <w:t>144.5400</w:t>
            </w:r>
          </w:p>
        </w:tc>
        <w:tc>
          <w:tcPr>
            <w:tcW w:w="740" w:type="dxa"/>
            <w:vAlign w:val="bottom"/>
          </w:tcPr>
          <w:p>
            <w:pPr>
              <w:jc w:val="right"/>
              <w:spacing w:after="0"/>
              <w:rPr>
                <w:sz w:val="20"/>
                <w:szCs w:val="20"/>
                <w:color w:val="auto"/>
              </w:rPr>
            </w:pPr>
            <w:r>
              <w:rPr>
                <w:rFonts w:ascii="Arial" w:cs="Arial" w:eastAsia="Arial" w:hAnsi="Arial"/>
                <w:sz w:val="15"/>
                <w:szCs w:val="15"/>
                <w:color w:val="auto"/>
              </w:rPr>
              <w:t>2/16/2032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3"/>
                <w:szCs w:val="13"/>
                <w:color w:val="auto"/>
              </w:rPr>
            </w:pPr>
          </w:p>
        </w:tc>
        <w:tc>
          <w:tcPr>
            <w:tcW w:w="94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15,305</w:t>
            </w:r>
          </w:p>
        </w:tc>
        <w:tc>
          <w:tcPr>
            <w:tcW w:w="104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7,652</w:t>
            </w: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167"/>
              <w:spacing w:after="0" w:line="161" w:lineRule="exact"/>
              <w:rPr>
                <w:sz w:val="20"/>
                <w:szCs w:val="20"/>
                <w:color w:val="auto"/>
              </w:rPr>
            </w:pPr>
            <w:r>
              <w:rPr>
                <w:rFonts w:ascii="Arial" w:cs="Arial" w:eastAsia="Arial" w:hAnsi="Arial"/>
                <w:sz w:val="15"/>
                <w:szCs w:val="15"/>
                <w:color w:val="auto"/>
              </w:rPr>
              <w:t>149.6200</w:t>
            </w:r>
          </w:p>
        </w:tc>
        <w:tc>
          <w:tcPr>
            <w:tcW w:w="740" w:type="dxa"/>
            <w:vAlign w:val="bottom"/>
          </w:tcPr>
          <w:p>
            <w:pPr>
              <w:jc w:val="right"/>
              <w:spacing w:after="0" w:line="161" w:lineRule="exact"/>
              <w:rPr>
                <w:sz w:val="20"/>
                <w:szCs w:val="20"/>
                <w:color w:val="auto"/>
              </w:rPr>
            </w:pPr>
            <w:r>
              <w:rPr>
                <w:rFonts w:ascii="Arial" w:cs="Arial" w:eastAsia="Arial" w:hAnsi="Arial"/>
                <w:sz w:val="15"/>
                <w:szCs w:val="15"/>
                <w:color w:val="auto"/>
              </w:rPr>
              <w:t>2/15/2033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1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9,771</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19,542</w:t>
            </w:r>
          </w:p>
        </w:tc>
        <w:tc>
          <w:tcPr>
            <w:tcW w:w="220" w:type="dxa"/>
            <w:vAlign w:val="bottom"/>
          </w:tcPr>
          <w:p>
            <w:pPr>
              <w:jc w:val="center"/>
              <w:ind w:right="23"/>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color w:val="auto"/>
              </w:rPr>
              <w:t>175.2800</w:t>
            </w:r>
          </w:p>
        </w:tc>
        <w:tc>
          <w:tcPr>
            <w:tcW w:w="740" w:type="dxa"/>
            <w:vAlign w:val="bottom"/>
          </w:tcPr>
          <w:p>
            <w:pPr>
              <w:jc w:val="right"/>
              <w:spacing w:after="0"/>
              <w:rPr>
                <w:sz w:val="20"/>
                <w:szCs w:val="20"/>
                <w:color w:val="auto"/>
              </w:rPr>
            </w:pPr>
            <w:r>
              <w:rPr>
                <w:rFonts w:ascii="Arial" w:cs="Arial" w:eastAsia="Arial" w:hAnsi="Arial"/>
                <w:sz w:val="15"/>
                <w:szCs w:val="15"/>
                <w:color w:val="auto"/>
              </w:rPr>
              <w:t>2/14/2034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25,000</w:t>
            </w:r>
          </w:p>
        </w:tc>
        <w:tc>
          <w:tcPr>
            <w:tcW w:w="220" w:type="dxa"/>
            <w:vAlign w:val="bottom"/>
          </w:tcPr>
          <w:p>
            <w:pPr>
              <w:jc w:val="center"/>
              <w:ind w:right="23"/>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7"/>
                <w:szCs w:val="17"/>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color w:val="auto"/>
              </w:rPr>
              <w:t>192.8600</w:t>
            </w:r>
          </w:p>
        </w:tc>
        <w:tc>
          <w:tcPr>
            <w:tcW w:w="740" w:type="dxa"/>
            <w:vAlign w:val="bottom"/>
          </w:tcPr>
          <w:p>
            <w:pPr>
              <w:jc w:val="right"/>
              <w:spacing w:after="0"/>
              <w:rPr>
                <w:sz w:val="20"/>
                <w:szCs w:val="20"/>
                <w:color w:val="auto"/>
              </w:rPr>
            </w:pPr>
            <w:r>
              <w:rPr>
                <w:rFonts w:ascii="Arial" w:cs="Arial" w:eastAsia="Arial" w:hAnsi="Arial"/>
                <w:sz w:val="15"/>
                <w:szCs w:val="15"/>
                <w:color w:val="auto"/>
              </w:rPr>
              <w:t>2/12/2035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D9D9D9"/>
          </w:tcPr>
          <w:p>
            <w:pPr>
              <w:spacing w:after="0" w:line="149" w:lineRule="exact"/>
              <w:rPr>
                <w:sz w:val="20"/>
                <w:szCs w:val="20"/>
                <w:color w:val="auto"/>
              </w:rPr>
            </w:pPr>
            <w:r>
              <w:rPr>
                <w:rFonts w:ascii="Arial" w:cs="Arial" w:eastAsia="Arial" w:hAnsi="Arial"/>
                <w:sz w:val="15"/>
                <w:szCs w:val="15"/>
                <w:color w:val="auto"/>
              </w:rPr>
              <w:t>R. Thakkar</w:t>
            </w:r>
          </w:p>
        </w:tc>
        <w:tc>
          <w:tcPr>
            <w:tcW w:w="94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5"/>
                <w:szCs w:val="15"/>
                <w:color w:val="auto"/>
              </w:rPr>
              <w:t>18,003</w:t>
            </w:r>
          </w:p>
        </w:tc>
        <w:tc>
          <w:tcPr>
            <w:tcW w:w="140" w:type="dxa"/>
            <w:vAlign w:val="bottom"/>
            <w:shd w:val="clear" w:color="auto" w:fill="D9D9D9"/>
          </w:tcPr>
          <w:p>
            <w:pPr>
              <w:spacing w:after="0"/>
              <w:rPr>
                <w:sz w:val="12"/>
                <w:szCs w:val="12"/>
                <w:color w:val="auto"/>
              </w:rPr>
            </w:pPr>
          </w:p>
        </w:tc>
        <w:tc>
          <w:tcPr>
            <w:tcW w:w="90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w:t>
            </w:r>
          </w:p>
        </w:tc>
        <w:tc>
          <w:tcPr>
            <w:tcW w:w="2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980" w:type="dxa"/>
            <w:vAlign w:val="bottom"/>
            <w:shd w:val="clear" w:color="auto" w:fill="D9D9D9"/>
          </w:tcPr>
          <w:p>
            <w:pPr>
              <w:jc w:val="right"/>
              <w:ind w:right="167"/>
              <w:spacing w:after="0" w:line="149" w:lineRule="exact"/>
              <w:rPr>
                <w:sz w:val="20"/>
                <w:szCs w:val="20"/>
                <w:color w:val="auto"/>
              </w:rPr>
            </w:pPr>
            <w:r>
              <w:rPr>
                <w:rFonts w:ascii="Arial" w:cs="Arial" w:eastAsia="Arial" w:hAnsi="Arial"/>
                <w:sz w:val="15"/>
                <w:szCs w:val="15"/>
                <w:color w:val="auto"/>
              </w:rPr>
              <w:t>93.5000</w:t>
            </w:r>
          </w:p>
        </w:tc>
        <w:tc>
          <w:tcPr>
            <w:tcW w:w="74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2/19/2030</w:t>
            </w: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76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4,277</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220" w:type="dxa"/>
            <w:vAlign w:val="bottom"/>
            <w:shd w:val="clear" w:color="auto" w:fill="D9D9D9"/>
          </w:tcPr>
          <w:p>
            <w:pPr>
              <w:spacing w:after="0"/>
              <w:rPr>
                <w:sz w:val="12"/>
                <w:szCs w:val="12"/>
                <w:color w:val="auto"/>
              </w:rPr>
            </w:pPr>
          </w:p>
        </w:tc>
        <w:tc>
          <w:tcPr>
            <w:tcW w:w="86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977,252</w:t>
            </w: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7,763</w:t>
            </w:r>
          </w:p>
        </w:tc>
        <w:tc>
          <w:tcPr>
            <w:tcW w:w="140" w:type="dxa"/>
            <w:vAlign w:val="bottom"/>
            <w:shd w:val="clear" w:color="auto" w:fill="D9D9D9"/>
          </w:tcPr>
          <w:p>
            <w:pPr>
              <w:spacing w:after="0"/>
              <w:rPr>
                <w:sz w:val="14"/>
                <w:szCs w:val="14"/>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980" w:type="dxa"/>
            <w:vAlign w:val="bottom"/>
            <w:shd w:val="clear" w:color="auto" w:fill="D9D9D9"/>
          </w:tcPr>
          <w:p>
            <w:pPr>
              <w:jc w:val="right"/>
              <w:ind w:right="167"/>
              <w:spacing w:after="0"/>
              <w:rPr>
                <w:sz w:val="20"/>
                <w:szCs w:val="20"/>
                <w:color w:val="auto"/>
              </w:rPr>
            </w:pPr>
            <w:r>
              <w:rPr>
                <w:rFonts w:ascii="Arial" w:cs="Arial" w:eastAsia="Arial" w:hAnsi="Arial"/>
                <w:sz w:val="15"/>
                <w:szCs w:val="15"/>
                <w:color w:val="auto"/>
              </w:rPr>
              <w:t>105.9200</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2/17/2031</w:t>
            </w: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700" w:type="dxa"/>
            <w:vAlign w:val="bottom"/>
            <w:shd w:val="clear" w:color="auto" w:fill="D9D9D9"/>
          </w:tcPr>
          <w:p>
            <w:pPr>
              <w:spacing w:after="0"/>
              <w:rPr>
                <w:sz w:val="14"/>
                <w:szCs w:val="14"/>
                <w:color w:val="auto"/>
              </w:rPr>
            </w:pPr>
          </w:p>
        </w:tc>
        <w:tc>
          <w:tcPr>
            <w:tcW w:w="1040" w:type="dxa"/>
            <w:vAlign w:val="bottom"/>
            <w:shd w:val="clear" w:color="auto" w:fill="D9D9D9"/>
          </w:tcPr>
          <w:p>
            <w:pPr>
              <w:spacing w:after="0"/>
              <w:rPr>
                <w:sz w:val="14"/>
                <w:szCs w:val="1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8,366</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220" w:type="dxa"/>
            <w:vAlign w:val="bottom"/>
            <w:shd w:val="clear" w:color="auto" w:fill="D9D9D9"/>
          </w:tcPr>
          <w:p>
            <w:pPr>
              <w:spacing w:after="0"/>
              <w:rPr>
                <w:sz w:val="14"/>
                <w:szCs w:val="14"/>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1,911,547</w:t>
            </w:r>
          </w:p>
        </w:tc>
        <w:tc>
          <w:tcPr>
            <w:tcW w:w="0" w:type="dxa"/>
            <w:vAlign w:val="bottom"/>
          </w:tcPr>
          <w:p>
            <w:pPr>
              <w:spacing w:after="0"/>
              <w:rPr>
                <w:sz w:val="1"/>
                <w:szCs w:val="1"/>
                <w:color w:val="auto"/>
              </w:rPr>
            </w:pPr>
          </w:p>
        </w:tc>
      </w:tr>
      <w:tr>
        <w:trPr>
          <w:trHeight w:val="196"/>
        </w:trPr>
        <w:tc>
          <w:tcPr>
            <w:tcW w:w="13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7,005</w:t>
            </w:r>
          </w:p>
        </w:tc>
        <w:tc>
          <w:tcPr>
            <w:tcW w:w="140" w:type="dxa"/>
            <w:vAlign w:val="bottom"/>
            <w:shd w:val="clear" w:color="auto" w:fill="D9D9D9"/>
          </w:tcPr>
          <w:p>
            <w:pPr>
              <w:spacing w:after="0"/>
              <w:rPr>
                <w:sz w:val="17"/>
                <w:szCs w:val="17"/>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20" w:type="dxa"/>
            <w:vAlign w:val="bottom"/>
            <w:vMerge w:val="restart"/>
            <w:shd w:val="clear" w:color="auto" w:fill="D9D9D9"/>
          </w:tcPr>
          <w:p>
            <w:pPr>
              <w:jc w:val="center"/>
              <w:ind w:right="23"/>
              <w:spacing w:after="0"/>
              <w:rPr>
                <w:sz w:val="20"/>
                <w:szCs w:val="20"/>
                <w:color w:val="auto"/>
              </w:rPr>
            </w:pPr>
            <w:r>
              <w:rPr>
                <w:rFonts w:ascii="Arial" w:cs="Arial" w:eastAsia="Arial" w:hAnsi="Arial"/>
                <w:sz w:val="11"/>
                <w:szCs w:val="11"/>
                <w:color w:val="auto"/>
              </w:rPr>
              <w:t>(2)</w:t>
            </w:r>
          </w:p>
        </w:tc>
        <w:tc>
          <w:tcPr>
            <w:tcW w:w="80" w:type="dxa"/>
            <w:vAlign w:val="bottom"/>
            <w:shd w:val="clear" w:color="auto" w:fill="D9D9D9"/>
          </w:tcPr>
          <w:p>
            <w:pPr>
              <w:spacing w:after="0"/>
              <w:rPr>
                <w:sz w:val="17"/>
                <w:szCs w:val="17"/>
                <w:color w:val="auto"/>
              </w:rPr>
            </w:pPr>
          </w:p>
        </w:tc>
        <w:tc>
          <w:tcPr>
            <w:tcW w:w="980" w:type="dxa"/>
            <w:vAlign w:val="bottom"/>
            <w:shd w:val="clear" w:color="auto" w:fill="D9D9D9"/>
          </w:tcPr>
          <w:p>
            <w:pPr>
              <w:jc w:val="right"/>
              <w:ind w:right="167"/>
              <w:spacing w:after="0"/>
              <w:rPr>
                <w:sz w:val="20"/>
                <w:szCs w:val="20"/>
                <w:color w:val="auto"/>
              </w:rPr>
            </w:pPr>
            <w:r>
              <w:rPr>
                <w:rFonts w:ascii="Arial" w:cs="Arial" w:eastAsia="Arial" w:hAnsi="Arial"/>
                <w:sz w:val="15"/>
                <w:szCs w:val="15"/>
                <w:color w:val="auto"/>
              </w:rPr>
              <w:t>144.5400</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2/16/2032</w:t>
            </w:r>
          </w:p>
        </w:tc>
        <w:tc>
          <w:tcPr>
            <w:tcW w:w="8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19,910</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22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4,549,236</w:t>
            </w:r>
          </w:p>
        </w:tc>
        <w:tc>
          <w:tcPr>
            <w:tcW w:w="0" w:type="dxa"/>
            <w:vAlign w:val="bottom"/>
          </w:tcPr>
          <w:p>
            <w:pPr>
              <w:spacing w:after="0"/>
              <w:rPr>
                <w:sz w:val="1"/>
                <w:szCs w:val="1"/>
                <w:color w:val="auto"/>
              </w:rPr>
            </w:pPr>
          </w:p>
        </w:tc>
      </w:tr>
      <w:tr>
        <w:trPr>
          <w:trHeight w:val="148"/>
        </w:trPr>
        <w:tc>
          <w:tcPr>
            <w:tcW w:w="13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80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5,402</w:t>
            </w:r>
          </w:p>
        </w:tc>
        <w:tc>
          <w:tcPr>
            <w:tcW w:w="140" w:type="dxa"/>
            <w:vAlign w:val="bottom"/>
            <w:shd w:val="clear" w:color="auto" w:fill="D9D9D9"/>
          </w:tcPr>
          <w:p>
            <w:pPr>
              <w:spacing w:after="0"/>
              <w:rPr>
                <w:sz w:val="12"/>
                <w:szCs w:val="12"/>
                <w:color w:val="auto"/>
              </w:rPr>
            </w:pPr>
          </w:p>
        </w:tc>
        <w:tc>
          <w:tcPr>
            <w:tcW w:w="90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2,700</w:t>
            </w:r>
          </w:p>
        </w:tc>
        <w:tc>
          <w:tcPr>
            <w:tcW w:w="220" w:type="dxa"/>
            <w:vAlign w:val="bottom"/>
            <w:vMerge w:val="continue"/>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980" w:type="dxa"/>
            <w:vAlign w:val="bottom"/>
            <w:shd w:val="clear" w:color="auto" w:fill="D9D9D9"/>
          </w:tcPr>
          <w:p>
            <w:pPr>
              <w:jc w:val="right"/>
              <w:ind w:right="167"/>
              <w:spacing w:after="0" w:line="149" w:lineRule="exact"/>
              <w:rPr>
                <w:sz w:val="20"/>
                <w:szCs w:val="20"/>
                <w:color w:val="auto"/>
              </w:rPr>
            </w:pPr>
            <w:r>
              <w:rPr>
                <w:rFonts w:ascii="Arial" w:cs="Arial" w:eastAsia="Arial" w:hAnsi="Arial"/>
                <w:sz w:val="15"/>
                <w:szCs w:val="15"/>
                <w:color w:val="auto"/>
              </w:rPr>
              <w:t>149.6200</w:t>
            </w:r>
          </w:p>
        </w:tc>
        <w:tc>
          <w:tcPr>
            <w:tcW w:w="74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2/15/2033</w:t>
            </w: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76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w:t>
            </w:r>
          </w:p>
        </w:tc>
        <w:tc>
          <w:tcPr>
            <w:tcW w:w="16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86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4,623</w:t>
            </w:r>
          </w:p>
        </w:tc>
        <w:tc>
          <w:tcPr>
            <w:tcW w:w="140" w:type="dxa"/>
            <w:vAlign w:val="bottom"/>
            <w:shd w:val="clear" w:color="auto" w:fill="D9D9D9"/>
          </w:tcPr>
          <w:p>
            <w:pPr>
              <w:spacing w:after="0"/>
              <w:rPr>
                <w:sz w:val="14"/>
                <w:szCs w:val="14"/>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9,245</w:t>
            </w:r>
          </w:p>
        </w:tc>
        <w:tc>
          <w:tcPr>
            <w:tcW w:w="220" w:type="dxa"/>
            <w:vAlign w:val="bottom"/>
            <w:shd w:val="clear" w:color="auto" w:fill="D9D9D9"/>
          </w:tcPr>
          <w:p>
            <w:pPr>
              <w:jc w:val="center"/>
              <w:ind w:right="23"/>
              <w:spacing w:after="0"/>
              <w:rPr>
                <w:sz w:val="20"/>
                <w:szCs w:val="20"/>
                <w:color w:val="auto"/>
              </w:rPr>
            </w:pPr>
            <w:r>
              <w:rPr>
                <w:rFonts w:ascii="Arial" w:cs="Arial" w:eastAsia="Arial" w:hAnsi="Arial"/>
                <w:sz w:val="11"/>
                <w:szCs w:val="11"/>
                <w:color w:val="auto"/>
              </w:rPr>
              <w:t>(2)</w:t>
            </w:r>
          </w:p>
        </w:tc>
        <w:tc>
          <w:tcPr>
            <w:tcW w:w="80" w:type="dxa"/>
            <w:vAlign w:val="bottom"/>
            <w:shd w:val="clear" w:color="auto" w:fill="D9D9D9"/>
          </w:tcPr>
          <w:p>
            <w:pPr>
              <w:spacing w:after="0"/>
              <w:rPr>
                <w:sz w:val="14"/>
                <w:szCs w:val="14"/>
                <w:color w:val="auto"/>
              </w:rPr>
            </w:pPr>
          </w:p>
        </w:tc>
        <w:tc>
          <w:tcPr>
            <w:tcW w:w="980" w:type="dxa"/>
            <w:vAlign w:val="bottom"/>
            <w:shd w:val="clear" w:color="auto" w:fill="D9D9D9"/>
          </w:tcPr>
          <w:p>
            <w:pPr>
              <w:jc w:val="right"/>
              <w:ind w:right="167"/>
              <w:spacing w:after="0"/>
              <w:rPr>
                <w:sz w:val="20"/>
                <w:szCs w:val="20"/>
                <w:color w:val="auto"/>
              </w:rPr>
            </w:pPr>
            <w:r>
              <w:rPr>
                <w:rFonts w:ascii="Arial" w:cs="Arial" w:eastAsia="Arial" w:hAnsi="Arial"/>
                <w:sz w:val="15"/>
                <w:szCs w:val="15"/>
                <w:color w:val="auto"/>
              </w:rPr>
              <w:t>175.2800</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2/14/2034</w:t>
            </w: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700" w:type="dxa"/>
            <w:vAlign w:val="bottom"/>
            <w:shd w:val="clear" w:color="auto" w:fill="D9D9D9"/>
          </w:tcPr>
          <w:p>
            <w:pPr>
              <w:spacing w:after="0"/>
              <w:rPr>
                <w:sz w:val="14"/>
                <w:szCs w:val="14"/>
                <w:color w:val="auto"/>
              </w:rPr>
            </w:pPr>
          </w:p>
        </w:tc>
        <w:tc>
          <w:tcPr>
            <w:tcW w:w="1040" w:type="dxa"/>
            <w:vAlign w:val="bottom"/>
            <w:shd w:val="clear" w:color="auto" w:fill="D9D9D9"/>
          </w:tcPr>
          <w:p>
            <w:pPr>
              <w:spacing w:after="0"/>
              <w:rPr>
                <w:sz w:val="14"/>
                <w:szCs w:val="1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3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9D9D9"/>
          </w:tcPr>
          <w:p>
            <w:pPr>
              <w:spacing w:after="0"/>
              <w:rPr>
                <w:sz w:val="17"/>
                <w:szCs w:val="17"/>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25,000</w:t>
            </w:r>
          </w:p>
        </w:tc>
        <w:tc>
          <w:tcPr>
            <w:tcW w:w="220" w:type="dxa"/>
            <w:vAlign w:val="bottom"/>
            <w:shd w:val="clear" w:color="auto" w:fill="D9D9D9"/>
          </w:tcPr>
          <w:p>
            <w:pPr>
              <w:jc w:val="center"/>
              <w:ind w:right="23"/>
              <w:spacing w:after="0"/>
              <w:rPr>
                <w:sz w:val="20"/>
                <w:szCs w:val="20"/>
                <w:color w:val="auto"/>
              </w:rPr>
            </w:pPr>
            <w:r>
              <w:rPr>
                <w:rFonts w:ascii="Arial" w:cs="Arial" w:eastAsia="Arial" w:hAnsi="Arial"/>
                <w:sz w:val="11"/>
                <w:szCs w:val="11"/>
                <w:color w:val="auto"/>
              </w:rPr>
              <w:t>(2)</w:t>
            </w:r>
          </w:p>
        </w:tc>
        <w:tc>
          <w:tcPr>
            <w:tcW w:w="80" w:type="dxa"/>
            <w:vAlign w:val="bottom"/>
            <w:shd w:val="clear" w:color="auto" w:fill="D9D9D9"/>
          </w:tcPr>
          <w:p>
            <w:pPr>
              <w:spacing w:after="0"/>
              <w:rPr>
                <w:sz w:val="17"/>
                <w:szCs w:val="17"/>
                <w:color w:val="auto"/>
              </w:rPr>
            </w:pPr>
          </w:p>
        </w:tc>
        <w:tc>
          <w:tcPr>
            <w:tcW w:w="980" w:type="dxa"/>
            <w:vAlign w:val="bottom"/>
            <w:shd w:val="clear" w:color="auto" w:fill="D9D9D9"/>
          </w:tcPr>
          <w:p>
            <w:pPr>
              <w:jc w:val="right"/>
              <w:ind w:right="167"/>
              <w:spacing w:after="0"/>
              <w:rPr>
                <w:sz w:val="20"/>
                <w:szCs w:val="20"/>
                <w:color w:val="auto"/>
              </w:rPr>
            </w:pPr>
            <w:r>
              <w:rPr>
                <w:rFonts w:ascii="Arial" w:cs="Arial" w:eastAsia="Arial" w:hAnsi="Arial"/>
                <w:sz w:val="15"/>
                <w:szCs w:val="15"/>
                <w:color w:val="auto"/>
              </w:rPr>
              <w:t>192.8600</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2/12/2035</w:t>
            </w:r>
          </w:p>
        </w:tc>
        <w:tc>
          <w:tcPr>
            <w:tcW w:w="8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8"/>
        </w:trPr>
        <w:tc>
          <w:tcPr>
            <w:tcW w:w="1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-5103495</wp:posOffset>
            </wp:positionV>
            <wp:extent cx="7620" cy="50336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20" cy="503364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(1) Except as noted, the stock options are fully vested.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-491490</wp:posOffset>
            </wp:positionV>
            <wp:extent cx="797560" cy="148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58" w:name="page59"/>
    <w:bookmarkEnd w:id="58"/>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289" w:right="580" w:hanging="289"/>
        <w:spacing w:after="0" w:line="283" w:lineRule="auto"/>
        <w:tabs>
          <w:tab w:leader="none" w:pos="289"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vesting dates of AbbVie unexercisable stock options and unvested performance share and performance-vested restricted stock unit awards outstanding at December 31, 2025 are as follows:</w:t>
      </w:r>
    </w:p>
    <w:p>
      <w:pPr>
        <w:spacing w:after="0" w:line="144" w:lineRule="exact"/>
        <w:rPr>
          <w:sz w:val="20"/>
          <w:szCs w:val="20"/>
          <w:color w:val="auto"/>
        </w:rPr>
      </w:pPr>
    </w:p>
    <w:tbl>
      <w:tblPr>
        <w:tblLayout w:type="fixed"/>
        <w:tblInd w:w="9" w:type="dxa"/>
        <w:tblCellMar>
          <w:top w:w="0" w:type="dxa"/>
          <w:left w:w="0" w:type="dxa"/>
          <w:bottom w:w="0" w:type="dxa"/>
          <w:right w:w="0" w:type="dxa"/>
        </w:tblCellMar>
      </w:tblPr>
      <w:tr>
        <w:trPr>
          <w:trHeight w:val="141"/>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071D49"/>
            </w:tcBorders>
          </w:tcPr>
          <w:p>
            <w:pPr>
              <w:spacing w:after="0"/>
              <w:rPr>
                <w:sz w:val="12"/>
                <w:szCs w:val="12"/>
                <w:color w:val="auto"/>
              </w:rPr>
            </w:pPr>
          </w:p>
        </w:tc>
        <w:tc>
          <w:tcPr>
            <w:tcW w:w="1080" w:type="dxa"/>
            <w:vAlign w:val="bottom"/>
            <w:tcBorders>
              <w:bottom w:val="single" w:sz="8" w:color="071D49"/>
            </w:tcBorders>
          </w:tcPr>
          <w:p>
            <w:pPr>
              <w:spacing w:after="0"/>
              <w:rPr>
                <w:sz w:val="12"/>
                <w:szCs w:val="12"/>
                <w:color w:val="auto"/>
              </w:rPr>
            </w:pPr>
          </w:p>
        </w:tc>
        <w:tc>
          <w:tcPr>
            <w:tcW w:w="480" w:type="dxa"/>
            <w:vAlign w:val="bottom"/>
            <w:tcBorders>
              <w:bottom w:val="single" w:sz="8" w:color="071D49"/>
            </w:tcBorders>
          </w:tcPr>
          <w:p>
            <w:pPr>
              <w:spacing w:after="0"/>
              <w:rPr>
                <w:sz w:val="12"/>
                <w:szCs w:val="12"/>
                <w:color w:val="auto"/>
              </w:rPr>
            </w:pPr>
          </w:p>
        </w:tc>
        <w:tc>
          <w:tcPr>
            <w:tcW w:w="1120" w:type="dxa"/>
            <w:vAlign w:val="bottom"/>
            <w:tcBorders>
              <w:bottom w:val="single" w:sz="8" w:color="071D49"/>
            </w:tcBorders>
            <w:gridSpan w:val="2"/>
          </w:tcPr>
          <w:p>
            <w:pPr>
              <w:jc w:val="right"/>
              <w:ind w:right="200"/>
              <w:spacing w:after="0"/>
              <w:rPr>
                <w:sz w:val="20"/>
                <w:szCs w:val="20"/>
                <w:color w:val="auto"/>
              </w:rPr>
            </w:pPr>
            <w:r>
              <w:rPr>
                <w:rFonts w:ascii="Arial" w:cs="Arial" w:eastAsia="Arial" w:hAnsi="Arial"/>
                <w:sz w:val="11"/>
                <w:szCs w:val="11"/>
                <w:b w:val="1"/>
                <w:bCs w:val="1"/>
                <w:color w:val="454968"/>
              </w:rPr>
              <w:t>Option Awards</w:t>
            </w:r>
          </w:p>
        </w:tc>
        <w:tc>
          <w:tcPr>
            <w:tcW w:w="620" w:type="dxa"/>
            <w:vAlign w:val="bottom"/>
            <w:tcBorders>
              <w:bottom w:val="single" w:sz="8" w:color="071D49"/>
            </w:tcBorders>
          </w:tcPr>
          <w:p>
            <w:pPr>
              <w:spacing w:after="0"/>
              <w:rPr>
                <w:sz w:val="12"/>
                <w:szCs w:val="12"/>
                <w:color w:val="auto"/>
              </w:rPr>
            </w:pPr>
          </w:p>
        </w:tc>
        <w:tc>
          <w:tcPr>
            <w:tcW w:w="860" w:type="dxa"/>
            <w:vAlign w:val="bottom"/>
            <w:tcBorders>
              <w:bottom w:val="single" w:sz="8" w:color="071D49"/>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071D49"/>
            </w:tcBorders>
          </w:tcPr>
          <w:p>
            <w:pPr>
              <w:spacing w:after="0"/>
              <w:rPr>
                <w:sz w:val="12"/>
                <w:szCs w:val="12"/>
                <w:color w:val="auto"/>
              </w:rPr>
            </w:pPr>
          </w:p>
        </w:tc>
        <w:tc>
          <w:tcPr>
            <w:tcW w:w="1920" w:type="dxa"/>
            <w:vAlign w:val="bottom"/>
            <w:tcBorders>
              <w:bottom w:val="single" w:sz="8" w:color="071D49"/>
            </w:tcBorders>
            <w:gridSpan w:val="2"/>
          </w:tcPr>
          <w:p>
            <w:pPr>
              <w:jc w:val="right"/>
              <w:ind w:right="432"/>
              <w:spacing w:after="0"/>
              <w:rPr>
                <w:sz w:val="20"/>
                <w:szCs w:val="20"/>
                <w:color w:val="auto"/>
              </w:rPr>
            </w:pPr>
            <w:r>
              <w:rPr>
                <w:rFonts w:ascii="Arial" w:cs="Arial" w:eastAsia="Arial" w:hAnsi="Arial"/>
                <w:sz w:val="11"/>
                <w:szCs w:val="11"/>
                <w:b w:val="1"/>
                <w:bCs w:val="1"/>
                <w:color w:val="454968"/>
              </w:rPr>
              <w:t>Stock or Unit Awards</w:t>
            </w: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jc w:val="right"/>
              <w:ind w:right="220"/>
              <w:spacing w:after="0" w:line="98" w:lineRule="exact"/>
              <w:rPr>
                <w:sz w:val="20"/>
                <w:szCs w:val="20"/>
                <w:color w:val="auto"/>
              </w:rPr>
            </w:pPr>
            <w:r>
              <w:rPr>
                <w:rFonts w:ascii="Arial" w:cs="Arial" w:eastAsia="Arial" w:hAnsi="Arial"/>
                <w:sz w:val="11"/>
                <w:szCs w:val="11"/>
                <w:b w:val="1"/>
                <w:bCs w:val="1"/>
                <w:color w:val="454968"/>
              </w:rPr>
              <w:t>Number of</w:t>
            </w:r>
          </w:p>
        </w:tc>
        <w:tc>
          <w:tcPr>
            <w:tcW w:w="1100" w:type="dxa"/>
            <w:vAlign w:val="bottom"/>
            <w:gridSpan w:val="2"/>
            <w:vMerge w:val="restart"/>
          </w:tcPr>
          <w:p>
            <w:pPr>
              <w:jc w:val="right"/>
              <w:ind w:right="219"/>
              <w:spacing w:after="0"/>
              <w:rPr>
                <w:sz w:val="20"/>
                <w:szCs w:val="20"/>
                <w:color w:val="auto"/>
              </w:rPr>
            </w:pPr>
            <w:r>
              <w:rPr>
                <w:rFonts w:ascii="Arial" w:cs="Arial" w:eastAsia="Arial" w:hAnsi="Arial"/>
                <w:sz w:val="11"/>
                <w:szCs w:val="11"/>
                <w:b w:val="1"/>
                <w:bCs w:val="1"/>
                <w:color w:val="454968"/>
              </w:rPr>
              <w:t>Number of</w:t>
            </w:r>
          </w:p>
        </w:tc>
        <w:tc>
          <w:tcPr>
            <w:tcW w:w="1120" w:type="dxa"/>
            <w:vAlign w:val="bottom"/>
            <w:gridSpan w:val="2"/>
            <w:vMerge w:val="restart"/>
          </w:tcPr>
          <w:p>
            <w:pPr>
              <w:jc w:val="right"/>
              <w:ind w:right="239"/>
              <w:spacing w:after="0"/>
              <w:rPr>
                <w:sz w:val="20"/>
                <w:szCs w:val="20"/>
                <w:color w:val="auto"/>
              </w:rPr>
            </w:pPr>
            <w:r>
              <w:rPr>
                <w:rFonts w:ascii="Arial" w:cs="Arial" w:eastAsia="Arial" w:hAnsi="Arial"/>
                <w:sz w:val="11"/>
                <w:szCs w:val="11"/>
                <w:b w:val="1"/>
                <w:bCs w:val="1"/>
                <w:color w:val="454968"/>
              </w:rPr>
              <w:t>Number of</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1"/>
                <w:szCs w:val="11"/>
                <w:b w:val="1"/>
                <w:bCs w:val="1"/>
                <w:color w:val="454968"/>
              </w:rPr>
              <w:t>Number of</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220"/>
              <w:spacing w:after="0" w:line="123" w:lineRule="exact"/>
              <w:rPr>
                <w:sz w:val="20"/>
                <w:szCs w:val="20"/>
                <w:color w:val="auto"/>
              </w:rPr>
            </w:pPr>
            <w:r>
              <w:rPr>
                <w:rFonts w:ascii="Arial" w:cs="Arial" w:eastAsia="Arial" w:hAnsi="Arial"/>
                <w:sz w:val="11"/>
                <w:szCs w:val="11"/>
                <w:b w:val="1"/>
                <w:bCs w:val="1"/>
                <w:color w:val="454968"/>
              </w:rPr>
              <w:t>Unexercised</w:t>
            </w:r>
          </w:p>
        </w:tc>
        <w:tc>
          <w:tcPr>
            <w:tcW w:w="11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454968"/>
              </w:rPr>
              <w:t>Number of</w:t>
            </w:r>
          </w:p>
        </w:tc>
        <w:tc>
          <w:tcPr>
            <w:tcW w:w="880" w:type="dxa"/>
            <w:vAlign w:val="bottom"/>
            <w:vMerge w:val="restart"/>
          </w:tcPr>
          <w:p>
            <w:pPr>
              <w:jc w:val="right"/>
              <w:spacing w:after="0"/>
              <w:rPr>
                <w:sz w:val="20"/>
                <w:szCs w:val="20"/>
                <w:color w:val="auto"/>
              </w:rPr>
            </w:pPr>
            <w:r>
              <w:rPr>
                <w:rFonts w:ascii="Arial" w:cs="Arial" w:eastAsia="Arial" w:hAnsi="Arial"/>
                <w:sz w:val="11"/>
                <w:szCs w:val="11"/>
                <w:b w:val="1"/>
                <w:bCs w:val="1"/>
                <w:color w:val="454968"/>
              </w:rPr>
              <w:t>Number of</w:t>
            </w:r>
          </w:p>
        </w:tc>
        <w:tc>
          <w:tcPr>
            <w:tcW w:w="0" w:type="dxa"/>
            <w:vAlign w:val="bottom"/>
          </w:tcPr>
          <w:p>
            <w:pPr>
              <w:spacing w:after="0"/>
              <w:rPr>
                <w:sz w:val="1"/>
                <w:szCs w:val="1"/>
                <w:color w:val="auto"/>
              </w:rPr>
            </w:pPr>
          </w:p>
        </w:tc>
      </w:tr>
      <w:tr>
        <w:trPr>
          <w:trHeight w:val="123"/>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220"/>
              <w:spacing w:after="0" w:line="123" w:lineRule="exact"/>
              <w:rPr>
                <w:sz w:val="20"/>
                <w:szCs w:val="20"/>
                <w:color w:val="auto"/>
              </w:rPr>
            </w:pPr>
            <w:r>
              <w:rPr>
                <w:rFonts w:ascii="Arial" w:cs="Arial" w:eastAsia="Arial" w:hAnsi="Arial"/>
                <w:sz w:val="11"/>
                <w:szCs w:val="11"/>
                <w:b w:val="1"/>
                <w:bCs w:val="1"/>
                <w:color w:val="454968"/>
              </w:rPr>
              <w:t>Shares</w:t>
            </w:r>
          </w:p>
        </w:tc>
        <w:tc>
          <w:tcPr>
            <w:tcW w:w="1100" w:type="dxa"/>
            <w:vAlign w:val="bottom"/>
            <w:gridSpan w:val="2"/>
          </w:tcPr>
          <w:p>
            <w:pPr>
              <w:jc w:val="right"/>
              <w:ind w:right="219"/>
              <w:spacing w:after="0" w:line="123" w:lineRule="exact"/>
              <w:rPr>
                <w:sz w:val="20"/>
                <w:szCs w:val="20"/>
                <w:color w:val="auto"/>
              </w:rPr>
            </w:pPr>
            <w:r>
              <w:rPr>
                <w:rFonts w:ascii="Arial" w:cs="Arial" w:eastAsia="Arial" w:hAnsi="Arial"/>
                <w:sz w:val="11"/>
                <w:szCs w:val="11"/>
                <w:b w:val="1"/>
                <w:bCs w:val="1"/>
                <w:color w:val="454968"/>
              </w:rPr>
              <w:t>Option</w:t>
            </w:r>
          </w:p>
        </w:tc>
        <w:tc>
          <w:tcPr>
            <w:tcW w:w="1120" w:type="dxa"/>
            <w:vAlign w:val="bottom"/>
            <w:gridSpan w:val="2"/>
          </w:tcPr>
          <w:p>
            <w:pPr>
              <w:jc w:val="right"/>
              <w:ind w:right="239"/>
              <w:spacing w:after="0" w:line="123" w:lineRule="exact"/>
              <w:rPr>
                <w:sz w:val="20"/>
                <w:szCs w:val="20"/>
                <w:color w:val="auto"/>
              </w:rPr>
            </w:pPr>
            <w:r>
              <w:rPr>
                <w:rFonts w:ascii="Arial" w:cs="Arial" w:eastAsia="Arial" w:hAnsi="Arial"/>
                <w:sz w:val="11"/>
                <w:szCs w:val="11"/>
                <w:b w:val="1"/>
                <w:bCs w:val="1"/>
                <w:color w:val="454968"/>
              </w:rPr>
              <w:t>Option</w:t>
            </w:r>
          </w:p>
        </w:tc>
        <w:tc>
          <w:tcPr>
            <w:tcW w:w="1000" w:type="dxa"/>
            <w:vAlign w:val="bottom"/>
            <w:gridSpan w:val="2"/>
          </w:tcPr>
          <w:p>
            <w:pPr>
              <w:jc w:val="right"/>
              <w:ind w:right="180"/>
              <w:spacing w:after="0" w:line="123" w:lineRule="exact"/>
              <w:rPr>
                <w:sz w:val="20"/>
                <w:szCs w:val="20"/>
                <w:color w:val="auto"/>
              </w:rPr>
            </w:pPr>
            <w:r>
              <w:rPr>
                <w:rFonts w:ascii="Arial" w:cs="Arial" w:eastAsia="Arial" w:hAnsi="Arial"/>
                <w:sz w:val="11"/>
                <w:szCs w:val="11"/>
                <w:b w:val="1"/>
                <w:bCs w:val="1"/>
                <w:color w:val="454968"/>
              </w:rPr>
              <w:t>Option</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220"/>
              <w:spacing w:after="0" w:line="123" w:lineRule="exact"/>
              <w:rPr>
                <w:sz w:val="20"/>
                <w:szCs w:val="20"/>
                <w:color w:val="auto"/>
              </w:rPr>
            </w:pPr>
            <w:r>
              <w:rPr>
                <w:rFonts w:ascii="Arial" w:cs="Arial" w:eastAsia="Arial" w:hAnsi="Arial"/>
                <w:sz w:val="11"/>
                <w:szCs w:val="11"/>
                <w:b w:val="1"/>
                <w:bCs w:val="1"/>
                <w:color w:val="454968"/>
              </w:rPr>
              <w:t>Remaining</w:t>
            </w:r>
          </w:p>
        </w:tc>
        <w:tc>
          <w:tcPr>
            <w:tcW w:w="1100" w:type="dxa"/>
            <w:vAlign w:val="bottom"/>
            <w:gridSpan w:val="2"/>
          </w:tcPr>
          <w:p>
            <w:pPr>
              <w:jc w:val="right"/>
              <w:ind w:right="219"/>
              <w:spacing w:after="0" w:line="123" w:lineRule="exact"/>
              <w:rPr>
                <w:sz w:val="20"/>
                <w:szCs w:val="20"/>
                <w:color w:val="auto"/>
              </w:rPr>
            </w:pPr>
            <w:r>
              <w:rPr>
                <w:rFonts w:ascii="Arial" w:cs="Arial" w:eastAsia="Arial" w:hAnsi="Arial"/>
                <w:sz w:val="11"/>
                <w:szCs w:val="11"/>
                <w:b w:val="1"/>
                <w:bCs w:val="1"/>
                <w:color w:val="454968"/>
              </w:rPr>
              <w:t>Shares</w:t>
            </w:r>
          </w:p>
        </w:tc>
        <w:tc>
          <w:tcPr>
            <w:tcW w:w="1120" w:type="dxa"/>
            <w:vAlign w:val="bottom"/>
            <w:gridSpan w:val="2"/>
          </w:tcPr>
          <w:p>
            <w:pPr>
              <w:jc w:val="right"/>
              <w:ind w:right="239"/>
              <w:spacing w:after="0" w:line="123" w:lineRule="exact"/>
              <w:rPr>
                <w:sz w:val="20"/>
                <w:szCs w:val="20"/>
                <w:color w:val="auto"/>
              </w:rPr>
            </w:pPr>
            <w:r>
              <w:rPr>
                <w:rFonts w:ascii="Arial" w:cs="Arial" w:eastAsia="Arial" w:hAnsi="Arial"/>
                <w:sz w:val="11"/>
                <w:szCs w:val="11"/>
                <w:b w:val="1"/>
                <w:bCs w:val="1"/>
                <w:color w:val="454968"/>
              </w:rPr>
              <w:t>Shares</w:t>
            </w:r>
          </w:p>
        </w:tc>
        <w:tc>
          <w:tcPr>
            <w:tcW w:w="1000" w:type="dxa"/>
            <w:vAlign w:val="bottom"/>
            <w:gridSpan w:val="2"/>
          </w:tcPr>
          <w:p>
            <w:pPr>
              <w:jc w:val="right"/>
              <w:ind w:right="180"/>
              <w:spacing w:after="0" w:line="123" w:lineRule="exact"/>
              <w:rPr>
                <w:sz w:val="20"/>
                <w:szCs w:val="20"/>
                <w:color w:val="auto"/>
              </w:rPr>
            </w:pPr>
            <w:r>
              <w:rPr>
                <w:rFonts w:ascii="Arial" w:cs="Arial" w:eastAsia="Arial" w:hAnsi="Arial"/>
                <w:sz w:val="11"/>
                <w:szCs w:val="11"/>
                <w:b w:val="1"/>
                <w:bCs w:val="1"/>
                <w:color w:val="454968"/>
              </w:rPr>
              <w:t>Shares</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219"/>
              <w:spacing w:after="0" w:line="123" w:lineRule="exact"/>
              <w:rPr>
                <w:sz w:val="20"/>
                <w:szCs w:val="20"/>
                <w:color w:val="auto"/>
              </w:rPr>
            </w:pPr>
            <w:r>
              <w:rPr>
                <w:rFonts w:ascii="Arial" w:cs="Arial" w:eastAsia="Arial" w:hAnsi="Arial"/>
                <w:sz w:val="11"/>
                <w:szCs w:val="11"/>
                <w:b w:val="1"/>
                <w:bCs w:val="1"/>
                <w:color w:val="454968"/>
              </w:rPr>
              <w:t>Shares of</w:t>
            </w:r>
          </w:p>
        </w:tc>
        <w:tc>
          <w:tcPr>
            <w:tcW w:w="88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Shares of</w:t>
            </w:r>
          </w:p>
        </w:tc>
        <w:tc>
          <w:tcPr>
            <w:tcW w:w="0" w:type="dxa"/>
            <w:vAlign w:val="bottom"/>
          </w:tcPr>
          <w:p>
            <w:pPr>
              <w:spacing w:after="0"/>
              <w:rPr>
                <w:sz w:val="1"/>
                <w:szCs w:val="1"/>
                <w:color w:val="auto"/>
              </w:rPr>
            </w:pPr>
          </w:p>
        </w:tc>
      </w:tr>
      <w:tr>
        <w:trPr>
          <w:trHeight w:val="123"/>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220"/>
              <w:spacing w:after="0" w:line="123" w:lineRule="exact"/>
              <w:rPr>
                <w:sz w:val="20"/>
                <w:szCs w:val="20"/>
                <w:color w:val="auto"/>
              </w:rPr>
            </w:pPr>
            <w:r>
              <w:rPr>
                <w:rFonts w:ascii="Arial" w:cs="Arial" w:eastAsia="Arial" w:hAnsi="Arial"/>
                <w:sz w:val="11"/>
                <w:szCs w:val="11"/>
                <w:b w:val="1"/>
                <w:bCs w:val="1"/>
                <w:color w:val="454968"/>
              </w:rPr>
              <w:t>from</w:t>
            </w:r>
          </w:p>
        </w:tc>
        <w:tc>
          <w:tcPr>
            <w:tcW w:w="1100" w:type="dxa"/>
            <w:vAlign w:val="bottom"/>
            <w:gridSpan w:val="2"/>
          </w:tcPr>
          <w:p>
            <w:pPr>
              <w:jc w:val="right"/>
              <w:ind w:right="219"/>
              <w:spacing w:after="0" w:line="123" w:lineRule="exact"/>
              <w:rPr>
                <w:sz w:val="20"/>
                <w:szCs w:val="20"/>
                <w:color w:val="auto"/>
              </w:rPr>
            </w:pPr>
            <w:r>
              <w:rPr>
                <w:rFonts w:ascii="Arial" w:cs="Arial" w:eastAsia="Arial" w:hAnsi="Arial"/>
                <w:sz w:val="11"/>
                <w:szCs w:val="11"/>
                <w:b w:val="1"/>
                <w:bCs w:val="1"/>
                <w:color w:val="454968"/>
              </w:rPr>
              <w:t>Vesting—</w:t>
            </w:r>
          </w:p>
        </w:tc>
        <w:tc>
          <w:tcPr>
            <w:tcW w:w="1120" w:type="dxa"/>
            <w:vAlign w:val="bottom"/>
            <w:gridSpan w:val="2"/>
          </w:tcPr>
          <w:p>
            <w:pPr>
              <w:jc w:val="right"/>
              <w:ind w:right="239"/>
              <w:spacing w:after="0" w:line="123" w:lineRule="exact"/>
              <w:rPr>
                <w:sz w:val="20"/>
                <w:szCs w:val="20"/>
                <w:color w:val="auto"/>
              </w:rPr>
            </w:pPr>
            <w:r>
              <w:rPr>
                <w:rFonts w:ascii="Arial" w:cs="Arial" w:eastAsia="Arial" w:hAnsi="Arial"/>
                <w:sz w:val="11"/>
                <w:szCs w:val="11"/>
                <w:b w:val="1"/>
                <w:bCs w:val="1"/>
                <w:color w:val="454968"/>
              </w:rPr>
              <w:t>Vesting—</w:t>
            </w:r>
          </w:p>
        </w:tc>
        <w:tc>
          <w:tcPr>
            <w:tcW w:w="1000" w:type="dxa"/>
            <w:vAlign w:val="bottom"/>
            <w:gridSpan w:val="2"/>
          </w:tcPr>
          <w:p>
            <w:pPr>
              <w:jc w:val="right"/>
              <w:ind w:right="180"/>
              <w:spacing w:after="0" w:line="123" w:lineRule="exact"/>
              <w:rPr>
                <w:sz w:val="20"/>
                <w:szCs w:val="20"/>
                <w:color w:val="auto"/>
              </w:rPr>
            </w:pPr>
            <w:r>
              <w:rPr>
                <w:rFonts w:ascii="Arial" w:cs="Arial" w:eastAsia="Arial" w:hAnsi="Arial"/>
                <w:sz w:val="11"/>
                <w:szCs w:val="11"/>
                <w:b w:val="1"/>
                <w:bCs w:val="1"/>
                <w:color w:val="454968"/>
              </w:rPr>
              <w:t>Vesting—</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219"/>
              <w:spacing w:after="0" w:line="123" w:lineRule="exact"/>
              <w:rPr>
                <w:sz w:val="20"/>
                <w:szCs w:val="20"/>
                <w:color w:val="auto"/>
              </w:rPr>
            </w:pPr>
            <w:r>
              <w:rPr>
                <w:rFonts w:ascii="Arial" w:cs="Arial" w:eastAsia="Arial" w:hAnsi="Arial"/>
                <w:sz w:val="11"/>
                <w:szCs w:val="11"/>
                <w:b w:val="1"/>
                <w:bCs w:val="1"/>
                <w:color w:val="454968"/>
              </w:rPr>
              <w:t>Restricted</w:t>
            </w:r>
          </w:p>
        </w:tc>
        <w:tc>
          <w:tcPr>
            <w:tcW w:w="88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Restricted</w:t>
            </w:r>
          </w:p>
        </w:tc>
        <w:tc>
          <w:tcPr>
            <w:tcW w:w="0" w:type="dxa"/>
            <w:vAlign w:val="bottom"/>
          </w:tcPr>
          <w:p>
            <w:pPr>
              <w:spacing w:after="0"/>
              <w:rPr>
                <w:sz w:val="1"/>
                <w:szCs w:val="1"/>
                <w:color w:val="auto"/>
              </w:rPr>
            </w:pPr>
          </w:p>
        </w:tc>
      </w:tr>
      <w:tr>
        <w:trPr>
          <w:trHeight w:val="123"/>
        </w:trPr>
        <w:tc>
          <w:tcPr>
            <w:tcW w:w="2440" w:type="dxa"/>
            <w:vAlign w:val="bottom"/>
            <w:gridSpan w:val="2"/>
            <w:vMerge w:val="restart"/>
          </w:tcPr>
          <w:p>
            <w:pPr>
              <w:spacing w:after="0"/>
              <w:rPr>
                <w:sz w:val="20"/>
                <w:szCs w:val="20"/>
                <w:color w:val="auto"/>
              </w:rPr>
            </w:pPr>
            <w:r>
              <w:rPr>
                <w:rFonts w:ascii="Arial" w:cs="Arial" w:eastAsia="Arial" w:hAnsi="Arial"/>
                <w:sz w:val="11"/>
                <w:szCs w:val="11"/>
                <w:b w:val="1"/>
                <w:bCs w:val="1"/>
                <w:color w:val="454968"/>
              </w:rPr>
              <w:t>Name</w:t>
            </w:r>
          </w:p>
        </w:tc>
        <w:tc>
          <w:tcPr>
            <w:tcW w:w="12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Arial" w:cs="Arial" w:eastAsia="Arial" w:hAnsi="Arial"/>
                <w:sz w:val="11"/>
                <w:szCs w:val="11"/>
                <w:b w:val="1"/>
                <w:bCs w:val="1"/>
                <w:color w:val="454968"/>
              </w:rPr>
              <w:t>​</w:t>
            </w:r>
          </w:p>
        </w:tc>
        <w:tc>
          <w:tcPr>
            <w:tcW w:w="1080" w:type="dxa"/>
            <w:vAlign w:val="bottom"/>
          </w:tcPr>
          <w:p>
            <w:pPr>
              <w:jc w:val="right"/>
              <w:ind w:right="220"/>
              <w:spacing w:after="0" w:line="123" w:lineRule="exact"/>
              <w:rPr>
                <w:sz w:val="20"/>
                <w:szCs w:val="20"/>
                <w:color w:val="auto"/>
              </w:rPr>
            </w:pPr>
            <w:r>
              <w:rPr>
                <w:rFonts w:ascii="Arial" w:cs="Arial" w:eastAsia="Arial" w:hAnsi="Arial"/>
                <w:sz w:val="11"/>
                <w:szCs w:val="11"/>
                <w:b w:val="1"/>
                <w:bCs w:val="1"/>
                <w:color w:val="454968"/>
              </w:rPr>
              <w:t>Original</w:t>
            </w:r>
          </w:p>
        </w:tc>
        <w:tc>
          <w:tcPr>
            <w:tcW w:w="480" w:type="dxa"/>
            <w:vAlign w:val="bottom"/>
          </w:tcPr>
          <w:p>
            <w:pPr>
              <w:spacing w:after="0"/>
              <w:rPr>
                <w:sz w:val="10"/>
                <w:szCs w:val="10"/>
                <w:color w:val="auto"/>
              </w:rPr>
            </w:pPr>
          </w:p>
        </w:tc>
        <w:tc>
          <w:tcPr>
            <w:tcW w:w="620" w:type="dxa"/>
            <w:vAlign w:val="bottom"/>
          </w:tcPr>
          <w:p>
            <w:pPr>
              <w:jc w:val="right"/>
              <w:ind w:right="219"/>
              <w:spacing w:after="0" w:line="123" w:lineRule="exact"/>
              <w:rPr>
                <w:sz w:val="20"/>
                <w:szCs w:val="20"/>
                <w:color w:val="auto"/>
              </w:rPr>
            </w:pPr>
            <w:r>
              <w:rPr>
                <w:rFonts w:ascii="Arial" w:cs="Arial" w:eastAsia="Arial" w:hAnsi="Arial"/>
                <w:sz w:val="11"/>
                <w:szCs w:val="11"/>
                <w:b w:val="1"/>
                <w:bCs w:val="1"/>
                <w:color w:val="454968"/>
              </w:rPr>
              <w:t>Date</w:t>
            </w:r>
          </w:p>
        </w:tc>
        <w:tc>
          <w:tcPr>
            <w:tcW w:w="500" w:type="dxa"/>
            <w:vAlign w:val="bottom"/>
          </w:tcPr>
          <w:p>
            <w:pPr>
              <w:spacing w:after="0"/>
              <w:rPr>
                <w:sz w:val="10"/>
                <w:szCs w:val="10"/>
                <w:color w:val="auto"/>
              </w:rPr>
            </w:pPr>
          </w:p>
        </w:tc>
        <w:tc>
          <w:tcPr>
            <w:tcW w:w="620" w:type="dxa"/>
            <w:vAlign w:val="bottom"/>
          </w:tcPr>
          <w:p>
            <w:pPr>
              <w:jc w:val="right"/>
              <w:ind w:right="239"/>
              <w:spacing w:after="0" w:line="123" w:lineRule="exact"/>
              <w:rPr>
                <w:sz w:val="20"/>
                <w:szCs w:val="20"/>
                <w:color w:val="auto"/>
              </w:rPr>
            </w:pPr>
            <w:r>
              <w:rPr>
                <w:rFonts w:ascii="Arial" w:cs="Arial" w:eastAsia="Arial" w:hAnsi="Arial"/>
                <w:sz w:val="11"/>
                <w:szCs w:val="11"/>
                <w:b w:val="1"/>
                <w:bCs w:val="1"/>
                <w:color w:val="454968"/>
              </w:rPr>
              <w:t>Date</w:t>
            </w:r>
          </w:p>
        </w:tc>
        <w:tc>
          <w:tcPr>
            <w:tcW w:w="1000" w:type="dxa"/>
            <w:vAlign w:val="bottom"/>
            <w:gridSpan w:val="2"/>
          </w:tcPr>
          <w:p>
            <w:pPr>
              <w:jc w:val="right"/>
              <w:ind w:right="180"/>
              <w:spacing w:after="0" w:line="123" w:lineRule="exact"/>
              <w:rPr>
                <w:sz w:val="20"/>
                <w:szCs w:val="20"/>
                <w:color w:val="auto"/>
              </w:rPr>
            </w:pPr>
            <w:r>
              <w:rPr>
                <w:rFonts w:ascii="Arial" w:cs="Arial" w:eastAsia="Arial" w:hAnsi="Arial"/>
                <w:sz w:val="11"/>
                <w:szCs w:val="11"/>
                <w:b w:val="1"/>
                <w:bCs w:val="1"/>
                <w:color w:val="454968"/>
              </w:rPr>
              <w:t>Date</w:t>
            </w:r>
          </w:p>
        </w:tc>
        <w:tc>
          <w:tcPr>
            <w:tcW w:w="320" w:type="dxa"/>
            <w:vAlign w:val="bottom"/>
            <w:gridSpan w:val="2"/>
            <w:vMerge w:val="restart"/>
          </w:tcPr>
          <w:p>
            <w:pPr>
              <w:spacing w:after="0"/>
              <w:rPr>
                <w:sz w:val="20"/>
                <w:szCs w:val="20"/>
                <w:color w:val="auto"/>
              </w:rPr>
            </w:pPr>
            <w:r>
              <w:rPr>
                <w:rFonts w:ascii="Arial" w:cs="Arial" w:eastAsia="Arial" w:hAnsi="Arial"/>
                <w:sz w:val="11"/>
                <w:szCs w:val="11"/>
                <w:b w:val="1"/>
                <w:bCs w:val="1"/>
                <w:color w:val="454968"/>
              </w:rPr>
              <w:t>​  ​</w:t>
            </w:r>
          </w:p>
        </w:tc>
        <w:tc>
          <w:tcPr>
            <w:tcW w:w="1040" w:type="dxa"/>
            <w:vAlign w:val="bottom"/>
          </w:tcPr>
          <w:p>
            <w:pPr>
              <w:jc w:val="right"/>
              <w:ind w:right="219"/>
              <w:spacing w:after="0" w:line="123" w:lineRule="exact"/>
              <w:rPr>
                <w:sz w:val="20"/>
                <w:szCs w:val="20"/>
                <w:color w:val="auto"/>
              </w:rPr>
            </w:pPr>
            <w:r>
              <w:rPr>
                <w:rFonts w:ascii="Arial" w:cs="Arial" w:eastAsia="Arial" w:hAnsi="Arial"/>
                <w:sz w:val="11"/>
                <w:szCs w:val="11"/>
                <w:b w:val="1"/>
                <w:bCs w:val="1"/>
                <w:color w:val="454968"/>
              </w:rPr>
              <w:t>Stock or</w:t>
            </w:r>
          </w:p>
        </w:tc>
        <w:tc>
          <w:tcPr>
            <w:tcW w:w="88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Stock or</w:t>
            </w:r>
          </w:p>
        </w:tc>
        <w:tc>
          <w:tcPr>
            <w:tcW w:w="0" w:type="dxa"/>
            <w:vAlign w:val="bottom"/>
          </w:tcPr>
          <w:p>
            <w:pPr>
              <w:spacing w:after="0"/>
              <w:rPr>
                <w:sz w:val="1"/>
                <w:szCs w:val="1"/>
                <w:color w:val="auto"/>
              </w:rPr>
            </w:pPr>
          </w:p>
        </w:tc>
      </w:tr>
      <w:tr>
        <w:trPr>
          <w:trHeight w:val="141"/>
        </w:trPr>
        <w:tc>
          <w:tcPr>
            <w:tcW w:w="2440" w:type="dxa"/>
            <w:vAlign w:val="bottom"/>
            <w:tcBorders>
              <w:bottom w:val="single" w:sz="8" w:color="071D49"/>
            </w:tcBorders>
            <w:gridSpan w:val="2"/>
            <w:vMerge w:val="continue"/>
          </w:tcPr>
          <w:p>
            <w:pPr>
              <w:spacing w:after="0"/>
              <w:rPr>
                <w:sz w:val="12"/>
                <w:szCs w:val="12"/>
                <w:color w:val="auto"/>
              </w:rPr>
            </w:pPr>
          </w:p>
        </w:tc>
        <w:tc>
          <w:tcPr>
            <w:tcW w:w="120" w:type="dxa"/>
            <w:vAlign w:val="bottom"/>
            <w:tcBorders>
              <w:bottom w:val="single" w:sz="8" w:color="071D49"/>
            </w:tcBorders>
          </w:tcPr>
          <w:p>
            <w:pPr>
              <w:spacing w:after="0"/>
              <w:rPr>
                <w:sz w:val="12"/>
                <w:szCs w:val="12"/>
                <w:color w:val="auto"/>
              </w:rPr>
            </w:pPr>
          </w:p>
        </w:tc>
        <w:tc>
          <w:tcPr>
            <w:tcW w:w="160" w:type="dxa"/>
            <w:vAlign w:val="bottom"/>
            <w:tcBorders>
              <w:bottom w:val="single" w:sz="8" w:color="071D49"/>
            </w:tcBorders>
            <w:vMerge w:val="continue"/>
          </w:tcPr>
          <w:p>
            <w:pPr>
              <w:spacing w:after="0"/>
              <w:rPr>
                <w:sz w:val="12"/>
                <w:szCs w:val="12"/>
                <w:color w:val="auto"/>
              </w:rPr>
            </w:pPr>
          </w:p>
        </w:tc>
        <w:tc>
          <w:tcPr>
            <w:tcW w:w="1080" w:type="dxa"/>
            <w:vAlign w:val="bottom"/>
            <w:tcBorders>
              <w:bottom w:val="single" w:sz="8" w:color="071D49"/>
            </w:tcBorders>
          </w:tcPr>
          <w:p>
            <w:pPr>
              <w:jc w:val="right"/>
              <w:ind w:right="40"/>
              <w:spacing w:after="0"/>
              <w:rPr>
                <w:sz w:val="20"/>
                <w:szCs w:val="20"/>
                <w:color w:val="auto"/>
              </w:rPr>
            </w:pPr>
            <w:r>
              <w:rPr>
                <w:rFonts w:ascii="Arial" w:cs="Arial" w:eastAsia="Arial" w:hAnsi="Arial"/>
                <w:sz w:val="11"/>
                <w:szCs w:val="11"/>
                <w:b w:val="1"/>
                <w:bCs w:val="1"/>
                <w:color w:val="454968"/>
              </w:rPr>
              <w:t>Grant   ​</w:t>
            </w:r>
          </w:p>
        </w:tc>
        <w:tc>
          <w:tcPr>
            <w:tcW w:w="1100" w:type="dxa"/>
            <w:vAlign w:val="bottom"/>
            <w:tcBorders>
              <w:bottom w:val="single" w:sz="8" w:color="071D49"/>
            </w:tcBorders>
            <w:gridSpan w:val="2"/>
          </w:tcPr>
          <w:p>
            <w:pPr>
              <w:jc w:val="right"/>
              <w:ind w:right="19"/>
              <w:spacing w:after="0"/>
              <w:rPr>
                <w:sz w:val="20"/>
                <w:szCs w:val="20"/>
                <w:color w:val="auto"/>
              </w:rPr>
            </w:pPr>
            <w:r>
              <w:rPr>
                <w:rFonts w:ascii="Arial" w:cs="Arial" w:eastAsia="Arial" w:hAnsi="Arial"/>
                <w:sz w:val="11"/>
                <w:szCs w:val="11"/>
                <w:b w:val="1"/>
                <w:bCs w:val="1"/>
                <w:color w:val="454968"/>
              </w:rPr>
              <w:t>Vested 2026   ​</w:t>
            </w:r>
          </w:p>
        </w:tc>
        <w:tc>
          <w:tcPr>
            <w:tcW w:w="1120" w:type="dxa"/>
            <w:vAlign w:val="bottom"/>
            <w:tcBorders>
              <w:bottom w:val="single" w:sz="8" w:color="071D49"/>
            </w:tcBorders>
            <w:gridSpan w:val="2"/>
          </w:tcPr>
          <w:p>
            <w:pPr>
              <w:jc w:val="right"/>
              <w:ind w:right="39"/>
              <w:spacing w:after="0"/>
              <w:rPr>
                <w:sz w:val="20"/>
                <w:szCs w:val="20"/>
                <w:color w:val="auto"/>
              </w:rPr>
            </w:pPr>
            <w:r>
              <w:rPr>
                <w:rFonts w:ascii="Arial" w:cs="Arial" w:eastAsia="Arial" w:hAnsi="Arial"/>
                <w:sz w:val="11"/>
                <w:szCs w:val="11"/>
                <w:b w:val="1"/>
                <w:bCs w:val="1"/>
                <w:color w:val="454968"/>
              </w:rPr>
              <w:t>Vested 2027   ​</w:t>
            </w:r>
          </w:p>
        </w:tc>
        <w:tc>
          <w:tcPr>
            <w:tcW w:w="1000" w:type="dxa"/>
            <w:vAlign w:val="bottom"/>
            <w:tcBorders>
              <w:bottom w:val="single" w:sz="8" w:color="071D49"/>
            </w:tcBorders>
            <w:gridSpan w:val="2"/>
          </w:tcPr>
          <w:p>
            <w:pPr>
              <w:jc w:val="right"/>
              <w:ind w:right="180"/>
              <w:spacing w:after="0"/>
              <w:rPr>
                <w:sz w:val="20"/>
                <w:szCs w:val="20"/>
                <w:color w:val="auto"/>
              </w:rPr>
            </w:pPr>
            <w:r>
              <w:rPr>
                <w:rFonts w:ascii="Arial" w:cs="Arial" w:eastAsia="Arial" w:hAnsi="Arial"/>
                <w:sz w:val="11"/>
                <w:szCs w:val="11"/>
                <w:b w:val="1"/>
                <w:bCs w:val="1"/>
                <w:color w:val="454968"/>
              </w:rPr>
              <w:t>Vested 2028</w:t>
            </w:r>
          </w:p>
        </w:tc>
        <w:tc>
          <w:tcPr>
            <w:tcW w:w="320" w:type="dxa"/>
            <w:vAlign w:val="bottom"/>
            <w:tcBorders>
              <w:bottom w:val="single" w:sz="8" w:color="071D49"/>
            </w:tcBorders>
            <w:gridSpan w:val="2"/>
            <w:vMerge w:val="continue"/>
          </w:tcPr>
          <w:p>
            <w:pPr>
              <w:spacing w:after="0"/>
              <w:rPr>
                <w:sz w:val="12"/>
                <w:szCs w:val="12"/>
                <w:color w:val="auto"/>
              </w:rPr>
            </w:pPr>
          </w:p>
        </w:tc>
        <w:tc>
          <w:tcPr>
            <w:tcW w:w="1040" w:type="dxa"/>
            <w:vAlign w:val="bottom"/>
            <w:tcBorders>
              <w:bottom w:val="single" w:sz="8" w:color="071D49"/>
            </w:tcBorders>
          </w:tcPr>
          <w:p>
            <w:pPr>
              <w:jc w:val="right"/>
              <w:ind w:right="39"/>
              <w:spacing w:after="0"/>
              <w:rPr>
                <w:sz w:val="20"/>
                <w:szCs w:val="20"/>
                <w:color w:val="auto"/>
              </w:rPr>
            </w:pPr>
            <w:r>
              <w:rPr>
                <w:rFonts w:ascii="Arial" w:cs="Arial" w:eastAsia="Arial" w:hAnsi="Arial"/>
                <w:sz w:val="11"/>
                <w:szCs w:val="11"/>
                <w:b w:val="1"/>
                <w:bCs w:val="1"/>
                <w:color w:val="454968"/>
              </w:rPr>
              <w:t>Units   ​</w:t>
            </w:r>
          </w:p>
        </w:tc>
        <w:tc>
          <w:tcPr>
            <w:tcW w:w="88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454968"/>
              </w:rPr>
              <w:t>Units Vesting</w:t>
            </w:r>
          </w:p>
        </w:tc>
        <w:tc>
          <w:tcPr>
            <w:tcW w:w="0" w:type="dxa"/>
            <w:vAlign w:val="bottom"/>
          </w:tcPr>
          <w:p>
            <w:pPr>
              <w:spacing w:after="0"/>
              <w:rPr>
                <w:sz w:val="1"/>
                <w:szCs w:val="1"/>
                <w:color w:val="auto"/>
              </w:rPr>
            </w:pPr>
          </w:p>
        </w:tc>
      </w:tr>
      <w:tr>
        <w:trPr>
          <w:trHeight w:val="110"/>
        </w:trPr>
        <w:tc>
          <w:tcPr>
            <w:tcW w:w="2440" w:type="dxa"/>
            <w:vAlign w:val="bottom"/>
            <w:gridSpan w:val="2"/>
            <w:shd w:val="clear" w:color="auto" w:fill="D9D9D9"/>
          </w:tcPr>
          <w:p>
            <w:pPr>
              <w:spacing w:after="0" w:line="110" w:lineRule="exact"/>
              <w:rPr>
                <w:sz w:val="20"/>
                <w:szCs w:val="20"/>
                <w:color w:val="auto"/>
              </w:rPr>
            </w:pPr>
            <w:r>
              <w:rPr>
                <w:rFonts w:ascii="Arial" w:cs="Arial" w:eastAsia="Arial" w:hAnsi="Arial"/>
                <w:sz w:val="12"/>
                <w:szCs w:val="12"/>
                <w:color w:val="auto"/>
              </w:rPr>
              <w:t>R. Michael</w:t>
            </w:r>
          </w:p>
        </w:tc>
        <w:tc>
          <w:tcPr>
            <w:tcW w:w="120" w:type="dxa"/>
            <w:vAlign w:val="bottom"/>
            <w:shd w:val="clear" w:color="auto" w:fill="D9D9D9"/>
          </w:tcPr>
          <w:p>
            <w:pPr>
              <w:spacing w:after="0"/>
              <w:rPr>
                <w:sz w:val="9"/>
                <w:szCs w:val="9"/>
                <w:color w:val="auto"/>
              </w:rPr>
            </w:pPr>
          </w:p>
        </w:tc>
        <w:tc>
          <w:tcPr>
            <w:tcW w:w="160" w:type="dxa"/>
            <w:vAlign w:val="bottom"/>
            <w:shd w:val="clear" w:color="auto" w:fill="D9D9D9"/>
          </w:tcPr>
          <w:p>
            <w:pPr>
              <w:spacing w:after="0"/>
              <w:rPr>
                <w:sz w:val="9"/>
                <w:szCs w:val="9"/>
                <w:color w:val="auto"/>
              </w:rPr>
            </w:pPr>
          </w:p>
        </w:tc>
        <w:tc>
          <w:tcPr>
            <w:tcW w:w="1080" w:type="dxa"/>
            <w:vAlign w:val="bottom"/>
            <w:shd w:val="clear" w:color="auto" w:fill="D9D9D9"/>
          </w:tcPr>
          <w:p>
            <w:pPr>
              <w:jc w:val="right"/>
              <w:ind w:right="220"/>
              <w:spacing w:after="0" w:line="110" w:lineRule="exact"/>
              <w:rPr>
                <w:sz w:val="20"/>
                <w:szCs w:val="20"/>
                <w:color w:val="auto"/>
              </w:rPr>
            </w:pPr>
            <w:r>
              <w:rPr>
                <w:rFonts w:ascii="Arial" w:cs="Arial" w:eastAsia="Arial" w:hAnsi="Arial"/>
                <w:sz w:val="12"/>
                <w:szCs w:val="12"/>
                <w:color w:val="auto"/>
              </w:rPr>
              <w:t>15,192</w:t>
            </w:r>
          </w:p>
        </w:tc>
        <w:tc>
          <w:tcPr>
            <w:tcW w:w="480" w:type="dxa"/>
            <w:vAlign w:val="bottom"/>
            <w:shd w:val="clear" w:color="auto" w:fill="D9D9D9"/>
          </w:tcPr>
          <w:p>
            <w:pPr>
              <w:jc w:val="right"/>
              <w:spacing w:after="0" w:line="110" w:lineRule="exact"/>
              <w:rPr>
                <w:sz w:val="20"/>
                <w:szCs w:val="20"/>
                <w:color w:val="auto"/>
              </w:rPr>
            </w:pPr>
            <w:r>
              <w:rPr>
                <w:rFonts w:ascii="Arial" w:cs="Arial" w:eastAsia="Arial" w:hAnsi="Arial"/>
                <w:sz w:val="12"/>
                <w:szCs w:val="12"/>
                <w:color w:val="auto"/>
              </w:rPr>
              <w:t>15,192</w:t>
            </w:r>
          </w:p>
        </w:tc>
        <w:tc>
          <w:tcPr>
            <w:tcW w:w="620" w:type="dxa"/>
            <w:vAlign w:val="bottom"/>
            <w:shd w:val="clear" w:color="auto" w:fill="D9D9D9"/>
          </w:tcPr>
          <w:p>
            <w:pPr>
              <w:jc w:val="right"/>
              <w:ind w:right="219"/>
              <w:spacing w:after="0" w:line="110" w:lineRule="exact"/>
              <w:rPr>
                <w:sz w:val="20"/>
                <w:szCs w:val="20"/>
                <w:color w:val="auto"/>
              </w:rPr>
            </w:pPr>
            <w:r>
              <w:rPr>
                <w:rFonts w:ascii="Arial" w:cs="Arial" w:eastAsia="Arial" w:hAnsi="Arial"/>
                <w:sz w:val="12"/>
                <w:szCs w:val="12"/>
                <w:color w:val="auto"/>
              </w:rPr>
              <w:t>- 2/16</w:t>
            </w:r>
          </w:p>
        </w:tc>
        <w:tc>
          <w:tcPr>
            <w:tcW w:w="500" w:type="dxa"/>
            <w:vAlign w:val="bottom"/>
            <w:shd w:val="clear" w:color="auto" w:fill="D9D9D9"/>
          </w:tcPr>
          <w:p>
            <w:pPr>
              <w:spacing w:after="0"/>
              <w:rPr>
                <w:sz w:val="9"/>
                <w:szCs w:val="9"/>
                <w:color w:val="auto"/>
              </w:rPr>
            </w:pPr>
          </w:p>
        </w:tc>
        <w:tc>
          <w:tcPr>
            <w:tcW w:w="620" w:type="dxa"/>
            <w:vAlign w:val="bottom"/>
            <w:shd w:val="clear" w:color="auto" w:fill="D9D9D9"/>
          </w:tcPr>
          <w:p>
            <w:pPr>
              <w:spacing w:after="0"/>
              <w:rPr>
                <w:sz w:val="9"/>
                <w:szCs w:val="9"/>
                <w:color w:val="auto"/>
              </w:rPr>
            </w:pPr>
          </w:p>
        </w:tc>
        <w:tc>
          <w:tcPr>
            <w:tcW w:w="86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1040" w:type="dxa"/>
            <w:vAlign w:val="bottom"/>
            <w:shd w:val="clear" w:color="auto" w:fill="D9D9D9"/>
          </w:tcPr>
          <w:p>
            <w:pPr>
              <w:jc w:val="right"/>
              <w:ind w:right="219"/>
              <w:spacing w:after="0" w:line="110" w:lineRule="exact"/>
              <w:rPr>
                <w:sz w:val="20"/>
                <w:szCs w:val="20"/>
                <w:color w:val="auto"/>
              </w:rPr>
            </w:pPr>
            <w:r>
              <w:rPr>
                <w:rFonts w:ascii="Arial" w:cs="Arial" w:eastAsia="Arial" w:hAnsi="Arial"/>
                <w:sz w:val="12"/>
                <w:szCs w:val="12"/>
                <w:color w:val="auto"/>
              </w:rPr>
              <w:t>18,045</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35"/>
        </w:trPr>
        <w:tc>
          <w:tcPr>
            <w:tcW w:w="230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080" w:type="dxa"/>
            <w:vAlign w:val="bottom"/>
            <w:shd w:val="clear" w:color="auto" w:fill="D9D9D9"/>
          </w:tcPr>
          <w:p>
            <w:pPr>
              <w:jc w:val="right"/>
              <w:ind w:right="220"/>
              <w:spacing w:after="0" w:line="136" w:lineRule="exact"/>
              <w:rPr>
                <w:sz w:val="20"/>
                <w:szCs w:val="20"/>
                <w:color w:val="auto"/>
              </w:rPr>
            </w:pPr>
            <w:r>
              <w:rPr>
                <w:rFonts w:ascii="Arial" w:cs="Arial" w:eastAsia="Arial" w:hAnsi="Arial"/>
                <w:sz w:val="12"/>
                <w:szCs w:val="12"/>
                <w:color w:val="auto"/>
              </w:rPr>
              <w:t>39,925</w:t>
            </w:r>
          </w:p>
        </w:tc>
        <w:tc>
          <w:tcPr>
            <w:tcW w:w="480" w:type="dxa"/>
            <w:vAlign w:val="bottom"/>
            <w:shd w:val="clear" w:color="auto" w:fill="D9D9D9"/>
          </w:tcPr>
          <w:p>
            <w:pPr>
              <w:jc w:val="right"/>
              <w:spacing w:after="0" w:line="136" w:lineRule="exact"/>
              <w:rPr>
                <w:sz w:val="20"/>
                <w:szCs w:val="20"/>
                <w:color w:val="auto"/>
              </w:rPr>
            </w:pPr>
            <w:r>
              <w:rPr>
                <w:rFonts w:ascii="Arial" w:cs="Arial" w:eastAsia="Arial" w:hAnsi="Arial"/>
                <w:sz w:val="12"/>
                <w:szCs w:val="12"/>
                <w:color w:val="auto"/>
              </w:rPr>
              <w:t>19,963</w:t>
            </w:r>
          </w:p>
        </w:tc>
        <w:tc>
          <w:tcPr>
            <w:tcW w:w="62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- 2/15</w:t>
            </w:r>
          </w:p>
        </w:tc>
        <w:tc>
          <w:tcPr>
            <w:tcW w:w="500" w:type="dxa"/>
            <w:vAlign w:val="bottom"/>
            <w:shd w:val="clear" w:color="auto" w:fill="D9D9D9"/>
          </w:tcPr>
          <w:p>
            <w:pPr>
              <w:jc w:val="right"/>
              <w:spacing w:after="0" w:line="136" w:lineRule="exact"/>
              <w:rPr>
                <w:sz w:val="20"/>
                <w:szCs w:val="20"/>
                <w:color w:val="auto"/>
              </w:rPr>
            </w:pPr>
            <w:r>
              <w:rPr>
                <w:rFonts w:ascii="Arial" w:cs="Arial" w:eastAsia="Arial" w:hAnsi="Arial"/>
                <w:sz w:val="12"/>
                <w:szCs w:val="12"/>
                <w:color w:val="auto"/>
              </w:rPr>
              <w:t>19,962</w:t>
            </w:r>
          </w:p>
        </w:tc>
        <w:tc>
          <w:tcPr>
            <w:tcW w:w="620" w:type="dxa"/>
            <w:vAlign w:val="bottom"/>
            <w:shd w:val="clear" w:color="auto" w:fill="D9D9D9"/>
          </w:tcPr>
          <w:p>
            <w:pPr>
              <w:jc w:val="right"/>
              <w:ind w:right="239"/>
              <w:spacing w:after="0" w:line="136" w:lineRule="exact"/>
              <w:rPr>
                <w:sz w:val="20"/>
                <w:szCs w:val="20"/>
                <w:color w:val="auto"/>
              </w:rPr>
            </w:pPr>
            <w:r>
              <w:rPr>
                <w:rFonts w:ascii="Arial" w:cs="Arial" w:eastAsia="Arial" w:hAnsi="Arial"/>
                <w:sz w:val="12"/>
                <w:szCs w:val="12"/>
                <w:color w:val="auto"/>
                <w:w w:val="97"/>
              </w:rPr>
              <w:t>- 2/15</w:t>
            </w:r>
          </w:p>
        </w:tc>
        <w:tc>
          <w:tcPr>
            <w:tcW w:w="86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6,015</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135"/>
        </w:trPr>
        <w:tc>
          <w:tcPr>
            <w:tcW w:w="230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080" w:type="dxa"/>
            <w:vAlign w:val="bottom"/>
            <w:shd w:val="clear" w:color="auto" w:fill="D9D9D9"/>
          </w:tcPr>
          <w:p>
            <w:pPr>
              <w:jc w:val="right"/>
              <w:ind w:right="220"/>
              <w:spacing w:after="0" w:line="136" w:lineRule="exact"/>
              <w:rPr>
                <w:sz w:val="20"/>
                <w:szCs w:val="20"/>
                <w:color w:val="auto"/>
              </w:rPr>
            </w:pPr>
            <w:r>
              <w:rPr>
                <w:rFonts w:ascii="Arial" w:cs="Arial" w:eastAsia="Arial" w:hAnsi="Arial"/>
                <w:sz w:val="12"/>
                <w:szCs w:val="12"/>
                <w:color w:val="auto"/>
              </w:rPr>
              <w:t>83,333</w:t>
            </w:r>
          </w:p>
        </w:tc>
        <w:tc>
          <w:tcPr>
            <w:tcW w:w="480" w:type="dxa"/>
            <w:vAlign w:val="bottom"/>
            <w:shd w:val="clear" w:color="auto" w:fill="D9D9D9"/>
          </w:tcPr>
          <w:p>
            <w:pPr>
              <w:jc w:val="right"/>
              <w:spacing w:after="0" w:line="136" w:lineRule="exact"/>
              <w:rPr>
                <w:sz w:val="20"/>
                <w:szCs w:val="20"/>
                <w:color w:val="auto"/>
              </w:rPr>
            </w:pPr>
            <w:r>
              <w:rPr>
                <w:rFonts w:ascii="Arial" w:cs="Arial" w:eastAsia="Arial" w:hAnsi="Arial"/>
                <w:sz w:val="12"/>
                <w:szCs w:val="12"/>
                <w:color w:val="auto"/>
              </w:rPr>
              <w:t>27,778</w:t>
            </w:r>
          </w:p>
        </w:tc>
        <w:tc>
          <w:tcPr>
            <w:tcW w:w="62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- 2/13</w:t>
            </w:r>
          </w:p>
        </w:tc>
        <w:tc>
          <w:tcPr>
            <w:tcW w:w="500" w:type="dxa"/>
            <w:vAlign w:val="bottom"/>
            <w:shd w:val="clear" w:color="auto" w:fill="D9D9D9"/>
          </w:tcPr>
          <w:p>
            <w:pPr>
              <w:jc w:val="right"/>
              <w:spacing w:after="0" w:line="136" w:lineRule="exact"/>
              <w:rPr>
                <w:sz w:val="20"/>
                <w:szCs w:val="20"/>
                <w:color w:val="auto"/>
              </w:rPr>
            </w:pPr>
            <w:r>
              <w:rPr>
                <w:rFonts w:ascii="Arial" w:cs="Arial" w:eastAsia="Arial" w:hAnsi="Arial"/>
                <w:sz w:val="12"/>
                <w:szCs w:val="12"/>
                <w:color w:val="auto"/>
              </w:rPr>
              <w:t>27,778</w:t>
            </w:r>
          </w:p>
        </w:tc>
        <w:tc>
          <w:tcPr>
            <w:tcW w:w="620" w:type="dxa"/>
            <w:vAlign w:val="bottom"/>
            <w:shd w:val="clear" w:color="auto" w:fill="D9D9D9"/>
          </w:tcPr>
          <w:p>
            <w:pPr>
              <w:jc w:val="right"/>
              <w:ind w:right="239"/>
              <w:spacing w:after="0" w:line="136" w:lineRule="exact"/>
              <w:rPr>
                <w:sz w:val="20"/>
                <w:szCs w:val="20"/>
                <w:color w:val="auto"/>
              </w:rPr>
            </w:pPr>
            <w:r>
              <w:rPr>
                <w:rFonts w:ascii="Arial" w:cs="Arial" w:eastAsia="Arial" w:hAnsi="Arial"/>
                <w:sz w:val="12"/>
                <w:szCs w:val="12"/>
                <w:color w:val="auto"/>
                <w:w w:val="97"/>
              </w:rPr>
              <w:t>- 2/13</w:t>
            </w:r>
          </w:p>
        </w:tc>
        <w:tc>
          <w:tcPr>
            <w:tcW w:w="860" w:type="dxa"/>
            <w:vAlign w:val="bottom"/>
            <w:shd w:val="clear" w:color="auto" w:fill="D9D9D9"/>
          </w:tcPr>
          <w:p>
            <w:pPr>
              <w:jc w:val="right"/>
              <w:spacing w:after="0" w:line="136" w:lineRule="exact"/>
              <w:rPr>
                <w:sz w:val="20"/>
                <w:szCs w:val="20"/>
                <w:color w:val="auto"/>
              </w:rPr>
            </w:pPr>
            <w:r>
              <w:rPr>
                <w:rFonts w:ascii="Arial" w:cs="Arial" w:eastAsia="Arial" w:hAnsi="Arial"/>
                <w:sz w:val="12"/>
                <w:szCs w:val="12"/>
                <w:color w:val="auto"/>
              </w:rPr>
              <w:t>27,777 - 2/13</w:t>
            </w: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21,679</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(c)</w:t>
            </w:r>
          </w:p>
        </w:tc>
        <w:tc>
          <w:tcPr>
            <w:tcW w:w="0" w:type="dxa"/>
            <w:vAlign w:val="bottom"/>
          </w:tcPr>
          <w:p>
            <w:pPr>
              <w:spacing w:after="0"/>
              <w:rPr>
                <w:sz w:val="1"/>
                <w:szCs w:val="1"/>
                <w:color w:val="auto"/>
              </w:rPr>
            </w:pPr>
          </w:p>
        </w:tc>
      </w:tr>
      <w:tr>
        <w:trPr>
          <w:trHeight w:val="135"/>
        </w:trPr>
        <w:tc>
          <w:tcPr>
            <w:tcW w:w="230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50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86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14,452</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(d)</w:t>
            </w:r>
          </w:p>
        </w:tc>
        <w:tc>
          <w:tcPr>
            <w:tcW w:w="0" w:type="dxa"/>
            <w:vAlign w:val="bottom"/>
          </w:tcPr>
          <w:p>
            <w:pPr>
              <w:spacing w:after="0"/>
              <w:rPr>
                <w:sz w:val="1"/>
                <w:szCs w:val="1"/>
                <w:color w:val="auto"/>
              </w:rPr>
            </w:pPr>
          </w:p>
        </w:tc>
      </w:tr>
      <w:tr>
        <w:trPr>
          <w:trHeight w:val="135"/>
        </w:trPr>
        <w:tc>
          <w:tcPr>
            <w:tcW w:w="230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50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86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33,184</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(e)</w:t>
            </w:r>
          </w:p>
        </w:tc>
        <w:tc>
          <w:tcPr>
            <w:tcW w:w="0" w:type="dxa"/>
            <w:vAlign w:val="bottom"/>
          </w:tcPr>
          <w:p>
            <w:pPr>
              <w:spacing w:after="0"/>
              <w:rPr>
                <w:sz w:val="1"/>
                <w:szCs w:val="1"/>
                <w:color w:val="auto"/>
              </w:rPr>
            </w:pPr>
          </w:p>
        </w:tc>
      </w:tr>
      <w:tr>
        <w:trPr>
          <w:trHeight w:val="153"/>
        </w:trPr>
        <w:tc>
          <w:tcPr>
            <w:tcW w:w="230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080" w:type="dxa"/>
            <w:vAlign w:val="bottom"/>
            <w:shd w:val="clear" w:color="auto" w:fill="D9D9D9"/>
          </w:tcPr>
          <w:p>
            <w:pPr>
              <w:spacing w:after="0"/>
              <w:rPr>
                <w:sz w:val="13"/>
                <w:szCs w:val="13"/>
                <w:color w:val="auto"/>
              </w:rPr>
            </w:pPr>
          </w:p>
        </w:tc>
        <w:tc>
          <w:tcPr>
            <w:tcW w:w="480" w:type="dxa"/>
            <w:vAlign w:val="bottom"/>
            <w:shd w:val="clear" w:color="auto" w:fill="D9D9D9"/>
          </w:tcPr>
          <w:p>
            <w:pPr>
              <w:spacing w:after="0"/>
              <w:rPr>
                <w:sz w:val="13"/>
                <w:szCs w:val="13"/>
                <w:color w:val="auto"/>
              </w:rPr>
            </w:pPr>
          </w:p>
        </w:tc>
        <w:tc>
          <w:tcPr>
            <w:tcW w:w="620" w:type="dxa"/>
            <w:vAlign w:val="bottom"/>
            <w:shd w:val="clear" w:color="auto" w:fill="D9D9D9"/>
          </w:tcPr>
          <w:p>
            <w:pPr>
              <w:spacing w:after="0"/>
              <w:rPr>
                <w:sz w:val="13"/>
                <w:szCs w:val="13"/>
                <w:color w:val="auto"/>
              </w:rPr>
            </w:pPr>
          </w:p>
        </w:tc>
        <w:tc>
          <w:tcPr>
            <w:tcW w:w="500" w:type="dxa"/>
            <w:vAlign w:val="bottom"/>
            <w:shd w:val="clear" w:color="auto" w:fill="D9D9D9"/>
          </w:tcPr>
          <w:p>
            <w:pPr>
              <w:spacing w:after="0"/>
              <w:rPr>
                <w:sz w:val="13"/>
                <w:szCs w:val="13"/>
                <w:color w:val="auto"/>
              </w:rPr>
            </w:pPr>
          </w:p>
        </w:tc>
        <w:tc>
          <w:tcPr>
            <w:tcW w:w="620" w:type="dxa"/>
            <w:vAlign w:val="bottom"/>
            <w:shd w:val="clear" w:color="auto" w:fill="D9D9D9"/>
          </w:tcPr>
          <w:p>
            <w:pPr>
              <w:spacing w:after="0"/>
              <w:rPr>
                <w:sz w:val="13"/>
                <w:szCs w:val="13"/>
                <w:color w:val="auto"/>
              </w:rPr>
            </w:pPr>
          </w:p>
        </w:tc>
        <w:tc>
          <w:tcPr>
            <w:tcW w:w="86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1040" w:type="dxa"/>
            <w:vAlign w:val="bottom"/>
            <w:shd w:val="clear" w:color="auto" w:fill="D9D9D9"/>
          </w:tcPr>
          <w:p>
            <w:pPr>
              <w:jc w:val="right"/>
              <w:ind w:right="219"/>
              <w:spacing w:after="0"/>
              <w:rPr>
                <w:sz w:val="20"/>
                <w:szCs w:val="20"/>
                <w:color w:val="auto"/>
              </w:rPr>
            </w:pPr>
            <w:r>
              <w:rPr>
                <w:rFonts w:ascii="Arial" w:cs="Arial" w:eastAsia="Arial" w:hAnsi="Arial"/>
                <w:sz w:val="12"/>
                <w:szCs w:val="12"/>
                <w:color w:val="auto"/>
              </w:rPr>
              <w:t>33,184</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(f)</w:t>
            </w:r>
          </w:p>
        </w:tc>
        <w:tc>
          <w:tcPr>
            <w:tcW w:w="0" w:type="dxa"/>
            <w:vAlign w:val="bottom"/>
          </w:tcPr>
          <w:p>
            <w:pPr>
              <w:spacing w:after="0"/>
              <w:rPr>
                <w:sz w:val="1"/>
                <w:szCs w:val="1"/>
                <w:color w:val="auto"/>
              </w:rPr>
            </w:pPr>
          </w:p>
        </w:tc>
      </w:tr>
      <w:tr>
        <w:trPr>
          <w:trHeight w:val="118"/>
        </w:trPr>
        <w:tc>
          <w:tcPr>
            <w:tcW w:w="2440" w:type="dxa"/>
            <w:vAlign w:val="bottom"/>
            <w:gridSpan w:val="2"/>
          </w:tcPr>
          <w:p>
            <w:pPr>
              <w:spacing w:after="0" w:line="118" w:lineRule="exact"/>
              <w:rPr>
                <w:sz w:val="20"/>
                <w:szCs w:val="20"/>
                <w:color w:val="auto"/>
              </w:rPr>
            </w:pPr>
            <w:r>
              <w:rPr>
                <w:rFonts w:ascii="Arial" w:cs="Arial" w:eastAsia="Arial" w:hAnsi="Arial"/>
                <w:sz w:val="12"/>
                <w:szCs w:val="12"/>
                <w:color w:val="auto"/>
              </w:rPr>
              <w:t>S. Reents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220"/>
              <w:spacing w:after="0" w:line="118" w:lineRule="exact"/>
              <w:rPr>
                <w:sz w:val="20"/>
                <w:szCs w:val="20"/>
                <w:color w:val="auto"/>
              </w:rPr>
            </w:pPr>
            <w:r>
              <w:rPr>
                <w:rFonts w:ascii="Arial" w:cs="Arial" w:eastAsia="Arial" w:hAnsi="Arial"/>
                <w:sz w:val="12"/>
                <w:szCs w:val="12"/>
                <w:color w:val="auto"/>
              </w:rPr>
              <w:t>11,253</w:t>
            </w:r>
          </w:p>
        </w:tc>
        <w:tc>
          <w:tcPr>
            <w:tcW w:w="480" w:type="dxa"/>
            <w:vAlign w:val="bottom"/>
          </w:tcPr>
          <w:p>
            <w:pPr>
              <w:jc w:val="right"/>
              <w:spacing w:after="0" w:line="118" w:lineRule="exact"/>
              <w:rPr>
                <w:sz w:val="20"/>
                <w:szCs w:val="20"/>
                <w:color w:val="auto"/>
              </w:rPr>
            </w:pPr>
            <w:r>
              <w:rPr>
                <w:rFonts w:ascii="Arial" w:cs="Arial" w:eastAsia="Arial" w:hAnsi="Arial"/>
                <w:sz w:val="12"/>
                <w:szCs w:val="12"/>
                <w:color w:val="auto"/>
              </w:rPr>
              <w:t>11,253</w:t>
            </w:r>
          </w:p>
        </w:tc>
        <w:tc>
          <w:tcPr>
            <w:tcW w:w="620" w:type="dxa"/>
            <w:vAlign w:val="bottom"/>
          </w:tcPr>
          <w:p>
            <w:pPr>
              <w:jc w:val="right"/>
              <w:ind w:right="219"/>
              <w:spacing w:after="0" w:line="118" w:lineRule="exact"/>
              <w:rPr>
                <w:sz w:val="20"/>
                <w:szCs w:val="20"/>
                <w:color w:val="auto"/>
              </w:rPr>
            </w:pPr>
            <w:r>
              <w:rPr>
                <w:rFonts w:ascii="Arial" w:cs="Arial" w:eastAsia="Arial" w:hAnsi="Arial"/>
                <w:sz w:val="12"/>
                <w:szCs w:val="12"/>
                <w:color w:val="auto"/>
              </w:rPr>
              <w:t>- 2/16</w:t>
            </w: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219"/>
              <w:spacing w:after="0" w:line="118" w:lineRule="exact"/>
              <w:rPr>
                <w:sz w:val="20"/>
                <w:szCs w:val="20"/>
                <w:color w:val="auto"/>
              </w:rPr>
            </w:pPr>
            <w:r>
              <w:rPr>
                <w:rFonts w:ascii="Arial" w:cs="Arial" w:eastAsia="Arial" w:hAnsi="Arial"/>
                <w:sz w:val="12"/>
                <w:szCs w:val="12"/>
                <w:color w:val="auto"/>
              </w:rPr>
              <w:t>13,367</w:t>
            </w:r>
          </w:p>
        </w:tc>
        <w:tc>
          <w:tcPr>
            <w:tcW w:w="880" w:type="dxa"/>
            <w:vAlign w:val="bottom"/>
          </w:tcPr>
          <w:p>
            <w:pPr>
              <w:jc w:val="right"/>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ind w:right="220"/>
              <w:spacing w:after="0" w:line="136" w:lineRule="exact"/>
              <w:rPr>
                <w:sz w:val="20"/>
                <w:szCs w:val="20"/>
                <w:color w:val="auto"/>
              </w:rPr>
            </w:pPr>
            <w:r>
              <w:rPr>
                <w:rFonts w:ascii="Arial" w:cs="Arial" w:eastAsia="Arial" w:hAnsi="Arial"/>
                <w:sz w:val="12"/>
                <w:szCs w:val="12"/>
                <w:color w:val="auto"/>
              </w:rPr>
              <w:t>21,013</w:t>
            </w: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10,507</w:t>
            </w:r>
          </w:p>
        </w:tc>
        <w:tc>
          <w:tcPr>
            <w:tcW w:w="620" w:type="dxa"/>
            <w:vAlign w:val="bottom"/>
          </w:tcPr>
          <w:p>
            <w:pPr>
              <w:jc w:val="right"/>
              <w:ind w:right="219"/>
              <w:spacing w:after="0" w:line="136" w:lineRule="exact"/>
              <w:rPr>
                <w:sz w:val="20"/>
                <w:szCs w:val="20"/>
                <w:color w:val="auto"/>
              </w:rPr>
            </w:pPr>
            <w:r>
              <w:rPr>
                <w:rFonts w:ascii="Arial" w:cs="Arial" w:eastAsia="Arial" w:hAnsi="Arial"/>
                <w:sz w:val="12"/>
                <w:szCs w:val="12"/>
                <w:color w:val="auto"/>
              </w:rPr>
              <w:t>- 2/15</w:t>
            </w: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10,506</w:t>
            </w:r>
          </w:p>
        </w:tc>
        <w:tc>
          <w:tcPr>
            <w:tcW w:w="620" w:type="dxa"/>
            <w:vAlign w:val="bottom"/>
          </w:tcPr>
          <w:p>
            <w:pPr>
              <w:jc w:val="right"/>
              <w:ind w:right="239"/>
              <w:spacing w:after="0" w:line="136" w:lineRule="exact"/>
              <w:rPr>
                <w:sz w:val="20"/>
                <w:szCs w:val="20"/>
                <w:color w:val="auto"/>
              </w:rPr>
            </w:pPr>
            <w:r>
              <w:rPr>
                <w:rFonts w:ascii="Arial" w:cs="Arial" w:eastAsia="Arial" w:hAnsi="Arial"/>
                <w:sz w:val="12"/>
                <w:szCs w:val="12"/>
                <w:color w:val="auto"/>
                <w:w w:val="97"/>
              </w:rPr>
              <w:t>- 2/15</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19"/>
              <w:spacing w:after="0" w:line="136" w:lineRule="exact"/>
              <w:rPr>
                <w:sz w:val="20"/>
                <w:szCs w:val="20"/>
                <w:color w:val="auto"/>
              </w:rPr>
            </w:pPr>
            <w:r>
              <w:rPr>
                <w:rFonts w:ascii="Arial" w:cs="Arial" w:eastAsia="Arial" w:hAnsi="Arial"/>
                <w:sz w:val="12"/>
                <w:szCs w:val="12"/>
                <w:color w:val="auto"/>
              </w:rPr>
              <w:t>4,455</w:t>
            </w:r>
          </w:p>
        </w:tc>
        <w:tc>
          <w:tcPr>
            <w:tcW w:w="880" w:type="dxa"/>
            <w:vAlign w:val="bottom"/>
          </w:tcPr>
          <w:p>
            <w:pPr>
              <w:jc w:val="right"/>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ind w:right="220"/>
              <w:spacing w:after="0" w:line="136" w:lineRule="exact"/>
              <w:rPr>
                <w:sz w:val="20"/>
                <w:szCs w:val="20"/>
                <w:color w:val="auto"/>
              </w:rPr>
            </w:pPr>
            <w:r>
              <w:rPr>
                <w:rFonts w:ascii="Arial" w:cs="Arial" w:eastAsia="Arial" w:hAnsi="Arial"/>
                <w:sz w:val="12"/>
                <w:szCs w:val="12"/>
                <w:color w:val="auto"/>
              </w:rPr>
              <w:t>27,343</w:t>
            </w: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9,115</w:t>
            </w:r>
          </w:p>
        </w:tc>
        <w:tc>
          <w:tcPr>
            <w:tcW w:w="620" w:type="dxa"/>
            <w:vAlign w:val="bottom"/>
          </w:tcPr>
          <w:p>
            <w:pPr>
              <w:jc w:val="right"/>
              <w:ind w:right="219"/>
              <w:spacing w:after="0" w:line="136" w:lineRule="exact"/>
              <w:rPr>
                <w:sz w:val="20"/>
                <w:szCs w:val="20"/>
                <w:color w:val="auto"/>
              </w:rPr>
            </w:pPr>
            <w:r>
              <w:rPr>
                <w:rFonts w:ascii="Arial" w:cs="Arial" w:eastAsia="Arial" w:hAnsi="Arial"/>
                <w:sz w:val="12"/>
                <w:szCs w:val="12"/>
                <w:color w:val="auto"/>
              </w:rPr>
              <w:t>- 2/13</w:t>
            </w: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9,114</w:t>
            </w:r>
          </w:p>
        </w:tc>
        <w:tc>
          <w:tcPr>
            <w:tcW w:w="620" w:type="dxa"/>
            <w:vAlign w:val="bottom"/>
          </w:tcPr>
          <w:p>
            <w:pPr>
              <w:jc w:val="right"/>
              <w:ind w:right="239"/>
              <w:spacing w:after="0" w:line="136" w:lineRule="exact"/>
              <w:rPr>
                <w:sz w:val="20"/>
                <w:szCs w:val="20"/>
                <w:color w:val="auto"/>
              </w:rPr>
            </w:pPr>
            <w:r>
              <w:rPr>
                <w:rFonts w:ascii="Arial" w:cs="Arial" w:eastAsia="Arial" w:hAnsi="Arial"/>
                <w:sz w:val="12"/>
                <w:szCs w:val="12"/>
                <w:color w:val="auto"/>
                <w:w w:val="97"/>
              </w:rPr>
              <w:t>- 2/13</w:t>
            </w:r>
          </w:p>
        </w:tc>
        <w:tc>
          <w:tcPr>
            <w:tcW w:w="860" w:type="dxa"/>
            <w:vAlign w:val="bottom"/>
          </w:tcPr>
          <w:p>
            <w:pPr>
              <w:jc w:val="right"/>
              <w:spacing w:after="0" w:line="136" w:lineRule="exact"/>
              <w:rPr>
                <w:sz w:val="20"/>
                <w:szCs w:val="20"/>
                <w:color w:val="auto"/>
              </w:rPr>
            </w:pPr>
            <w:r>
              <w:rPr>
                <w:rFonts w:ascii="Arial" w:cs="Arial" w:eastAsia="Arial" w:hAnsi="Arial"/>
                <w:sz w:val="12"/>
                <w:szCs w:val="12"/>
                <w:color w:val="auto"/>
              </w:rPr>
              <w:t>9,114 - 2/13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19"/>
              <w:spacing w:after="0" w:line="136" w:lineRule="exact"/>
              <w:rPr>
                <w:sz w:val="20"/>
                <w:szCs w:val="20"/>
                <w:color w:val="auto"/>
              </w:rPr>
            </w:pPr>
            <w:r>
              <w:rPr>
                <w:rFonts w:ascii="Arial" w:cs="Arial" w:eastAsia="Arial" w:hAnsi="Arial"/>
                <w:sz w:val="12"/>
                <w:szCs w:val="12"/>
                <w:color w:val="auto"/>
              </w:rPr>
              <w:t>11,410</w:t>
            </w:r>
          </w:p>
        </w:tc>
        <w:tc>
          <w:tcPr>
            <w:tcW w:w="880" w:type="dxa"/>
            <w:vAlign w:val="bottom"/>
          </w:tcPr>
          <w:p>
            <w:pPr>
              <w:jc w:val="right"/>
              <w:spacing w:after="0"/>
              <w:rPr>
                <w:sz w:val="20"/>
                <w:szCs w:val="20"/>
                <w:color w:val="auto"/>
              </w:rPr>
            </w:pPr>
            <w:r>
              <w:rPr>
                <w:rFonts w:ascii="Arial" w:cs="Arial" w:eastAsia="Arial" w:hAnsi="Arial"/>
                <w:sz w:val="9"/>
                <w:szCs w:val="9"/>
                <w:color w:val="auto"/>
              </w:rPr>
              <w:t>(c)</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19"/>
              <w:spacing w:after="0" w:line="136" w:lineRule="exact"/>
              <w:rPr>
                <w:sz w:val="20"/>
                <w:szCs w:val="20"/>
                <w:color w:val="auto"/>
              </w:rPr>
            </w:pPr>
            <w:r>
              <w:rPr>
                <w:rFonts w:ascii="Arial" w:cs="Arial" w:eastAsia="Arial" w:hAnsi="Arial"/>
                <w:sz w:val="12"/>
                <w:szCs w:val="12"/>
                <w:color w:val="auto"/>
              </w:rPr>
              <w:t>7,606</w:t>
            </w:r>
          </w:p>
        </w:tc>
        <w:tc>
          <w:tcPr>
            <w:tcW w:w="880" w:type="dxa"/>
            <w:vAlign w:val="bottom"/>
          </w:tcPr>
          <w:p>
            <w:pPr>
              <w:jc w:val="right"/>
              <w:spacing w:after="0"/>
              <w:rPr>
                <w:sz w:val="20"/>
                <w:szCs w:val="20"/>
                <w:color w:val="auto"/>
              </w:rPr>
            </w:pPr>
            <w:r>
              <w:rPr>
                <w:rFonts w:ascii="Arial" w:cs="Arial" w:eastAsia="Arial" w:hAnsi="Arial"/>
                <w:sz w:val="9"/>
                <w:szCs w:val="9"/>
                <w:color w:val="auto"/>
              </w:rPr>
              <w:t>(d)</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19"/>
              <w:spacing w:after="0" w:line="136" w:lineRule="exact"/>
              <w:rPr>
                <w:sz w:val="20"/>
                <w:szCs w:val="20"/>
                <w:color w:val="auto"/>
              </w:rPr>
            </w:pPr>
            <w:r>
              <w:rPr>
                <w:rFonts w:ascii="Arial" w:cs="Arial" w:eastAsia="Arial" w:hAnsi="Arial"/>
                <w:sz w:val="12"/>
                <w:szCs w:val="12"/>
                <w:color w:val="auto"/>
              </w:rPr>
              <w:t>10,888</w:t>
            </w:r>
          </w:p>
        </w:tc>
        <w:tc>
          <w:tcPr>
            <w:tcW w:w="880" w:type="dxa"/>
            <w:vAlign w:val="bottom"/>
          </w:tcPr>
          <w:p>
            <w:pPr>
              <w:jc w:val="right"/>
              <w:spacing w:after="0"/>
              <w:rPr>
                <w:sz w:val="20"/>
                <w:szCs w:val="20"/>
                <w:color w:val="auto"/>
              </w:rPr>
            </w:pPr>
            <w:r>
              <w:rPr>
                <w:rFonts w:ascii="Arial" w:cs="Arial" w:eastAsia="Arial" w:hAnsi="Arial"/>
                <w:sz w:val="9"/>
                <w:szCs w:val="9"/>
                <w:color w:val="auto"/>
              </w:rPr>
              <w:t>(e)</w:t>
            </w: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19"/>
              <w:spacing w:after="0"/>
              <w:rPr>
                <w:sz w:val="20"/>
                <w:szCs w:val="20"/>
                <w:color w:val="auto"/>
              </w:rPr>
            </w:pPr>
            <w:r>
              <w:rPr>
                <w:rFonts w:ascii="Arial" w:cs="Arial" w:eastAsia="Arial" w:hAnsi="Arial"/>
                <w:sz w:val="12"/>
                <w:szCs w:val="12"/>
                <w:color w:val="auto"/>
              </w:rPr>
              <w:t>10,888</w:t>
            </w:r>
          </w:p>
        </w:tc>
        <w:tc>
          <w:tcPr>
            <w:tcW w:w="880" w:type="dxa"/>
            <w:vAlign w:val="bottom"/>
          </w:tcPr>
          <w:p>
            <w:pPr>
              <w:jc w:val="right"/>
              <w:spacing w:after="0"/>
              <w:rPr>
                <w:sz w:val="20"/>
                <w:szCs w:val="20"/>
                <w:color w:val="auto"/>
              </w:rPr>
            </w:pPr>
            <w:r>
              <w:rPr>
                <w:rFonts w:ascii="Arial" w:cs="Arial" w:eastAsia="Arial" w:hAnsi="Arial"/>
                <w:sz w:val="9"/>
                <w:szCs w:val="9"/>
                <w:color w:val="auto"/>
              </w:rPr>
              <w:t>(f)</w:t>
            </w:r>
          </w:p>
        </w:tc>
        <w:tc>
          <w:tcPr>
            <w:tcW w:w="0" w:type="dxa"/>
            <w:vAlign w:val="bottom"/>
          </w:tcPr>
          <w:p>
            <w:pPr>
              <w:spacing w:after="0"/>
              <w:rPr>
                <w:sz w:val="1"/>
                <w:szCs w:val="1"/>
                <w:color w:val="auto"/>
              </w:rPr>
            </w:pPr>
          </w:p>
        </w:tc>
      </w:tr>
      <w:tr>
        <w:trPr>
          <w:trHeight w:val="118"/>
        </w:trPr>
        <w:tc>
          <w:tcPr>
            <w:tcW w:w="2440" w:type="dxa"/>
            <w:vAlign w:val="bottom"/>
            <w:gridSpan w:val="2"/>
            <w:shd w:val="clear" w:color="auto" w:fill="D9D9D9"/>
          </w:tcPr>
          <w:p>
            <w:pPr>
              <w:spacing w:after="0" w:line="118" w:lineRule="exact"/>
              <w:rPr>
                <w:sz w:val="20"/>
                <w:szCs w:val="20"/>
                <w:color w:val="auto"/>
              </w:rPr>
            </w:pPr>
            <w:r>
              <w:rPr>
                <w:rFonts w:ascii="Arial" w:cs="Arial" w:eastAsia="Arial" w:hAnsi="Arial"/>
                <w:sz w:val="12"/>
                <w:szCs w:val="12"/>
                <w:color w:val="auto"/>
              </w:rPr>
              <w:t>J. Stewart</w:t>
            </w:r>
          </w:p>
        </w:tc>
        <w:tc>
          <w:tcPr>
            <w:tcW w:w="12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1080" w:type="dxa"/>
            <w:vAlign w:val="bottom"/>
            <w:shd w:val="clear" w:color="auto" w:fill="D9D9D9"/>
          </w:tcPr>
          <w:p>
            <w:pPr>
              <w:jc w:val="right"/>
              <w:ind w:right="220"/>
              <w:spacing w:after="0" w:line="118" w:lineRule="exact"/>
              <w:rPr>
                <w:sz w:val="20"/>
                <w:szCs w:val="20"/>
                <w:color w:val="auto"/>
              </w:rPr>
            </w:pPr>
            <w:r>
              <w:rPr>
                <w:rFonts w:ascii="Arial" w:cs="Arial" w:eastAsia="Arial" w:hAnsi="Arial"/>
                <w:sz w:val="12"/>
                <w:szCs w:val="12"/>
                <w:color w:val="auto"/>
              </w:rPr>
              <w:t>11,703</w:t>
            </w:r>
          </w:p>
        </w:tc>
        <w:tc>
          <w:tcPr>
            <w:tcW w:w="480" w:type="dxa"/>
            <w:vAlign w:val="bottom"/>
            <w:shd w:val="clear" w:color="auto" w:fill="D9D9D9"/>
          </w:tcPr>
          <w:p>
            <w:pPr>
              <w:jc w:val="right"/>
              <w:spacing w:after="0" w:line="118" w:lineRule="exact"/>
              <w:rPr>
                <w:sz w:val="20"/>
                <w:szCs w:val="20"/>
                <w:color w:val="auto"/>
              </w:rPr>
            </w:pPr>
            <w:r>
              <w:rPr>
                <w:rFonts w:ascii="Arial" w:cs="Arial" w:eastAsia="Arial" w:hAnsi="Arial"/>
                <w:sz w:val="12"/>
                <w:szCs w:val="12"/>
                <w:color w:val="auto"/>
              </w:rPr>
              <w:t>11,703</w:t>
            </w:r>
          </w:p>
        </w:tc>
        <w:tc>
          <w:tcPr>
            <w:tcW w:w="620" w:type="dxa"/>
            <w:vAlign w:val="bottom"/>
            <w:shd w:val="clear" w:color="auto" w:fill="D9D9D9"/>
          </w:tcPr>
          <w:p>
            <w:pPr>
              <w:jc w:val="right"/>
              <w:ind w:right="219"/>
              <w:spacing w:after="0" w:line="118" w:lineRule="exact"/>
              <w:rPr>
                <w:sz w:val="20"/>
                <w:szCs w:val="20"/>
                <w:color w:val="auto"/>
              </w:rPr>
            </w:pPr>
            <w:r>
              <w:rPr>
                <w:rFonts w:ascii="Arial" w:cs="Arial" w:eastAsia="Arial" w:hAnsi="Arial"/>
                <w:sz w:val="12"/>
                <w:szCs w:val="12"/>
                <w:color w:val="auto"/>
              </w:rPr>
              <w:t>- 2/16</w:t>
            </w:r>
          </w:p>
        </w:tc>
        <w:tc>
          <w:tcPr>
            <w:tcW w:w="50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86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1040" w:type="dxa"/>
            <w:vAlign w:val="bottom"/>
            <w:shd w:val="clear" w:color="auto" w:fill="D9D9D9"/>
          </w:tcPr>
          <w:p>
            <w:pPr>
              <w:jc w:val="right"/>
              <w:ind w:right="219"/>
              <w:spacing w:after="0" w:line="118" w:lineRule="exact"/>
              <w:rPr>
                <w:sz w:val="20"/>
                <w:szCs w:val="20"/>
                <w:color w:val="auto"/>
              </w:rPr>
            </w:pPr>
            <w:r>
              <w:rPr>
                <w:rFonts w:ascii="Arial" w:cs="Arial" w:eastAsia="Arial" w:hAnsi="Arial"/>
                <w:sz w:val="12"/>
                <w:szCs w:val="12"/>
                <w:color w:val="auto"/>
              </w:rPr>
              <w:t>13,901</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35"/>
        </w:trPr>
        <w:tc>
          <w:tcPr>
            <w:tcW w:w="230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080" w:type="dxa"/>
            <w:vAlign w:val="bottom"/>
            <w:shd w:val="clear" w:color="auto" w:fill="D9D9D9"/>
          </w:tcPr>
          <w:p>
            <w:pPr>
              <w:jc w:val="right"/>
              <w:ind w:right="220"/>
              <w:spacing w:after="0" w:line="136" w:lineRule="exact"/>
              <w:rPr>
                <w:sz w:val="20"/>
                <w:szCs w:val="20"/>
                <w:color w:val="auto"/>
              </w:rPr>
            </w:pPr>
            <w:r>
              <w:rPr>
                <w:rFonts w:ascii="Arial" w:cs="Arial" w:eastAsia="Arial" w:hAnsi="Arial"/>
                <w:sz w:val="12"/>
                <w:szCs w:val="12"/>
                <w:color w:val="auto"/>
              </w:rPr>
              <w:t>26,056</w:t>
            </w:r>
          </w:p>
        </w:tc>
        <w:tc>
          <w:tcPr>
            <w:tcW w:w="480" w:type="dxa"/>
            <w:vAlign w:val="bottom"/>
            <w:shd w:val="clear" w:color="auto" w:fill="D9D9D9"/>
          </w:tcPr>
          <w:p>
            <w:pPr>
              <w:jc w:val="right"/>
              <w:spacing w:after="0" w:line="136" w:lineRule="exact"/>
              <w:rPr>
                <w:sz w:val="20"/>
                <w:szCs w:val="20"/>
                <w:color w:val="auto"/>
              </w:rPr>
            </w:pPr>
            <w:r>
              <w:rPr>
                <w:rFonts w:ascii="Arial" w:cs="Arial" w:eastAsia="Arial" w:hAnsi="Arial"/>
                <w:sz w:val="12"/>
                <w:szCs w:val="12"/>
                <w:color w:val="auto"/>
              </w:rPr>
              <w:t>13,028</w:t>
            </w:r>
          </w:p>
        </w:tc>
        <w:tc>
          <w:tcPr>
            <w:tcW w:w="62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- 2/15</w:t>
            </w:r>
          </w:p>
        </w:tc>
        <w:tc>
          <w:tcPr>
            <w:tcW w:w="500" w:type="dxa"/>
            <w:vAlign w:val="bottom"/>
            <w:shd w:val="clear" w:color="auto" w:fill="D9D9D9"/>
          </w:tcPr>
          <w:p>
            <w:pPr>
              <w:jc w:val="right"/>
              <w:spacing w:after="0" w:line="136" w:lineRule="exact"/>
              <w:rPr>
                <w:sz w:val="20"/>
                <w:szCs w:val="20"/>
                <w:color w:val="auto"/>
              </w:rPr>
            </w:pPr>
            <w:r>
              <w:rPr>
                <w:rFonts w:ascii="Arial" w:cs="Arial" w:eastAsia="Arial" w:hAnsi="Arial"/>
                <w:sz w:val="12"/>
                <w:szCs w:val="12"/>
                <w:color w:val="auto"/>
              </w:rPr>
              <w:t>13,028</w:t>
            </w:r>
          </w:p>
        </w:tc>
        <w:tc>
          <w:tcPr>
            <w:tcW w:w="620" w:type="dxa"/>
            <w:vAlign w:val="bottom"/>
            <w:shd w:val="clear" w:color="auto" w:fill="D9D9D9"/>
          </w:tcPr>
          <w:p>
            <w:pPr>
              <w:jc w:val="right"/>
              <w:ind w:right="239"/>
              <w:spacing w:after="0" w:line="136" w:lineRule="exact"/>
              <w:rPr>
                <w:sz w:val="20"/>
                <w:szCs w:val="20"/>
                <w:color w:val="auto"/>
              </w:rPr>
            </w:pPr>
            <w:r>
              <w:rPr>
                <w:rFonts w:ascii="Arial" w:cs="Arial" w:eastAsia="Arial" w:hAnsi="Arial"/>
                <w:sz w:val="12"/>
                <w:szCs w:val="12"/>
                <w:color w:val="auto"/>
                <w:w w:val="97"/>
              </w:rPr>
              <w:t>- 2/15</w:t>
            </w:r>
          </w:p>
        </w:tc>
        <w:tc>
          <w:tcPr>
            <w:tcW w:w="86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4,633</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135"/>
        </w:trPr>
        <w:tc>
          <w:tcPr>
            <w:tcW w:w="230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080" w:type="dxa"/>
            <w:vAlign w:val="bottom"/>
            <w:shd w:val="clear" w:color="auto" w:fill="D9D9D9"/>
          </w:tcPr>
          <w:p>
            <w:pPr>
              <w:jc w:val="right"/>
              <w:ind w:right="220"/>
              <w:spacing w:after="0" w:line="136" w:lineRule="exact"/>
              <w:rPr>
                <w:sz w:val="20"/>
                <w:szCs w:val="20"/>
                <w:color w:val="auto"/>
              </w:rPr>
            </w:pPr>
            <w:r>
              <w:rPr>
                <w:rFonts w:ascii="Arial" w:cs="Arial" w:eastAsia="Arial" w:hAnsi="Arial"/>
                <w:sz w:val="12"/>
                <w:szCs w:val="12"/>
                <w:color w:val="auto"/>
              </w:rPr>
              <w:t>33,854</w:t>
            </w:r>
          </w:p>
        </w:tc>
        <w:tc>
          <w:tcPr>
            <w:tcW w:w="480" w:type="dxa"/>
            <w:vAlign w:val="bottom"/>
            <w:shd w:val="clear" w:color="auto" w:fill="D9D9D9"/>
          </w:tcPr>
          <w:p>
            <w:pPr>
              <w:jc w:val="right"/>
              <w:spacing w:after="0" w:line="136" w:lineRule="exact"/>
              <w:rPr>
                <w:sz w:val="20"/>
                <w:szCs w:val="20"/>
                <w:color w:val="auto"/>
              </w:rPr>
            </w:pPr>
            <w:r>
              <w:rPr>
                <w:rFonts w:ascii="Arial" w:cs="Arial" w:eastAsia="Arial" w:hAnsi="Arial"/>
                <w:sz w:val="12"/>
                <w:szCs w:val="12"/>
                <w:color w:val="auto"/>
              </w:rPr>
              <w:t>11,285</w:t>
            </w:r>
          </w:p>
        </w:tc>
        <w:tc>
          <w:tcPr>
            <w:tcW w:w="62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- 2/13</w:t>
            </w:r>
          </w:p>
        </w:tc>
        <w:tc>
          <w:tcPr>
            <w:tcW w:w="500" w:type="dxa"/>
            <w:vAlign w:val="bottom"/>
            <w:shd w:val="clear" w:color="auto" w:fill="D9D9D9"/>
          </w:tcPr>
          <w:p>
            <w:pPr>
              <w:jc w:val="right"/>
              <w:spacing w:after="0" w:line="136" w:lineRule="exact"/>
              <w:rPr>
                <w:sz w:val="20"/>
                <w:szCs w:val="20"/>
                <w:color w:val="auto"/>
              </w:rPr>
            </w:pPr>
            <w:r>
              <w:rPr>
                <w:rFonts w:ascii="Arial" w:cs="Arial" w:eastAsia="Arial" w:hAnsi="Arial"/>
                <w:sz w:val="12"/>
                <w:szCs w:val="12"/>
                <w:color w:val="auto"/>
              </w:rPr>
              <w:t>11,285</w:t>
            </w:r>
          </w:p>
        </w:tc>
        <w:tc>
          <w:tcPr>
            <w:tcW w:w="620" w:type="dxa"/>
            <w:vAlign w:val="bottom"/>
            <w:shd w:val="clear" w:color="auto" w:fill="D9D9D9"/>
          </w:tcPr>
          <w:p>
            <w:pPr>
              <w:jc w:val="right"/>
              <w:ind w:right="239"/>
              <w:spacing w:after="0" w:line="136" w:lineRule="exact"/>
              <w:rPr>
                <w:sz w:val="20"/>
                <w:szCs w:val="20"/>
                <w:color w:val="auto"/>
              </w:rPr>
            </w:pPr>
            <w:r>
              <w:rPr>
                <w:rFonts w:ascii="Arial" w:cs="Arial" w:eastAsia="Arial" w:hAnsi="Arial"/>
                <w:sz w:val="12"/>
                <w:szCs w:val="12"/>
                <w:color w:val="auto"/>
                <w:w w:val="97"/>
              </w:rPr>
              <w:t>- 2/13</w:t>
            </w:r>
          </w:p>
        </w:tc>
        <w:tc>
          <w:tcPr>
            <w:tcW w:w="860" w:type="dxa"/>
            <w:vAlign w:val="bottom"/>
            <w:shd w:val="clear" w:color="auto" w:fill="D9D9D9"/>
          </w:tcPr>
          <w:p>
            <w:pPr>
              <w:jc w:val="right"/>
              <w:spacing w:after="0" w:line="136" w:lineRule="exact"/>
              <w:rPr>
                <w:sz w:val="20"/>
                <w:szCs w:val="20"/>
                <w:color w:val="auto"/>
              </w:rPr>
            </w:pPr>
            <w:r>
              <w:rPr>
                <w:rFonts w:ascii="Arial" w:cs="Arial" w:eastAsia="Arial" w:hAnsi="Arial"/>
                <w:sz w:val="12"/>
                <w:szCs w:val="12"/>
                <w:color w:val="auto"/>
              </w:rPr>
              <w:t>11,284 - 2/13</w:t>
            </w: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14,148</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(c)</w:t>
            </w:r>
          </w:p>
        </w:tc>
        <w:tc>
          <w:tcPr>
            <w:tcW w:w="0" w:type="dxa"/>
            <w:vAlign w:val="bottom"/>
          </w:tcPr>
          <w:p>
            <w:pPr>
              <w:spacing w:after="0"/>
              <w:rPr>
                <w:sz w:val="1"/>
                <w:szCs w:val="1"/>
                <w:color w:val="auto"/>
              </w:rPr>
            </w:pPr>
          </w:p>
        </w:tc>
      </w:tr>
      <w:tr>
        <w:trPr>
          <w:trHeight w:val="135"/>
        </w:trPr>
        <w:tc>
          <w:tcPr>
            <w:tcW w:w="230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50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86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9,432</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(d)</w:t>
            </w:r>
          </w:p>
        </w:tc>
        <w:tc>
          <w:tcPr>
            <w:tcW w:w="0" w:type="dxa"/>
            <w:vAlign w:val="bottom"/>
          </w:tcPr>
          <w:p>
            <w:pPr>
              <w:spacing w:after="0"/>
              <w:rPr>
                <w:sz w:val="1"/>
                <w:szCs w:val="1"/>
                <w:color w:val="auto"/>
              </w:rPr>
            </w:pPr>
          </w:p>
        </w:tc>
      </w:tr>
      <w:tr>
        <w:trPr>
          <w:trHeight w:val="135"/>
        </w:trPr>
        <w:tc>
          <w:tcPr>
            <w:tcW w:w="230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50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86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13,481</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(e)</w:t>
            </w:r>
          </w:p>
        </w:tc>
        <w:tc>
          <w:tcPr>
            <w:tcW w:w="0" w:type="dxa"/>
            <w:vAlign w:val="bottom"/>
          </w:tcPr>
          <w:p>
            <w:pPr>
              <w:spacing w:after="0"/>
              <w:rPr>
                <w:sz w:val="1"/>
                <w:szCs w:val="1"/>
                <w:color w:val="auto"/>
              </w:rPr>
            </w:pPr>
          </w:p>
        </w:tc>
      </w:tr>
      <w:tr>
        <w:trPr>
          <w:trHeight w:val="153"/>
        </w:trPr>
        <w:tc>
          <w:tcPr>
            <w:tcW w:w="230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080" w:type="dxa"/>
            <w:vAlign w:val="bottom"/>
            <w:shd w:val="clear" w:color="auto" w:fill="D9D9D9"/>
          </w:tcPr>
          <w:p>
            <w:pPr>
              <w:spacing w:after="0"/>
              <w:rPr>
                <w:sz w:val="13"/>
                <w:szCs w:val="13"/>
                <w:color w:val="auto"/>
              </w:rPr>
            </w:pPr>
          </w:p>
        </w:tc>
        <w:tc>
          <w:tcPr>
            <w:tcW w:w="480" w:type="dxa"/>
            <w:vAlign w:val="bottom"/>
            <w:shd w:val="clear" w:color="auto" w:fill="D9D9D9"/>
          </w:tcPr>
          <w:p>
            <w:pPr>
              <w:spacing w:after="0"/>
              <w:rPr>
                <w:sz w:val="13"/>
                <w:szCs w:val="13"/>
                <w:color w:val="auto"/>
              </w:rPr>
            </w:pPr>
          </w:p>
        </w:tc>
        <w:tc>
          <w:tcPr>
            <w:tcW w:w="620" w:type="dxa"/>
            <w:vAlign w:val="bottom"/>
            <w:shd w:val="clear" w:color="auto" w:fill="D9D9D9"/>
          </w:tcPr>
          <w:p>
            <w:pPr>
              <w:spacing w:after="0"/>
              <w:rPr>
                <w:sz w:val="13"/>
                <w:szCs w:val="13"/>
                <w:color w:val="auto"/>
              </w:rPr>
            </w:pPr>
          </w:p>
        </w:tc>
        <w:tc>
          <w:tcPr>
            <w:tcW w:w="500" w:type="dxa"/>
            <w:vAlign w:val="bottom"/>
            <w:shd w:val="clear" w:color="auto" w:fill="D9D9D9"/>
          </w:tcPr>
          <w:p>
            <w:pPr>
              <w:spacing w:after="0"/>
              <w:rPr>
                <w:sz w:val="13"/>
                <w:szCs w:val="13"/>
                <w:color w:val="auto"/>
              </w:rPr>
            </w:pPr>
          </w:p>
        </w:tc>
        <w:tc>
          <w:tcPr>
            <w:tcW w:w="620" w:type="dxa"/>
            <w:vAlign w:val="bottom"/>
            <w:shd w:val="clear" w:color="auto" w:fill="D9D9D9"/>
          </w:tcPr>
          <w:p>
            <w:pPr>
              <w:spacing w:after="0"/>
              <w:rPr>
                <w:sz w:val="13"/>
                <w:szCs w:val="13"/>
                <w:color w:val="auto"/>
              </w:rPr>
            </w:pPr>
          </w:p>
        </w:tc>
        <w:tc>
          <w:tcPr>
            <w:tcW w:w="86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1040" w:type="dxa"/>
            <w:vAlign w:val="bottom"/>
            <w:shd w:val="clear" w:color="auto" w:fill="D9D9D9"/>
          </w:tcPr>
          <w:p>
            <w:pPr>
              <w:jc w:val="right"/>
              <w:ind w:right="219"/>
              <w:spacing w:after="0"/>
              <w:rPr>
                <w:sz w:val="20"/>
                <w:szCs w:val="20"/>
                <w:color w:val="auto"/>
              </w:rPr>
            </w:pPr>
            <w:r>
              <w:rPr>
                <w:rFonts w:ascii="Arial" w:cs="Arial" w:eastAsia="Arial" w:hAnsi="Arial"/>
                <w:sz w:val="12"/>
                <w:szCs w:val="12"/>
                <w:color w:val="auto"/>
              </w:rPr>
              <w:t>13,481</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(f)</w:t>
            </w:r>
          </w:p>
        </w:tc>
        <w:tc>
          <w:tcPr>
            <w:tcW w:w="0" w:type="dxa"/>
            <w:vAlign w:val="bottom"/>
          </w:tcPr>
          <w:p>
            <w:pPr>
              <w:spacing w:after="0"/>
              <w:rPr>
                <w:sz w:val="1"/>
                <w:szCs w:val="1"/>
                <w:color w:val="auto"/>
              </w:rPr>
            </w:pPr>
          </w:p>
        </w:tc>
      </w:tr>
      <w:tr>
        <w:trPr>
          <w:trHeight w:val="118"/>
        </w:trPr>
        <w:tc>
          <w:tcPr>
            <w:tcW w:w="2440" w:type="dxa"/>
            <w:vAlign w:val="bottom"/>
            <w:gridSpan w:val="2"/>
          </w:tcPr>
          <w:p>
            <w:pPr>
              <w:spacing w:after="0" w:line="118" w:lineRule="exact"/>
              <w:rPr>
                <w:sz w:val="20"/>
                <w:szCs w:val="20"/>
                <w:color w:val="auto"/>
              </w:rPr>
            </w:pPr>
            <w:r>
              <w:rPr>
                <w:rFonts w:ascii="Arial" w:cs="Arial" w:eastAsia="Arial" w:hAnsi="Arial"/>
                <w:sz w:val="12"/>
                <w:szCs w:val="12"/>
                <w:color w:val="auto"/>
              </w:rPr>
              <w:t>A. Saleki-Gerhardt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220"/>
              <w:spacing w:after="0" w:line="118" w:lineRule="exact"/>
              <w:rPr>
                <w:sz w:val="20"/>
                <w:szCs w:val="20"/>
                <w:color w:val="auto"/>
              </w:rPr>
            </w:pPr>
            <w:r>
              <w:rPr>
                <w:rFonts w:ascii="Arial" w:cs="Arial" w:eastAsia="Arial" w:hAnsi="Arial"/>
                <w:sz w:val="12"/>
                <w:szCs w:val="12"/>
                <w:color w:val="auto"/>
              </w:rPr>
              <w:t>7,652</w:t>
            </w:r>
          </w:p>
        </w:tc>
        <w:tc>
          <w:tcPr>
            <w:tcW w:w="480" w:type="dxa"/>
            <w:vAlign w:val="bottom"/>
          </w:tcPr>
          <w:p>
            <w:pPr>
              <w:jc w:val="right"/>
              <w:spacing w:after="0" w:line="118" w:lineRule="exact"/>
              <w:rPr>
                <w:sz w:val="20"/>
                <w:szCs w:val="20"/>
                <w:color w:val="auto"/>
              </w:rPr>
            </w:pPr>
            <w:r>
              <w:rPr>
                <w:rFonts w:ascii="Arial" w:cs="Arial" w:eastAsia="Arial" w:hAnsi="Arial"/>
                <w:sz w:val="12"/>
                <w:szCs w:val="12"/>
                <w:color w:val="auto"/>
              </w:rPr>
              <w:t>7,652</w:t>
            </w:r>
          </w:p>
        </w:tc>
        <w:tc>
          <w:tcPr>
            <w:tcW w:w="620" w:type="dxa"/>
            <w:vAlign w:val="bottom"/>
          </w:tcPr>
          <w:p>
            <w:pPr>
              <w:jc w:val="right"/>
              <w:ind w:right="219"/>
              <w:spacing w:after="0" w:line="118" w:lineRule="exact"/>
              <w:rPr>
                <w:sz w:val="20"/>
                <w:szCs w:val="20"/>
                <w:color w:val="auto"/>
              </w:rPr>
            </w:pPr>
            <w:r>
              <w:rPr>
                <w:rFonts w:ascii="Arial" w:cs="Arial" w:eastAsia="Arial" w:hAnsi="Arial"/>
                <w:sz w:val="12"/>
                <w:szCs w:val="12"/>
                <w:color w:val="auto"/>
              </w:rPr>
              <w:t>- 2/16</w:t>
            </w: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219"/>
              <w:spacing w:after="0" w:line="118" w:lineRule="exact"/>
              <w:rPr>
                <w:sz w:val="20"/>
                <w:szCs w:val="20"/>
                <w:color w:val="auto"/>
              </w:rPr>
            </w:pPr>
            <w:r>
              <w:rPr>
                <w:rFonts w:ascii="Arial" w:cs="Arial" w:eastAsia="Arial" w:hAnsi="Arial"/>
                <w:sz w:val="12"/>
                <w:szCs w:val="12"/>
                <w:color w:val="auto"/>
              </w:rPr>
              <w:t>9,089</w:t>
            </w:r>
          </w:p>
        </w:tc>
        <w:tc>
          <w:tcPr>
            <w:tcW w:w="880" w:type="dxa"/>
            <w:vAlign w:val="bottom"/>
          </w:tcPr>
          <w:p>
            <w:pPr>
              <w:jc w:val="right"/>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ind w:right="220"/>
              <w:spacing w:after="0" w:line="136" w:lineRule="exact"/>
              <w:rPr>
                <w:sz w:val="20"/>
                <w:szCs w:val="20"/>
                <w:color w:val="auto"/>
              </w:rPr>
            </w:pPr>
            <w:r>
              <w:rPr>
                <w:rFonts w:ascii="Arial" w:cs="Arial" w:eastAsia="Arial" w:hAnsi="Arial"/>
                <w:sz w:val="12"/>
                <w:szCs w:val="12"/>
                <w:color w:val="auto"/>
              </w:rPr>
              <w:t>19,542</w:t>
            </w: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9,771</w:t>
            </w:r>
          </w:p>
        </w:tc>
        <w:tc>
          <w:tcPr>
            <w:tcW w:w="620" w:type="dxa"/>
            <w:vAlign w:val="bottom"/>
          </w:tcPr>
          <w:p>
            <w:pPr>
              <w:jc w:val="right"/>
              <w:ind w:right="219"/>
              <w:spacing w:after="0" w:line="136" w:lineRule="exact"/>
              <w:rPr>
                <w:sz w:val="20"/>
                <w:szCs w:val="20"/>
                <w:color w:val="auto"/>
              </w:rPr>
            </w:pPr>
            <w:r>
              <w:rPr>
                <w:rFonts w:ascii="Arial" w:cs="Arial" w:eastAsia="Arial" w:hAnsi="Arial"/>
                <w:sz w:val="12"/>
                <w:szCs w:val="12"/>
                <w:color w:val="auto"/>
              </w:rPr>
              <w:t>- 2/15</w:t>
            </w: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9,771</w:t>
            </w:r>
          </w:p>
        </w:tc>
        <w:tc>
          <w:tcPr>
            <w:tcW w:w="620" w:type="dxa"/>
            <w:vAlign w:val="bottom"/>
          </w:tcPr>
          <w:p>
            <w:pPr>
              <w:jc w:val="right"/>
              <w:ind w:right="239"/>
              <w:spacing w:after="0" w:line="136" w:lineRule="exact"/>
              <w:rPr>
                <w:sz w:val="20"/>
                <w:szCs w:val="20"/>
                <w:color w:val="auto"/>
              </w:rPr>
            </w:pPr>
            <w:r>
              <w:rPr>
                <w:rFonts w:ascii="Arial" w:cs="Arial" w:eastAsia="Arial" w:hAnsi="Arial"/>
                <w:sz w:val="12"/>
                <w:szCs w:val="12"/>
                <w:color w:val="auto"/>
                <w:w w:val="97"/>
              </w:rPr>
              <w:t>- 2/15</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19"/>
              <w:spacing w:after="0" w:line="136" w:lineRule="exact"/>
              <w:rPr>
                <w:sz w:val="20"/>
                <w:szCs w:val="20"/>
                <w:color w:val="auto"/>
              </w:rPr>
            </w:pPr>
            <w:r>
              <w:rPr>
                <w:rFonts w:ascii="Arial" w:cs="Arial" w:eastAsia="Arial" w:hAnsi="Arial"/>
                <w:sz w:val="12"/>
                <w:szCs w:val="12"/>
                <w:color w:val="auto"/>
              </w:rPr>
              <w:t>3,029</w:t>
            </w:r>
          </w:p>
        </w:tc>
        <w:tc>
          <w:tcPr>
            <w:tcW w:w="880" w:type="dxa"/>
            <w:vAlign w:val="bottom"/>
          </w:tcPr>
          <w:p>
            <w:pPr>
              <w:jc w:val="right"/>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ind w:right="220"/>
              <w:spacing w:after="0" w:line="136" w:lineRule="exact"/>
              <w:rPr>
                <w:sz w:val="20"/>
                <w:szCs w:val="20"/>
                <w:color w:val="auto"/>
              </w:rPr>
            </w:pPr>
            <w:r>
              <w:rPr>
                <w:rFonts w:ascii="Arial" w:cs="Arial" w:eastAsia="Arial" w:hAnsi="Arial"/>
                <w:sz w:val="12"/>
                <w:szCs w:val="12"/>
                <w:color w:val="auto"/>
              </w:rPr>
              <w:t>25,000</w:t>
            </w: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8,334</w:t>
            </w:r>
          </w:p>
        </w:tc>
        <w:tc>
          <w:tcPr>
            <w:tcW w:w="620" w:type="dxa"/>
            <w:vAlign w:val="bottom"/>
          </w:tcPr>
          <w:p>
            <w:pPr>
              <w:jc w:val="right"/>
              <w:ind w:right="219"/>
              <w:spacing w:after="0" w:line="136" w:lineRule="exact"/>
              <w:rPr>
                <w:sz w:val="20"/>
                <w:szCs w:val="20"/>
                <w:color w:val="auto"/>
              </w:rPr>
            </w:pPr>
            <w:r>
              <w:rPr>
                <w:rFonts w:ascii="Arial" w:cs="Arial" w:eastAsia="Arial" w:hAnsi="Arial"/>
                <w:sz w:val="12"/>
                <w:szCs w:val="12"/>
                <w:color w:val="auto"/>
              </w:rPr>
              <w:t>- 2/13</w:t>
            </w: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8,333</w:t>
            </w:r>
          </w:p>
        </w:tc>
        <w:tc>
          <w:tcPr>
            <w:tcW w:w="620" w:type="dxa"/>
            <w:vAlign w:val="bottom"/>
          </w:tcPr>
          <w:p>
            <w:pPr>
              <w:jc w:val="right"/>
              <w:ind w:right="239"/>
              <w:spacing w:after="0" w:line="136" w:lineRule="exact"/>
              <w:rPr>
                <w:sz w:val="20"/>
                <w:szCs w:val="20"/>
                <w:color w:val="auto"/>
              </w:rPr>
            </w:pPr>
            <w:r>
              <w:rPr>
                <w:rFonts w:ascii="Arial" w:cs="Arial" w:eastAsia="Arial" w:hAnsi="Arial"/>
                <w:sz w:val="12"/>
                <w:szCs w:val="12"/>
                <w:color w:val="auto"/>
                <w:w w:val="97"/>
              </w:rPr>
              <w:t>- 2/13</w:t>
            </w:r>
          </w:p>
        </w:tc>
        <w:tc>
          <w:tcPr>
            <w:tcW w:w="860" w:type="dxa"/>
            <w:vAlign w:val="bottom"/>
          </w:tcPr>
          <w:p>
            <w:pPr>
              <w:jc w:val="right"/>
              <w:spacing w:after="0" w:line="136" w:lineRule="exact"/>
              <w:rPr>
                <w:sz w:val="20"/>
                <w:szCs w:val="20"/>
                <w:color w:val="auto"/>
              </w:rPr>
            </w:pPr>
            <w:r>
              <w:rPr>
                <w:rFonts w:ascii="Arial" w:cs="Arial" w:eastAsia="Arial" w:hAnsi="Arial"/>
                <w:sz w:val="12"/>
                <w:szCs w:val="12"/>
                <w:color w:val="auto"/>
              </w:rPr>
              <w:t>8,333 - 2/13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19"/>
              <w:spacing w:after="0" w:line="136" w:lineRule="exact"/>
              <w:rPr>
                <w:sz w:val="20"/>
                <w:szCs w:val="20"/>
                <w:color w:val="auto"/>
              </w:rPr>
            </w:pPr>
            <w:r>
              <w:rPr>
                <w:rFonts w:ascii="Arial" w:cs="Arial" w:eastAsia="Arial" w:hAnsi="Arial"/>
                <w:sz w:val="12"/>
                <w:szCs w:val="12"/>
                <w:color w:val="auto"/>
              </w:rPr>
              <w:t>10,611</w:t>
            </w:r>
          </w:p>
        </w:tc>
        <w:tc>
          <w:tcPr>
            <w:tcW w:w="880" w:type="dxa"/>
            <w:vAlign w:val="bottom"/>
          </w:tcPr>
          <w:p>
            <w:pPr>
              <w:jc w:val="right"/>
              <w:spacing w:after="0"/>
              <w:rPr>
                <w:sz w:val="20"/>
                <w:szCs w:val="20"/>
                <w:color w:val="auto"/>
              </w:rPr>
            </w:pPr>
            <w:r>
              <w:rPr>
                <w:rFonts w:ascii="Arial" w:cs="Arial" w:eastAsia="Arial" w:hAnsi="Arial"/>
                <w:sz w:val="9"/>
                <w:szCs w:val="9"/>
                <w:color w:val="auto"/>
              </w:rPr>
              <w:t>(c)</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19"/>
              <w:spacing w:after="0" w:line="136" w:lineRule="exact"/>
              <w:rPr>
                <w:sz w:val="20"/>
                <w:szCs w:val="20"/>
                <w:color w:val="auto"/>
              </w:rPr>
            </w:pPr>
            <w:r>
              <w:rPr>
                <w:rFonts w:ascii="Arial" w:cs="Arial" w:eastAsia="Arial" w:hAnsi="Arial"/>
                <w:sz w:val="12"/>
                <w:szCs w:val="12"/>
                <w:color w:val="auto"/>
              </w:rPr>
              <w:t>7,074</w:t>
            </w:r>
          </w:p>
        </w:tc>
        <w:tc>
          <w:tcPr>
            <w:tcW w:w="880" w:type="dxa"/>
            <w:vAlign w:val="bottom"/>
          </w:tcPr>
          <w:p>
            <w:pPr>
              <w:jc w:val="right"/>
              <w:spacing w:after="0"/>
              <w:rPr>
                <w:sz w:val="20"/>
                <w:szCs w:val="20"/>
                <w:color w:val="auto"/>
              </w:rPr>
            </w:pPr>
            <w:r>
              <w:rPr>
                <w:rFonts w:ascii="Arial" w:cs="Arial" w:eastAsia="Arial" w:hAnsi="Arial"/>
                <w:sz w:val="9"/>
                <w:szCs w:val="9"/>
                <w:color w:val="auto"/>
              </w:rPr>
              <w:t>(d)</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19"/>
              <w:spacing w:after="0" w:line="136" w:lineRule="exact"/>
              <w:rPr>
                <w:sz w:val="20"/>
                <w:szCs w:val="20"/>
                <w:color w:val="auto"/>
              </w:rPr>
            </w:pPr>
            <w:r>
              <w:rPr>
                <w:rFonts w:ascii="Arial" w:cs="Arial" w:eastAsia="Arial" w:hAnsi="Arial"/>
                <w:sz w:val="12"/>
                <w:szCs w:val="12"/>
                <w:color w:val="auto"/>
              </w:rPr>
              <w:t>9,955</w:t>
            </w:r>
          </w:p>
        </w:tc>
        <w:tc>
          <w:tcPr>
            <w:tcW w:w="880" w:type="dxa"/>
            <w:vAlign w:val="bottom"/>
          </w:tcPr>
          <w:p>
            <w:pPr>
              <w:jc w:val="right"/>
              <w:spacing w:after="0"/>
              <w:rPr>
                <w:sz w:val="20"/>
                <w:szCs w:val="20"/>
                <w:color w:val="auto"/>
              </w:rPr>
            </w:pPr>
            <w:r>
              <w:rPr>
                <w:rFonts w:ascii="Arial" w:cs="Arial" w:eastAsia="Arial" w:hAnsi="Arial"/>
                <w:sz w:val="9"/>
                <w:szCs w:val="9"/>
                <w:color w:val="auto"/>
              </w:rPr>
              <w:t>(e)</w:t>
            </w: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19"/>
              <w:spacing w:after="0"/>
              <w:rPr>
                <w:sz w:val="20"/>
                <w:szCs w:val="20"/>
                <w:color w:val="auto"/>
              </w:rPr>
            </w:pPr>
            <w:r>
              <w:rPr>
                <w:rFonts w:ascii="Arial" w:cs="Arial" w:eastAsia="Arial" w:hAnsi="Arial"/>
                <w:sz w:val="12"/>
                <w:szCs w:val="12"/>
                <w:color w:val="auto"/>
              </w:rPr>
              <w:t>9,955</w:t>
            </w:r>
          </w:p>
        </w:tc>
        <w:tc>
          <w:tcPr>
            <w:tcW w:w="880" w:type="dxa"/>
            <w:vAlign w:val="bottom"/>
          </w:tcPr>
          <w:p>
            <w:pPr>
              <w:jc w:val="right"/>
              <w:spacing w:after="0"/>
              <w:rPr>
                <w:sz w:val="20"/>
                <w:szCs w:val="20"/>
                <w:color w:val="auto"/>
              </w:rPr>
            </w:pPr>
            <w:r>
              <w:rPr>
                <w:rFonts w:ascii="Arial" w:cs="Arial" w:eastAsia="Arial" w:hAnsi="Arial"/>
                <w:sz w:val="9"/>
                <w:szCs w:val="9"/>
                <w:color w:val="auto"/>
              </w:rPr>
              <w:t>(f)</w:t>
            </w:r>
          </w:p>
        </w:tc>
        <w:tc>
          <w:tcPr>
            <w:tcW w:w="0" w:type="dxa"/>
            <w:vAlign w:val="bottom"/>
          </w:tcPr>
          <w:p>
            <w:pPr>
              <w:spacing w:after="0"/>
              <w:rPr>
                <w:sz w:val="1"/>
                <w:szCs w:val="1"/>
                <w:color w:val="auto"/>
              </w:rPr>
            </w:pPr>
          </w:p>
        </w:tc>
      </w:tr>
      <w:tr>
        <w:trPr>
          <w:trHeight w:val="118"/>
        </w:trPr>
        <w:tc>
          <w:tcPr>
            <w:tcW w:w="2440" w:type="dxa"/>
            <w:vAlign w:val="bottom"/>
            <w:gridSpan w:val="2"/>
            <w:shd w:val="clear" w:color="auto" w:fill="D9D9D9"/>
          </w:tcPr>
          <w:p>
            <w:pPr>
              <w:spacing w:after="0" w:line="118" w:lineRule="exact"/>
              <w:rPr>
                <w:sz w:val="20"/>
                <w:szCs w:val="20"/>
                <w:color w:val="auto"/>
              </w:rPr>
            </w:pPr>
            <w:r>
              <w:rPr>
                <w:rFonts w:ascii="Arial" w:cs="Arial" w:eastAsia="Arial" w:hAnsi="Arial"/>
                <w:sz w:val="12"/>
                <w:szCs w:val="12"/>
                <w:color w:val="auto"/>
              </w:rPr>
              <w:t>R. Thakkar</w:t>
            </w:r>
          </w:p>
        </w:tc>
        <w:tc>
          <w:tcPr>
            <w:tcW w:w="12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1080" w:type="dxa"/>
            <w:vAlign w:val="bottom"/>
            <w:shd w:val="clear" w:color="auto" w:fill="D9D9D9"/>
          </w:tcPr>
          <w:p>
            <w:pPr>
              <w:jc w:val="right"/>
              <w:ind w:right="220"/>
              <w:spacing w:after="0" w:line="118" w:lineRule="exact"/>
              <w:rPr>
                <w:sz w:val="20"/>
                <w:szCs w:val="20"/>
                <w:color w:val="auto"/>
              </w:rPr>
            </w:pPr>
            <w:r>
              <w:rPr>
                <w:rFonts w:ascii="Arial" w:cs="Arial" w:eastAsia="Arial" w:hAnsi="Arial"/>
                <w:sz w:val="12"/>
                <w:szCs w:val="12"/>
                <w:color w:val="auto"/>
              </w:rPr>
              <w:t>2,700</w:t>
            </w:r>
          </w:p>
        </w:tc>
        <w:tc>
          <w:tcPr>
            <w:tcW w:w="480" w:type="dxa"/>
            <w:vAlign w:val="bottom"/>
            <w:shd w:val="clear" w:color="auto" w:fill="D9D9D9"/>
          </w:tcPr>
          <w:p>
            <w:pPr>
              <w:jc w:val="right"/>
              <w:spacing w:after="0" w:line="118" w:lineRule="exact"/>
              <w:rPr>
                <w:sz w:val="20"/>
                <w:szCs w:val="20"/>
                <w:color w:val="auto"/>
              </w:rPr>
            </w:pPr>
            <w:r>
              <w:rPr>
                <w:rFonts w:ascii="Arial" w:cs="Arial" w:eastAsia="Arial" w:hAnsi="Arial"/>
                <w:sz w:val="12"/>
                <w:szCs w:val="12"/>
                <w:color w:val="auto"/>
              </w:rPr>
              <w:t>2,700</w:t>
            </w:r>
          </w:p>
        </w:tc>
        <w:tc>
          <w:tcPr>
            <w:tcW w:w="620" w:type="dxa"/>
            <w:vAlign w:val="bottom"/>
            <w:shd w:val="clear" w:color="auto" w:fill="D9D9D9"/>
          </w:tcPr>
          <w:p>
            <w:pPr>
              <w:jc w:val="right"/>
              <w:ind w:right="219"/>
              <w:spacing w:after="0" w:line="118" w:lineRule="exact"/>
              <w:rPr>
                <w:sz w:val="20"/>
                <w:szCs w:val="20"/>
                <w:color w:val="auto"/>
              </w:rPr>
            </w:pPr>
            <w:r>
              <w:rPr>
                <w:rFonts w:ascii="Arial" w:cs="Arial" w:eastAsia="Arial" w:hAnsi="Arial"/>
                <w:sz w:val="12"/>
                <w:szCs w:val="12"/>
                <w:color w:val="auto"/>
              </w:rPr>
              <w:t>- 2/16</w:t>
            </w:r>
          </w:p>
        </w:tc>
        <w:tc>
          <w:tcPr>
            <w:tcW w:w="50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86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1040" w:type="dxa"/>
            <w:vAlign w:val="bottom"/>
            <w:shd w:val="clear" w:color="auto" w:fill="D9D9D9"/>
          </w:tcPr>
          <w:p>
            <w:pPr>
              <w:jc w:val="right"/>
              <w:ind w:right="219"/>
              <w:spacing w:after="0" w:line="118" w:lineRule="exact"/>
              <w:rPr>
                <w:sz w:val="20"/>
                <w:szCs w:val="20"/>
                <w:color w:val="auto"/>
              </w:rPr>
            </w:pPr>
            <w:r>
              <w:rPr>
                <w:rFonts w:ascii="Arial" w:cs="Arial" w:eastAsia="Arial" w:hAnsi="Arial"/>
                <w:sz w:val="12"/>
                <w:szCs w:val="12"/>
                <w:color w:val="auto"/>
              </w:rPr>
              <w:t>3,208</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35"/>
        </w:trPr>
        <w:tc>
          <w:tcPr>
            <w:tcW w:w="230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080" w:type="dxa"/>
            <w:vAlign w:val="bottom"/>
            <w:shd w:val="clear" w:color="auto" w:fill="D9D9D9"/>
          </w:tcPr>
          <w:p>
            <w:pPr>
              <w:jc w:val="right"/>
              <w:ind w:right="220"/>
              <w:spacing w:after="0" w:line="136" w:lineRule="exact"/>
              <w:rPr>
                <w:sz w:val="20"/>
                <w:szCs w:val="20"/>
                <w:color w:val="auto"/>
              </w:rPr>
            </w:pPr>
            <w:r>
              <w:rPr>
                <w:rFonts w:ascii="Arial" w:cs="Arial" w:eastAsia="Arial" w:hAnsi="Arial"/>
                <w:sz w:val="12"/>
                <w:szCs w:val="12"/>
                <w:color w:val="auto"/>
              </w:rPr>
              <w:t>9,245</w:t>
            </w:r>
          </w:p>
        </w:tc>
        <w:tc>
          <w:tcPr>
            <w:tcW w:w="480" w:type="dxa"/>
            <w:vAlign w:val="bottom"/>
            <w:shd w:val="clear" w:color="auto" w:fill="D9D9D9"/>
          </w:tcPr>
          <w:p>
            <w:pPr>
              <w:jc w:val="right"/>
              <w:spacing w:after="0" w:line="136" w:lineRule="exact"/>
              <w:rPr>
                <w:sz w:val="20"/>
                <w:szCs w:val="20"/>
                <w:color w:val="auto"/>
              </w:rPr>
            </w:pPr>
            <w:r>
              <w:rPr>
                <w:rFonts w:ascii="Arial" w:cs="Arial" w:eastAsia="Arial" w:hAnsi="Arial"/>
                <w:sz w:val="12"/>
                <w:szCs w:val="12"/>
                <w:color w:val="auto"/>
              </w:rPr>
              <w:t>4,623</w:t>
            </w:r>
          </w:p>
        </w:tc>
        <w:tc>
          <w:tcPr>
            <w:tcW w:w="62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- 2/15</w:t>
            </w:r>
          </w:p>
        </w:tc>
        <w:tc>
          <w:tcPr>
            <w:tcW w:w="500" w:type="dxa"/>
            <w:vAlign w:val="bottom"/>
            <w:shd w:val="clear" w:color="auto" w:fill="D9D9D9"/>
          </w:tcPr>
          <w:p>
            <w:pPr>
              <w:jc w:val="right"/>
              <w:spacing w:after="0" w:line="136" w:lineRule="exact"/>
              <w:rPr>
                <w:sz w:val="20"/>
                <w:szCs w:val="20"/>
                <w:color w:val="auto"/>
              </w:rPr>
            </w:pPr>
            <w:r>
              <w:rPr>
                <w:rFonts w:ascii="Arial" w:cs="Arial" w:eastAsia="Arial" w:hAnsi="Arial"/>
                <w:sz w:val="12"/>
                <w:szCs w:val="12"/>
                <w:color w:val="auto"/>
              </w:rPr>
              <w:t>4,622</w:t>
            </w:r>
          </w:p>
        </w:tc>
        <w:tc>
          <w:tcPr>
            <w:tcW w:w="620" w:type="dxa"/>
            <w:vAlign w:val="bottom"/>
            <w:shd w:val="clear" w:color="auto" w:fill="D9D9D9"/>
          </w:tcPr>
          <w:p>
            <w:pPr>
              <w:jc w:val="right"/>
              <w:ind w:right="239"/>
              <w:spacing w:after="0" w:line="136" w:lineRule="exact"/>
              <w:rPr>
                <w:sz w:val="20"/>
                <w:szCs w:val="20"/>
                <w:color w:val="auto"/>
              </w:rPr>
            </w:pPr>
            <w:r>
              <w:rPr>
                <w:rFonts w:ascii="Arial" w:cs="Arial" w:eastAsia="Arial" w:hAnsi="Arial"/>
                <w:sz w:val="12"/>
                <w:szCs w:val="12"/>
                <w:color w:val="auto"/>
                <w:w w:val="97"/>
              </w:rPr>
              <w:t>- 2/15</w:t>
            </w:r>
          </w:p>
        </w:tc>
        <w:tc>
          <w:tcPr>
            <w:tcW w:w="86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1,069</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135"/>
        </w:trPr>
        <w:tc>
          <w:tcPr>
            <w:tcW w:w="230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080" w:type="dxa"/>
            <w:vAlign w:val="bottom"/>
            <w:shd w:val="clear" w:color="auto" w:fill="D9D9D9"/>
          </w:tcPr>
          <w:p>
            <w:pPr>
              <w:jc w:val="right"/>
              <w:ind w:right="220"/>
              <w:spacing w:after="0" w:line="136" w:lineRule="exact"/>
              <w:rPr>
                <w:sz w:val="20"/>
                <w:szCs w:val="20"/>
                <w:color w:val="auto"/>
              </w:rPr>
            </w:pPr>
            <w:r>
              <w:rPr>
                <w:rFonts w:ascii="Arial" w:cs="Arial" w:eastAsia="Arial" w:hAnsi="Arial"/>
                <w:sz w:val="12"/>
                <w:szCs w:val="12"/>
                <w:color w:val="auto"/>
              </w:rPr>
              <w:t>25,000</w:t>
            </w:r>
          </w:p>
        </w:tc>
        <w:tc>
          <w:tcPr>
            <w:tcW w:w="480" w:type="dxa"/>
            <w:vAlign w:val="bottom"/>
            <w:shd w:val="clear" w:color="auto" w:fill="D9D9D9"/>
          </w:tcPr>
          <w:p>
            <w:pPr>
              <w:jc w:val="right"/>
              <w:spacing w:after="0" w:line="136" w:lineRule="exact"/>
              <w:rPr>
                <w:sz w:val="20"/>
                <w:szCs w:val="20"/>
                <w:color w:val="auto"/>
              </w:rPr>
            </w:pPr>
            <w:r>
              <w:rPr>
                <w:rFonts w:ascii="Arial" w:cs="Arial" w:eastAsia="Arial" w:hAnsi="Arial"/>
                <w:sz w:val="12"/>
                <w:szCs w:val="12"/>
                <w:color w:val="auto"/>
              </w:rPr>
              <w:t>8,334</w:t>
            </w:r>
          </w:p>
        </w:tc>
        <w:tc>
          <w:tcPr>
            <w:tcW w:w="62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- 2/13</w:t>
            </w:r>
          </w:p>
        </w:tc>
        <w:tc>
          <w:tcPr>
            <w:tcW w:w="500" w:type="dxa"/>
            <w:vAlign w:val="bottom"/>
            <w:shd w:val="clear" w:color="auto" w:fill="D9D9D9"/>
          </w:tcPr>
          <w:p>
            <w:pPr>
              <w:jc w:val="right"/>
              <w:spacing w:after="0" w:line="136" w:lineRule="exact"/>
              <w:rPr>
                <w:sz w:val="20"/>
                <w:szCs w:val="20"/>
                <w:color w:val="auto"/>
              </w:rPr>
            </w:pPr>
            <w:r>
              <w:rPr>
                <w:rFonts w:ascii="Arial" w:cs="Arial" w:eastAsia="Arial" w:hAnsi="Arial"/>
                <w:sz w:val="12"/>
                <w:szCs w:val="12"/>
                <w:color w:val="auto"/>
              </w:rPr>
              <w:t>8,333</w:t>
            </w:r>
          </w:p>
        </w:tc>
        <w:tc>
          <w:tcPr>
            <w:tcW w:w="620" w:type="dxa"/>
            <w:vAlign w:val="bottom"/>
            <w:shd w:val="clear" w:color="auto" w:fill="D9D9D9"/>
          </w:tcPr>
          <w:p>
            <w:pPr>
              <w:jc w:val="right"/>
              <w:ind w:right="239"/>
              <w:spacing w:after="0" w:line="136" w:lineRule="exact"/>
              <w:rPr>
                <w:sz w:val="20"/>
                <w:szCs w:val="20"/>
                <w:color w:val="auto"/>
              </w:rPr>
            </w:pPr>
            <w:r>
              <w:rPr>
                <w:rFonts w:ascii="Arial" w:cs="Arial" w:eastAsia="Arial" w:hAnsi="Arial"/>
                <w:sz w:val="12"/>
                <w:szCs w:val="12"/>
                <w:color w:val="auto"/>
                <w:w w:val="97"/>
              </w:rPr>
              <w:t>- 2/13</w:t>
            </w:r>
          </w:p>
        </w:tc>
        <w:tc>
          <w:tcPr>
            <w:tcW w:w="860" w:type="dxa"/>
            <w:vAlign w:val="bottom"/>
            <w:shd w:val="clear" w:color="auto" w:fill="D9D9D9"/>
          </w:tcPr>
          <w:p>
            <w:pPr>
              <w:jc w:val="right"/>
              <w:spacing w:after="0" w:line="136" w:lineRule="exact"/>
              <w:rPr>
                <w:sz w:val="20"/>
                <w:szCs w:val="20"/>
                <w:color w:val="auto"/>
              </w:rPr>
            </w:pPr>
            <w:r>
              <w:rPr>
                <w:rFonts w:ascii="Arial" w:cs="Arial" w:eastAsia="Arial" w:hAnsi="Arial"/>
                <w:sz w:val="12"/>
                <w:szCs w:val="12"/>
                <w:color w:val="auto"/>
              </w:rPr>
              <w:t>8,333 - 2/13</w:t>
            </w: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5,020</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(c)</w:t>
            </w:r>
          </w:p>
        </w:tc>
        <w:tc>
          <w:tcPr>
            <w:tcW w:w="0" w:type="dxa"/>
            <w:vAlign w:val="bottom"/>
          </w:tcPr>
          <w:p>
            <w:pPr>
              <w:spacing w:after="0"/>
              <w:rPr>
                <w:sz w:val="1"/>
                <w:szCs w:val="1"/>
                <w:color w:val="auto"/>
              </w:rPr>
            </w:pPr>
          </w:p>
        </w:tc>
      </w:tr>
      <w:tr>
        <w:trPr>
          <w:trHeight w:val="135"/>
        </w:trPr>
        <w:tc>
          <w:tcPr>
            <w:tcW w:w="230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50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86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3,346</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(d)</w:t>
            </w:r>
          </w:p>
        </w:tc>
        <w:tc>
          <w:tcPr>
            <w:tcW w:w="0" w:type="dxa"/>
            <w:vAlign w:val="bottom"/>
          </w:tcPr>
          <w:p>
            <w:pPr>
              <w:spacing w:after="0"/>
              <w:rPr>
                <w:sz w:val="1"/>
                <w:szCs w:val="1"/>
                <w:color w:val="auto"/>
              </w:rPr>
            </w:pPr>
          </w:p>
        </w:tc>
      </w:tr>
      <w:tr>
        <w:trPr>
          <w:trHeight w:val="135"/>
        </w:trPr>
        <w:tc>
          <w:tcPr>
            <w:tcW w:w="230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50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86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jc w:val="right"/>
              <w:ind w:right="219"/>
              <w:spacing w:after="0" w:line="136" w:lineRule="exact"/>
              <w:rPr>
                <w:sz w:val="20"/>
                <w:szCs w:val="20"/>
                <w:color w:val="auto"/>
              </w:rPr>
            </w:pPr>
            <w:r>
              <w:rPr>
                <w:rFonts w:ascii="Arial" w:cs="Arial" w:eastAsia="Arial" w:hAnsi="Arial"/>
                <w:sz w:val="12"/>
                <w:szCs w:val="12"/>
                <w:color w:val="auto"/>
              </w:rPr>
              <w:t>9,955</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(e)</w:t>
            </w:r>
          </w:p>
        </w:tc>
        <w:tc>
          <w:tcPr>
            <w:tcW w:w="0" w:type="dxa"/>
            <w:vAlign w:val="bottom"/>
          </w:tcPr>
          <w:p>
            <w:pPr>
              <w:spacing w:after="0"/>
              <w:rPr>
                <w:sz w:val="1"/>
                <w:szCs w:val="1"/>
                <w:color w:val="auto"/>
              </w:rPr>
            </w:pPr>
          </w:p>
        </w:tc>
      </w:tr>
      <w:tr>
        <w:trPr>
          <w:trHeight w:val="153"/>
        </w:trPr>
        <w:tc>
          <w:tcPr>
            <w:tcW w:w="230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080" w:type="dxa"/>
            <w:vAlign w:val="bottom"/>
            <w:shd w:val="clear" w:color="auto" w:fill="D9D9D9"/>
          </w:tcPr>
          <w:p>
            <w:pPr>
              <w:spacing w:after="0"/>
              <w:rPr>
                <w:sz w:val="13"/>
                <w:szCs w:val="13"/>
                <w:color w:val="auto"/>
              </w:rPr>
            </w:pPr>
          </w:p>
        </w:tc>
        <w:tc>
          <w:tcPr>
            <w:tcW w:w="480" w:type="dxa"/>
            <w:vAlign w:val="bottom"/>
            <w:shd w:val="clear" w:color="auto" w:fill="D9D9D9"/>
          </w:tcPr>
          <w:p>
            <w:pPr>
              <w:spacing w:after="0"/>
              <w:rPr>
                <w:sz w:val="13"/>
                <w:szCs w:val="13"/>
                <w:color w:val="auto"/>
              </w:rPr>
            </w:pPr>
          </w:p>
        </w:tc>
        <w:tc>
          <w:tcPr>
            <w:tcW w:w="620" w:type="dxa"/>
            <w:vAlign w:val="bottom"/>
            <w:shd w:val="clear" w:color="auto" w:fill="D9D9D9"/>
          </w:tcPr>
          <w:p>
            <w:pPr>
              <w:spacing w:after="0"/>
              <w:rPr>
                <w:sz w:val="13"/>
                <w:szCs w:val="13"/>
                <w:color w:val="auto"/>
              </w:rPr>
            </w:pPr>
          </w:p>
        </w:tc>
        <w:tc>
          <w:tcPr>
            <w:tcW w:w="500" w:type="dxa"/>
            <w:vAlign w:val="bottom"/>
            <w:shd w:val="clear" w:color="auto" w:fill="D9D9D9"/>
          </w:tcPr>
          <w:p>
            <w:pPr>
              <w:spacing w:after="0"/>
              <w:rPr>
                <w:sz w:val="13"/>
                <w:szCs w:val="13"/>
                <w:color w:val="auto"/>
              </w:rPr>
            </w:pPr>
          </w:p>
        </w:tc>
        <w:tc>
          <w:tcPr>
            <w:tcW w:w="620" w:type="dxa"/>
            <w:vAlign w:val="bottom"/>
            <w:shd w:val="clear" w:color="auto" w:fill="D9D9D9"/>
          </w:tcPr>
          <w:p>
            <w:pPr>
              <w:spacing w:after="0"/>
              <w:rPr>
                <w:sz w:val="13"/>
                <w:szCs w:val="13"/>
                <w:color w:val="auto"/>
              </w:rPr>
            </w:pPr>
          </w:p>
        </w:tc>
        <w:tc>
          <w:tcPr>
            <w:tcW w:w="86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1040" w:type="dxa"/>
            <w:vAlign w:val="bottom"/>
            <w:shd w:val="clear" w:color="auto" w:fill="D9D9D9"/>
          </w:tcPr>
          <w:p>
            <w:pPr>
              <w:jc w:val="right"/>
              <w:ind w:right="219"/>
              <w:spacing w:after="0"/>
              <w:rPr>
                <w:sz w:val="20"/>
                <w:szCs w:val="20"/>
                <w:color w:val="auto"/>
              </w:rPr>
            </w:pPr>
            <w:r>
              <w:rPr>
                <w:rFonts w:ascii="Arial" w:cs="Arial" w:eastAsia="Arial" w:hAnsi="Arial"/>
                <w:sz w:val="12"/>
                <w:szCs w:val="12"/>
                <w:color w:val="auto"/>
              </w:rPr>
              <w:t>9,955</w:t>
            </w:r>
          </w:p>
        </w:tc>
        <w:tc>
          <w:tcPr>
            <w:tcW w:w="880" w:type="dxa"/>
            <w:vAlign w:val="bottom"/>
            <w:shd w:val="clear" w:color="auto" w:fill="D9D9D9"/>
          </w:tcPr>
          <w:p>
            <w:pPr>
              <w:jc w:val="right"/>
              <w:spacing w:after="0"/>
              <w:rPr>
                <w:sz w:val="20"/>
                <w:szCs w:val="20"/>
                <w:color w:val="auto"/>
              </w:rPr>
            </w:pPr>
            <w:r>
              <w:rPr>
                <w:rFonts w:ascii="Arial" w:cs="Arial" w:eastAsia="Arial" w:hAnsi="Arial"/>
                <w:sz w:val="9"/>
                <w:szCs w:val="9"/>
                <w:color w:val="auto"/>
              </w:rPr>
              <w:t>(f)</w:t>
            </w:r>
          </w:p>
        </w:tc>
        <w:tc>
          <w:tcPr>
            <w:tcW w:w="0" w:type="dxa"/>
            <w:vAlign w:val="bottom"/>
          </w:tcPr>
          <w:p>
            <w:pPr>
              <w:spacing w:after="0"/>
              <w:rPr>
                <w:sz w:val="1"/>
                <w:szCs w:val="1"/>
                <w:color w:val="auto"/>
              </w:rPr>
            </w:pPr>
          </w:p>
        </w:tc>
      </w:tr>
      <w:tr>
        <w:trPr>
          <w:trHeight w:val="98"/>
        </w:trPr>
        <w:tc>
          <w:tcPr>
            <w:tcW w:w="23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4458335</wp:posOffset>
            </wp:positionH>
            <wp:positionV relativeFrom="paragraph">
              <wp:posOffset>-3211830</wp:posOffset>
            </wp:positionV>
            <wp:extent cx="7620" cy="31419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20" cy="3141980"/>
                    </a:xfrm>
                    <a:prstGeom prst="rect">
                      <a:avLst/>
                    </a:prstGeom>
                    <a:noFill/>
                  </pic:spPr>
                </pic:pic>
              </a:graphicData>
            </a:graphic>
          </wp:anchor>
        </w:drawing>
      </w:r>
    </w:p>
    <w:p>
      <w:pPr>
        <w:spacing w:after="0" w:line="49" w:lineRule="exact"/>
        <w:rPr>
          <w:sz w:val="20"/>
          <w:szCs w:val="20"/>
          <w:color w:val="auto"/>
        </w:rPr>
      </w:pPr>
    </w:p>
    <w:p>
      <w:pPr>
        <w:ind w:left="289" w:right="220" w:hanging="289"/>
        <w:spacing w:after="0" w:line="245" w:lineRule="auto"/>
        <w:tabs>
          <w:tab w:leader="none" w:pos="289"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are performance shares that remained outstanding and unvested on December 31, 2025, from an award made on February 16, 2023. The award has the potential to vest at 0% to 187.5% of target after a three-year performance period based on company performance in adjusted diluted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2023, AbbVie’s adjusted diluted EPS performance resulted in the banking of the award at 150% of target, with vesting to be determined based on the company’s relative TSR performance during the three-year performance period that ends December 31, 2025. In 2025, AbbVie’s three-year relative TSR performance resulted in a final vesting on February 27, 2026 of the award at 187.5% of target.</w:t>
      </w:r>
    </w:p>
    <w:p>
      <w:pPr>
        <w:spacing w:after="0" w:line="165" w:lineRule="exact"/>
        <w:rPr>
          <w:rFonts w:ascii="Arial" w:cs="Arial" w:eastAsia="Arial" w:hAnsi="Arial"/>
          <w:sz w:val="16"/>
          <w:szCs w:val="16"/>
          <w:color w:val="auto"/>
        </w:rPr>
      </w:pPr>
    </w:p>
    <w:p>
      <w:pPr>
        <w:ind w:left="289" w:right="40" w:hanging="289"/>
        <w:spacing w:after="0" w:line="247" w:lineRule="auto"/>
        <w:tabs>
          <w:tab w:leader="none" w:pos="289"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are performance-vested restricted stock units that remained outstanding and unvested on December 31, 2025, from an award made on February 16, 2023. The award has the potential to vest at 0% to 200% of target in one-third increments during a three-year performance period based on AbbVie’s return on invested capital (ROIC)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2025, AbbVie’s relative ROIC performance resulted in the vesting on February 27, 2026 of one-third of the award at 200% of target.</w:t>
      </w:r>
    </w:p>
    <w:p>
      <w:pPr>
        <w:spacing w:after="0" w:line="200" w:lineRule="exact"/>
        <w:rPr>
          <w:sz w:val="20"/>
          <w:szCs w:val="20"/>
          <w:color w:val="auto"/>
        </w:rPr>
      </w:pPr>
    </w:p>
    <w:p>
      <w:pPr>
        <w:spacing w:after="0" w:line="351"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56</w:t>
      </w:r>
      <w:r>
        <w:rPr>
          <w:sz w:val="20"/>
          <w:szCs w:val="20"/>
          <w:color w:val="auto"/>
        </w:rPr>
        <w:tab/>
      </w:r>
      <w:r>
        <w:rPr>
          <w:sz w:val="1"/>
          <w:szCs w:val="1"/>
          <w:color w:val="auto"/>
        </w:rPr>
        <w:drawing>
          <wp:inline distT="0" distB="0" distL="0" distR="0">
            <wp:extent cx="797560" cy="14859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1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59" w:name="page60"/>
    <w:bookmarkEnd w:id="59"/>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289" w:right="220" w:hanging="289"/>
        <w:spacing w:after="0" w:line="246" w:lineRule="auto"/>
        <w:tabs>
          <w:tab w:leader="none" w:pos="289"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These are performance shares that remained outstanding and unvested on December 31, 2025, from an award made on February 15, 2024. The award has the potential to vest at 0% to 250% of target after a three-year performance period based on company performance in adjusted diluted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2024, AbbVie’s adjusted diluted EPS performance resulted in the banking of the award at 200% of target, with vesting to be determined based on the company’s relative TSR performance during the three-year performance period that ends December 31, 2026.</w:t>
      </w:r>
    </w:p>
    <w:p>
      <w:pPr>
        <w:spacing w:after="0" w:line="165" w:lineRule="exact"/>
        <w:rPr>
          <w:rFonts w:ascii="Arial" w:cs="Arial" w:eastAsia="Arial" w:hAnsi="Arial"/>
          <w:sz w:val="16"/>
          <w:szCs w:val="16"/>
          <w:color w:val="auto"/>
        </w:rPr>
      </w:pPr>
    </w:p>
    <w:p>
      <w:pPr>
        <w:ind w:left="289" w:right="40" w:hanging="289"/>
        <w:spacing w:after="0" w:line="247" w:lineRule="auto"/>
        <w:tabs>
          <w:tab w:leader="none" w:pos="289"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These are performance-vested restricted stock units that remained outstanding and unvested on December 31, 2025, from an award made on February 15, 2024. The award has the potential to vest at 0% to 200% of target in one-third increments during a three-year performance period based on AbbVie’s return on invested capital (ROIC)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2025, AbbVie’s relative ROIC performance resulted in the vesting on February 27, 2026 of one-third of the award at 200% of target.</w:t>
      </w:r>
    </w:p>
    <w:p>
      <w:pPr>
        <w:spacing w:after="0" w:line="164" w:lineRule="exact"/>
        <w:rPr>
          <w:rFonts w:ascii="Arial" w:cs="Arial" w:eastAsia="Arial" w:hAnsi="Arial"/>
          <w:sz w:val="16"/>
          <w:szCs w:val="16"/>
          <w:color w:val="auto"/>
        </w:rPr>
      </w:pPr>
    </w:p>
    <w:p>
      <w:pPr>
        <w:ind w:left="289" w:right="220" w:hanging="289"/>
        <w:spacing w:after="0" w:line="246" w:lineRule="auto"/>
        <w:tabs>
          <w:tab w:leader="none" w:pos="289"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These are performance shares that remained outstanding and unvested on December 31, 2025, from an award made on February 13, 2025. The award has the potential to vest at 0% to 250% of target after a three-year performance period based on company performance in adjusted diluted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2025, AbbVie’s adjusted diluted EPS performance resulted in the banking of the award at 200% of target, with vesting to be determined based on the company’s relative TSR performance during the three-year performance period that ends December 31, 2027.</w:t>
      </w:r>
    </w:p>
    <w:p>
      <w:pPr>
        <w:spacing w:after="0" w:line="165" w:lineRule="exact"/>
        <w:rPr>
          <w:rFonts w:ascii="Arial" w:cs="Arial" w:eastAsia="Arial" w:hAnsi="Arial"/>
          <w:sz w:val="16"/>
          <w:szCs w:val="16"/>
          <w:color w:val="auto"/>
        </w:rPr>
      </w:pPr>
    </w:p>
    <w:p>
      <w:pPr>
        <w:ind w:left="289" w:right="40" w:hanging="289"/>
        <w:spacing w:after="0" w:line="247" w:lineRule="auto"/>
        <w:tabs>
          <w:tab w:leader="none" w:pos="289"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These are performance-vested restricted stock units that remained outstanding and unvested on December 31, 2025, from an award made on February 13, 2025. The award has the potential to vest at 0% to 200% of target in one-third increments during a three-year performance period based on AbbVie’s return on invested capital (ROIC)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2025, AbbVie’s relative ROIC performance resulted in the vesting on February 27, 2026 of one-third of the award at 200%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-491490</wp:posOffset>
            </wp:positionV>
            <wp:extent cx="797560" cy="148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60" w:name="page61"/>
    <w:bookmarkEnd w:id="60"/>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EXECUTIVE COMPENSATION</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30"/>
          <w:szCs w:val="30"/>
          <w:color w:val="auto"/>
        </w:rPr>
        <w:t>2025 Option Exercises and Stock Vested</w:t>
      </w:r>
    </w:p>
    <w:p>
      <w:pPr>
        <w:spacing w:after="0" w:line="204" w:lineRule="exact"/>
        <w:rPr>
          <w:sz w:val="20"/>
          <w:szCs w:val="20"/>
          <w:color w:val="auto"/>
        </w:rPr>
      </w:pPr>
    </w:p>
    <w:p>
      <w:pPr>
        <w:ind w:left="9" w:right="160"/>
        <w:spacing w:after="0" w:line="283" w:lineRule="auto"/>
        <w:rPr>
          <w:sz w:val="20"/>
          <w:szCs w:val="20"/>
          <w:color w:val="auto"/>
        </w:rPr>
      </w:pPr>
      <w:r>
        <w:rPr>
          <w:rFonts w:ascii="Arial" w:cs="Arial" w:eastAsia="Arial" w:hAnsi="Arial"/>
          <w:sz w:val="16"/>
          <w:szCs w:val="16"/>
          <w:color w:val="auto"/>
        </w:rPr>
        <w:t>The following table summarizes for each NEO the number of shares acquired on the exercise of AbbVie stock options and the number of shares acquired on the vesting of AbbVie stock awards in 2025:</w:t>
      </w:r>
    </w:p>
    <w:p>
      <w:pPr>
        <w:spacing w:after="0" w:line="154" w:lineRule="exact"/>
        <w:rPr>
          <w:sz w:val="20"/>
          <w:szCs w:val="20"/>
          <w:color w:val="auto"/>
        </w:rPr>
      </w:pPr>
    </w:p>
    <w:tbl>
      <w:tblPr>
        <w:tblLayout w:type="fixed"/>
        <w:tblInd w:w="9" w:type="dxa"/>
        <w:tblCellMar>
          <w:top w:w="0" w:type="dxa"/>
          <w:left w:w="0" w:type="dxa"/>
          <w:bottom w:w="0" w:type="dxa"/>
          <w:right w:w="0" w:type="dxa"/>
        </w:tblCellMar>
      </w:tblPr>
      <w:tr>
        <w:trPr>
          <w:trHeight w:val="155"/>
        </w:trPr>
        <w:tc>
          <w:tcPr>
            <w:tcW w:w="2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7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454968"/>
              </w:rPr>
              <w:t>Option Awards</w:t>
            </w:r>
          </w:p>
        </w:tc>
        <w:tc>
          <w:tcPr>
            <w:tcW w:w="2400" w:type="dxa"/>
            <w:vAlign w:val="bottom"/>
            <w:gridSpan w:val="3"/>
          </w:tcPr>
          <w:p>
            <w:pPr>
              <w:jc w:val="right"/>
              <w:ind w:right="744"/>
              <w:spacing w:after="0"/>
              <w:rPr>
                <w:sz w:val="20"/>
                <w:szCs w:val="20"/>
                <w:color w:val="auto"/>
              </w:rPr>
            </w:pPr>
            <w:r>
              <w:rPr>
                <w:rFonts w:ascii="Arial" w:cs="Arial" w:eastAsia="Arial" w:hAnsi="Arial"/>
                <w:sz w:val="13"/>
                <w:szCs w:val="13"/>
                <w:b w:val="1"/>
                <w:bCs w:val="1"/>
                <w:color w:val="454968"/>
              </w:rPr>
              <w:t>Stock Awards</w:t>
            </w:r>
          </w:p>
        </w:tc>
      </w:tr>
      <w:tr>
        <w:trPr>
          <w:trHeight w:val="132"/>
        </w:trPr>
        <w:tc>
          <w:tcPr>
            <w:tcW w:w="26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60" w:type="dxa"/>
            <w:vAlign w:val="bottom"/>
            <w:tcBorders>
              <w:top w:val="single" w:sz="8" w:color="071D49"/>
            </w:tcBorders>
          </w:tcPr>
          <w:p>
            <w:pPr>
              <w:jc w:val="right"/>
              <w:spacing w:after="0" w:line="133" w:lineRule="exact"/>
              <w:rPr>
                <w:sz w:val="20"/>
                <w:szCs w:val="20"/>
                <w:color w:val="auto"/>
              </w:rPr>
            </w:pPr>
            <w:r>
              <w:rPr>
                <w:rFonts w:ascii="Arial" w:cs="Arial" w:eastAsia="Arial" w:hAnsi="Arial"/>
                <w:sz w:val="13"/>
                <w:szCs w:val="13"/>
                <w:b w:val="1"/>
                <w:bCs w:val="1"/>
                <w:color w:val="454968"/>
              </w:rPr>
              <w:t>Number of</w:t>
            </w:r>
          </w:p>
        </w:tc>
        <w:tc>
          <w:tcPr>
            <w:tcW w:w="440" w:type="dxa"/>
            <w:vAlign w:val="bottom"/>
            <w:tcBorders>
              <w:top w:val="single" w:sz="8" w:color="071D49"/>
            </w:tcBorders>
          </w:tcPr>
          <w:p>
            <w:pPr>
              <w:spacing w:after="0"/>
              <w:rPr>
                <w:sz w:val="11"/>
                <w:szCs w:val="11"/>
                <w:color w:val="auto"/>
              </w:rPr>
            </w:pPr>
          </w:p>
        </w:tc>
        <w:tc>
          <w:tcPr>
            <w:tcW w:w="980" w:type="dxa"/>
            <w:vAlign w:val="bottom"/>
            <w:tcBorders>
              <w:top w:val="single" w:sz="8" w:color="071D49"/>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071D49"/>
            </w:tcBorders>
          </w:tcPr>
          <w:p>
            <w:pPr>
              <w:spacing w:after="0"/>
              <w:rPr>
                <w:sz w:val="11"/>
                <w:szCs w:val="11"/>
                <w:color w:val="auto"/>
              </w:rPr>
            </w:pPr>
          </w:p>
        </w:tc>
        <w:tc>
          <w:tcPr>
            <w:tcW w:w="880" w:type="dxa"/>
            <w:vAlign w:val="bottom"/>
            <w:tcBorders>
              <w:top w:val="single" w:sz="8" w:color="071D49"/>
            </w:tcBorders>
          </w:tcPr>
          <w:p>
            <w:pPr>
              <w:jc w:val="right"/>
              <w:spacing w:after="0" w:line="133" w:lineRule="exact"/>
              <w:rPr>
                <w:sz w:val="20"/>
                <w:szCs w:val="20"/>
                <w:color w:val="auto"/>
              </w:rPr>
            </w:pPr>
            <w:r>
              <w:rPr>
                <w:rFonts w:ascii="Arial" w:cs="Arial" w:eastAsia="Arial" w:hAnsi="Arial"/>
                <w:sz w:val="13"/>
                <w:szCs w:val="13"/>
                <w:b w:val="1"/>
                <w:bCs w:val="1"/>
                <w:color w:val="454968"/>
              </w:rPr>
              <w:t>Number of</w:t>
            </w:r>
          </w:p>
        </w:tc>
        <w:tc>
          <w:tcPr>
            <w:tcW w:w="460" w:type="dxa"/>
            <w:vAlign w:val="bottom"/>
            <w:tcBorders>
              <w:top w:val="single" w:sz="8" w:color="071D49"/>
            </w:tcBorders>
          </w:tcPr>
          <w:p>
            <w:pPr>
              <w:spacing w:after="0"/>
              <w:rPr>
                <w:sz w:val="11"/>
                <w:szCs w:val="11"/>
                <w:color w:val="auto"/>
              </w:rPr>
            </w:pPr>
          </w:p>
        </w:tc>
        <w:tc>
          <w:tcPr>
            <w:tcW w:w="1060" w:type="dxa"/>
            <w:vAlign w:val="bottom"/>
            <w:tcBorders>
              <w:top w:val="single" w:sz="8" w:color="071D49"/>
            </w:tcBorders>
          </w:tcPr>
          <w:p>
            <w:pPr>
              <w:spacing w:after="0"/>
              <w:rPr>
                <w:sz w:val="11"/>
                <w:szCs w:val="11"/>
                <w:color w:val="auto"/>
              </w:rPr>
            </w:pPr>
          </w:p>
        </w:tc>
      </w:tr>
      <w:tr>
        <w:trPr>
          <w:trHeight w:val="148"/>
        </w:trPr>
        <w:tc>
          <w:tcPr>
            <w:tcW w:w="2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b w:val="1"/>
                <w:bCs w:val="1"/>
                <w:color w:val="454968"/>
              </w:rPr>
              <w:t>Shares</w:t>
            </w:r>
          </w:p>
        </w:tc>
        <w:tc>
          <w:tcPr>
            <w:tcW w:w="440" w:type="dxa"/>
            <w:vAlign w:val="bottom"/>
          </w:tcPr>
          <w:p>
            <w:pPr>
              <w:spacing w:after="0"/>
              <w:rPr>
                <w:sz w:val="12"/>
                <w:szCs w:val="12"/>
                <w:color w:val="auto"/>
              </w:rPr>
            </w:pPr>
          </w:p>
        </w:tc>
        <w:tc>
          <w:tcPr>
            <w:tcW w:w="1100" w:type="dxa"/>
            <w:vAlign w:val="bottom"/>
            <w:gridSpan w:val="2"/>
          </w:tcPr>
          <w:p>
            <w:pPr>
              <w:jc w:val="right"/>
              <w:ind w:right="180"/>
              <w:spacing w:after="0" w:line="148" w:lineRule="exact"/>
              <w:rPr>
                <w:sz w:val="20"/>
                <w:szCs w:val="20"/>
                <w:color w:val="auto"/>
              </w:rPr>
            </w:pPr>
            <w:r>
              <w:rPr>
                <w:rFonts w:ascii="Arial" w:cs="Arial" w:eastAsia="Arial" w:hAnsi="Arial"/>
                <w:sz w:val="13"/>
                <w:szCs w:val="13"/>
                <w:b w:val="1"/>
                <w:bCs w:val="1"/>
                <w:color w:val="454968"/>
              </w:rPr>
              <w:t>Value</w:t>
            </w:r>
          </w:p>
        </w:tc>
        <w:tc>
          <w:tcPr>
            <w:tcW w:w="200" w:type="dxa"/>
            <w:vAlign w:val="bottom"/>
            <w:gridSpan w:val="2"/>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b w:val="1"/>
                <w:bCs w:val="1"/>
                <w:color w:val="454968"/>
              </w:rPr>
              <w:t>Shares</w:t>
            </w:r>
          </w:p>
        </w:tc>
        <w:tc>
          <w:tcPr>
            <w:tcW w:w="460" w:type="dxa"/>
            <w:vAlign w:val="bottom"/>
          </w:tcPr>
          <w:p>
            <w:pPr>
              <w:spacing w:after="0"/>
              <w:rPr>
                <w:sz w:val="12"/>
                <w:szCs w:val="12"/>
                <w:color w:val="auto"/>
              </w:rPr>
            </w:pPr>
          </w:p>
        </w:tc>
        <w:tc>
          <w:tcPr>
            <w:tcW w:w="1060" w:type="dxa"/>
            <w:vAlign w:val="bottom"/>
          </w:tcPr>
          <w:p>
            <w:pPr>
              <w:jc w:val="right"/>
              <w:spacing w:after="0" w:line="148" w:lineRule="exact"/>
              <w:rPr>
                <w:sz w:val="20"/>
                <w:szCs w:val="20"/>
                <w:color w:val="auto"/>
              </w:rPr>
            </w:pPr>
            <w:r>
              <w:rPr>
                <w:rFonts w:ascii="Arial" w:cs="Arial" w:eastAsia="Arial" w:hAnsi="Arial"/>
                <w:sz w:val="13"/>
                <w:szCs w:val="13"/>
                <w:b w:val="1"/>
                <w:bCs w:val="1"/>
                <w:color w:val="454968"/>
              </w:rPr>
              <w:t>Value</w:t>
            </w:r>
          </w:p>
        </w:tc>
      </w:tr>
      <w:tr>
        <w:trPr>
          <w:trHeight w:val="148"/>
        </w:trPr>
        <w:tc>
          <w:tcPr>
            <w:tcW w:w="2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b w:val="1"/>
                <w:bCs w:val="1"/>
                <w:color w:val="454968"/>
              </w:rPr>
              <w:t>Acquired On</w:t>
            </w:r>
          </w:p>
        </w:tc>
        <w:tc>
          <w:tcPr>
            <w:tcW w:w="440" w:type="dxa"/>
            <w:vAlign w:val="bottom"/>
          </w:tcPr>
          <w:p>
            <w:pPr>
              <w:spacing w:after="0"/>
              <w:rPr>
                <w:sz w:val="12"/>
                <w:szCs w:val="12"/>
                <w:color w:val="auto"/>
              </w:rPr>
            </w:pPr>
          </w:p>
        </w:tc>
        <w:tc>
          <w:tcPr>
            <w:tcW w:w="1100" w:type="dxa"/>
            <w:vAlign w:val="bottom"/>
            <w:gridSpan w:val="2"/>
          </w:tcPr>
          <w:p>
            <w:pPr>
              <w:jc w:val="right"/>
              <w:ind w:right="180"/>
              <w:spacing w:after="0" w:line="148" w:lineRule="exact"/>
              <w:rPr>
                <w:sz w:val="20"/>
                <w:szCs w:val="20"/>
                <w:color w:val="auto"/>
              </w:rPr>
            </w:pPr>
            <w:r>
              <w:rPr>
                <w:rFonts w:ascii="Arial" w:cs="Arial" w:eastAsia="Arial" w:hAnsi="Arial"/>
                <w:sz w:val="13"/>
                <w:szCs w:val="13"/>
                <w:b w:val="1"/>
                <w:bCs w:val="1"/>
                <w:color w:val="454968"/>
              </w:rPr>
              <w:t>Realized On</w:t>
            </w:r>
          </w:p>
        </w:tc>
        <w:tc>
          <w:tcPr>
            <w:tcW w:w="200" w:type="dxa"/>
            <w:vAlign w:val="bottom"/>
            <w:gridSpan w:val="2"/>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b w:val="1"/>
                <w:bCs w:val="1"/>
                <w:color w:val="454968"/>
              </w:rPr>
              <w:t>Acquired On</w:t>
            </w:r>
          </w:p>
        </w:tc>
        <w:tc>
          <w:tcPr>
            <w:tcW w:w="460" w:type="dxa"/>
            <w:vAlign w:val="bottom"/>
          </w:tcPr>
          <w:p>
            <w:pPr>
              <w:spacing w:after="0"/>
              <w:rPr>
                <w:sz w:val="12"/>
                <w:szCs w:val="12"/>
                <w:color w:val="auto"/>
              </w:rPr>
            </w:pPr>
          </w:p>
        </w:tc>
        <w:tc>
          <w:tcPr>
            <w:tcW w:w="1060" w:type="dxa"/>
            <w:vAlign w:val="bottom"/>
          </w:tcPr>
          <w:p>
            <w:pPr>
              <w:jc w:val="right"/>
              <w:spacing w:after="0" w:line="148" w:lineRule="exact"/>
              <w:rPr>
                <w:sz w:val="20"/>
                <w:szCs w:val="20"/>
                <w:color w:val="auto"/>
              </w:rPr>
            </w:pPr>
            <w:r>
              <w:rPr>
                <w:rFonts w:ascii="Arial" w:cs="Arial" w:eastAsia="Arial" w:hAnsi="Arial"/>
                <w:sz w:val="13"/>
                <w:szCs w:val="13"/>
                <w:b w:val="1"/>
                <w:bCs w:val="1"/>
                <w:color w:val="454968"/>
              </w:rPr>
              <w:t>Realized On</w:t>
            </w:r>
          </w:p>
        </w:tc>
      </w:tr>
      <w:tr>
        <w:trPr>
          <w:trHeight w:val="155"/>
        </w:trPr>
        <w:tc>
          <w:tcPr>
            <w:tcW w:w="2680" w:type="dxa"/>
            <w:vAlign w:val="bottom"/>
          </w:tcPr>
          <w:p>
            <w:pPr>
              <w:spacing w:after="0"/>
              <w:rPr>
                <w:sz w:val="20"/>
                <w:szCs w:val="20"/>
                <w:color w:val="auto"/>
              </w:rPr>
            </w:pPr>
            <w:r>
              <w:rPr>
                <w:rFonts w:ascii="Arial" w:cs="Arial" w:eastAsia="Arial" w:hAnsi="Arial"/>
                <w:sz w:val="13"/>
                <w:szCs w:val="13"/>
                <w:b w:val="1"/>
                <w:bCs w:val="1"/>
                <w:color w:val="454968"/>
              </w:rPr>
              <w:t>Name</w:t>
            </w:r>
          </w:p>
        </w:tc>
        <w:tc>
          <w:tcPr>
            <w:tcW w:w="2440" w:type="dxa"/>
            <w:vAlign w:val="bottom"/>
            <w:gridSpan w:val="2"/>
          </w:tcPr>
          <w:p>
            <w:pPr>
              <w:jc w:val="right"/>
              <w:spacing w:after="0"/>
              <w:rPr>
                <w:sz w:val="20"/>
                <w:szCs w:val="20"/>
                <w:color w:val="auto"/>
              </w:rPr>
            </w:pPr>
            <w:r>
              <w:rPr>
                <w:rFonts w:ascii="Arial" w:cs="Arial" w:eastAsia="Arial" w:hAnsi="Arial"/>
                <w:sz w:val="13"/>
                <w:szCs w:val="13"/>
                <w:b w:val="1"/>
                <w:bCs w:val="1"/>
                <w:color w:val="454968"/>
              </w:rPr>
              <w:t>​​​   Exercise (#)</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454968"/>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454968"/>
              </w:rPr>
              <w:t>Exercise ($)</w:t>
            </w:r>
          </w:p>
        </w:tc>
        <w:tc>
          <w:tcPr>
            <w:tcW w:w="200" w:type="dxa"/>
            <w:vAlign w:val="bottom"/>
            <w:gridSpan w:val="2"/>
          </w:tcPr>
          <w:p>
            <w:pPr>
              <w:spacing w:after="0"/>
              <w:rPr>
                <w:sz w:val="20"/>
                <w:szCs w:val="20"/>
                <w:color w:val="auto"/>
              </w:rPr>
            </w:pPr>
            <w:r>
              <w:rPr>
                <w:rFonts w:ascii="Arial" w:cs="Arial" w:eastAsia="Arial" w:hAnsi="Arial"/>
                <w:sz w:val="13"/>
                <w:szCs w:val="13"/>
                <w:b w:val="1"/>
                <w:bCs w:val="1"/>
                <w:color w:val="454968"/>
              </w:rPr>
              <w:t>​ ​</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454968"/>
              </w:rPr>
              <w:t>Vesting (#)</w:t>
            </w:r>
          </w:p>
        </w:tc>
        <w:tc>
          <w:tcPr>
            <w:tcW w:w="460" w:type="dxa"/>
            <w:vAlign w:val="bottom"/>
          </w:tcPr>
          <w:p>
            <w:pPr>
              <w:jc w:val="right"/>
              <w:ind w:right="226"/>
              <w:spacing w:after="0"/>
              <w:rPr>
                <w:sz w:val="20"/>
                <w:szCs w:val="20"/>
                <w:color w:val="auto"/>
              </w:rPr>
            </w:pPr>
            <w:r>
              <w:rPr>
                <w:rFonts w:ascii="Arial" w:cs="Arial" w:eastAsia="Arial" w:hAnsi="Arial"/>
                <w:sz w:val="13"/>
                <w:szCs w:val="13"/>
                <w:b w:val="1"/>
                <w:bCs w:val="1"/>
                <w:color w:val="454968"/>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454968"/>
              </w:rPr>
              <w:t>Vesting ($)</w:t>
            </w:r>
          </w:p>
        </w:tc>
      </w:tr>
      <w:tr>
        <w:trPr>
          <w:trHeight w:val="177"/>
        </w:trPr>
        <w:tc>
          <w:tcPr>
            <w:tcW w:w="2680" w:type="dxa"/>
            <w:vAlign w:val="bottom"/>
            <w:tcBorders>
              <w:top w:val="single" w:sz="8" w:color="071D49"/>
            </w:tcBorders>
            <w:shd w:val="clear" w:color="auto" w:fill="D9D9D9"/>
          </w:tcPr>
          <w:p>
            <w:pPr>
              <w:spacing w:after="0" w:line="177" w:lineRule="exact"/>
              <w:rPr>
                <w:sz w:val="20"/>
                <w:szCs w:val="20"/>
                <w:color w:val="auto"/>
              </w:rPr>
            </w:pPr>
            <w:r>
              <w:rPr>
                <w:rFonts w:ascii="Arial" w:cs="Arial" w:eastAsia="Arial" w:hAnsi="Arial"/>
                <w:sz w:val="16"/>
                <w:szCs w:val="16"/>
                <w:color w:val="auto"/>
              </w:rPr>
              <w:t>R. Michael</w:t>
            </w:r>
          </w:p>
        </w:tc>
        <w:tc>
          <w:tcPr>
            <w:tcW w:w="2440" w:type="dxa"/>
            <w:vAlign w:val="bottom"/>
            <w:tcBorders>
              <w:top w:val="single" w:sz="8" w:color="071D49"/>
            </w:tcBorders>
            <w:gridSpan w:val="2"/>
            <w:shd w:val="clear" w:color="auto" w:fill="D9D9D9"/>
          </w:tcPr>
          <w:p>
            <w:pPr>
              <w:jc w:val="right"/>
              <w:spacing w:after="0" w:line="177" w:lineRule="exact"/>
              <w:rPr>
                <w:sz w:val="20"/>
                <w:szCs w:val="20"/>
                <w:color w:val="auto"/>
              </w:rPr>
            </w:pPr>
            <w:r>
              <w:rPr>
                <w:rFonts w:ascii="Arial" w:cs="Arial" w:eastAsia="Arial" w:hAnsi="Arial"/>
                <w:sz w:val="16"/>
                <w:szCs w:val="16"/>
                <w:color w:val="auto"/>
              </w:rPr>
              <w:t>-</w:t>
            </w:r>
          </w:p>
        </w:tc>
        <w:tc>
          <w:tcPr>
            <w:tcW w:w="440" w:type="dxa"/>
            <w:vAlign w:val="bottom"/>
            <w:tcBorders>
              <w:top w:val="single" w:sz="8" w:color="071D49"/>
            </w:tcBorders>
            <w:shd w:val="clear" w:color="auto" w:fill="D9D9D9"/>
          </w:tcPr>
          <w:p>
            <w:pPr>
              <w:jc w:val="right"/>
              <w:ind w:right="86"/>
              <w:spacing w:after="0" w:line="177" w:lineRule="exact"/>
              <w:rPr>
                <w:sz w:val="20"/>
                <w:szCs w:val="20"/>
                <w:color w:val="auto"/>
              </w:rPr>
            </w:pPr>
            <w:r>
              <w:rPr>
                <w:rFonts w:ascii="Arial" w:cs="Arial" w:eastAsia="Arial" w:hAnsi="Arial"/>
                <w:sz w:val="16"/>
                <w:szCs w:val="16"/>
                <w:color w:val="auto"/>
              </w:rPr>
              <w:t>$</w:t>
            </w:r>
          </w:p>
        </w:tc>
        <w:tc>
          <w:tcPr>
            <w:tcW w:w="980" w:type="dxa"/>
            <w:vAlign w:val="bottom"/>
            <w:tcBorders>
              <w:top w:val="single" w:sz="8" w:color="071D49"/>
            </w:tcBorders>
            <w:shd w:val="clear" w:color="auto" w:fill="D9D9D9"/>
          </w:tcPr>
          <w:p>
            <w:pPr>
              <w:jc w:val="right"/>
              <w:spacing w:after="0" w:line="177"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D9D9D9"/>
            </w:tcBorders>
            <w:shd w:val="clear" w:color="auto" w:fill="D9D9D9"/>
          </w:tcPr>
          <w:p>
            <w:pPr>
              <w:spacing w:after="0"/>
              <w:rPr>
                <w:sz w:val="15"/>
                <w:szCs w:val="15"/>
                <w:color w:val="auto"/>
              </w:rPr>
            </w:pPr>
          </w:p>
        </w:tc>
        <w:tc>
          <w:tcPr>
            <w:tcW w:w="120" w:type="dxa"/>
            <w:vAlign w:val="bottom"/>
            <w:tcBorders>
              <w:top w:val="single" w:sz="8" w:color="D9D9D9"/>
            </w:tcBorders>
            <w:shd w:val="clear" w:color="auto" w:fill="D9D9D9"/>
          </w:tcPr>
          <w:p>
            <w:pPr>
              <w:spacing w:after="0"/>
              <w:rPr>
                <w:sz w:val="15"/>
                <w:szCs w:val="15"/>
                <w:color w:val="auto"/>
              </w:rPr>
            </w:pPr>
          </w:p>
        </w:tc>
        <w:tc>
          <w:tcPr>
            <w:tcW w:w="80" w:type="dxa"/>
            <w:vAlign w:val="bottom"/>
            <w:tcBorders>
              <w:top w:val="single" w:sz="8" w:color="071D49"/>
            </w:tcBorders>
            <w:shd w:val="clear" w:color="auto" w:fill="D9D9D9"/>
          </w:tcPr>
          <w:p>
            <w:pPr>
              <w:spacing w:after="0"/>
              <w:rPr>
                <w:sz w:val="15"/>
                <w:szCs w:val="15"/>
                <w:color w:val="auto"/>
              </w:rPr>
            </w:pPr>
          </w:p>
        </w:tc>
        <w:tc>
          <w:tcPr>
            <w:tcW w:w="880" w:type="dxa"/>
            <w:vAlign w:val="bottom"/>
            <w:tcBorders>
              <w:top w:val="single" w:sz="8" w:color="071D49"/>
            </w:tcBorders>
            <w:shd w:val="clear" w:color="auto" w:fill="D9D9D9"/>
          </w:tcPr>
          <w:p>
            <w:pPr>
              <w:jc w:val="right"/>
              <w:spacing w:after="0" w:line="177" w:lineRule="exact"/>
              <w:rPr>
                <w:sz w:val="20"/>
                <w:szCs w:val="20"/>
                <w:color w:val="auto"/>
              </w:rPr>
            </w:pPr>
            <w:r>
              <w:rPr>
                <w:rFonts w:ascii="Arial" w:cs="Arial" w:eastAsia="Arial" w:hAnsi="Arial"/>
                <w:sz w:val="16"/>
                <w:szCs w:val="16"/>
                <w:color w:val="auto"/>
              </w:rPr>
              <w:t>61,362</w:t>
            </w:r>
          </w:p>
        </w:tc>
        <w:tc>
          <w:tcPr>
            <w:tcW w:w="460" w:type="dxa"/>
            <w:vAlign w:val="bottom"/>
            <w:tcBorders>
              <w:top w:val="single" w:sz="8" w:color="071D49"/>
            </w:tcBorders>
            <w:shd w:val="clear" w:color="auto" w:fill="D9D9D9"/>
          </w:tcPr>
          <w:p>
            <w:pPr>
              <w:jc w:val="right"/>
              <w:ind w:right="106"/>
              <w:spacing w:after="0" w:line="177" w:lineRule="exact"/>
              <w:rPr>
                <w:sz w:val="20"/>
                <w:szCs w:val="20"/>
                <w:color w:val="auto"/>
              </w:rPr>
            </w:pPr>
            <w:r>
              <w:rPr>
                <w:rFonts w:ascii="Arial" w:cs="Arial" w:eastAsia="Arial" w:hAnsi="Arial"/>
                <w:sz w:val="16"/>
                <w:szCs w:val="16"/>
                <w:color w:val="auto"/>
              </w:rPr>
              <w:t>$</w:t>
            </w:r>
          </w:p>
        </w:tc>
        <w:tc>
          <w:tcPr>
            <w:tcW w:w="1060" w:type="dxa"/>
            <w:vAlign w:val="bottom"/>
            <w:tcBorders>
              <w:top w:val="single" w:sz="8" w:color="071D49"/>
            </w:tcBorders>
            <w:shd w:val="clear" w:color="auto" w:fill="D9D9D9"/>
          </w:tcPr>
          <w:p>
            <w:pPr>
              <w:jc w:val="right"/>
              <w:spacing w:after="0" w:line="177" w:lineRule="exact"/>
              <w:rPr>
                <w:sz w:val="20"/>
                <w:szCs w:val="20"/>
                <w:color w:val="auto"/>
              </w:rPr>
            </w:pPr>
            <w:r>
              <w:rPr>
                <w:rFonts w:ascii="Arial" w:cs="Arial" w:eastAsia="Arial" w:hAnsi="Arial"/>
                <w:sz w:val="16"/>
                <w:szCs w:val="16"/>
                <w:color w:val="auto"/>
              </w:rPr>
              <w:t>12,826,499</w:t>
            </w:r>
          </w:p>
        </w:tc>
      </w:tr>
      <w:tr>
        <w:trPr>
          <w:trHeight w:val="185"/>
        </w:trPr>
        <w:tc>
          <w:tcPr>
            <w:tcW w:w="2680" w:type="dxa"/>
            <w:vAlign w:val="bottom"/>
          </w:tcPr>
          <w:p>
            <w:pPr>
              <w:spacing w:after="0"/>
              <w:rPr>
                <w:sz w:val="20"/>
                <w:szCs w:val="20"/>
                <w:color w:val="auto"/>
              </w:rPr>
            </w:pPr>
            <w:r>
              <w:rPr>
                <w:rFonts w:ascii="Arial" w:cs="Arial" w:eastAsia="Arial" w:hAnsi="Arial"/>
                <w:sz w:val="16"/>
                <w:szCs w:val="16"/>
                <w:color w:val="auto"/>
              </w:rPr>
              <w:t>S. Reents</w:t>
            </w:r>
          </w:p>
        </w:tc>
        <w:tc>
          <w:tcPr>
            <w:tcW w:w="2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31,681</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6,533,867</w:t>
            </w:r>
          </w:p>
        </w:tc>
      </w:tr>
      <w:tr>
        <w:trPr>
          <w:trHeight w:val="185"/>
        </w:trPr>
        <w:tc>
          <w:tcPr>
            <w:tcW w:w="2680" w:type="dxa"/>
            <w:vAlign w:val="bottom"/>
            <w:shd w:val="clear" w:color="auto" w:fill="D9D9D9"/>
          </w:tcPr>
          <w:p>
            <w:pPr>
              <w:spacing w:after="0"/>
              <w:rPr>
                <w:sz w:val="20"/>
                <w:szCs w:val="20"/>
                <w:color w:val="auto"/>
              </w:rPr>
            </w:pPr>
            <w:r>
              <w:rPr>
                <w:rFonts w:ascii="Arial" w:cs="Arial" w:eastAsia="Arial" w:hAnsi="Arial"/>
                <w:sz w:val="16"/>
                <w:szCs w:val="16"/>
                <w:color w:val="auto"/>
              </w:rPr>
              <w:t>J. Stewart</w:t>
            </w:r>
          </w:p>
        </w:tc>
        <w:tc>
          <w:tcPr>
            <w:tcW w:w="2440" w:type="dxa"/>
            <w:vAlign w:val="bottom"/>
            <w:gridSpan w:val="2"/>
            <w:shd w:val="clear" w:color="auto" w:fill="D9D9D9"/>
          </w:tcPr>
          <w:p>
            <w:pPr>
              <w:jc w:val="right"/>
              <w:spacing w:after="0"/>
              <w:rPr>
                <w:sz w:val="20"/>
                <w:szCs w:val="20"/>
                <w:color w:val="auto"/>
              </w:rPr>
            </w:pPr>
            <w:r>
              <w:rPr>
                <w:rFonts w:ascii="Arial" w:cs="Arial" w:eastAsia="Arial" w:hAnsi="Arial"/>
                <w:sz w:val="16"/>
                <w:szCs w:val="16"/>
                <w:color w:val="auto"/>
              </w:rPr>
              <w:t>25,700</w:t>
            </w:r>
          </w:p>
        </w:tc>
        <w:tc>
          <w:tcPr>
            <w:tcW w:w="440" w:type="dxa"/>
            <w:vAlign w:val="bottom"/>
            <w:shd w:val="clear" w:color="auto" w:fill="D9D9D9"/>
          </w:tcPr>
          <w:p>
            <w:pPr>
              <w:spacing w:after="0"/>
              <w:rPr>
                <w:sz w:val="16"/>
                <w:szCs w:val="16"/>
                <w:color w:val="auto"/>
              </w:rPr>
            </w:pPr>
          </w:p>
        </w:tc>
        <w:tc>
          <w:tcPr>
            <w:tcW w:w="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3,353,224</w:t>
            </w:r>
          </w:p>
        </w:tc>
        <w:tc>
          <w:tcPr>
            <w:tcW w:w="12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59,488</w:t>
            </w:r>
          </w:p>
        </w:tc>
        <w:tc>
          <w:tcPr>
            <w:tcW w:w="460" w:type="dxa"/>
            <w:vAlign w:val="bottom"/>
            <w:shd w:val="clear" w:color="auto" w:fill="D9D9D9"/>
          </w:tcPr>
          <w:p>
            <w:pPr>
              <w:spacing w:after="0"/>
              <w:rPr>
                <w:sz w:val="16"/>
                <w:szCs w:val="16"/>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12,257,940</w:t>
            </w:r>
          </w:p>
        </w:tc>
      </w:tr>
      <w:tr>
        <w:trPr>
          <w:trHeight w:val="185"/>
        </w:trPr>
        <w:tc>
          <w:tcPr>
            <w:tcW w:w="2680" w:type="dxa"/>
            <w:vAlign w:val="bottom"/>
          </w:tcPr>
          <w:p>
            <w:pPr>
              <w:spacing w:after="0"/>
              <w:rPr>
                <w:sz w:val="20"/>
                <w:szCs w:val="20"/>
                <w:color w:val="auto"/>
              </w:rPr>
            </w:pPr>
            <w:r>
              <w:rPr>
                <w:rFonts w:ascii="Arial" w:cs="Arial" w:eastAsia="Arial" w:hAnsi="Arial"/>
                <w:sz w:val="16"/>
                <w:szCs w:val="16"/>
                <w:color w:val="auto"/>
              </w:rPr>
              <w:t>A. Saleki-Gerhardt</w:t>
            </w:r>
          </w:p>
        </w:tc>
        <w:tc>
          <w:tcPr>
            <w:tcW w:w="2440" w:type="dxa"/>
            <w:vAlign w:val="bottom"/>
            <w:gridSpan w:val="2"/>
          </w:tcPr>
          <w:p>
            <w:pPr>
              <w:jc w:val="right"/>
              <w:spacing w:after="0"/>
              <w:rPr>
                <w:sz w:val="20"/>
                <w:szCs w:val="20"/>
                <w:color w:val="auto"/>
              </w:rPr>
            </w:pPr>
            <w:r>
              <w:rPr>
                <w:rFonts w:ascii="Arial" w:cs="Arial" w:eastAsia="Arial" w:hAnsi="Arial"/>
                <w:sz w:val="16"/>
                <w:szCs w:val="16"/>
                <w:color w:val="auto"/>
              </w:rPr>
              <w:t>42,370</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6,082,652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52,335</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10,762,748</w:t>
            </w:r>
          </w:p>
        </w:tc>
      </w:tr>
      <w:tr>
        <w:trPr>
          <w:trHeight w:val="185"/>
        </w:trPr>
        <w:tc>
          <w:tcPr>
            <w:tcW w:w="2680" w:type="dxa"/>
            <w:vAlign w:val="bottom"/>
            <w:shd w:val="clear" w:color="auto" w:fill="D9D9D9"/>
          </w:tcPr>
          <w:p>
            <w:pPr>
              <w:spacing w:after="0"/>
              <w:rPr>
                <w:sz w:val="20"/>
                <w:szCs w:val="20"/>
                <w:color w:val="auto"/>
              </w:rPr>
            </w:pPr>
            <w:r>
              <w:rPr>
                <w:rFonts w:ascii="Arial" w:cs="Arial" w:eastAsia="Arial" w:hAnsi="Arial"/>
                <w:sz w:val="16"/>
                <w:szCs w:val="16"/>
                <w:color w:val="auto"/>
              </w:rPr>
              <w:t>R. Thakkar</w:t>
            </w:r>
          </w:p>
        </w:tc>
        <w:tc>
          <w:tcPr>
            <w:tcW w:w="2440" w:type="dxa"/>
            <w:vAlign w:val="bottom"/>
            <w:gridSpan w:val="2"/>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D9D9D9"/>
          </w:tcPr>
          <w:p>
            <w:pPr>
              <w:spacing w:after="0"/>
              <w:rPr>
                <w:sz w:val="16"/>
                <w:szCs w:val="16"/>
                <w:color w:val="auto"/>
              </w:rPr>
            </w:pPr>
          </w:p>
        </w:tc>
        <w:tc>
          <w:tcPr>
            <w:tcW w:w="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17,473</w:t>
            </w:r>
          </w:p>
        </w:tc>
        <w:tc>
          <w:tcPr>
            <w:tcW w:w="460" w:type="dxa"/>
            <w:vAlign w:val="bottom"/>
            <w:shd w:val="clear" w:color="auto" w:fill="D9D9D9"/>
          </w:tcPr>
          <w:p>
            <w:pPr>
              <w:spacing w:after="0"/>
              <w:rPr>
                <w:sz w:val="16"/>
                <w:szCs w:val="16"/>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3,563,969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-976630</wp:posOffset>
            </wp:positionV>
            <wp:extent cx="7620" cy="9772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20" cy="977265"/>
                    </a:xfrm>
                    <a:prstGeom prst="rect">
                      <a:avLst/>
                    </a:prstGeom>
                    <a:noFill/>
                  </pic:spPr>
                </pic:pic>
              </a:graphicData>
            </a:graphic>
          </wp:anchor>
        </w:drawing>
      </w:r>
    </w:p>
    <w:p>
      <w:pPr>
        <w:spacing w:after="0" w:line="148"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PENSION BENEFITS</w:t>
      </w:r>
    </w:p>
    <w:p>
      <w:pPr>
        <w:spacing w:after="0" w:line="161" w:lineRule="exact"/>
        <w:rPr>
          <w:sz w:val="20"/>
          <w:szCs w:val="20"/>
          <w:color w:val="auto"/>
        </w:rPr>
      </w:pPr>
    </w:p>
    <w:p>
      <w:pPr>
        <w:ind w:left="9" w:right="220"/>
        <w:spacing w:after="0" w:line="251" w:lineRule="auto"/>
        <w:rPr>
          <w:sz w:val="20"/>
          <w:szCs w:val="20"/>
          <w:color w:val="auto"/>
        </w:rPr>
      </w:pPr>
      <w:r>
        <w:rPr>
          <w:rFonts w:ascii="Arial" w:cs="Arial" w:eastAsia="Arial" w:hAnsi="Arial"/>
          <w:sz w:val="16"/>
          <w:szCs w:val="16"/>
          <w:color w:val="auto"/>
        </w:rPr>
        <w:t>During 2025, the NEOs participated in two AbbVie-sponsored defined benefit pension plans: the AbbVie Pension Plan, a tax-qualified pension plan; and the AbbVie Supplemental Pension Plan, a non-qualified supplemental pension plan. Except as provided in AbbVie’s change in control agreements, AbbVie does not have a policy granting extra years of credited service under the plans. The change in control agreements are described in the section of this proxy statement captioned “Potential Payments upon Termination or Change in Control.”</w:t>
      </w:r>
    </w:p>
    <w:p>
      <w:pPr>
        <w:spacing w:after="0" w:line="158" w:lineRule="exact"/>
        <w:rPr>
          <w:sz w:val="20"/>
          <w:szCs w:val="20"/>
          <w:color w:val="auto"/>
        </w:rPr>
      </w:pPr>
    </w:p>
    <w:p>
      <w:pPr>
        <w:ind w:left="9" w:right="40"/>
        <w:spacing w:after="0" w:line="283" w:lineRule="auto"/>
        <w:rPr>
          <w:sz w:val="20"/>
          <w:szCs w:val="20"/>
          <w:color w:val="auto"/>
        </w:rPr>
      </w:pPr>
      <w:r>
        <w:rPr>
          <w:rFonts w:ascii="Arial" w:cs="Arial" w:eastAsia="Arial" w:hAnsi="Arial"/>
          <w:sz w:val="16"/>
          <w:szCs w:val="16"/>
          <w:color w:val="auto"/>
        </w:rPr>
        <w:t>The compensation considered in determining the pensions payable to the NEOs is the compensation shown in the “Salary” and “Non-Equity Incentive Plan Compensation” columns of the Summary Compensation Table.</w:t>
      </w:r>
    </w:p>
    <w:p>
      <w:pPr>
        <w:spacing w:after="0" w:line="132"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PENSION PLAN</w:t>
      </w:r>
    </w:p>
    <w:p>
      <w:pPr>
        <w:spacing w:after="0" w:line="161" w:lineRule="exact"/>
        <w:rPr>
          <w:sz w:val="20"/>
          <w:szCs w:val="20"/>
          <w:color w:val="auto"/>
        </w:rPr>
      </w:pPr>
    </w:p>
    <w:p>
      <w:pPr>
        <w:ind w:left="9" w:right="620"/>
        <w:spacing w:after="0" w:line="283" w:lineRule="auto"/>
        <w:rPr>
          <w:sz w:val="20"/>
          <w:szCs w:val="20"/>
          <w:color w:val="auto"/>
        </w:rPr>
      </w:pPr>
      <w:r>
        <w:rPr>
          <w:rFonts w:ascii="Arial" w:cs="Arial" w:eastAsia="Arial" w:hAnsi="Arial"/>
          <w:sz w:val="16"/>
          <w:szCs w:val="16"/>
          <w:color w:val="auto"/>
        </w:rPr>
        <w:t>The Pension Plan is a broad-based plan that covers many AbbVie employees in the United States, age 21 or older, and provides participants with a life annuity benefit at normal retirement equal to A plus the greater of B or C below.</w:t>
      </w:r>
    </w:p>
    <w:p>
      <w:pPr>
        <w:spacing w:after="0" w:line="132" w:lineRule="exact"/>
        <w:rPr>
          <w:sz w:val="20"/>
          <w:szCs w:val="20"/>
          <w:color w:val="auto"/>
        </w:rPr>
      </w:pPr>
    </w:p>
    <w:p>
      <w:pPr>
        <w:ind w:left="289" w:hanging="289"/>
        <w:spacing w:after="0"/>
        <w:tabs>
          <w:tab w:leader="none" w:pos="289" w:val="left"/>
        </w:tabs>
        <w:numPr>
          <w:ilvl w:val="0"/>
          <w:numId w:val="85"/>
        </w:numPr>
        <w:rPr>
          <w:rFonts w:ascii="Arial" w:cs="Arial" w:eastAsia="Arial" w:hAnsi="Arial"/>
          <w:sz w:val="16"/>
          <w:szCs w:val="16"/>
          <w:color w:val="auto"/>
        </w:rPr>
      </w:pPr>
      <w:r>
        <w:rPr>
          <w:rFonts w:ascii="Arial" w:cs="Arial" w:eastAsia="Arial" w:hAnsi="Arial"/>
          <w:sz w:val="16"/>
          <w:szCs w:val="16"/>
          <w:color w:val="auto"/>
        </w:rPr>
        <w:t>1.10% of 5-year final average earnings multiplied by years of benefit service after 2003.</w:t>
      </w:r>
    </w:p>
    <w:p>
      <w:pPr>
        <w:spacing w:after="0" w:line="197" w:lineRule="exact"/>
        <w:rPr>
          <w:rFonts w:ascii="Arial" w:cs="Arial" w:eastAsia="Arial" w:hAnsi="Arial"/>
          <w:sz w:val="16"/>
          <w:szCs w:val="16"/>
          <w:color w:val="auto"/>
        </w:rPr>
      </w:pPr>
    </w:p>
    <w:p>
      <w:pPr>
        <w:ind w:left="289" w:right="160" w:hanging="289"/>
        <w:spacing w:after="0" w:line="251" w:lineRule="auto"/>
        <w:tabs>
          <w:tab w:leader="none" w:pos="289" w:val="left"/>
        </w:tabs>
        <w:numPr>
          <w:ilvl w:val="0"/>
          <w:numId w:val="85"/>
        </w:numPr>
        <w:rPr>
          <w:rFonts w:ascii="Arial" w:cs="Arial" w:eastAsia="Arial" w:hAnsi="Arial"/>
          <w:sz w:val="16"/>
          <w:szCs w:val="16"/>
          <w:color w:val="auto"/>
        </w:rPr>
      </w:pPr>
      <w:r>
        <w:rPr>
          <w:rFonts w:ascii="Arial" w:cs="Arial" w:eastAsia="Arial" w:hAnsi="Arial"/>
          <w:sz w:val="16"/>
          <w:szCs w:val="16"/>
          <w:color w:val="auto"/>
        </w:rPr>
        <w:t>1.65% of 5-year final average earnings multiplied by years of benefit service prior to 2004 (up to 20); plus 1.50% of 5-year final average earnings multiplied by years of benefit service prior to 2004 in excess of 20 (but no more than 15 additional years); less 0.50% of the lesser of 3-year monthly average earnings immediately preceding retirement (but not more than the social security wage base in any year) or the social security covered compensation level multiplied by years of benefit service.</w:t>
      </w:r>
    </w:p>
    <w:p>
      <w:pPr>
        <w:spacing w:after="0" w:line="158" w:lineRule="exact"/>
        <w:rPr>
          <w:rFonts w:ascii="Arial" w:cs="Arial" w:eastAsia="Arial" w:hAnsi="Arial"/>
          <w:sz w:val="16"/>
          <w:szCs w:val="16"/>
          <w:color w:val="auto"/>
        </w:rPr>
      </w:pPr>
    </w:p>
    <w:p>
      <w:pPr>
        <w:ind w:left="289" w:hanging="289"/>
        <w:spacing w:after="0"/>
        <w:tabs>
          <w:tab w:leader="none" w:pos="289" w:val="left"/>
        </w:tabs>
        <w:numPr>
          <w:ilvl w:val="0"/>
          <w:numId w:val="85"/>
        </w:numPr>
        <w:rPr>
          <w:rFonts w:ascii="Arial" w:cs="Arial" w:eastAsia="Arial" w:hAnsi="Arial"/>
          <w:sz w:val="16"/>
          <w:szCs w:val="16"/>
          <w:color w:val="auto"/>
        </w:rPr>
      </w:pPr>
      <w:r>
        <w:rPr>
          <w:rFonts w:ascii="Arial" w:cs="Arial" w:eastAsia="Arial" w:hAnsi="Arial"/>
          <w:sz w:val="16"/>
          <w:szCs w:val="16"/>
          <w:color w:val="auto"/>
        </w:rPr>
        <w:t>1.10% of 5-year final average earnings multiplied by years of benefit service prior to 2004.</w:t>
      </w:r>
    </w:p>
    <w:p>
      <w:pPr>
        <w:spacing w:after="0" w:line="198" w:lineRule="exact"/>
        <w:rPr>
          <w:sz w:val="20"/>
          <w:szCs w:val="20"/>
          <w:color w:val="auto"/>
        </w:rPr>
      </w:pPr>
    </w:p>
    <w:p>
      <w:pPr>
        <w:ind w:left="9" w:right="80"/>
        <w:spacing w:after="0" w:line="262" w:lineRule="auto"/>
        <w:rPr>
          <w:sz w:val="20"/>
          <w:szCs w:val="20"/>
          <w:color w:val="auto"/>
        </w:rPr>
      </w:pPr>
      <w:r>
        <w:rPr>
          <w:rFonts w:ascii="Arial" w:cs="Arial" w:eastAsia="Arial" w:hAnsi="Arial"/>
          <w:sz w:val="16"/>
          <w:szCs w:val="16"/>
          <w:color w:val="auto"/>
        </w:rPr>
        <w:t>The benefit for service prior to 2004 (B or C above) is reduced for the cost of preretirement surviving spouse benefit protection. The reduction is calculated using formulas based on age and employment status during the period in which coverage was in effect.</w:t>
      </w:r>
    </w:p>
    <w:p>
      <w:pPr>
        <w:spacing w:after="0" w:line="148" w:lineRule="exact"/>
        <w:rPr>
          <w:sz w:val="20"/>
          <w:szCs w:val="20"/>
          <w:color w:val="auto"/>
        </w:rPr>
      </w:pPr>
    </w:p>
    <w:p>
      <w:pPr>
        <w:ind w:left="9" w:right="40"/>
        <w:spacing w:after="0" w:line="262" w:lineRule="auto"/>
        <w:rPr>
          <w:sz w:val="20"/>
          <w:szCs w:val="20"/>
          <w:color w:val="auto"/>
        </w:rPr>
      </w:pPr>
      <w:r>
        <w:rPr>
          <w:rFonts w:ascii="Arial" w:cs="Arial" w:eastAsia="Arial" w:hAnsi="Arial"/>
          <w:sz w:val="16"/>
          <w:szCs w:val="16"/>
          <w:color w:val="auto"/>
        </w:rPr>
        <w:t>5-year final average earnings are the average of the employee’s 60 highest-paid consecutive calendar months of compensation (salary and non-equity incentive plan compensation). The Pension Plan covers earnings up to the limit imposed by Internal Revenue Code Section 401(a)(17) and provides for a maximum of 35 years of benefit service.</w:t>
      </w:r>
    </w:p>
    <w:p>
      <w:pPr>
        <w:spacing w:after="0" w:line="148" w:lineRule="exact"/>
        <w:rPr>
          <w:sz w:val="20"/>
          <w:szCs w:val="20"/>
          <w:color w:val="auto"/>
        </w:rPr>
      </w:pPr>
    </w:p>
    <w:p>
      <w:pPr>
        <w:ind w:left="9" w:right="40"/>
        <w:spacing w:after="0" w:line="262" w:lineRule="auto"/>
        <w:rPr>
          <w:sz w:val="20"/>
          <w:szCs w:val="20"/>
          <w:color w:val="auto"/>
        </w:rPr>
      </w:pPr>
      <w:r>
        <w:rPr>
          <w:rFonts w:ascii="Arial" w:cs="Arial" w:eastAsia="Arial" w:hAnsi="Arial"/>
          <w:sz w:val="16"/>
          <w:szCs w:val="16"/>
          <w:color w:val="auto"/>
        </w:rPr>
        <w:t>Participants become fully vested in their pension benefit upon the completion of 5 years of service. The benefit is payable on an unreduced basis at age 65. Employees hired after 2003 who terminate employment prior to age 55 with at least 10 years of service may choose to commence their benefits on an actuarially reduced basis as early</w:t>
      </w:r>
    </w:p>
    <w:p>
      <w:pPr>
        <w:spacing w:after="0" w:line="339"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58</w:t>
      </w:r>
      <w:r>
        <w:rPr>
          <w:sz w:val="20"/>
          <w:szCs w:val="20"/>
          <w:color w:val="auto"/>
        </w:rPr>
        <w:tab/>
      </w:r>
      <w:r>
        <w:rPr>
          <w:sz w:val="1"/>
          <w:szCs w:val="1"/>
          <w:color w:val="auto"/>
        </w:rPr>
        <w:drawing>
          <wp:inline distT="0" distB="0" distL="0" distR="0">
            <wp:extent cx="797560" cy="14097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97560" cy="14097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234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61" w:name="page62"/>
    <w:bookmarkEnd w:id="61"/>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6969"/>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9" w:right="460"/>
        <w:spacing w:after="0" w:line="254" w:lineRule="auto"/>
        <w:rPr>
          <w:sz w:val="20"/>
          <w:szCs w:val="20"/>
          <w:color w:val="auto"/>
        </w:rPr>
      </w:pPr>
      <w:r>
        <w:rPr>
          <w:rFonts w:ascii="Arial" w:cs="Arial" w:eastAsia="Arial" w:hAnsi="Arial"/>
          <w:sz w:val="16"/>
          <w:szCs w:val="16"/>
          <w:color w:val="auto"/>
        </w:rPr>
        <w:t>as age 55. Employees hired before 2004 who terminate employment prior to age 50 with at least 10 years of service may choose to commence their benefits on an actuarially reduced basis as early as age 50. Employees hired before 2004 who terminate employment prior to age 50 with fewer than 10 years of service may choose to commence their benefits on an actuarially reduced basis as early as age 55.</w:t>
      </w:r>
    </w:p>
    <w:p>
      <w:pPr>
        <w:spacing w:after="0" w:line="157" w:lineRule="exact"/>
        <w:rPr>
          <w:sz w:val="20"/>
          <w:szCs w:val="20"/>
          <w:color w:val="auto"/>
        </w:rPr>
      </w:pPr>
    </w:p>
    <w:p>
      <w:pPr>
        <w:jc w:val="both"/>
        <w:ind w:left="9" w:right="60"/>
        <w:spacing w:after="0" w:line="262" w:lineRule="auto"/>
        <w:rPr>
          <w:sz w:val="20"/>
          <w:szCs w:val="20"/>
          <w:color w:val="auto"/>
        </w:rPr>
      </w:pPr>
      <w:r>
        <w:rPr>
          <w:rFonts w:ascii="Arial" w:cs="Arial" w:eastAsia="Arial" w:hAnsi="Arial"/>
          <w:sz w:val="16"/>
          <w:szCs w:val="16"/>
          <w:color w:val="auto"/>
        </w:rPr>
        <w:t>The Pension Plan offers several optional forms of payment, including certain and life annuities, joint and survivor annuities, and level income annuities. The benefit paid under any of these options is actuarially equivalent to the life annuity benefit produced by the formula described above.</w:t>
      </w:r>
    </w:p>
    <w:p>
      <w:pPr>
        <w:spacing w:after="0" w:line="148" w:lineRule="exact"/>
        <w:rPr>
          <w:sz w:val="20"/>
          <w:szCs w:val="20"/>
          <w:color w:val="auto"/>
        </w:rPr>
      </w:pPr>
    </w:p>
    <w:p>
      <w:pPr>
        <w:ind w:left="9" w:right="160"/>
        <w:spacing w:after="0" w:line="251" w:lineRule="auto"/>
        <w:rPr>
          <w:sz w:val="20"/>
          <w:szCs w:val="20"/>
          <w:color w:val="auto"/>
        </w:rPr>
      </w:pPr>
      <w:r>
        <w:rPr>
          <w:rFonts w:ascii="Arial" w:cs="Arial" w:eastAsia="Arial" w:hAnsi="Arial"/>
          <w:sz w:val="16"/>
          <w:szCs w:val="16"/>
          <w:color w:val="auto"/>
        </w:rPr>
        <w:t>Employees who retire from AbbVie prior to their normal retirement age may receive subsidized early retirement benefits. Employees hired after 2003 are eligible for early retirement at age 55 with 10 years of service. Employees hired before 2004 are eligible for early retirement at age 50 with 10 years of service or age 55 if the employee’s age plus years of benefit service total 70 or more. Mr. Michael, Mr. Reents, Dr. Saleki-Gerhardt, Mr. Stewart, and Dr. Thakkar are eligible for early retirement benefits under the plan.</w:t>
      </w:r>
    </w:p>
    <w:p>
      <w:pPr>
        <w:spacing w:after="0" w:line="158" w:lineRule="exact"/>
        <w:rPr>
          <w:sz w:val="20"/>
          <w:szCs w:val="20"/>
          <w:color w:val="auto"/>
        </w:rPr>
      </w:pPr>
    </w:p>
    <w:p>
      <w:pPr>
        <w:ind w:left="9" w:right="80"/>
        <w:spacing w:after="0" w:line="254" w:lineRule="auto"/>
        <w:rPr>
          <w:sz w:val="20"/>
          <w:szCs w:val="20"/>
          <w:color w:val="auto"/>
        </w:rPr>
      </w:pPr>
      <w:r>
        <w:rPr>
          <w:rFonts w:ascii="Arial" w:cs="Arial" w:eastAsia="Arial" w:hAnsi="Arial"/>
          <w:sz w:val="16"/>
          <w:szCs w:val="16"/>
          <w:color w:val="auto"/>
        </w:rPr>
        <w:t>The subsidized early retirement reductions applied to the benefit payable for service after 2003 (A above) depend upon the participant’s age at retirement. If the participant retires after reaching age 55, the benefit is reduced 5 percent per year for each year that payments are made before age 62. If the participant retires after reaching age 50 but prior to reaching age 55, the benefit is actuarially reduced from age 65.</w:t>
      </w:r>
    </w:p>
    <w:p>
      <w:pPr>
        <w:spacing w:after="0" w:line="157" w:lineRule="exact"/>
        <w:rPr>
          <w:sz w:val="20"/>
          <w:szCs w:val="20"/>
          <w:color w:val="auto"/>
        </w:rPr>
      </w:pPr>
    </w:p>
    <w:p>
      <w:pPr>
        <w:ind w:left="9" w:right="160"/>
        <w:spacing w:after="0" w:line="283" w:lineRule="auto"/>
        <w:rPr>
          <w:sz w:val="20"/>
          <w:szCs w:val="20"/>
          <w:color w:val="auto"/>
        </w:rPr>
      </w:pPr>
      <w:r>
        <w:rPr>
          <w:rFonts w:ascii="Arial" w:cs="Arial" w:eastAsia="Arial" w:hAnsi="Arial"/>
          <w:sz w:val="16"/>
          <w:szCs w:val="16"/>
          <w:color w:val="auto"/>
        </w:rPr>
        <w:t>The early retirement reductions applied to the benefit payable for service prior to 2004 (B and C above) depend upon age and service at retirement:</w:t>
      </w:r>
    </w:p>
    <w:p>
      <w:pPr>
        <w:spacing w:after="0" w:line="132" w:lineRule="exact"/>
        <w:rPr>
          <w:sz w:val="20"/>
          <w:szCs w:val="20"/>
          <w:color w:val="auto"/>
        </w:rPr>
      </w:pPr>
    </w:p>
    <w:p>
      <w:pPr>
        <w:ind w:left="289" w:right="80" w:hanging="289"/>
        <w:spacing w:after="0" w:line="247" w:lineRule="auto"/>
        <w:tabs>
          <w:tab w:leader="none" w:pos="289" w:val="left"/>
        </w:tabs>
        <w:numPr>
          <w:ilvl w:val="0"/>
          <w:numId w:val="86"/>
        </w:numPr>
        <w:rPr>
          <w:rFonts w:ascii="Times New Roman" w:cs="Times New Roman" w:eastAsia="Times New Roman" w:hAnsi="Times New Roman"/>
          <w:sz w:val="16"/>
          <w:szCs w:val="16"/>
          <w:color w:val="071D49"/>
        </w:rPr>
      </w:pPr>
      <w:r>
        <w:rPr>
          <w:rFonts w:ascii="Arial" w:cs="Arial" w:eastAsia="Arial" w:hAnsi="Arial"/>
          <w:sz w:val="16"/>
          <w:szCs w:val="16"/>
          <w:color w:val="auto"/>
        </w:rPr>
        <w:t>In general, the 5-year final average earnings portions of the benefit are reduced 3 percent per year for each year that payments are made before age 62 and the 3-year monthly average earnings portion of the benefit is reduced 5 percent per year for each year that payments are made before age 62.</w:t>
      </w:r>
    </w:p>
    <w:p>
      <w:pPr>
        <w:spacing w:after="0" w:line="1" w:lineRule="exact"/>
        <w:rPr>
          <w:rFonts w:ascii="Times New Roman" w:cs="Times New Roman" w:eastAsia="Times New Roman" w:hAnsi="Times New Roman"/>
          <w:sz w:val="16"/>
          <w:szCs w:val="16"/>
          <w:color w:val="071D49"/>
        </w:rPr>
      </w:pPr>
    </w:p>
    <w:p>
      <w:pPr>
        <w:jc w:val="both"/>
        <w:ind w:left="289" w:right="300" w:hanging="289"/>
        <w:spacing w:after="0"/>
        <w:tabs>
          <w:tab w:leader="none" w:pos="289" w:val="left"/>
        </w:tabs>
        <w:numPr>
          <w:ilvl w:val="0"/>
          <w:numId w:val="86"/>
        </w:numPr>
        <w:rPr>
          <w:rFonts w:ascii="Times New Roman" w:cs="Times New Roman" w:eastAsia="Times New Roman" w:hAnsi="Times New Roman"/>
          <w:sz w:val="16"/>
          <w:szCs w:val="16"/>
          <w:color w:val="071D49"/>
        </w:rPr>
      </w:pPr>
      <w:r>
        <w:rPr>
          <w:rFonts w:ascii="Arial" w:cs="Arial" w:eastAsia="Arial" w:hAnsi="Arial"/>
          <w:sz w:val="16"/>
          <w:szCs w:val="16"/>
          <w:color w:val="auto"/>
        </w:rPr>
        <w:t>Employees who participated in the plan before age 36 may elect “Special Retirement” on the last day of any month after reaching age 55 with age plus seniority service points of at least 94 or “Early Special Retirement” on the last day of any month after reaching age 55, provided their age plus seniority service points would reach at least 94 before age 65.</w:t>
      </w:r>
    </w:p>
    <w:p>
      <w:pPr>
        <w:spacing w:after="0" w:line="1" w:lineRule="exact"/>
        <w:rPr>
          <w:rFonts w:ascii="Times New Roman" w:cs="Times New Roman" w:eastAsia="Times New Roman" w:hAnsi="Times New Roman"/>
          <w:sz w:val="16"/>
          <w:szCs w:val="16"/>
          <w:color w:val="071D49"/>
        </w:rPr>
      </w:pPr>
    </w:p>
    <w:p>
      <w:pPr>
        <w:ind w:left="289" w:right="80"/>
        <w:spacing w:after="0" w:line="221" w:lineRule="auto"/>
        <w:rPr>
          <w:rFonts w:ascii="Times New Roman" w:cs="Times New Roman" w:eastAsia="Times New Roman" w:hAnsi="Times New Roman"/>
          <w:sz w:val="16"/>
          <w:szCs w:val="16"/>
          <w:color w:val="071D49"/>
        </w:rPr>
      </w:pPr>
      <w:r>
        <w:rPr>
          <w:rFonts w:ascii="Arial" w:cs="Arial" w:eastAsia="Arial" w:hAnsi="Arial"/>
          <w:sz w:val="16"/>
          <w:szCs w:val="16"/>
          <w:color w:val="auto"/>
        </w:rPr>
        <w:t>Seniority service includes periods of employment prior to attaining the minimum age required to participate in the plan. If Special Retirement or Early Special Retirement applies, seniority service is used in place of benefit service in the formulas. The 5-year final average earnings portions of the benefit in B above are reduced 1</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24"/>
          <w:szCs w:val="24"/>
          <w:color w:val="auto"/>
          <w:vertAlign w:val="subscript"/>
        </w:rPr>
        <w:t>3</w:t>
      </w:r>
      <w:r>
        <w:rPr>
          <w:rFonts w:ascii="Arial" w:cs="Arial" w:eastAsia="Arial" w:hAnsi="Arial"/>
          <w:sz w:val="16"/>
          <w:szCs w:val="16"/>
          <w:color w:val="auto"/>
        </w:rPr>
        <w:t xml:space="preserve"> percent for each year between ages 59 and 62 plus 2</w:t>
      </w:r>
      <w:r>
        <w:rPr>
          <w:rFonts w:ascii="Arial" w:cs="Arial" w:eastAsia="Arial" w:hAnsi="Arial"/>
          <w:sz w:val="24"/>
          <w:szCs w:val="24"/>
          <w:color w:val="auto"/>
          <w:vertAlign w:val="superscript"/>
        </w:rPr>
        <w:t>1</w:t>
      </w:r>
      <w:r>
        <w:rPr>
          <w:rFonts w:ascii="Arial" w:cs="Arial" w:eastAsia="Arial" w:hAnsi="Arial"/>
          <w:sz w:val="16"/>
          <w:szCs w:val="16"/>
          <w:color w:val="auto"/>
        </w:rPr>
        <w:t>/</w:t>
      </w:r>
      <w:r>
        <w:rPr>
          <w:rFonts w:ascii="Arial" w:cs="Arial" w:eastAsia="Arial" w:hAnsi="Arial"/>
          <w:sz w:val="24"/>
          <w:szCs w:val="24"/>
          <w:color w:val="auto"/>
          <w:vertAlign w:val="subscript"/>
        </w:rPr>
        <w:t>2</w:t>
      </w:r>
      <w:r>
        <w:rPr>
          <w:rFonts w:ascii="Arial" w:cs="Arial" w:eastAsia="Arial" w:hAnsi="Arial"/>
          <w:sz w:val="16"/>
          <w:szCs w:val="16"/>
          <w:color w:val="auto"/>
        </w:rPr>
        <w:t xml:space="preserve"> percent for each year between ages 55 and 59. The 3-year monthly average earnings portion of the benefit is reduced 5 percent per year for each year that payments are made before age 62. Benefit C above is payable on an unreduced basis at Special Retirement and is reduced 3 percent per year for each year that payments are made before age 62, if Early Special Retirement applies.</w:t>
      </w:r>
    </w:p>
    <w:p>
      <w:pPr>
        <w:spacing w:after="0" w:line="167"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SUPPLEMENTAL PENSION PLAN</w:t>
      </w:r>
    </w:p>
    <w:p>
      <w:pPr>
        <w:spacing w:after="0" w:line="161" w:lineRule="exact"/>
        <w:rPr>
          <w:sz w:val="20"/>
          <w:szCs w:val="20"/>
          <w:color w:val="auto"/>
        </w:rPr>
      </w:pPr>
    </w:p>
    <w:p>
      <w:pPr>
        <w:ind w:left="9" w:right="160"/>
        <w:spacing w:after="0" w:line="262" w:lineRule="auto"/>
        <w:rPr>
          <w:sz w:val="20"/>
          <w:szCs w:val="20"/>
          <w:color w:val="auto"/>
        </w:rPr>
      </w:pPr>
      <w:r>
        <w:rPr>
          <w:rFonts w:ascii="Arial" w:cs="Arial" w:eastAsia="Arial" w:hAnsi="Arial"/>
          <w:sz w:val="16"/>
          <w:szCs w:val="16"/>
          <w:color w:val="auto"/>
        </w:rPr>
        <w:t>The provisions of the Supplemental Pension Plan (which covers AbbVie employees in the United States whose compensation exceeds certain limits under the Internal Revenue Code) are substantially the same as those of the Pension Plan, with the following exceptions:</w:t>
      </w:r>
    </w:p>
    <w:p>
      <w:pPr>
        <w:spacing w:after="0" w:line="148" w:lineRule="exact"/>
        <w:rPr>
          <w:sz w:val="20"/>
          <w:szCs w:val="20"/>
          <w:color w:val="auto"/>
        </w:rPr>
      </w:pPr>
    </w:p>
    <w:p>
      <w:pPr>
        <w:ind w:left="289" w:right="20" w:hanging="289"/>
        <w:spacing w:after="0" w:line="250" w:lineRule="auto"/>
        <w:tabs>
          <w:tab w:leader="none" w:pos="289" w:val="left"/>
        </w:tabs>
        <w:numPr>
          <w:ilvl w:val="0"/>
          <w:numId w:val="87"/>
        </w:numPr>
        <w:rPr>
          <w:rFonts w:ascii="Times New Roman" w:cs="Times New Roman" w:eastAsia="Times New Roman" w:hAnsi="Times New Roman"/>
          <w:sz w:val="16"/>
          <w:szCs w:val="16"/>
          <w:color w:val="071D49"/>
        </w:rPr>
      </w:pPr>
      <w:r>
        <w:rPr>
          <w:rFonts w:ascii="Arial" w:cs="Arial" w:eastAsia="Arial" w:hAnsi="Arial"/>
          <w:sz w:val="16"/>
          <w:szCs w:val="16"/>
          <w:color w:val="auto"/>
        </w:rPr>
        <w:t>Participants’ 5-year final average earnings are calculated using the average of the 5 highest years of base earnings and the 5 highest years of payments under AbbVie’s non-equity incentive plans.</w:t>
      </w:r>
    </w:p>
    <w:p>
      <w:pPr>
        <w:spacing w:after="0" w:line="1" w:lineRule="exact"/>
        <w:rPr>
          <w:rFonts w:ascii="Times New Roman" w:cs="Times New Roman" w:eastAsia="Times New Roman" w:hAnsi="Times New Roman"/>
          <w:sz w:val="16"/>
          <w:szCs w:val="16"/>
          <w:color w:val="071D49"/>
        </w:rPr>
      </w:pPr>
    </w:p>
    <w:p>
      <w:pPr>
        <w:ind w:left="289" w:right="20" w:hanging="289"/>
        <w:spacing w:after="0"/>
        <w:tabs>
          <w:tab w:leader="none" w:pos="289" w:val="left"/>
        </w:tabs>
        <w:numPr>
          <w:ilvl w:val="0"/>
          <w:numId w:val="87"/>
        </w:numPr>
        <w:rPr>
          <w:rFonts w:ascii="Times New Roman" w:cs="Times New Roman" w:eastAsia="Times New Roman" w:hAnsi="Times New Roman"/>
          <w:sz w:val="16"/>
          <w:szCs w:val="16"/>
          <w:color w:val="071D49"/>
        </w:rPr>
      </w:pPr>
      <w:r>
        <w:rPr>
          <w:rFonts w:ascii="Arial" w:cs="Arial" w:eastAsia="Arial" w:hAnsi="Arial"/>
          <w:sz w:val="16"/>
          <w:szCs w:val="16"/>
          <w:color w:val="auto"/>
        </w:rPr>
        <w:t>The Pension Plan does not include amounts deferred or payments received under the AbbVie Deferred Compensation Plan in its calculation of a participant’s final average earnings. To preserve the pension benefits of Deferred Compensation Plan participants, the Supplemental Pension Plan includes amounts deferred by a participant under the Deferred Compensation Plan in its calculation of final average earnings.</w:t>
      </w:r>
    </w:p>
    <w:p>
      <w:pPr>
        <w:spacing w:after="0" w:line="1" w:lineRule="exact"/>
        <w:rPr>
          <w:rFonts w:ascii="Times New Roman" w:cs="Times New Roman" w:eastAsia="Times New Roman" w:hAnsi="Times New Roman"/>
          <w:sz w:val="16"/>
          <w:szCs w:val="16"/>
          <w:color w:val="071D49"/>
        </w:rPr>
      </w:pPr>
    </w:p>
    <w:p>
      <w:pPr>
        <w:ind w:left="289" w:right="60" w:hanging="289"/>
        <w:spacing w:after="0" w:line="246" w:lineRule="auto"/>
        <w:tabs>
          <w:tab w:leader="none" w:pos="289" w:val="left"/>
        </w:tabs>
        <w:numPr>
          <w:ilvl w:val="0"/>
          <w:numId w:val="87"/>
        </w:numPr>
        <w:rPr>
          <w:rFonts w:ascii="Times New Roman" w:cs="Times New Roman" w:eastAsia="Times New Roman" w:hAnsi="Times New Roman"/>
          <w:sz w:val="16"/>
          <w:szCs w:val="16"/>
          <w:color w:val="071D49"/>
        </w:rPr>
      </w:pPr>
      <w:r>
        <w:rPr>
          <w:rFonts w:ascii="Arial" w:cs="Arial" w:eastAsia="Arial" w:hAnsi="Arial"/>
          <w:sz w:val="16"/>
          <w:szCs w:val="16"/>
          <w:color w:val="auto"/>
        </w:rPr>
        <w:t>In addition to the benefits outlined above for the Pension Plan, the NEOs are eligible for an additional Supplemental Pension Plan benefit equal to 0.6% of 5-year final average earnings for each year of service for each of the first 20 years of service occurring after the participant attains age 35. The benefit is further limited by the maximum percentage allowed under the Pension Plan under that plan’s benefit formulas (A, B and C above). The portion of this additional benefit attributable to service before 2004 is reduced 3 percent per year</w:t>
      </w:r>
    </w:p>
    <w:p>
      <w:pPr>
        <w:spacing w:after="0" w:line="349"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-499745</wp:posOffset>
            </wp:positionV>
            <wp:extent cx="797560" cy="148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62" w:name="page63"/>
    <w:bookmarkEnd w:id="62"/>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289" w:right="20"/>
        <w:spacing w:after="0" w:line="247" w:lineRule="auto"/>
        <w:rPr>
          <w:sz w:val="20"/>
          <w:szCs w:val="20"/>
          <w:color w:val="auto"/>
        </w:rPr>
      </w:pPr>
      <w:r>
        <w:rPr>
          <w:rFonts w:ascii="Arial" w:cs="Arial" w:eastAsia="Arial" w:hAnsi="Arial"/>
          <w:sz w:val="16"/>
          <w:szCs w:val="16"/>
          <w:color w:val="auto"/>
        </w:rPr>
        <w:t>for each year that payments are made before age 60. The portion attributable to service after 2003 is reduced 5 percent per year for each year that payments are made before age 60 if the participant is at least age 55 at early retirement. If the participant is under age 55 at retirement, the portion attributable to service after 2003 is actuarially reduced from age 65.</w:t>
      </w:r>
    </w:p>
    <w:p>
      <w:pPr>
        <w:spacing w:after="0" w:line="2" w:lineRule="exact"/>
        <w:rPr>
          <w:sz w:val="20"/>
          <w:szCs w:val="20"/>
          <w:color w:val="auto"/>
        </w:rPr>
      </w:pPr>
    </w:p>
    <w:p>
      <w:pPr>
        <w:ind w:left="289" w:right="100" w:hanging="289"/>
        <w:spacing w:after="0"/>
        <w:tabs>
          <w:tab w:leader="none" w:pos="289" w:val="left"/>
        </w:tabs>
        <w:numPr>
          <w:ilvl w:val="0"/>
          <w:numId w:val="88"/>
        </w:numPr>
        <w:rPr>
          <w:rFonts w:ascii="Times New Roman" w:cs="Times New Roman" w:eastAsia="Times New Roman" w:hAnsi="Times New Roman"/>
          <w:sz w:val="16"/>
          <w:szCs w:val="16"/>
          <w:color w:val="071D49"/>
        </w:rPr>
      </w:pPr>
      <w:r>
        <w:rPr>
          <w:rFonts w:ascii="Arial" w:cs="Arial" w:eastAsia="Arial" w:hAnsi="Arial"/>
          <w:sz w:val="16"/>
          <w:szCs w:val="16"/>
          <w:color w:val="auto"/>
        </w:rPr>
        <w:t>The Supplemental Pension Plan provides early retirement benefits similar to those provided under the Pension Plan. The benefits provided to NEOs under the Supplemental Pension Plan are not, however, reduced for the period between age 60 and age 62, unless the benefit is being actuarially reduced from age 65. Mr. Michael, Mr. Reents, Dr. Saleki-Gerhardt, Mr. Stewart, and Dr. Thakkar are eligible for early retirement benefits under the plan.</w:t>
      </w:r>
    </w:p>
    <w:p>
      <w:pPr>
        <w:spacing w:after="0" w:line="1" w:lineRule="exact"/>
        <w:rPr>
          <w:rFonts w:ascii="Times New Roman" w:cs="Times New Roman" w:eastAsia="Times New Roman" w:hAnsi="Times New Roman"/>
          <w:sz w:val="16"/>
          <w:szCs w:val="16"/>
          <w:color w:val="071D49"/>
        </w:rPr>
      </w:pPr>
    </w:p>
    <w:p>
      <w:pPr>
        <w:ind w:left="289" w:right="120" w:hanging="289"/>
        <w:spacing w:after="0" w:line="246" w:lineRule="auto"/>
        <w:tabs>
          <w:tab w:leader="none" w:pos="289" w:val="left"/>
        </w:tabs>
        <w:numPr>
          <w:ilvl w:val="0"/>
          <w:numId w:val="88"/>
        </w:numPr>
        <w:rPr>
          <w:rFonts w:ascii="Times New Roman" w:cs="Times New Roman" w:eastAsia="Times New Roman" w:hAnsi="Times New Roman"/>
          <w:sz w:val="16"/>
          <w:szCs w:val="16"/>
          <w:color w:val="071D49"/>
        </w:rPr>
      </w:pPr>
      <w:r>
        <w:rPr>
          <w:rFonts w:ascii="Arial" w:cs="Arial" w:eastAsia="Arial" w:hAnsi="Arial"/>
          <w:sz w:val="16"/>
          <w:szCs w:val="16"/>
          <w:color w:val="auto"/>
        </w:rPr>
        <w:t>Vested benefits accrued under the Supplemental Pension Plan may be funded through a grantor trust established by an eligible NEO. Consistent with the distribution requirements of Internal Revenue Code Section 409A and its regulations, an eligible NEO who became an officer prior to 2009 may have the entire amount of their vested plan benefits funded through a grantor trust. An eligible NEO who became an officer after 2008 may have only the vested benefits that accrue following the calendar year in which they are first elected as an officer funded through a grantor trust.</w:t>
      </w:r>
    </w:p>
    <w:p>
      <w:pPr>
        <w:spacing w:after="0" w:line="161" w:lineRule="exact"/>
        <w:rPr>
          <w:sz w:val="20"/>
          <w:szCs w:val="20"/>
          <w:color w:val="auto"/>
        </w:rPr>
      </w:pPr>
    </w:p>
    <w:p>
      <w:pPr>
        <w:ind w:left="9" w:right="80"/>
        <w:spacing w:after="0" w:line="254" w:lineRule="auto"/>
        <w:rPr>
          <w:sz w:val="20"/>
          <w:szCs w:val="20"/>
          <w:color w:val="auto"/>
        </w:rPr>
      </w:pPr>
      <w:r>
        <w:rPr>
          <w:rFonts w:ascii="Arial" w:cs="Arial" w:eastAsia="Arial" w:hAnsi="Arial"/>
          <w:sz w:val="16"/>
          <w:szCs w:val="16"/>
          <w:color w:val="auto"/>
        </w:rPr>
        <w:t>Benefits payable under the Supplemental Pension Plan are offset by the benefits payable from the Pension Plan, calculated as if benefits under the plans commenced at the same time. The amounts paid to an eligible NEO’s Supplemental Pension Plan grantor trust to fund plan benefits are actuarially determined. The plan is designed to result in AbbVie paying the eligible NEO’s Supplemental Pension Plan benefits to the extent assets held in their trust are insufficient.</w:t>
      </w:r>
    </w:p>
    <w:p>
      <w:pPr>
        <w:spacing w:after="0" w:line="157"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PENSION BENEFITS TABLE</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3"/>
                <w:szCs w:val="13"/>
                <w:b w:val="1"/>
                <w:bCs w:val="1"/>
                <w:color w:val="454968"/>
              </w:rPr>
              <w:t>Present</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8"/>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60" w:type="dxa"/>
            <w:vAlign w:val="bottom"/>
          </w:tcPr>
          <w:p>
            <w:pPr>
              <w:jc w:val="right"/>
              <w:ind w:right="3"/>
              <w:spacing w:after="0" w:line="148" w:lineRule="exact"/>
              <w:rPr>
                <w:sz w:val="20"/>
                <w:szCs w:val="20"/>
                <w:color w:val="auto"/>
              </w:rPr>
            </w:pPr>
            <w:r>
              <w:rPr>
                <w:rFonts w:ascii="Arial" w:cs="Arial" w:eastAsia="Arial" w:hAnsi="Arial"/>
                <w:sz w:val="13"/>
                <w:szCs w:val="13"/>
                <w:b w:val="1"/>
                <w:bCs w:val="1"/>
                <w:color w:val="454968"/>
              </w:rPr>
              <w:t>Number of</w:t>
            </w:r>
          </w:p>
        </w:tc>
        <w:tc>
          <w:tcPr>
            <w:tcW w:w="380" w:type="dxa"/>
            <w:vAlign w:val="bottom"/>
          </w:tcPr>
          <w:p>
            <w:pPr>
              <w:spacing w:after="0"/>
              <w:rPr>
                <w:sz w:val="12"/>
                <w:szCs w:val="12"/>
                <w:color w:val="auto"/>
              </w:rPr>
            </w:pPr>
          </w:p>
        </w:tc>
        <w:tc>
          <w:tcPr>
            <w:tcW w:w="1100" w:type="dxa"/>
            <w:vAlign w:val="bottom"/>
          </w:tcPr>
          <w:p>
            <w:pPr>
              <w:jc w:val="right"/>
              <w:ind w:right="43"/>
              <w:spacing w:after="0" w:line="148" w:lineRule="exact"/>
              <w:rPr>
                <w:sz w:val="20"/>
                <w:szCs w:val="20"/>
                <w:color w:val="auto"/>
              </w:rPr>
            </w:pPr>
            <w:r>
              <w:rPr>
                <w:rFonts w:ascii="Arial" w:cs="Arial" w:eastAsia="Arial" w:hAnsi="Arial"/>
                <w:sz w:val="13"/>
                <w:szCs w:val="13"/>
                <w:b w:val="1"/>
                <w:bCs w:val="1"/>
                <w:color w:val="454968"/>
              </w:rPr>
              <w:t>Value of</w:t>
            </w:r>
          </w:p>
        </w:tc>
        <w:tc>
          <w:tcPr>
            <w:tcW w:w="3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b w:val="1"/>
                <w:bCs w:val="1"/>
                <w:color w:val="454968"/>
              </w:rPr>
              <w:t>Payments</w:t>
            </w:r>
          </w:p>
        </w:tc>
        <w:tc>
          <w:tcPr>
            <w:tcW w:w="220" w:type="dxa"/>
            <w:vAlign w:val="bottom"/>
          </w:tcPr>
          <w:p>
            <w:pPr>
              <w:spacing w:after="0"/>
              <w:rPr>
                <w:sz w:val="12"/>
                <w:szCs w:val="12"/>
                <w:color w:val="auto"/>
              </w:rPr>
            </w:pPr>
          </w:p>
        </w:tc>
      </w:tr>
      <w:tr>
        <w:trPr>
          <w:trHeight w:val="148"/>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60" w:type="dxa"/>
            <w:vAlign w:val="bottom"/>
          </w:tcPr>
          <w:p>
            <w:pPr>
              <w:jc w:val="right"/>
              <w:ind w:right="3"/>
              <w:spacing w:after="0" w:line="148" w:lineRule="exact"/>
              <w:rPr>
                <w:sz w:val="20"/>
                <w:szCs w:val="20"/>
                <w:color w:val="auto"/>
              </w:rPr>
            </w:pPr>
            <w:r>
              <w:rPr>
                <w:rFonts w:ascii="Arial" w:cs="Arial" w:eastAsia="Arial" w:hAnsi="Arial"/>
                <w:sz w:val="13"/>
                <w:szCs w:val="13"/>
                <w:b w:val="1"/>
                <w:bCs w:val="1"/>
                <w:color w:val="454968"/>
              </w:rPr>
              <w:t>Years</w:t>
            </w:r>
          </w:p>
        </w:tc>
        <w:tc>
          <w:tcPr>
            <w:tcW w:w="380" w:type="dxa"/>
            <w:vAlign w:val="bottom"/>
          </w:tcPr>
          <w:p>
            <w:pPr>
              <w:spacing w:after="0"/>
              <w:rPr>
                <w:sz w:val="12"/>
                <w:szCs w:val="12"/>
                <w:color w:val="auto"/>
              </w:rPr>
            </w:pPr>
          </w:p>
        </w:tc>
        <w:tc>
          <w:tcPr>
            <w:tcW w:w="1100" w:type="dxa"/>
            <w:vAlign w:val="bottom"/>
          </w:tcPr>
          <w:p>
            <w:pPr>
              <w:jc w:val="right"/>
              <w:ind w:right="43"/>
              <w:spacing w:after="0" w:line="148" w:lineRule="exact"/>
              <w:rPr>
                <w:sz w:val="20"/>
                <w:szCs w:val="20"/>
                <w:color w:val="auto"/>
              </w:rPr>
            </w:pPr>
            <w:r>
              <w:rPr>
                <w:rFonts w:ascii="Arial" w:cs="Arial" w:eastAsia="Arial" w:hAnsi="Arial"/>
                <w:sz w:val="13"/>
                <w:szCs w:val="13"/>
                <w:b w:val="1"/>
                <w:bCs w:val="1"/>
                <w:color w:val="454968"/>
              </w:rPr>
              <w:t>Accumulated</w:t>
            </w:r>
          </w:p>
        </w:tc>
        <w:tc>
          <w:tcPr>
            <w:tcW w:w="3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b w:val="1"/>
                <w:bCs w:val="1"/>
                <w:color w:val="454968"/>
              </w:rPr>
              <w:t>During Last</w:t>
            </w:r>
          </w:p>
        </w:tc>
        <w:tc>
          <w:tcPr>
            <w:tcW w:w="220" w:type="dxa"/>
            <w:vAlign w:val="bottom"/>
          </w:tcPr>
          <w:p>
            <w:pPr>
              <w:spacing w:after="0"/>
              <w:rPr>
                <w:sz w:val="12"/>
                <w:szCs w:val="12"/>
                <w:color w:val="auto"/>
              </w:rPr>
            </w:pPr>
          </w:p>
        </w:tc>
      </w:tr>
      <w:tr>
        <w:trPr>
          <w:trHeight w:val="148"/>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60" w:type="dxa"/>
            <w:vAlign w:val="bottom"/>
          </w:tcPr>
          <w:p>
            <w:pPr>
              <w:jc w:val="right"/>
              <w:ind w:right="3"/>
              <w:spacing w:after="0" w:line="148" w:lineRule="exact"/>
              <w:rPr>
                <w:sz w:val="20"/>
                <w:szCs w:val="20"/>
                <w:color w:val="auto"/>
              </w:rPr>
            </w:pPr>
            <w:r>
              <w:rPr>
                <w:rFonts w:ascii="Arial" w:cs="Arial" w:eastAsia="Arial" w:hAnsi="Arial"/>
                <w:sz w:val="13"/>
                <w:szCs w:val="13"/>
                <w:b w:val="1"/>
                <w:bCs w:val="1"/>
                <w:color w:val="454968"/>
              </w:rPr>
              <w:t>Credited</w:t>
            </w:r>
          </w:p>
        </w:tc>
        <w:tc>
          <w:tcPr>
            <w:tcW w:w="380" w:type="dxa"/>
            <w:vAlign w:val="bottom"/>
          </w:tcPr>
          <w:p>
            <w:pPr>
              <w:spacing w:after="0"/>
              <w:rPr>
                <w:sz w:val="12"/>
                <w:szCs w:val="12"/>
                <w:color w:val="auto"/>
              </w:rPr>
            </w:pPr>
          </w:p>
        </w:tc>
        <w:tc>
          <w:tcPr>
            <w:tcW w:w="1100" w:type="dxa"/>
            <w:vAlign w:val="bottom"/>
          </w:tcPr>
          <w:p>
            <w:pPr>
              <w:jc w:val="right"/>
              <w:ind w:right="43"/>
              <w:spacing w:after="0" w:line="148" w:lineRule="exact"/>
              <w:rPr>
                <w:sz w:val="20"/>
                <w:szCs w:val="20"/>
                <w:color w:val="auto"/>
              </w:rPr>
            </w:pPr>
            <w:r>
              <w:rPr>
                <w:rFonts w:ascii="Arial" w:cs="Arial" w:eastAsia="Arial" w:hAnsi="Arial"/>
                <w:sz w:val="13"/>
                <w:szCs w:val="13"/>
                <w:b w:val="1"/>
                <w:bCs w:val="1"/>
                <w:color w:val="454968"/>
              </w:rPr>
              <w:t>Benefit</w:t>
            </w:r>
          </w:p>
        </w:tc>
        <w:tc>
          <w:tcPr>
            <w:tcW w:w="3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b w:val="1"/>
                <w:bCs w:val="1"/>
                <w:color w:val="454968"/>
              </w:rPr>
              <w:t>Fiscal Year</w:t>
            </w:r>
          </w:p>
        </w:tc>
        <w:tc>
          <w:tcPr>
            <w:tcW w:w="220" w:type="dxa"/>
            <w:vAlign w:val="bottom"/>
          </w:tcPr>
          <w:p>
            <w:pPr>
              <w:spacing w:after="0"/>
              <w:rPr>
                <w:sz w:val="12"/>
                <w:szCs w:val="12"/>
                <w:color w:val="auto"/>
              </w:rPr>
            </w:pPr>
          </w:p>
        </w:tc>
      </w:tr>
      <w:tr>
        <w:trPr>
          <w:trHeight w:val="155"/>
        </w:trPr>
        <w:tc>
          <w:tcPr>
            <w:tcW w:w="2160" w:type="dxa"/>
            <w:vAlign w:val="bottom"/>
            <w:tcBorders>
              <w:bottom w:val="single" w:sz="8" w:color="071D49"/>
            </w:tcBorders>
          </w:tcPr>
          <w:p>
            <w:pPr>
              <w:spacing w:after="0"/>
              <w:rPr>
                <w:sz w:val="20"/>
                <w:szCs w:val="20"/>
                <w:color w:val="auto"/>
              </w:rPr>
            </w:pPr>
            <w:r>
              <w:rPr>
                <w:rFonts w:ascii="Arial" w:cs="Arial" w:eastAsia="Arial" w:hAnsi="Arial"/>
                <w:sz w:val="13"/>
                <w:szCs w:val="13"/>
                <w:b w:val="1"/>
                <w:bCs w:val="1"/>
                <w:color w:val="454968"/>
              </w:rPr>
              <w:t>Name</w:t>
            </w:r>
          </w:p>
        </w:tc>
        <w:tc>
          <w:tcPr>
            <w:tcW w:w="3000" w:type="dxa"/>
            <w:vAlign w:val="bottom"/>
            <w:tcBorders>
              <w:bottom w:val="single" w:sz="8" w:color="071D49"/>
            </w:tcBorders>
            <w:gridSpan w:val="2"/>
          </w:tcPr>
          <w:p>
            <w:pPr>
              <w:ind w:left="80"/>
              <w:spacing w:after="0"/>
              <w:rPr>
                <w:sz w:val="20"/>
                <w:szCs w:val="20"/>
                <w:color w:val="auto"/>
              </w:rPr>
            </w:pPr>
            <w:r>
              <w:rPr>
                <w:rFonts w:ascii="Arial" w:cs="Arial" w:eastAsia="Arial" w:hAnsi="Arial"/>
                <w:sz w:val="13"/>
                <w:szCs w:val="13"/>
                <w:b w:val="1"/>
                <w:bCs w:val="1"/>
                <w:color w:val="454968"/>
              </w:rPr>
              <w:t>​​​Plan Name</w:t>
            </w:r>
          </w:p>
        </w:tc>
        <w:tc>
          <w:tcPr>
            <w:tcW w:w="1160" w:type="dxa"/>
            <w:vAlign w:val="bottom"/>
            <w:tcBorders>
              <w:bottom w:val="single" w:sz="8" w:color="071D49"/>
            </w:tcBorders>
          </w:tcPr>
          <w:p>
            <w:pPr>
              <w:jc w:val="right"/>
              <w:ind w:right="3"/>
              <w:spacing w:after="0"/>
              <w:rPr>
                <w:sz w:val="20"/>
                <w:szCs w:val="20"/>
                <w:color w:val="auto"/>
              </w:rPr>
            </w:pPr>
            <w:r>
              <w:rPr>
                <w:rFonts w:ascii="Arial" w:cs="Arial" w:eastAsia="Arial" w:hAnsi="Arial"/>
                <w:sz w:val="13"/>
                <w:szCs w:val="13"/>
                <w:b w:val="1"/>
                <w:bCs w:val="1"/>
                <w:color w:val="454968"/>
              </w:rPr>
              <w:t>​​​ Service (#)</w:t>
            </w:r>
          </w:p>
        </w:tc>
        <w:tc>
          <w:tcPr>
            <w:tcW w:w="380" w:type="dxa"/>
            <w:vAlign w:val="bottom"/>
            <w:tcBorders>
              <w:bottom w:val="single" w:sz="8" w:color="071D49"/>
            </w:tcBorders>
          </w:tcPr>
          <w:p>
            <w:pPr>
              <w:jc w:val="right"/>
              <w:ind w:right="126"/>
              <w:spacing w:after="0"/>
              <w:rPr>
                <w:sz w:val="20"/>
                <w:szCs w:val="20"/>
                <w:color w:val="auto"/>
              </w:rPr>
            </w:pPr>
            <w:r>
              <w:rPr>
                <w:rFonts w:ascii="Arial" w:cs="Arial" w:eastAsia="Arial" w:hAnsi="Arial"/>
                <w:sz w:val="13"/>
                <w:szCs w:val="13"/>
                <w:b w:val="1"/>
                <w:bCs w:val="1"/>
                <w:color w:val="454968"/>
              </w:rPr>
              <w:t>​​​</w:t>
            </w:r>
          </w:p>
        </w:tc>
        <w:tc>
          <w:tcPr>
            <w:tcW w:w="1440" w:type="dxa"/>
            <w:vAlign w:val="bottom"/>
            <w:tcBorders>
              <w:bottom w:val="single" w:sz="8" w:color="071D49"/>
            </w:tcBorders>
            <w:gridSpan w:val="2"/>
          </w:tcPr>
          <w:p>
            <w:pPr>
              <w:jc w:val="right"/>
              <w:ind w:right="118"/>
              <w:spacing w:after="0"/>
              <w:rPr>
                <w:sz w:val="20"/>
                <w:szCs w:val="20"/>
                <w:color w:val="auto"/>
              </w:rPr>
            </w:pPr>
            <w:r>
              <w:rPr>
                <w:rFonts w:ascii="Arial" w:cs="Arial" w:eastAsia="Arial" w:hAnsi="Arial"/>
                <w:sz w:val="13"/>
                <w:szCs w:val="13"/>
                <w:b w:val="1"/>
                <w:bCs w:val="1"/>
                <w:color w:val="454968"/>
              </w:rPr>
              <w:t>($)(1)  ​​​</w:t>
            </w:r>
          </w:p>
        </w:tc>
        <w:tc>
          <w:tcPr>
            <w:tcW w:w="90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454968"/>
              </w:rPr>
              <w:t>($)</w:t>
            </w:r>
          </w:p>
        </w:tc>
        <w:tc>
          <w:tcPr>
            <w:tcW w:w="220" w:type="dxa"/>
            <w:vAlign w:val="bottom"/>
            <w:tcBorders>
              <w:bottom w:val="single" w:sz="8" w:color="071D49"/>
            </w:tcBorders>
          </w:tcPr>
          <w:p>
            <w:pPr>
              <w:spacing w:after="0"/>
              <w:rPr>
                <w:sz w:val="13"/>
                <w:szCs w:val="13"/>
                <w:color w:val="auto"/>
              </w:rPr>
            </w:pPr>
          </w:p>
        </w:tc>
      </w:tr>
      <w:tr>
        <w:trPr>
          <w:trHeight w:val="160"/>
        </w:trPr>
        <w:tc>
          <w:tcPr>
            <w:tcW w:w="2160" w:type="dxa"/>
            <w:vAlign w:val="bottom"/>
            <w:shd w:val="clear" w:color="auto" w:fill="D9D9D9"/>
          </w:tcPr>
          <w:p>
            <w:pPr>
              <w:spacing w:after="0" w:line="160" w:lineRule="exact"/>
              <w:rPr>
                <w:sz w:val="20"/>
                <w:szCs w:val="20"/>
                <w:color w:val="auto"/>
              </w:rPr>
            </w:pPr>
            <w:r>
              <w:rPr>
                <w:rFonts w:ascii="Arial" w:cs="Arial" w:eastAsia="Arial" w:hAnsi="Arial"/>
                <w:sz w:val="16"/>
                <w:szCs w:val="16"/>
                <w:color w:val="auto"/>
              </w:rPr>
              <w:t>R. Michael</w:t>
            </w:r>
          </w:p>
        </w:tc>
        <w:tc>
          <w:tcPr>
            <w:tcW w:w="140" w:type="dxa"/>
            <w:vAlign w:val="bottom"/>
            <w:shd w:val="clear" w:color="auto" w:fill="D9D9D9"/>
          </w:tcPr>
          <w:p>
            <w:pPr>
              <w:spacing w:after="0"/>
              <w:rPr>
                <w:sz w:val="13"/>
                <w:szCs w:val="13"/>
                <w:color w:val="auto"/>
              </w:rPr>
            </w:pPr>
          </w:p>
        </w:tc>
        <w:tc>
          <w:tcPr>
            <w:tcW w:w="2860" w:type="dxa"/>
            <w:vAlign w:val="bottom"/>
            <w:shd w:val="clear" w:color="auto" w:fill="D9D9D9"/>
          </w:tcPr>
          <w:p>
            <w:pPr>
              <w:ind w:left="60"/>
              <w:spacing w:after="0" w:line="160" w:lineRule="exact"/>
              <w:rPr>
                <w:sz w:val="20"/>
                <w:szCs w:val="20"/>
                <w:color w:val="auto"/>
              </w:rPr>
            </w:pPr>
            <w:r>
              <w:rPr>
                <w:rFonts w:ascii="Arial" w:cs="Arial" w:eastAsia="Arial" w:hAnsi="Arial"/>
                <w:sz w:val="16"/>
                <w:szCs w:val="16"/>
                <w:color w:val="auto"/>
              </w:rPr>
              <w:t>AbbVie Pension Plan</w:t>
            </w:r>
          </w:p>
        </w:tc>
        <w:tc>
          <w:tcPr>
            <w:tcW w:w="1160" w:type="dxa"/>
            <w:vAlign w:val="bottom"/>
            <w:shd w:val="clear" w:color="auto" w:fill="D9D9D9"/>
          </w:tcPr>
          <w:p>
            <w:pPr>
              <w:jc w:val="right"/>
              <w:ind w:right="23"/>
              <w:spacing w:after="0" w:line="160" w:lineRule="exact"/>
              <w:rPr>
                <w:sz w:val="20"/>
                <w:szCs w:val="20"/>
                <w:color w:val="auto"/>
              </w:rPr>
            </w:pPr>
            <w:r>
              <w:rPr>
                <w:rFonts w:ascii="Arial" w:cs="Arial" w:eastAsia="Arial" w:hAnsi="Arial"/>
                <w:sz w:val="16"/>
                <w:szCs w:val="16"/>
                <w:color w:val="auto"/>
              </w:rPr>
              <w:t>33</w:t>
            </w:r>
          </w:p>
        </w:tc>
        <w:tc>
          <w:tcPr>
            <w:tcW w:w="380" w:type="dxa"/>
            <w:vAlign w:val="bottom"/>
            <w:shd w:val="clear" w:color="auto" w:fill="D9D9D9"/>
          </w:tcPr>
          <w:p>
            <w:pPr>
              <w:jc w:val="right"/>
              <w:ind w:right="66"/>
              <w:spacing w:after="0" w:line="160" w:lineRule="exact"/>
              <w:rPr>
                <w:sz w:val="20"/>
                <w:szCs w:val="20"/>
                <w:color w:val="auto"/>
              </w:rPr>
            </w:pPr>
            <w:r>
              <w:rPr>
                <w:rFonts w:ascii="Arial" w:cs="Arial" w:eastAsia="Arial" w:hAnsi="Arial"/>
                <w:sz w:val="16"/>
                <w:szCs w:val="16"/>
                <w:color w:val="auto"/>
              </w:rPr>
              <w:t>$</w:t>
            </w:r>
          </w:p>
        </w:tc>
        <w:tc>
          <w:tcPr>
            <w:tcW w:w="1100" w:type="dxa"/>
            <w:vAlign w:val="bottom"/>
            <w:shd w:val="clear" w:color="auto" w:fill="D9D9D9"/>
          </w:tcPr>
          <w:p>
            <w:pPr>
              <w:jc w:val="right"/>
              <w:ind w:right="63"/>
              <w:spacing w:after="0" w:line="160" w:lineRule="exact"/>
              <w:rPr>
                <w:sz w:val="20"/>
                <w:szCs w:val="20"/>
                <w:color w:val="auto"/>
              </w:rPr>
            </w:pPr>
            <w:r>
              <w:rPr>
                <w:rFonts w:ascii="Arial" w:cs="Arial" w:eastAsia="Arial" w:hAnsi="Arial"/>
                <w:sz w:val="16"/>
                <w:szCs w:val="16"/>
                <w:color w:val="auto"/>
              </w:rPr>
              <w:t>1,111,100</w:t>
            </w:r>
          </w:p>
        </w:tc>
        <w:tc>
          <w:tcPr>
            <w:tcW w:w="340" w:type="dxa"/>
            <w:vAlign w:val="bottom"/>
            <w:shd w:val="clear" w:color="auto" w:fill="D9D9D9"/>
          </w:tcPr>
          <w:p>
            <w:pPr>
              <w:jc w:val="right"/>
              <w:ind w:right="58"/>
              <w:spacing w:after="0" w:line="160" w:lineRule="exact"/>
              <w:rPr>
                <w:sz w:val="20"/>
                <w:szCs w:val="20"/>
                <w:color w:val="auto"/>
              </w:rPr>
            </w:pPr>
            <w:r>
              <w:rPr>
                <w:rFonts w:ascii="Arial" w:cs="Arial" w:eastAsia="Arial" w:hAnsi="Arial"/>
                <w:sz w:val="16"/>
                <w:szCs w:val="16"/>
                <w:color w:val="auto"/>
              </w:rPr>
              <w:t>$</w:t>
            </w:r>
          </w:p>
        </w:tc>
        <w:tc>
          <w:tcPr>
            <w:tcW w:w="900" w:type="dxa"/>
            <w:vAlign w:val="bottom"/>
            <w:shd w:val="clear" w:color="auto" w:fill="D9D9D9"/>
          </w:tcPr>
          <w:p>
            <w:pPr>
              <w:jc w:val="right"/>
              <w:spacing w:after="0" w:line="160" w:lineRule="exact"/>
              <w:rPr>
                <w:sz w:val="20"/>
                <w:szCs w:val="20"/>
                <w:color w:val="auto"/>
              </w:rPr>
            </w:pPr>
            <w:r>
              <w:rPr>
                <w:rFonts w:ascii="Arial" w:cs="Arial" w:eastAsia="Arial" w:hAnsi="Arial"/>
                <w:sz w:val="16"/>
                <w:szCs w:val="16"/>
                <w:color w:val="auto"/>
              </w:rPr>
              <w:t>0</w:t>
            </w:r>
          </w:p>
        </w:tc>
        <w:tc>
          <w:tcPr>
            <w:tcW w:w="220" w:type="dxa"/>
            <w:vAlign w:val="bottom"/>
            <w:shd w:val="clear" w:color="auto" w:fill="D9D9D9"/>
          </w:tcPr>
          <w:p>
            <w:pPr>
              <w:spacing w:after="0"/>
              <w:rPr>
                <w:sz w:val="13"/>
                <w:szCs w:val="13"/>
                <w:color w:val="auto"/>
              </w:rPr>
            </w:pPr>
          </w:p>
        </w:tc>
      </w:tr>
      <w:tr>
        <w:trPr>
          <w:trHeight w:val="201"/>
        </w:trPr>
        <w:tc>
          <w:tcPr>
            <w:tcW w:w="21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2860" w:type="dxa"/>
            <w:vAlign w:val="bottom"/>
            <w:shd w:val="clear" w:color="auto" w:fill="D9D9D9"/>
          </w:tcPr>
          <w:p>
            <w:pPr>
              <w:ind w:left="60"/>
              <w:spacing w:after="0"/>
              <w:rPr>
                <w:sz w:val="20"/>
                <w:szCs w:val="20"/>
                <w:color w:val="auto"/>
              </w:rPr>
            </w:pPr>
            <w:r>
              <w:rPr>
                <w:rFonts w:ascii="Arial" w:cs="Arial" w:eastAsia="Arial" w:hAnsi="Arial"/>
                <w:sz w:val="16"/>
                <w:szCs w:val="16"/>
                <w:color w:val="auto"/>
              </w:rPr>
              <w:t>AbbVie Supplemental Pension Plan</w:t>
            </w:r>
          </w:p>
        </w:tc>
        <w:tc>
          <w:tcPr>
            <w:tcW w:w="1160" w:type="dxa"/>
            <w:vAlign w:val="bottom"/>
            <w:shd w:val="clear" w:color="auto" w:fill="D9D9D9"/>
          </w:tcPr>
          <w:p>
            <w:pPr>
              <w:jc w:val="right"/>
              <w:ind w:right="23"/>
              <w:spacing w:after="0"/>
              <w:rPr>
                <w:sz w:val="20"/>
                <w:szCs w:val="20"/>
                <w:color w:val="auto"/>
              </w:rPr>
            </w:pPr>
            <w:r>
              <w:rPr>
                <w:rFonts w:ascii="Arial" w:cs="Arial" w:eastAsia="Arial" w:hAnsi="Arial"/>
                <w:sz w:val="16"/>
                <w:szCs w:val="16"/>
                <w:color w:val="auto"/>
              </w:rPr>
              <w:t>33</w:t>
            </w:r>
          </w:p>
        </w:tc>
        <w:tc>
          <w:tcPr>
            <w:tcW w:w="380" w:type="dxa"/>
            <w:vAlign w:val="bottom"/>
            <w:shd w:val="clear" w:color="auto" w:fill="D9D9D9"/>
          </w:tcPr>
          <w:p>
            <w:pPr>
              <w:spacing w:after="0"/>
              <w:rPr>
                <w:sz w:val="17"/>
                <w:szCs w:val="17"/>
                <w:color w:val="auto"/>
              </w:rPr>
            </w:pPr>
          </w:p>
        </w:tc>
        <w:tc>
          <w:tcPr>
            <w:tcW w:w="1100" w:type="dxa"/>
            <w:vAlign w:val="bottom"/>
            <w:shd w:val="clear" w:color="auto" w:fill="D9D9D9"/>
          </w:tcPr>
          <w:p>
            <w:pPr>
              <w:jc w:val="right"/>
              <w:ind w:right="63"/>
              <w:spacing w:after="0"/>
              <w:rPr>
                <w:sz w:val="20"/>
                <w:szCs w:val="20"/>
                <w:color w:val="auto"/>
              </w:rPr>
            </w:pPr>
            <w:r>
              <w:rPr>
                <w:rFonts w:ascii="Arial" w:cs="Arial" w:eastAsia="Arial" w:hAnsi="Arial"/>
                <w:sz w:val="16"/>
                <w:szCs w:val="16"/>
                <w:color w:val="auto"/>
              </w:rPr>
              <w:t>21,063,786</w:t>
            </w:r>
          </w:p>
        </w:tc>
        <w:tc>
          <w:tcPr>
            <w:tcW w:w="340" w:type="dxa"/>
            <w:vAlign w:val="bottom"/>
            <w:shd w:val="clear" w:color="auto" w:fill="D9D9D9"/>
          </w:tcPr>
          <w:p>
            <w:pPr>
              <w:spacing w:after="0"/>
              <w:rPr>
                <w:sz w:val="17"/>
                <w:szCs w:val="17"/>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2,121,436</w:t>
            </w:r>
          </w:p>
        </w:tc>
        <w:tc>
          <w:tcPr>
            <w:tcW w:w="220" w:type="dxa"/>
            <w:vAlign w:val="bottom"/>
            <w:shd w:val="clear" w:color="auto" w:fill="D9D9D9"/>
          </w:tcPr>
          <w:p>
            <w:pPr>
              <w:jc w:val="right"/>
              <w:ind w:right="5"/>
              <w:spacing w:after="0"/>
              <w:rPr>
                <w:sz w:val="20"/>
                <w:szCs w:val="20"/>
                <w:color w:val="auto"/>
              </w:rPr>
            </w:pPr>
            <w:r>
              <w:rPr>
                <w:rFonts w:ascii="Arial" w:cs="Arial" w:eastAsia="Arial" w:hAnsi="Arial"/>
                <w:sz w:val="11"/>
                <w:szCs w:val="11"/>
                <w:color w:val="auto"/>
              </w:rPr>
              <w:t>(2)</w:t>
            </w:r>
          </w:p>
        </w:tc>
      </w:tr>
      <w:tr>
        <w:trPr>
          <w:trHeight w:val="168"/>
        </w:trPr>
        <w:tc>
          <w:tcPr>
            <w:tcW w:w="2160" w:type="dxa"/>
            <w:vAlign w:val="bottom"/>
          </w:tcPr>
          <w:p>
            <w:pPr>
              <w:spacing w:after="0" w:line="168" w:lineRule="exact"/>
              <w:rPr>
                <w:sz w:val="20"/>
                <w:szCs w:val="20"/>
                <w:color w:val="auto"/>
              </w:rPr>
            </w:pPr>
            <w:r>
              <w:rPr>
                <w:rFonts w:ascii="Arial" w:cs="Arial" w:eastAsia="Arial" w:hAnsi="Arial"/>
                <w:sz w:val="16"/>
                <w:szCs w:val="16"/>
                <w:color w:val="auto"/>
              </w:rPr>
              <w:t>S. Reents</w:t>
            </w:r>
          </w:p>
        </w:tc>
        <w:tc>
          <w:tcPr>
            <w:tcW w:w="140" w:type="dxa"/>
            <w:vAlign w:val="bottom"/>
          </w:tcPr>
          <w:p>
            <w:pPr>
              <w:spacing w:after="0"/>
              <w:rPr>
                <w:sz w:val="14"/>
                <w:szCs w:val="14"/>
                <w:color w:val="auto"/>
              </w:rPr>
            </w:pPr>
          </w:p>
        </w:tc>
        <w:tc>
          <w:tcPr>
            <w:tcW w:w="2860" w:type="dxa"/>
            <w:vAlign w:val="bottom"/>
          </w:tcPr>
          <w:p>
            <w:pPr>
              <w:ind w:left="60"/>
              <w:spacing w:after="0" w:line="168" w:lineRule="exact"/>
              <w:rPr>
                <w:sz w:val="20"/>
                <w:szCs w:val="20"/>
                <w:color w:val="auto"/>
              </w:rPr>
            </w:pPr>
            <w:r>
              <w:rPr>
                <w:rFonts w:ascii="Arial" w:cs="Arial" w:eastAsia="Arial" w:hAnsi="Arial"/>
                <w:sz w:val="16"/>
                <w:szCs w:val="16"/>
                <w:color w:val="auto"/>
              </w:rPr>
              <w:t>AbbVie Pension Plan</w:t>
            </w:r>
          </w:p>
        </w:tc>
        <w:tc>
          <w:tcPr>
            <w:tcW w:w="1160" w:type="dxa"/>
            <w:vAlign w:val="bottom"/>
          </w:tcPr>
          <w:p>
            <w:pPr>
              <w:jc w:val="right"/>
              <w:ind w:right="23"/>
              <w:spacing w:after="0" w:line="168" w:lineRule="exact"/>
              <w:rPr>
                <w:sz w:val="20"/>
                <w:szCs w:val="20"/>
                <w:color w:val="auto"/>
              </w:rPr>
            </w:pPr>
            <w:r>
              <w:rPr>
                <w:rFonts w:ascii="Arial" w:cs="Arial" w:eastAsia="Arial" w:hAnsi="Arial"/>
                <w:sz w:val="16"/>
                <w:szCs w:val="16"/>
                <w:color w:val="auto"/>
              </w:rPr>
              <w:t>18</w:t>
            </w:r>
          </w:p>
        </w:tc>
        <w:tc>
          <w:tcPr>
            <w:tcW w:w="380" w:type="dxa"/>
            <w:vAlign w:val="bottom"/>
          </w:tcPr>
          <w:p>
            <w:pPr>
              <w:spacing w:after="0"/>
              <w:rPr>
                <w:sz w:val="14"/>
                <w:szCs w:val="14"/>
                <w:color w:val="auto"/>
              </w:rPr>
            </w:pPr>
          </w:p>
        </w:tc>
        <w:tc>
          <w:tcPr>
            <w:tcW w:w="1100" w:type="dxa"/>
            <w:vAlign w:val="bottom"/>
          </w:tcPr>
          <w:p>
            <w:pPr>
              <w:jc w:val="right"/>
              <w:ind w:right="63"/>
              <w:spacing w:after="0" w:line="168" w:lineRule="exact"/>
              <w:rPr>
                <w:sz w:val="20"/>
                <w:szCs w:val="20"/>
                <w:color w:val="auto"/>
              </w:rPr>
            </w:pPr>
            <w:r>
              <w:rPr>
                <w:rFonts w:ascii="Arial" w:cs="Arial" w:eastAsia="Arial" w:hAnsi="Arial"/>
                <w:sz w:val="16"/>
                <w:szCs w:val="16"/>
                <w:color w:val="auto"/>
              </w:rPr>
              <w:t>656,248</w:t>
            </w:r>
          </w:p>
        </w:tc>
        <w:tc>
          <w:tcPr>
            <w:tcW w:w="34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0</w:t>
            </w:r>
          </w:p>
        </w:tc>
        <w:tc>
          <w:tcPr>
            <w:tcW w:w="220" w:type="dxa"/>
            <w:vAlign w:val="bottom"/>
          </w:tcPr>
          <w:p>
            <w:pPr>
              <w:spacing w:after="0"/>
              <w:rPr>
                <w:sz w:val="14"/>
                <w:szCs w:val="14"/>
                <w:color w:val="auto"/>
              </w:rPr>
            </w:pPr>
          </w:p>
        </w:tc>
      </w:tr>
      <w:tr>
        <w:trPr>
          <w:trHeight w:val="201"/>
        </w:trPr>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Pr>
          <w:p>
            <w:pPr>
              <w:ind w:left="60"/>
              <w:spacing w:after="0"/>
              <w:rPr>
                <w:sz w:val="20"/>
                <w:szCs w:val="20"/>
                <w:color w:val="auto"/>
              </w:rPr>
            </w:pPr>
            <w:r>
              <w:rPr>
                <w:rFonts w:ascii="Arial" w:cs="Arial" w:eastAsia="Arial" w:hAnsi="Arial"/>
                <w:sz w:val="16"/>
                <w:szCs w:val="16"/>
                <w:color w:val="auto"/>
              </w:rPr>
              <w:t>AbbVie Supplemental Pension Plan</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18</w:t>
            </w:r>
          </w:p>
        </w:tc>
        <w:tc>
          <w:tcPr>
            <w:tcW w:w="380" w:type="dxa"/>
            <w:vAlign w:val="bottom"/>
          </w:tcPr>
          <w:p>
            <w:pPr>
              <w:spacing w:after="0"/>
              <w:rPr>
                <w:sz w:val="17"/>
                <w:szCs w:val="17"/>
                <w:color w:val="auto"/>
              </w:rPr>
            </w:pPr>
          </w:p>
        </w:tc>
        <w:tc>
          <w:tcPr>
            <w:tcW w:w="1100" w:type="dxa"/>
            <w:vAlign w:val="bottom"/>
          </w:tcPr>
          <w:p>
            <w:pPr>
              <w:jc w:val="right"/>
              <w:ind w:right="63"/>
              <w:spacing w:after="0"/>
              <w:rPr>
                <w:sz w:val="20"/>
                <w:szCs w:val="20"/>
                <w:color w:val="auto"/>
              </w:rPr>
            </w:pPr>
            <w:r>
              <w:rPr>
                <w:rFonts w:ascii="Arial" w:cs="Arial" w:eastAsia="Arial" w:hAnsi="Arial"/>
                <w:sz w:val="16"/>
                <w:szCs w:val="16"/>
                <w:color w:val="auto"/>
              </w:rPr>
              <w:t>8,956,071</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1,585,221</w:t>
            </w:r>
          </w:p>
        </w:tc>
        <w:tc>
          <w:tcPr>
            <w:tcW w:w="220" w:type="dxa"/>
            <w:vAlign w:val="bottom"/>
          </w:tcPr>
          <w:p>
            <w:pPr>
              <w:jc w:val="right"/>
              <w:ind w:right="5"/>
              <w:spacing w:after="0"/>
              <w:rPr>
                <w:sz w:val="20"/>
                <w:szCs w:val="20"/>
                <w:color w:val="auto"/>
              </w:rPr>
            </w:pPr>
            <w:r>
              <w:rPr>
                <w:rFonts w:ascii="Arial" w:cs="Arial" w:eastAsia="Arial" w:hAnsi="Arial"/>
                <w:sz w:val="11"/>
                <w:szCs w:val="11"/>
                <w:color w:val="auto"/>
              </w:rPr>
              <w:t>(2)</w:t>
            </w:r>
          </w:p>
        </w:tc>
      </w:tr>
      <w:tr>
        <w:trPr>
          <w:trHeight w:val="168"/>
        </w:trPr>
        <w:tc>
          <w:tcPr>
            <w:tcW w:w="2160" w:type="dxa"/>
            <w:vAlign w:val="bottom"/>
            <w:shd w:val="clear" w:color="auto" w:fill="D9D9D9"/>
          </w:tcPr>
          <w:p>
            <w:pPr>
              <w:spacing w:after="0" w:line="168" w:lineRule="exact"/>
              <w:rPr>
                <w:sz w:val="20"/>
                <w:szCs w:val="20"/>
                <w:color w:val="auto"/>
              </w:rPr>
            </w:pPr>
            <w:r>
              <w:rPr>
                <w:rFonts w:ascii="Arial" w:cs="Arial" w:eastAsia="Arial" w:hAnsi="Arial"/>
                <w:sz w:val="16"/>
                <w:szCs w:val="16"/>
                <w:color w:val="auto"/>
              </w:rPr>
              <w:t>J. Stewart</w:t>
            </w:r>
          </w:p>
        </w:tc>
        <w:tc>
          <w:tcPr>
            <w:tcW w:w="140" w:type="dxa"/>
            <w:vAlign w:val="bottom"/>
            <w:shd w:val="clear" w:color="auto" w:fill="D9D9D9"/>
          </w:tcPr>
          <w:p>
            <w:pPr>
              <w:spacing w:after="0"/>
              <w:rPr>
                <w:sz w:val="14"/>
                <w:szCs w:val="14"/>
                <w:color w:val="auto"/>
              </w:rPr>
            </w:pPr>
          </w:p>
        </w:tc>
        <w:tc>
          <w:tcPr>
            <w:tcW w:w="2860" w:type="dxa"/>
            <w:vAlign w:val="bottom"/>
            <w:shd w:val="clear" w:color="auto" w:fill="D9D9D9"/>
          </w:tcPr>
          <w:p>
            <w:pPr>
              <w:ind w:left="60"/>
              <w:spacing w:after="0" w:line="168" w:lineRule="exact"/>
              <w:rPr>
                <w:sz w:val="20"/>
                <w:szCs w:val="20"/>
                <w:color w:val="auto"/>
              </w:rPr>
            </w:pPr>
            <w:r>
              <w:rPr>
                <w:rFonts w:ascii="Arial" w:cs="Arial" w:eastAsia="Arial" w:hAnsi="Arial"/>
                <w:sz w:val="16"/>
                <w:szCs w:val="16"/>
                <w:color w:val="auto"/>
              </w:rPr>
              <w:t>AbbVie Pension Plan</w:t>
            </w:r>
          </w:p>
        </w:tc>
        <w:tc>
          <w:tcPr>
            <w:tcW w:w="1160" w:type="dxa"/>
            <w:vAlign w:val="bottom"/>
            <w:shd w:val="clear" w:color="auto" w:fill="D9D9D9"/>
          </w:tcPr>
          <w:p>
            <w:pPr>
              <w:jc w:val="right"/>
              <w:ind w:right="23"/>
              <w:spacing w:after="0" w:line="168" w:lineRule="exact"/>
              <w:rPr>
                <w:sz w:val="20"/>
                <w:szCs w:val="20"/>
                <w:color w:val="auto"/>
              </w:rPr>
            </w:pPr>
            <w:r>
              <w:rPr>
                <w:rFonts w:ascii="Arial" w:cs="Arial" w:eastAsia="Arial" w:hAnsi="Arial"/>
                <w:sz w:val="16"/>
                <w:szCs w:val="16"/>
                <w:color w:val="auto"/>
              </w:rPr>
              <w:t>34</w:t>
            </w:r>
          </w:p>
        </w:tc>
        <w:tc>
          <w:tcPr>
            <w:tcW w:w="380" w:type="dxa"/>
            <w:vAlign w:val="bottom"/>
            <w:shd w:val="clear" w:color="auto" w:fill="D9D9D9"/>
          </w:tcPr>
          <w:p>
            <w:pPr>
              <w:spacing w:after="0"/>
              <w:rPr>
                <w:sz w:val="14"/>
                <w:szCs w:val="14"/>
                <w:color w:val="auto"/>
              </w:rPr>
            </w:pPr>
          </w:p>
        </w:tc>
        <w:tc>
          <w:tcPr>
            <w:tcW w:w="1100" w:type="dxa"/>
            <w:vAlign w:val="bottom"/>
            <w:shd w:val="clear" w:color="auto" w:fill="D9D9D9"/>
          </w:tcPr>
          <w:p>
            <w:pPr>
              <w:jc w:val="right"/>
              <w:ind w:right="63"/>
              <w:spacing w:after="0" w:line="168" w:lineRule="exact"/>
              <w:rPr>
                <w:sz w:val="20"/>
                <w:szCs w:val="20"/>
                <w:color w:val="auto"/>
              </w:rPr>
            </w:pPr>
            <w:r>
              <w:rPr>
                <w:rFonts w:ascii="Arial" w:cs="Arial" w:eastAsia="Arial" w:hAnsi="Arial"/>
                <w:sz w:val="16"/>
                <w:szCs w:val="16"/>
                <w:color w:val="auto"/>
              </w:rPr>
              <w:t>1,255,369</w:t>
            </w:r>
          </w:p>
        </w:tc>
        <w:tc>
          <w:tcPr>
            <w:tcW w:w="340" w:type="dxa"/>
            <w:vAlign w:val="bottom"/>
            <w:shd w:val="clear" w:color="auto" w:fill="D9D9D9"/>
          </w:tcPr>
          <w:p>
            <w:pPr>
              <w:spacing w:after="0"/>
              <w:rPr>
                <w:sz w:val="14"/>
                <w:szCs w:val="14"/>
                <w:color w:val="auto"/>
              </w:rPr>
            </w:pPr>
          </w:p>
        </w:tc>
        <w:tc>
          <w:tcPr>
            <w:tcW w:w="900" w:type="dxa"/>
            <w:vAlign w:val="bottom"/>
            <w:shd w:val="clear" w:color="auto" w:fill="D9D9D9"/>
          </w:tcPr>
          <w:p>
            <w:pPr>
              <w:jc w:val="right"/>
              <w:spacing w:after="0" w:line="168" w:lineRule="exact"/>
              <w:rPr>
                <w:sz w:val="20"/>
                <w:szCs w:val="20"/>
                <w:color w:val="auto"/>
              </w:rPr>
            </w:pPr>
            <w:r>
              <w:rPr>
                <w:rFonts w:ascii="Arial" w:cs="Arial" w:eastAsia="Arial" w:hAnsi="Arial"/>
                <w:sz w:val="16"/>
                <w:szCs w:val="16"/>
                <w:color w:val="auto"/>
              </w:rPr>
              <w:t>0</w:t>
            </w:r>
          </w:p>
        </w:tc>
        <w:tc>
          <w:tcPr>
            <w:tcW w:w="220" w:type="dxa"/>
            <w:vAlign w:val="bottom"/>
            <w:shd w:val="clear" w:color="auto" w:fill="D9D9D9"/>
          </w:tcPr>
          <w:p>
            <w:pPr>
              <w:spacing w:after="0"/>
              <w:rPr>
                <w:sz w:val="14"/>
                <w:szCs w:val="14"/>
                <w:color w:val="auto"/>
              </w:rPr>
            </w:pPr>
          </w:p>
        </w:tc>
      </w:tr>
      <w:tr>
        <w:trPr>
          <w:trHeight w:val="201"/>
        </w:trPr>
        <w:tc>
          <w:tcPr>
            <w:tcW w:w="21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2860" w:type="dxa"/>
            <w:vAlign w:val="bottom"/>
            <w:shd w:val="clear" w:color="auto" w:fill="D9D9D9"/>
          </w:tcPr>
          <w:p>
            <w:pPr>
              <w:ind w:left="60"/>
              <w:spacing w:after="0"/>
              <w:rPr>
                <w:sz w:val="20"/>
                <w:szCs w:val="20"/>
                <w:color w:val="auto"/>
              </w:rPr>
            </w:pPr>
            <w:r>
              <w:rPr>
                <w:rFonts w:ascii="Arial" w:cs="Arial" w:eastAsia="Arial" w:hAnsi="Arial"/>
                <w:sz w:val="16"/>
                <w:szCs w:val="16"/>
                <w:color w:val="auto"/>
              </w:rPr>
              <w:t>AbbVie Supplemental Pension Plan</w:t>
            </w:r>
          </w:p>
        </w:tc>
        <w:tc>
          <w:tcPr>
            <w:tcW w:w="1160" w:type="dxa"/>
            <w:vAlign w:val="bottom"/>
            <w:shd w:val="clear" w:color="auto" w:fill="D9D9D9"/>
          </w:tcPr>
          <w:p>
            <w:pPr>
              <w:jc w:val="right"/>
              <w:ind w:right="23"/>
              <w:spacing w:after="0"/>
              <w:rPr>
                <w:sz w:val="20"/>
                <w:szCs w:val="20"/>
                <w:color w:val="auto"/>
              </w:rPr>
            </w:pPr>
            <w:r>
              <w:rPr>
                <w:rFonts w:ascii="Arial" w:cs="Arial" w:eastAsia="Arial" w:hAnsi="Arial"/>
                <w:sz w:val="16"/>
                <w:szCs w:val="16"/>
                <w:color w:val="auto"/>
              </w:rPr>
              <w:t>34</w:t>
            </w:r>
          </w:p>
        </w:tc>
        <w:tc>
          <w:tcPr>
            <w:tcW w:w="380" w:type="dxa"/>
            <w:vAlign w:val="bottom"/>
            <w:shd w:val="clear" w:color="auto" w:fill="D9D9D9"/>
          </w:tcPr>
          <w:p>
            <w:pPr>
              <w:spacing w:after="0"/>
              <w:rPr>
                <w:sz w:val="17"/>
                <w:szCs w:val="17"/>
                <w:color w:val="auto"/>
              </w:rPr>
            </w:pPr>
          </w:p>
        </w:tc>
        <w:tc>
          <w:tcPr>
            <w:tcW w:w="1100" w:type="dxa"/>
            <w:vAlign w:val="bottom"/>
            <w:shd w:val="clear" w:color="auto" w:fill="D9D9D9"/>
          </w:tcPr>
          <w:p>
            <w:pPr>
              <w:jc w:val="right"/>
              <w:ind w:right="63"/>
              <w:spacing w:after="0"/>
              <w:rPr>
                <w:sz w:val="20"/>
                <w:szCs w:val="20"/>
                <w:color w:val="auto"/>
              </w:rPr>
            </w:pPr>
            <w:r>
              <w:rPr>
                <w:rFonts w:ascii="Arial" w:cs="Arial" w:eastAsia="Arial" w:hAnsi="Arial"/>
                <w:sz w:val="16"/>
                <w:szCs w:val="16"/>
                <w:color w:val="auto"/>
              </w:rPr>
              <w:t>16,441,940</w:t>
            </w:r>
          </w:p>
        </w:tc>
        <w:tc>
          <w:tcPr>
            <w:tcW w:w="340" w:type="dxa"/>
            <w:vAlign w:val="bottom"/>
            <w:shd w:val="clear" w:color="auto" w:fill="D9D9D9"/>
          </w:tcPr>
          <w:p>
            <w:pPr>
              <w:spacing w:after="0"/>
              <w:rPr>
                <w:sz w:val="17"/>
                <w:szCs w:val="17"/>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2,462,662</w:t>
            </w:r>
          </w:p>
        </w:tc>
        <w:tc>
          <w:tcPr>
            <w:tcW w:w="220" w:type="dxa"/>
            <w:vAlign w:val="bottom"/>
            <w:shd w:val="clear" w:color="auto" w:fill="D9D9D9"/>
          </w:tcPr>
          <w:p>
            <w:pPr>
              <w:jc w:val="right"/>
              <w:ind w:right="5"/>
              <w:spacing w:after="0"/>
              <w:rPr>
                <w:sz w:val="20"/>
                <w:szCs w:val="20"/>
                <w:color w:val="auto"/>
              </w:rPr>
            </w:pPr>
            <w:r>
              <w:rPr>
                <w:rFonts w:ascii="Arial" w:cs="Arial" w:eastAsia="Arial" w:hAnsi="Arial"/>
                <w:sz w:val="11"/>
                <w:szCs w:val="11"/>
                <w:color w:val="auto"/>
              </w:rPr>
              <w:t>(2)</w:t>
            </w:r>
          </w:p>
        </w:tc>
      </w:tr>
      <w:tr>
        <w:trPr>
          <w:trHeight w:val="168"/>
        </w:trPr>
        <w:tc>
          <w:tcPr>
            <w:tcW w:w="2160" w:type="dxa"/>
            <w:vAlign w:val="bottom"/>
          </w:tcPr>
          <w:p>
            <w:pPr>
              <w:spacing w:after="0" w:line="168" w:lineRule="exact"/>
              <w:rPr>
                <w:sz w:val="20"/>
                <w:szCs w:val="20"/>
                <w:color w:val="auto"/>
              </w:rPr>
            </w:pPr>
            <w:r>
              <w:rPr>
                <w:rFonts w:ascii="Arial" w:cs="Arial" w:eastAsia="Arial" w:hAnsi="Arial"/>
                <w:sz w:val="16"/>
                <w:szCs w:val="16"/>
                <w:color w:val="auto"/>
              </w:rPr>
              <w:t>A. Saleki-Gerhardt</w:t>
            </w:r>
          </w:p>
        </w:tc>
        <w:tc>
          <w:tcPr>
            <w:tcW w:w="140" w:type="dxa"/>
            <w:vAlign w:val="bottom"/>
          </w:tcPr>
          <w:p>
            <w:pPr>
              <w:spacing w:after="0"/>
              <w:rPr>
                <w:sz w:val="14"/>
                <w:szCs w:val="14"/>
                <w:color w:val="auto"/>
              </w:rPr>
            </w:pPr>
          </w:p>
        </w:tc>
        <w:tc>
          <w:tcPr>
            <w:tcW w:w="2860" w:type="dxa"/>
            <w:vAlign w:val="bottom"/>
          </w:tcPr>
          <w:p>
            <w:pPr>
              <w:ind w:left="60"/>
              <w:spacing w:after="0" w:line="168" w:lineRule="exact"/>
              <w:rPr>
                <w:sz w:val="20"/>
                <w:szCs w:val="20"/>
                <w:color w:val="auto"/>
              </w:rPr>
            </w:pPr>
            <w:r>
              <w:rPr>
                <w:rFonts w:ascii="Arial" w:cs="Arial" w:eastAsia="Arial" w:hAnsi="Arial"/>
                <w:sz w:val="16"/>
                <w:szCs w:val="16"/>
                <w:color w:val="auto"/>
              </w:rPr>
              <w:t>AbbVie Pension Plan</w:t>
            </w:r>
          </w:p>
        </w:tc>
        <w:tc>
          <w:tcPr>
            <w:tcW w:w="1160" w:type="dxa"/>
            <w:vAlign w:val="bottom"/>
          </w:tcPr>
          <w:p>
            <w:pPr>
              <w:jc w:val="right"/>
              <w:ind w:right="23"/>
              <w:spacing w:after="0" w:line="168" w:lineRule="exact"/>
              <w:rPr>
                <w:sz w:val="20"/>
                <w:szCs w:val="20"/>
                <w:color w:val="auto"/>
              </w:rPr>
            </w:pPr>
            <w:r>
              <w:rPr>
                <w:rFonts w:ascii="Arial" w:cs="Arial" w:eastAsia="Arial" w:hAnsi="Arial"/>
                <w:sz w:val="16"/>
                <w:szCs w:val="16"/>
                <w:color w:val="auto"/>
              </w:rPr>
              <w:t>33</w:t>
            </w:r>
          </w:p>
        </w:tc>
        <w:tc>
          <w:tcPr>
            <w:tcW w:w="380" w:type="dxa"/>
            <w:vAlign w:val="bottom"/>
          </w:tcPr>
          <w:p>
            <w:pPr>
              <w:spacing w:after="0"/>
              <w:rPr>
                <w:sz w:val="14"/>
                <w:szCs w:val="14"/>
                <w:color w:val="auto"/>
              </w:rPr>
            </w:pPr>
          </w:p>
        </w:tc>
        <w:tc>
          <w:tcPr>
            <w:tcW w:w="1100" w:type="dxa"/>
            <w:vAlign w:val="bottom"/>
          </w:tcPr>
          <w:p>
            <w:pPr>
              <w:jc w:val="right"/>
              <w:ind w:right="63"/>
              <w:spacing w:after="0" w:line="168" w:lineRule="exact"/>
              <w:rPr>
                <w:sz w:val="20"/>
                <w:szCs w:val="20"/>
                <w:color w:val="auto"/>
              </w:rPr>
            </w:pPr>
            <w:r>
              <w:rPr>
                <w:rFonts w:ascii="Arial" w:cs="Arial" w:eastAsia="Arial" w:hAnsi="Arial"/>
                <w:sz w:val="16"/>
                <w:szCs w:val="16"/>
                <w:color w:val="auto"/>
              </w:rPr>
              <w:t>1,594,801</w:t>
            </w:r>
          </w:p>
        </w:tc>
        <w:tc>
          <w:tcPr>
            <w:tcW w:w="34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0</w:t>
            </w:r>
          </w:p>
        </w:tc>
        <w:tc>
          <w:tcPr>
            <w:tcW w:w="220" w:type="dxa"/>
            <w:vAlign w:val="bottom"/>
          </w:tcPr>
          <w:p>
            <w:pPr>
              <w:spacing w:after="0"/>
              <w:rPr>
                <w:sz w:val="14"/>
                <w:szCs w:val="14"/>
                <w:color w:val="auto"/>
              </w:rPr>
            </w:pPr>
          </w:p>
        </w:tc>
      </w:tr>
      <w:tr>
        <w:trPr>
          <w:trHeight w:val="201"/>
        </w:trPr>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Pr>
          <w:p>
            <w:pPr>
              <w:ind w:left="60"/>
              <w:spacing w:after="0"/>
              <w:rPr>
                <w:sz w:val="20"/>
                <w:szCs w:val="20"/>
                <w:color w:val="auto"/>
              </w:rPr>
            </w:pPr>
            <w:r>
              <w:rPr>
                <w:rFonts w:ascii="Arial" w:cs="Arial" w:eastAsia="Arial" w:hAnsi="Arial"/>
                <w:sz w:val="16"/>
                <w:szCs w:val="16"/>
                <w:color w:val="auto"/>
              </w:rPr>
              <w:t>AbbVie Supplemental Pension Plan</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33</w:t>
            </w:r>
          </w:p>
        </w:tc>
        <w:tc>
          <w:tcPr>
            <w:tcW w:w="380" w:type="dxa"/>
            <w:vAlign w:val="bottom"/>
          </w:tcPr>
          <w:p>
            <w:pPr>
              <w:spacing w:after="0"/>
              <w:rPr>
                <w:sz w:val="17"/>
                <w:szCs w:val="17"/>
                <w:color w:val="auto"/>
              </w:rPr>
            </w:pPr>
          </w:p>
        </w:tc>
        <w:tc>
          <w:tcPr>
            <w:tcW w:w="1100" w:type="dxa"/>
            <w:vAlign w:val="bottom"/>
          </w:tcPr>
          <w:p>
            <w:pPr>
              <w:jc w:val="right"/>
              <w:ind w:right="63"/>
              <w:spacing w:after="0"/>
              <w:rPr>
                <w:sz w:val="20"/>
                <w:szCs w:val="20"/>
                <w:color w:val="auto"/>
              </w:rPr>
            </w:pPr>
            <w:r>
              <w:rPr>
                <w:rFonts w:ascii="Arial" w:cs="Arial" w:eastAsia="Arial" w:hAnsi="Arial"/>
                <w:sz w:val="16"/>
                <w:szCs w:val="16"/>
                <w:color w:val="auto"/>
              </w:rPr>
              <w:t>13,548,201</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792,146</w:t>
            </w:r>
          </w:p>
        </w:tc>
        <w:tc>
          <w:tcPr>
            <w:tcW w:w="220" w:type="dxa"/>
            <w:vAlign w:val="bottom"/>
          </w:tcPr>
          <w:p>
            <w:pPr>
              <w:jc w:val="right"/>
              <w:ind w:right="5"/>
              <w:spacing w:after="0"/>
              <w:rPr>
                <w:sz w:val="20"/>
                <w:szCs w:val="20"/>
                <w:color w:val="auto"/>
              </w:rPr>
            </w:pPr>
            <w:r>
              <w:rPr>
                <w:rFonts w:ascii="Arial" w:cs="Arial" w:eastAsia="Arial" w:hAnsi="Arial"/>
                <w:sz w:val="11"/>
                <w:szCs w:val="11"/>
                <w:color w:val="auto"/>
              </w:rPr>
              <w:t>(2)</w:t>
            </w:r>
          </w:p>
        </w:tc>
      </w:tr>
      <w:tr>
        <w:trPr>
          <w:trHeight w:val="168"/>
        </w:trPr>
        <w:tc>
          <w:tcPr>
            <w:tcW w:w="2160" w:type="dxa"/>
            <w:vAlign w:val="bottom"/>
            <w:shd w:val="clear" w:color="auto" w:fill="D9D9D9"/>
          </w:tcPr>
          <w:p>
            <w:pPr>
              <w:spacing w:after="0" w:line="168" w:lineRule="exact"/>
              <w:rPr>
                <w:sz w:val="20"/>
                <w:szCs w:val="20"/>
                <w:color w:val="auto"/>
              </w:rPr>
            </w:pPr>
            <w:r>
              <w:rPr>
                <w:rFonts w:ascii="Arial" w:cs="Arial" w:eastAsia="Arial" w:hAnsi="Arial"/>
                <w:sz w:val="16"/>
                <w:szCs w:val="16"/>
                <w:color w:val="auto"/>
              </w:rPr>
              <w:t>R. Thakkar</w:t>
            </w:r>
          </w:p>
        </w:tc>
        <w:tc>
          <w:tcPr>
            <w:tcW w:w="140" w:type="dxa"/>
            <w:vAlign w:val="bottom"/>
            <w:shd w:val="clear" w:color="auto" w:fill="D9D9D9"/>
          </w:tcPr>
          <w:p>
            <w:pPr>
              <w:spacing w:after="0"/>
              <w:rPr>
                <w:sz w:val="14"/>
                <w:szCs w:val="14"/>
                <w:color w:val="auto"/>
              </w:rPr>
            </w:pPr>
          </w:p>
        </w:tc>
        <w:tc>
          <w:tcPr>
            <w:tcW w:w="2860" w:type="dxa"/>
            <w:vAlign w:val="bottom"/>
            <w:shd w:val="clear" w:color="auto" w:fill="D9D9D9"/>
          </w:tcPr>
          <w:p>
            <w:pPr>
              <w:ind w:left="60"/>
              <w:spacing w:after="0" w:line="168" w:lineRule="exact"/>
              <w:rPr>
                <w:sz w:val="20"/>
                <w:szCs w:val="20"/>
                <w:color w:val="auto"/>
              </w:rPr>
            </w:pPr>
            <w:r>
              <w:rPr>
                <w:rFonts w:ascii="Arial" w:cs="Arial" w:eastAsia="Arial" w:hAnsi="Arial"/>
                <w:sz w:val="16"/>
                <w:szCs w:val="16"/>
                <w:color w:val="auto"/>
              </w:rPr>
              <w:t>AbbVie Pension Plan</w:t>
            </w:r>
          </w:p>
        </w:tc>
        <w:tc>
          <w:tcPr>
            <w:tcW w:w="1160" w:type="dxa"/>
            <w:vAlign w:val="bottom"/>
            <w:shd w:val="clear" w:color="auto" w:fill="D9D9D9"/>
          </w:tcPr>
          <w:p>
            <w:pPr>
              <w:jc w:val="right"/>
              <w:ind w:right="23"/>
              <w:spacing w:after="0" w:line="168" w:lineRule="exact"/>
              <w:rPr>
                <w:sz w:val="20"/>
                <w:szCs w:val="20"/>
                <w:color w:val="auto"/>
              </w:rPr>
            </w:pPr>
            <w:r>
              <w:rPr>
                <w:rFonts w:ascii="Arial" w:cs="Arial" w:eastAsia="Arial" w:hAnsi="Arial"/>
                <w:sz w:val="16"/>
                <w:szCs w:val="16"/>
                <w:color w:val="auto"/>
              </w:rPr>
              <w:t>22</w:t>
            </w:r>
          </w:p>
        </w:tc>
        <w:tc>
          <w:tcPr>
            <w:tcW w:w="380" w:type="dxa"/>
            <w:vAlign w:val="bottom"/>
            <w:shd w:val="clear" w:color="auto" w:fill="D9D9D9"/>
          </w:tcPr>
          <w:p>
            <w:pPr>
              <w:spacing w:after="0"/>
              <w:rPr>
                <w:sz w:val="14"/>
                <w:szCs w:val="14"/>
                <w:color w:val="auto"/>
              </w:rPr>
            </w:pPr>
          </w:p>
        </w:tc>
        <w:tc>
          <w:tcPr>
            <w:tcW w:w="1100" w:type="dxa"/>
            <w:vAlign w:val="bottom"/>
            <w:shd w:val="clear" w:color="auto" w:fill="D9D9D9"/>
          </w:tcPr>
          <w:p>
            <w:pPr>
              <w:jc w:val="right"/>
              <w:ind w:right="63"/>
              <w:spacing w:after="0" w:line="168" w:lineRule="exact"/>
              <w:rPr>
                <w:sz w:val="20"/>
                <w:szCs w:val="20"/>
                <w:color w:val="auto"/>
              </w:rPr>
            </w:pPr>
            <w:r>
              <w:rPr>
                <w:rFonts w:ascii="Arial" w:cs="Arial" w:eastAsia="Arial" w:hAnsi="Arial"/>
                <w:sz w:val="16"/>
                <w:szCs w:val="16"/>
                <w:color w:val="auto"/>
              </w:rPr>
              <w:t>497,168</w:t>
            </w:r>
          </w:p>
        </w:tc>
        <w:tc>
          <w:tcPr>
            <w:tcW w:w="340" w:type="dxa"/>
            <w:vAlign w:val="bottom"/>
            <w:shd w:val="clear" w:color="auto" w:fill="D9D9D9"/>
          </w:tcPr>
          <w:p>
            <w:pPr>
              <w:spacing w:after="0"/>
              <w:rPr>
                <w:sz w:val="14"/>
                <w:szCs w:val="14"/>
                <w:color w:val="auto"/>
              </w:rPr>
            </w:pPr>
          </w:p>
        </w:tc>
        <w:tc>
          <w:tcPr>
            <w:tcW w:w="900" w:type="dxa"/>
            <w:vAlign w:val="bottom"/>
            <w:shd w:val="clear" w:color="auto" w:fill="D9D9D9"/>
          </w:tcPr>
          <w:p>
            <w:pPr>
              <w:jc w:val="right"/>
              <w:spacing w:after="0" w:line="168" w:lineRule="exact"/>
              <w:rPr>
                <w:sz w:val="20"/>
                <w:szCs w:val="20"/>
                <w:color w:val="auto"/>
              </w:rPr>
            </w:pPr>
            <w:r>
              <w:rPr>
                <w:rFonts w:ascii="Arial" w:cs="Arial" w:eastAsia="Arial" w:hAnsi="Arial"/>
                <w:sz w:val="16"/>
                <w:szCs w:val="16"/>
                <w:color w:val="auto"/>
              </w:rPr>
              <w:t>0</w:t>
            </w:r>
          </w:p>
        </w:tc>
        <w:tc>
          <w:tcPr>
            <w:tcW w:w="220" w:type="dxa"/>
            <w:vAlign w:val="bottom"/>
            <w:shd w:val="clear" w:color="auto" w:fill="D9D9D9"/>
          </w:tcPr>
          <w:p>
            <w:pPr>
              <w:spacing w:after="0"/>
              <w:rPr>
                <w:sz w:val="14"/>
                <w:szCs w:val="14"/>
                <w:color w:val="auto"/>
              </w:rPr>
            </w:pPr>
          </w:p>
        </w:tc>
      </w:tr>
      <w:tr>
        <w:trPr>
          <w:trHeight w:val="201"/>
        </w:trPr>
        <w:tc>
          <w:tcPr>
            <w:tcW w:w="21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2860" w:type="dxa"/>
            <w:vAlign w:val="bottom"/>
            <w:shd w:val="clear" w:color="auto" w:fill="D9D9D9"/>
          </w:tcPr>
          <w:p>
            <w:pPr>
              <w:ind w:left="60"/>
              <w:spacing w:after="0"/>
              <w:rPr>
                <w:sz w:val="20"/>
                <w:szCs w:val="20"/>
                <w:color w:val="auto"/>
              </w:rPr>
            </w:pPr>
            <w:r>
              <w:rPr>
                <w:rFonts w:ascii="Arial" w:cs="Arial" w:eastAsia="Arial" w:hAnsi="Arial"/>
                <w:sz w:val="16"/>
                <w:szCs w:val="16"/>
                <w:color w:val="auto"/>
              </w:rPr>
              <w:t>AbbVie Supplemental Pension Plan</w:t>
            </w:r>
          </w:p>
        </w:tc>
        <w:tc>
          <w:tcPr>
            <w:tcW w:w="1160" w:type="dxa"/>
            <w:vAlign w:val="bottom"/>
            <w:shd w:val="clear" w:color="auto" w:fill="D9D9D9"/>
          </w:tcPr>
          <w:p>
            <w:pPr>
              <w:jc w:val="right"/>
              <w:ind w:right="23"/>
              <w:spacing w:after="0"/>
              <w:rPr>
                <w:sz w:val="20"/>
                <w:szCs w:val="20"/>
                <w:color w:val="auto"/>
              </w:rPr>
            </w:pPr>
            <w:r>
              <w:rPr>
                <w:rFonts w:ascii="Arial" w:cs="Arial" w:eastAsia="Arial" w:hAnsi="Arial"/>
                <w:sz w:val="16"/>
                <w:szCs w:val="16"/>
                <w:color w:val="auto"/>
              </w:rPr>
              <w:t>22</w:t>
            </w:r>
          </w:p>
        </w:tc>
        <w:tc>
          <w:tcPr>
            <w:tcW w:w="380" w:type="dxa"/>
            <w:vAlign w:val="bottom"/>
            <w:shd w:val="clear" w:color="auto" w:fill="D9D9D9"/>
          </w:tcPr>
          <w:p>
            <w:pPr>
              <w:spacing w:after="0"/>
              <w:rPr>
                <w:sz w:val="17"/>
                <w:szCs w:val="17"/>
                <w:color w:val="auto"/>
              </w:rPr>
            </w:pPr>
          </w:p>
        </w:tc>
        <w:tc>
          <w:tcPr>
            <w:tcW w:w="1100" w:type="dxa"/>
            <w:vAlign w:val="bottom"/>
            <w:shd w:val="clear" w:color="auto" w:fill="D9D9D9"/>
          </w:tcPr>
          <w:p>
            <w:pPr>
              <w:jc w:val="right"/>
              <w:ind w:right="63"/>
              <w:spacing w:after="0"/>
              <w:rPr>
                <w:sz w:val="20"/>
                <w:szCs w:val="20"/>
                <w:color w:val="auto"/>
              </w:rPr>
            </w:pPr>
            <w:r>
              <w:rPr>
                <w:rFonts w:ascii="Arial" w:cs="Arial" w:eastAsia="Arial" w:hAnsi="Arial"/>
                <w:sz w:val="16"/>
                <w:szCs w:val="16"/>
                <w:color w:val="auto"/>
              </w:rPr>
              <w:t>4,356,453</w:t>
            </w:r>
          </w:p>
        </w:tc>
        <w:tc>
          <w:tcPr>
            <w:tcW w:w="340" w:type="dxa"/>
            <w:vAlign w:val="bottom"/>
            <w:shd w:val="clear" w:color="auto" w:fill="D9D9D9"/>
          </w:tcPr>
          <w:p>
            <w:pPr>
              <w:spacing w:after="0"/>
              <w:rPr>
                <w:sz w:val="17"/>
                <w:szCs w:val="17"/>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D9D9D9"/>
          </w:tcPr>
          <w:p>
            <w:pPr>
              <w:spacing w:after="0"/>
              <w:rPr>
                <w:sz w:val="17"/>
                <w:szCs w:val="17"/>
                <w:color w:val="auto"/>
              </w:rPr>
            </w:pPr>
          </w:p>
        </w:tc>
      </w:tr>
      <w:tr>
        <w:trPr>
          <w:trHeight w:val="98"/>
        </w:trPr>
        <w:tc>
          <w:tcPr>
            <w:tcW w:w="2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69" w:lineRule="exact"/>
        <w:rPr>
          <w:sz w:val="20"/>
          <w:szCs w:val="20"/>
          <w:color w:val="auto"/>
        </w:rPr>
      </w:pPr>
    </w:p>
    <w:p>
      <w:pPr>
        <w:ind w:left="289" w:right="20" w:hanging="289"/>
        <w:spacing w:after="0" w:line="246" w:lineRule="auto"/>
        <w:tabs>
          <w:tab w:leader="none" w:pos="289" w:val="left"/>
        </w:tabs>
        <w:numPr>
          <w:ilvl w:val="0"/>
          <w:numId w:val="89"/>
        </w:numPr>
        <w:rPr>
          <w:rFonts w:ascii="Arial" w:cs="Arial" w:eastAsia="Arial" w:hAnsi="Arial"/>
          <w:sz w:val="16"/>
          <w:szCs w:val="16"/>
          <w:color w:val="auto"/>
        </w:rPr>
      </w:pPr>
      <w:r>
        <w:rPr>
          <w:rFonts w:ascii="Arial" w:cs="Arial" w:eastAsia="Arial" w:hAnsi="Arial"/>
          <w:sz w:val="16"/>
          <w:szCs w:val="16"/>
          <w:color w:val="auto"/>
        </w:rPr>
        <w:t>AbbVie calculated these present values using: (i) a discount rate of 5.85% for the Pension Plan and a discount rate of 5.77% for the Supplemental Pension Plan, the same discount rates it uses for Financial Accounting Standards Board (FASB) Accounting Standards Codification (ASC) Topic 715 calculations for financial reporting purposes; and (ii) each plan’s unreduced retirement age, which is age 62 under the AbbVie Pension Plan and age 60 under the AbbVie Supplemental Pension Plan for those participants who are eligible for early retirement benefits and age 65 under both plans for other participants. The present values shown in the table reflect postretirement mortality, based on the FASB ASC Topic 715 assumption (the Pri-2012 Healthy Annuitant table with white collar adjustment projected fully generationally with MP2021 mortality improvement scale), but do not include a factor for preretirement termination, mortality, or disability.</w:t>
      </w:r>
    </w:p>
    <w:p>
      <w:pPr>
        <w:spacing w:after="0" w:line="165" w:lineRule="exact"/>
        <w:rPr>
          <w:rFonts w:ascii="Arial" w:cs="Arial" w:eastAsia="Arial" w:hAnsi="Arial"/>
          <w:sz w:val="16"/>
          <w:szCs w:val="16"/>
          <w:color w:val="auto"/>
        </w:rPr>
      </w:pPr>
    </w:p>
    <w:p>
      <w:pPr>
        <w:ind w:left="289" w:right="20" w:hanging="289"/>
        <w:spacing w:after="0" w:line="249" w:lineRule="auto"/>
        <w:tabs>
          <w:tab w:leader="none" w:pos="289" w:val="left"/>
        </w:tabs>
        <w:numPr>
          <w:ilvl w:val="0"/>
          <w:numId w:val="89"/>
        </w:numPr>
        <w:rPr>
          <w:rFonts w:ascii="Arial" w:cs="Arial" w:eastAsia="Arial" w:hAnsi="Arial"/>
          <w:sz w:val="16"/>
          <w:szCs w:val="16"/>
          <w:color w:val="auto"/>
        </w:rPr>
      </w:pPr>
      <w:r>
        <w:rPr>
          <w:rFonts w:ascii="Arial" w:cs="Arial" w:eastAsia="Arial" w:hAnsi="Arial"/>
          <w:sz w:val="16"/>
          <w:szCs w:val="16"/>
          <w:color w:val="auto"/>
        </w:rPr>
        <w:t>During 2025, the amounts shown, less applicable tax withholdings, were distributed and deposited into the individual grantor trusts established by the eligible NEOs and included in the NEOs’ income, as applicable. Consistent with the distribution requirements of Internal Revenue Code Section 409A and its regulations, vested Supplemental Pension Plan benefits, to the extent not previously funded, are distributed to the eligible participants’ individual grantor trusts and included in their income. Amounts held in an eligible NEO’s individual trust are expected to offset AbbVie’s obligations to the NEO under the plan. Grantor trusts are</w:t>
      </w:r>
    </w:p>
    <w:p>
      <w:pPr>
        <w:spacing w:after="0" w:line="350"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60</w:t>
      </w:r>
      <w:r>
        <w:rPr>
          <w:sz w:val="20"/>
          <w:szCs w:val="20"/>
          <w:color w:val="auto"/>
        </w:rPr>
        <w:tab/>
      </w:r>
      <w:r>
        <w:rPr>
          <w:sz w:val="1"/>
          <w:szCs w:val="1"/>
          <w:color w:val="auto"/>
        </w:rPr>
        <w:drawing>
          <wp:inline distT="0" distB="0" distL="0" distR="0">
            <wp:extent cx="797560" cy="14859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234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63" w:name="page64"/>
    <w:bookmarkEnd w:id="63"/>
    <w:p>
      <w:pPr>
        <w:ind w:left="20"/>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6980"/>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300" w:right="440"/>
        <w:spacing w:after="0" w:line="283" w:lineRule="auto"/>
        <w:rPr>
          <w:sz w:val="20"/>
          <w:szCs w:val="20"/>
          <w:color w:val="auto"/>
        </w:rPr>
      </w:pPr>
      <w:r>
        <w:rPr>
          <w:rFonts w:ascii="Arial" w:cs="Arial" w:eastAsia="Arial" w:hAnsi="Arial"/>
          <w:sz w:val="16"/>
          <w:szCs w:val="16"/>
          <w:color w:val="auto"/>
        </w:rPr>
        <w:t>described in greater detail in the section of this proxy statement captioned “Compensation Plan Elements—Benefits— Retirement Benefits.”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Non-Qualified Deferred Compensation</w:t>
      </w:r>
    </w:p>
    <w:p>
      <w:pPr>
        <w:spacing w:after="0" w:line="161" w:lineRule="exact"/>
        <w:rPr>
          <w:sz w:val="20"/>
          <w:szCs w:val="20"/>
          <w:color w:val="auto"/>
        </w:rPr>
      </w:pPr>
    </w:p>
    <w:p>
      <w:pPr>
        <w:ind w:left="20" w:right="80"/>
        <w:spacing w:after="0" w:line="254" w:lineRule="auto"/>
        <w:rPr>
          <w:sz w:val="20"/>
          <w:szCs w:val="20"/>
          <w:color w:val="auto"/>
        </w:rPr>
      </w:pPr>
      <w:r>
        <w:rPr>
          <w:rFonts w:ascii="Arial" w:cs="Arial" w:eastAsia="Arial" w:hAnsi="Arial"/>
          <w:sz w:val="16"/>
          <w:szCs w:val="16"/>
          <w:color w:val="auto"/>
        </w:rPr>
        <w:t>The following table summarizes Mr. Stewart’s and Dr. Saleki-Gerhardt’s non-qualified deferred compensation under the AbbVie Deferred Compensation Plan. No additional contributions have been made to their account under the plan since such time as they became an officer and ceased to be eligible to contribute to the plan. None of the other NEOs has any non-qualified deferred compensation under the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ind w:right="169"/>
              <w:spacing w:after="0"/>
              <w:rPr>
                <w:sz w:val="20"/>
                <w:szCs w:val="20"/>
                <w:color w:val="auto"/>
              </w:rPr>
            </w:pPr>
            <w:r>
              <w:rPr>
                <w:rFonts w:ascii="Arial" w:cs="Arial" w:eastAsia="Arial" w:hAnsi="Arial"/>
                <w:sz w:val="13"/>
                <w:szCs w:val="13"/>
                <w:b w:val="1"/>
                <w:bCs w:val="1"/>
                <w:color w:val="454968"/>
              </w:rPr>
              <w:t>Executive</w:t>
            </w:r>
          </w:p>
        </w:tc>
        <w:tc>
          <w:tcPr>
            <w:tcW w:w="1120" w:type="dxa"/>
            <w:vAlign w:val="bottom"/>
          </w:tcPr>
          <w:p>
            <w:pPr>
              <w:jc w:val="right"/>
              <w:ind w:right="149"/>
              <w:spacing w:after="0"/>
              <w:rPr>
                <w:sz w:val="20"/>
                <w:szCs w:val="20"/>
                <w:color w:val="auto"/>
              </w:rPr>
            </w:pPr>
            <w:r>
              <w:rPr>
                <w:rFonts w:ascii="Arial" w:cs="Arial" w:eastAsia="Arial" w:hAnsi="Arial"/>
                <w:sz w:val="13"/>
                <w:szCs w:val="13"/>
                <w:b w:val="1"/>
                <w:bCs w:val="1"/>
                <w:color w:val="454968"/>
              </w:rPr>
              <w:t>Registrant</w:t>
            </w:r>
          </w:p>
        </w:tc>
        <w:tc>
          <w:tcPr>
            <w:tcW w:w="940" w:type="dxa"/>
            <w:vAlign w:val="bottom"/>
          </w:tcPr>
          <w:p>
            <w:pPr>
              <w:jc w:val="right"/>
              <w:ind w:right="169"/>
              <w:spacing w:after="0"/>
              <w:rPr>
                <w:sz w:val="20"/>
                <w:szCs w:val="20"/>
                <w:color w:val="auto"/>
              </w:rPr>
            </w:pPr>
            <w:r>
              <w:rPr>
                <w:rFonts w:ascii="Arial" w:cs="Arial" w:eastAsia="Arial" w:hAnsi="Arial"/>
                <w:sz w:val="13"/>
                <w:szCs w:val="13"/>
                <w:b w:val="1"/>
                <w:bCs w:val="1"/>
                <w:color w:val="454968"/>
              </w:rPr>
              <w:t>Aggregate</w:t>
            </w:r>
          </w:p>
        </w:tc>
        <w:tc>
          <w:tcPr>
            <w:tcW w:w="1080" w:type="dxa"/>
            <w:vAlign w:val="bottom"/>
          </w:tcPr>
          <w:p>
            <w:pPr>
              <w:jc w:val="right"/>
              <w:ind w:right="149"/>
              <w:spacing w:after="0"/>
              <w:rPr>
                <w:sz w:val="20"/>
                <w:szCs w:val="20"/>
                <w:color w:val="auto"/>
              </w:rPr>
            </w:pPr>
            <w:r>
              <w:rPr>
                <w:rFonts w:ascii="Arial" w:cs="Arial" w:eastAsia="Arial" w:hAnsi="Arial"/>
                <w:sz w:val="13"/>
                <w:szCs w:val="13"/>
                <w:b w:val="1"/>
                <w:bCs w:val="1"/>
                <w:color w:val="454968"/>
              </w:rPr>
              <w:t>Aggregate</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454968"/>
              </w:rPr>
              <w:t>Aggregate</w:t>
            </w:r>
          </w:p>
        </w:tc>
      </w:tr>
      <w:tr>
        <w:trPr>
          <w:trHeight w:val="14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ind w:right="169"/>
              <w:spacing w:after="0" w:line="148" w:lineRule="exact"/>
              <w:rPr>
                <w:sz w:val="20"/>
                <w:szCs w:val="20"/>
                <w:color w:val="auto"/>
              </w:rPr>
            </w:pPr>
            <w:r>
              <w:rPr>
                <w:rFonts w:ascii="Arial" w:cs="Arial" w:eastAsia="Arial" w:hAnsi="Arial"/>
                <w:sz w:val="13"/>
                <w:szCs w:val="13"/>
                <w:b w:val="1"/>
                <w:bCs w:val="1"/>
                <w:color w:val="454968"/>
              </w:rPr>
              <w:t>contributions</w:t>
            </w:r>
          </w:p>
        </w:tc>
        <w:tc>
          <w:tcPr>
            <w:tcW w:w="1120" w:type="dxa"/>
            <w:vAlign w:val="bottom"/>
          </w:tcPr>
          <w:p>
            <w:pPr>
              <w:jc w:val="right"/>
              <w:ind w:right="149"/>
              <w:spacing w:after="0" w:line="148" w:lineRule="exact"/>
              <w:rPr>
                <w:sz w:val="20"/>
                <w:szCs w:val="20"/>
                <w:color w:val="auto"/>
              </w:rPr>
            </w:pPr>
            <w:r>
              <w:rPr>
                <w:rFonts w:ascii="Arial" w:cs="Arial" w:eastAsia="Arial" w:hAnsi="Arial"/>
                <w:sz w:val="13"/>
                <w:szCs w:val="13"/>
                <w:b w:val="1"/>
                <w:bCs w:val="1"/>
                <w:color w:val="454968"/>
              </w:rPr>
              <w:t>contributions</w:t>
            </w:r>
          </w:p>
        </w:tc>
        <w:tc>
          <w:tcPr>
            <w:tcW w:w="940" w:type="dxa"/>
            <w:vAlign w:val="bottom"/>
          </w:tcPr>
          <w:p>
            <w:pPr>
              <w:jc w:val="right"/>
              <w:ind w:right="169"/>
              <w:spacing w:after="0" w:line="148" w:lineRule="exact"/>
              <w:rPr>
                <w:sz w:val="20"/>
                <w:szCs w:val="20"/>
                <w:color w:val="auto"/>
              </w:rPr>
            </w:pPr>
            <w:r>
              <w:rPr>
                <w:rFonts w:ascii="Arial" w:cs="Arial" w:eastAsia="Arial" w:hAnsi="Arial"/>
                <w:sz w:val="13"/>
                <w:szCs w:val="13"/>
                <w:b w:val="1"/>
                <w:bCs w:val="1"/>
                <w:color w:val="454968"/>
              </w:rPr>
              <w:t>earnings</w:t>
            </w:r>
          </w:p>
        </w:tc>
        <w:tc>
          <w:tcPr>
            <w:tcW w:w="1080" w:type="dxa"/>
            <w:vAlign w:val="bottom"/>
          </w:tcPr>
          <w:p>
            <w:pPr>
              <w:jc w:val="right"/>
              <w:ind w:right="149"/>
              <w:spacing w:after="0" w:line="148" w:lineRule="exact"/>
              <w:rPr>
                <w:sz w:val="20"/>
                <w:szCs w:val="20"/>
                <w:color w:val="auto"/>
              </w:rPr>
            </w:pPr>
            <w:r>
              <w:rPr>
                <w:rFonts w:ascii="Arial" w:cs="Arial" w:eastAsia="Arial" w:hAnsi="Arial"/>
                <w:sz w:val="13"/>
                <w:szCs w:val="13"/>
                <w:b w:val="1"/>
                <w:bCs w:val="1"/>
                <w:color w:val="454968"/>
              </w:rPr>
              <w:t>withdrawals/</w:t>
            </w:r>
          </w:p>
        </w:tc>
        <w:tc>
          <w:tcPr>
            <w:tcW w:w="700" w:type="dxa"/>
            <w:vAlign w:val="bottom"/>
          </w:tcPr>
          <w:p>
            <w:pPr>
              <w:jc w:val="right"/>
              <w:spacing w:after="0" w:line="148" w:lineRule="exact"/>
              <w:rPr>
                <w:sz w:val="20"/>
                <w:szCs w:val="20"/>
                <w:color w:val="auto"/>
              </w:rPr>
            </w:pPr>
            <w:r>
              <w:rPr>
                <w:rFonts w:ascii="Arial" w:cs="Arial" w:eastAsia="Arial" w:hAnsi="Arial"/>
                <w:sz w:val="13"/>
                <w:szCs w:val="13"/>
                <w:b w:val="1"/>
                <w:bCs w:val="1"/>
                <w:color w:val="454968"/>
              </w:rPr>
              <w:t>balance at</w:t>
            </w:r>
          </w:p>
        </w:tc>
      </w:tr>
      <w:tr>
        <w:trPr>
          <w:trHeight w:val="146"/>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ind w:right="169"/>
              <w:spacing w:after="0" w:line="146" w:lineRule="exact"/>
              <w:rPr>
                <w:sz w:val="20"/>
                <w:szCs w:val="20"/>
                <w:color w:val="auto"/>
              </w:rPr>
            </w:pPr>
            <w:r>
              <w:rPr>
                <w:rFonts w:ascii="Arial" w:cs="Arial" w:eastAsia="Arial" w:hAnsi="Arial"/>
                <w:sz w:val="13"/>
                <w:szCs w:val="13"/>
                <w:b w:val="1"/>
                <w:bCs w:val="1"/>
                <w:color w:val="454968"/>
              </w:rPr>
              <w:t>in last FY</w:t>
            </w:r>
          </w:p>
        </w:tc>
        <w:tc>
          <w:tcPr>
            <w:tcW w:w="1120" w:type="dxa"/>
            <w:vAlign w:val="bottom"/>
          </w:tcPr>
          <w:p>
            <w:pPr>
              <w:jc w:val="right"/>
              <w:ind w:right="149"/>
              <w:spacing w:after="0" w:line="146" w:lineRule="exact"/>
              <w:rPr>
                <w:sz w:val="20"/>
                <w:szCs w:val="20"/>
                <w:color w:val="auto"/>
              </w:rPr>
            </w:pPr>
            <w:r>
              <w:rPr>
                <w:rFonts w:ascii="Arial" w:cs="Arial" w:eastAsia="Arial" w:hAnsi="Arial"/>
                <w:sz w:val="13"/>
                <w:szCs w:val="13"/>
                <w:b w:val="1"/>
                <w:bCs w:val="1"/>
                <w:color w:val="454968"/>
              </w:rPr>
              <w:t>in last FY</w:t>
            </w:r>
          </w:p>
        </w:tc>
        <w:tc>
          <w:tcPr>
            <w:tcW w:w="940" w:type="dxa"/>
            <w:vAlign w:val="bottom"/>
          </w:tcPr>
          <w:p>
            <w:pPr>
              <w:jc w:val="right"/>
              <w:ind w:right="169"/>
              <w:spacing w:after="0" w:line="146" w:lineRule="exact"/>
              <w:rPr>
                <w:sz w:val="20"/>
                <w:szCs w:val="20"/>
                <w:color w:val="auto"/>
              </w:rPr>
            </w:pPr>
            <w:r>
              <w:rPr>
                <w:rFonts w:ascii="Arial" w:cs="Arial" w:eastAsia="Arial" w:hAnsi="Arial"/>
                <w:sz w:val="13"/>
                <w:szCs w:val="13"/>
                <w:b w:val="1"/>
                <w:bCs w:val="1"/>
                <w:color w:val="454968"/>
              </w:rPr>
              <w:t>in last FY</w:t>
            </w:r>
          </w:p>
        </w:tc>
        <w:tc>
          <w:tcPr>
            <w:tcW w:w="1080" w:type="dxa"/>
            <w:vAlign w:val="bottom"/>
          </w:tcPr>
          <w:p>
            <w:pPr>
              <w:jc w:val="right"/>
              <w:ind w:right="149"/>
              <w:spacing w:after="0" w:line="146" w:lineRule="exact"/>
              <w:rPr>
                <w:sz w:val="20"/>
                <w:szCs w:val="20"/>
                <w:color w:val="auto"/>
              </w:rPr>
            </w:pPr>
            <w:r>
              <w:rPr>
                <w:rFonts w:ascii="Arial" w:cs="Arial" w:eastAsia="Arial" w:hAnsi="Arial"/>
                <w:sz w:val="13"/>
                <w:szCs w:val="13"/>
                <w:b w:val="1"/>
                <w:bCs w:val="1"/>
                <w:color w:val="454968"/>
              </w:rPr>
              <w:t>distributions</w:t>
            </w:r>
          </w:p>
        </w:tc>
        <w:tc>
          <w:tcPr>
            <w:tcW w:w="700" w:type="dxa"/>
            <w:vAlign w:val="bottom"/>
          </w:tcPr>
          <w:p>
            <w:pPr>
              <w:jc w:val="right"/>
              <w:spacing w:after="0" w:line="146" w:lineRule="exact"/>
              <w:rPr>
                <w:sz w:val="20"/>
                <w:szCs w:val="20"/>
                <w:color w:val="auto"/>
              </w:rPr>
            </w:pPr>
            <w:r>
              <w:rPr>
                <w:rFonts w:ascii="Arial" w:cs="Arial" w:eastAsia="Arial" w:hAnsi="Arial"/>
                <w:sz w:val="13"/>
                <w:szCs w:val="13"/>
                <w:b w:val="1"/>
                <w:bCs w:val="1"/>
                <w:color w:val="454968"/>
              </w:rPr>
              <w:t>last FYE</w:t>
            </w:r>
          </w:p>
        </w:tc>
      </w:tr>
      <w:tr>
        <w:trPr>
          <w:trHeight w:val="158"/>
        </w:trPr>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454968"/>
              </w:rPr>
              <w:t>Name</w:t>
            </w:r>
          </w:p>
        </w:tc>
        <w:tc>
          <w:tcPr>
            <w:tcW w:w="27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454968"/>
              </w:rPr>
              <w:t xml:space="preserve">​​​ </w:t>
            </w:r>
            <w:r>
              <w:rPr>
                <w:rFonts w:ascii="Arial" w:cs="Arial" w:eastAsia="Arial" w:hAnsi="Arial"/>
                <w:sz w:val="13"/>
                <w:szCs w:val="13"/>
                <w:b w:val="1"/>
                <w:bCs w:val="1"/>
                <w:color w:val="454968"/>
              </w:rPr>
              <w:t>Plan Name(1)(2)</w:t>
            </w: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454968"/>
              </w:rPr>
              <w:t>​​​</w:t>
            </w: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454968"/>
              </w:rPr>
              <w:t xml:space="preserve">($) </w:t>
            </w:r>
            <w:r>
              <w:rPr>
                <w:rFonts w:ascii="Times New Roman" w:cs="Times New Roman" w:eastAsia="Times New Roman" w:hAnsi="Times New Roman"/>
                <w:sz w:val="13"/>
                <w:szCs w:val="13"/>
                <w:b w:val="1"/>
                <w:bCs w:val="1"/>
                <w:color w:val="454968"/>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 xml:space="preserve">($) </w:t>
            </w:r>
            <w:r>
              <w:rPr>
                <w:rFonts w:ascii="Times New Roman" w:cs="Times New Roman" w:eastAsia="Times New Roman" w:hAnsi="Times New Roman"/>
                <w:sz w:val="13"/>
                <w:szCs w:val="13"/>
                <w:b w:val="1"/>
                <w:bCs w:val="1"/>
                <w:color w:val="454968"/>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 xml:space="preserve">($)(3) </w:t>
            </w:r>
            <w:r>
              <w:rPr>
                <w:rFonts w:ascii="Times New Roman" w:cs="Times New Roman" w:eastAsia="Times New Roman" w:hAnsi="Times New Roman"/>
                <w:sz w:val="13"/>
                <w:szCs w:val="13"/>
                <w:b w:val="1"/>
                <w:bCs w:val="1"/>
                <w:color w:val="454968"/>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 xml:space="preserve">($) </w:t>
            </w:r>
            <w:r>
              <w:rPr>
                <w:rFonts w:ascii="Times New Roman" w:cs="Times New Roman" w:eastAsia="Times New Roman" w:hAnsi="Times New Roman"/>
                <w:sz w:val="13"/>
                <w:szCs w:val="13"/>
                <w:b w:val="1"/>
                <w:bCs w:val="1"/>
                <w:color w:val="454968"/>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($)(4)</w:t>
            </w:r>
          </w:p>
        </w:tc>
      </w:tr>
      <w:tr>
        <w:trPr>
          <w:trHeight w:val="177"/>
        </w:trPr>
        <w:tc>
          <w:tcPr>
            <w:tcW w:w="1060" w:type="dxa"/>
            <w:vAlign w:val="bottom"/>
            <w:gridSpan w:val="2"/>
            <w:shd w:val="clear" w:color="auto" w:fill="D9D9D9"/>
          </w:tcPr>
          <w:p>
            <w:pPr>
              <w:spacing w:after="0" w:line="177" w:lineRule="exact"/>
              <w:rPr>
                <w:sz w:val="20"/>
                <w:szCs w:val="20"/>
                <w:color w:val="auto"/>
              </w:rPr>
            </w:pPr>
            <w:r>
              <w:rPr>
                <w:rFonts w:ascii="Arial" w:cs="Arial" w:eastAsia="Arial" w:hAnsi="Arial"/>
                <w:sz w:val="16"/>
                <w:szCs w:val="16"/>
                <w:color w:val="auto"/>
              </w:rPr>
              <w:t>J. Stewart</w:t>
            </w:r>
          </w:p>
        </w:tc>
        <w:tc>
          <w:tcPr>
            <w:tcW w:w="2780" w:type="dxa"/>
            <w:vAlign w:val="bottom"/>
            <w:gridSpan w:val="2"/>
            <w:shd w:val="clear" w:color="auto" w:fill="D9D9D9"/>
          </w:tcPr>
          <w:p>
            <w:pPr>
              <w:ind w:left="440"/>
              <w:spacing w:after="0" w:line="177" w:lineRule="exact"/>
              <w:rPr>
                <w:sz w:val="20"/>
                <w:szCs w:val="20"/>
                <w:color w:val="auto"/>
              </w:rPr>
            </w:pPr>
            <w:r>
              <w:rPr>
                <w:rFonts w:ascii="Arial" w:cs="Arial" w:eastAsia="Arial" w:hAnsi="Arial"/>
                <w:sz w:val="16"/>
                <w:szCs w:val="16"/>
                <w:color w:val="auto"/>
              </w:rPr>
              <w:t>Deferred Compensation Plan</w:t>
            </w:r>
          </w:p>
        </w:tc>
        <w:tc>
          <w:tcPr>
            <w:tcW w:w="420" w:type="dxa"/>
            <w:vAlign w:val="bottom"/>
            <w:shd w:val="clear" w:color="auto" w:fill="D9D9D9"/>
          </w:tcPr>
          <w:p>
            <w:pPr>
              <w:spacing w:after="0"/>
              <w:rPr>
                <w:sz w:val="15"/>
                <w:szCs w:val="15"/>
                <w:color w:val="auto"/>
              </w:rPr>
            </w:pPr>
          </w:p>
        </w:tc>
        <w:tc>
          <w:tcPr>
            <w:tcW w:w="1160" w:type="dxa"/>
            <w:vAlign w:val="bottom"/>
            <w:shd w:val="clear" w:color="auto" w:fill="D9D9D9"/>
          </w:tcPr>
          <w:p>
            <w:pPr>
              <w:jc w:val="right"/>
              <w:ind w:right="209"/>
              <w:spacing w:after="0" w:line="177" w:lineRule="exact"/>
              <w:rPr>
                <w:sz w:val="20"/>
                <w:szCs w:val="20"/>
                <w:color w:val="auto"/>
              </w:rPr>
            </w:pPr>
            <w:r>
              <w:rPr>
                <w:rFonts w:ascii="Arial" w:cs="Arial" w:eastAsia="Arial" w:hAnsi="Arial"/>
                <w:sz w:val="16"/>
                <w:szCs w:val="16"/>
                <w:color w:val="auto"/>
              </w:rPr>
              <w:t>0</w:t>
            </w:r>
          </w:p>
        </w:tc>
        <w:tc>
          <w:tcPr>
            <w:tcW w:w="1120" w:type="dxa"/>
            <w:vAlign w:val="bottom"/>
            <w:shd w:val="clear" w:color="auto" w:fill="D9D9D9"/>
          </w:tcPr>
          <w:p>
            <w:pPr>
              <w:jc w:val="right"/>
              <w:ind w:right="189"/>
              <w:spacing w:after="0" w:line="177" w:lineRule="exact"/>
              <w:rPr>
                <w:sz w:val="20"/>
                <w:szCs w:val="20"/>
                <w:color w:val="auto"/>
              </w:rPr>
            </w:pPr>
            <w:r>
              <w:rPr>
                <w:rFonts w:ascii="Arial" w:cs="Arial" w:eastAsia="Arial" w:hAnsi="Arial"/>
                <w:sz w:val="16"/>
                <w:szCs w:val="16"/>
                <w:color w:val="auto"/>
              </w:rPr>
              <w:t>0</w:t>
            </w:r>
          </w:p>
        </w:tc>
        <w:tc>
          <w:tcPr>
            <w:tcW w:w="940" w:type="dxa"/>
            <w:vAlign w:val="bottom"/>
            <w:shd w:val="clear" w:color="auto" w:fill="D9D9D9"/>
          </w:tcPr>
          <w:p>
            <w:pPr>
              <w:jc w:val="right"/>
              <w:ind w:right="209"/>
              <w:spacing w:after="0" w:line="177" w:lineRule="exact"/>
              <w:rPr>
                <w:sz w:val="20"/>
                <w:szCs w:val="20"/>
                <w:color w:val="auto"/>
              </w:rPr>
            </w:pPr>
            <w:r>
              <w:rPr>
                <w:rFonts w:ascii="Arial" w:cs="Arial" w:eastAsia="Arial" w:hAnsi="Arial"/>
                <w:sz w:val="16"/>
                <w:szCs w:val="16"/>
                <w:color w:val="auto"/>
              </w:rPr>
              <w:t>9,837</w:t>
            </w:r>
          </w:p>
        </w:tc>
        <w:tc>
          <w:tcPr>
            <w:tcW w:w="1080" w:type="dxa"/>
            <w:vAlign w:val="bottom"/>
            <w:shd w:val="clear" w:color="auto" w:fill="D9D9D9"/>
          </w:tcPr>
          <w:p>
            <w:pPr>
              <w:jc w:val="right"/>
              <w:ind w:right="189"/>
              <w:spacing w:after="0" w:line="177" w:lineRule="exact"/>
              <w:rPr>
                <w:sz w:val="20"/>
                <w:szCs w:val="20"/>
                <w:color w:val="auto"/>
              </w:rPr>
            </w:pPr>
            <w:r>
              <w:rPr>
                <w:rFonts w:ascii="Arial" w:cs="Arial" w:eastAsia="Arial" w:hAnsi="Arial"/>
                <w:sz w:val="16"/>
                <w:szCs w:val="16"/>
                <w:color w:val="auto"/>
              </w:rPr>
              <w:t>42,058</w:t>
            </w:r>
          </w:p>
        </w:tc>
        <w:tc>
          <w:tcPr>
            <w:tcW w:w="700" w:type="dxa"/>
            <w:vAlign w:val="bottom"/>
            <w:shd w:val="clear" w:color="auto" w:fill="D9D9D9"/>
          </w:tcPr>
          <w:p>
            <w:pPr>
              <w:jc w:val="right"/>
              <w:spacing w:after="0" w:line="177" w:lineRule="exact"/>
              <w:rPr>
                <w:sz w:val="20"/>
                <w:szCs w:val="20"/>
                <w:color w:val="auto"/>
              </w:rPr>
            </w:pPr>
            <w:r>
              <w:rPr>
                <w:rFonts w:ascii="Arial" w:cs="Arial" w:eastAsia="Arial" w:hAnsi="Arial"/>
                <w:sz w:val="16"/>
                <w:szCs w:val="16"/>
                <w:color w:val="auto"/>
              </w:rPr>
              <w:t>121,226</w:t>
            </w:r>
          </w:p>
        </w:tc>
      </w:tr>
      <w:tr>
        <w:trPr>
          <w:trHeight w:val="168"/>
        </w:trPr>
        <w:tc>
          <w:tcPr>
            <w:tcW w:w="1060" w:type="dxa"/>
            <w:vAlign w:val="bottom"/>
            <w:gridSpan w:val="2"/>
          </w:tcPr>
          <w:p>
            <w:pPr>
              <w:spacing w:after="0" w:line="168" w:lineRule="exact"/>
              <w:rPr>
                <w:sz w:val="20"/>
                <w:szCs w:val="20"/>
                <w:color w:val="auto"/>
              </w:rPr>
            </w:pPr>
            <w:r>
              <w:rPr>
                <w:rFonts w:ascii="Arial" w:cs="Arial" w:eastAsia="Arial" w:hAnsi="Arial"/>
                <w:sz w:val="16"/>
                <w:szCs w:val="16"/>
                <w:color w:val="auto"/>
              </w:rPr>
              <w:t>A. Saleki-</w:t>
            </w: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1"/>
        </w:trPr>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Gerhardt</w:t>
            </w:r>
          </w:p>
        </w:tc>
        <w:tc>
          <w:tcPr>
            <w:tcW w:w="278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color w:val="auto"/>
              </w:rPr>
              <w:t>Deferred Compensation Plan</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auto"/>
            </w:tcBorders>
          </w:tcPr>
          <w:p>
            <w:pPr>
              <w:jc w:val="right"/>
              <w:ind w:right="189"/>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6"/>
                <w:szCs w:val="16"/>
                <w:color w:val="auto"/>
              </w:rPr>
              <w:t>125,985</w:t>
            </w:r>
          </w:p>
        </w:tc>
        <w:tc>
          <w:tcPr>
            <w:tcW w:w="1080" w:type="dxa"/>
            <w:vAlign w:val="bottom"/>
            <w:tcBorders>
              <w:bottom w:val="single" w:sz="8" w:color="auto"/>
            </w:tcBorders>
          </w:tcPr>
          <w:p>
            <w:pPr>
              <w:jc w:val="right"/>
              <w:ind w:right="189"/>
              <w:spacing w:after="0"/>
              <w:rPr>
                <w:sz w:val="20"/>
                <w:szCs w:val="20"/>
                <w:color w:val="auto"/>
              </w:rPr>
            </w:pPr>
            <w:r>
              <w:rPr>
                <w:rFonts w:ascii="Arial" w:cs="Arial" w:eastAsia="Arial" w:hAnsi="Arial"/>
                <w:sz w:val="16"/>
                <w:szCs w:val="16"/>
                <w:color w:val="auto"/>
              </w:rPr>
              <w:t>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806,203</w:t>
            </w:r>
          </w:p>
        </w:tc>
      </w:tr>
      <w:tr>
        <w:trPr>
          <w:trHeight w:val="91"/>
        </w:trPr>
        <w:tc>
          <w:tcPr>
            <w:tcW w:w="2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69" w:lineRule="exact"/>
        <w:rPr>
          <w:sz w:val="20"/>
          <w:szCs w:val="20"/>
          <w:color w:val="auto"/>
        </w:rPr>
      </w:pPr>
    </w:p>
    <w:p>
      <w:pPr>
        <w:ind w:left="360" w:right="800" w:hanging="349"/>
        <w:spacing w:after="0" w:line="283" w:lineRule="auto"/>
        <w:tabs>
          <w:tab w:leader="none" w:pos="3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Mr. Stewart and Dr. Saleki-Gerhardt ceased contributions to the Deferred Compensation Plan in 2009 and 2008, respectively.</w:t>
      </w:r>
    </w:p>
    <w:p>
      <w:pPr>
        <w:spacing w:after="0" w:line="132" w:lineRule="exact"/>
        <w:rPr>
          <w:rFonts w:ascii="Arial" w:cs="Arial" w:eastAsia="Arial" w:hAnsi="Arial"/>
          <w:sz w:val="16"/>
          <w:szCs w:val="16"/>
          <w:color w:val="auto"/>
        </w:rPr>
      </w:pPr>
    </w:p>
    <w:p>
      <w:pPr>
        <w:ind w:left="360" w:right="320" w:hanging="349"/>
        <w:spacing w:after="0" w:line="249" w:lineRule="auto"/>
        <w:tabs>
          <w:tab w:leader="none" w:pos="3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plan permits participants to defer up to 75% of their base salary and up to 75% of their annual cash incentives and credits a participant’s account with an amount equal to the employer matching contributions that otherwise would have been made for the participant under the AbbVie Savings Plan. Participants may direct the investment of their deferral accounts into one or more of several funds chosen by the administrator, and the deferral account is credited with investment returns based on the performance of the fund(s) selected. During 2025, the weighted average rate of return credited to the account was 8.5% for Mr. Stewart and 18.5% for Dr. Saleki-Gerhardt.</w:t>
      </w:r>
    </w:p>
    <w:p>
      <w:pPr>
        <w:spacing w:after="0" w:line="159" w:lineRule="exact"/>
        <w:rPr>
          <w:rFonts w:ascii="Arial" w:cs="Arial" w:eastAsia="Arial" w:hAnsi="Arial"/>
          <w:sz w:val="16"/>
          <w:szCs w:val="16"/>
          <w:color w:val="auto"/>
        </w:rPr>
      </w:pPr>
    </w:p>
    <w:p>
      <w:pPr>
        <w:ind w:left="360" w:right="160"/>
        <w:spacing w:after="0" w:line="251" w:lineRule="auto"/>
        <w:rPr>
          <w:rFonts w:ascii="Arial" w:cs="Arial" w:eastAsia="Arial" w:hAnsi="Arial"/>
          <w:sz w:val="16"/>
          <w:szCs w:val="16"/>
          <w:color w:val="auto"/>
        </w:rPr>
      </w:pPr>
      <w:r>
        <w:rPr>
          <w:rFonts w:ascii="Arial" w:cs="Arial" w:eastAsia="Arial" w:hAnsi="Arial"/>
          <w:sz w:val="16"/>
          <w:szCs w:val="16"/>
          <w:color w:val="auto"/>
        </w:rPr>
        <w:t>The plan provides for cash distributions in either a lump sum or installments after separation from service and permits in-service withdrawals in accordance with specific procedures. Participants make distribution elections each year that apply to the deferrals to be made in the following calendar year, in accordance with the requirements of Internal Revenue Code Section 409A. Participants may request withdrawals due to financial hardship; if a hardship withdrawal is approved, it is limited to the amount needed to address the hardship.</w:t>
      </w:r>
    </w:p>
    <w:p>
      <w:pPr>
        <w:spacing w:after="0" w:line="158" w:lineRule="exact"/>
        <w:rPr>
          <w:rFonts w:ascii="Arial" w:cs="Arial" w:eastAsia="Arial" w:hAnsi="Arial"/>
          <w:sz w:val="16"/>
          <w:szCs w:val="16"/>
          <w:color w:val="auto"/>
        </w:rPr>
      </w:pPr>
    </w:p>
    <w:p>
      <w:pPr>
        <w:ind w:left="360" w:hanging="349"/>
        <w:spacing w:after="0"/>
        <w:tabs>
          <w:tab w:leader="none" w:pos="3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amounts reported in this column are not included in the Summary Compensation Table of this proxy statement.</w:t>
      </w:r>
    </w:p>
    <w:p>
      <w:pPr>
        <w:spacing w:after="0" w:line="197" w:lineRule="exact"/>
        <w:rPr>
          <w:rFonts w:ascii="Arial" w:cs="Arial" w:eastAsia="Arial" w:hAnsi="Arial"/>
          <w:sz w:val="16"/>
          <w:szCs w:val="16"/>
          <w:color w:val="auto"/>
        </w:rPr>
      </w:pPr>
    </w:p>
    <w:p>
      <w:pPr>
        <w:ind w:left="360" w:right="660" w:hanging="349"/>
        <w:spacing w:after="0" w:line="283" w:lineRule="auto"/>
        <w:tabs>
          <w:tab w:leader="none" w:pos="3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amounts reported in this column have not been previously reported as compensation in AbbVie’s Summary Compensation Tables because they relate to contributions made before the applicable individual became an NEO.</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-499745</wp:posOffset>
            </wp:positionV>
            <wp:extent cx="797560" cy="148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80"/>
          </w:cols>
          <w:pgMar w:left="1300" w:top="480" w:right="1319" w:bottom="1440" w:gutter="0" w:footer="0" w:header="0"/>
        </w:sectPr>
      </w:pPr>
    </w:p>
    <w:bookmarkStart w:id="64" w:name="page65"/>
    <w:bookmarkEnd w:id="64"/>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REQUIRED PAY RATIO DISCLOSURE</w:t>
      </w:r>
    </w:p>
    <w:p>
      <w:pPr>
        <w:spacing w:after="0" w:line="161" w:lineRule="exact"/>
        <w:rPr>
          <w:sz w:val="20"/>
          <w:szCs w:val="20"/>
          <w:color w:val="auto"/>
        </w:rPr>
      </w:pPr>
    </w:p>
    <w:p>
      <w:pPr>
        <w:ind w:left="9" w:right="20"/>
        <w:spacing w:after="0" w:line="244"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Robert Michael, our CEO. The pay ratio included in this information is a reasonable estimate calculated in a manner consistent with Item 402(u) of Regulation S-K. The ratio of Mr. Michael’s annual total compensation for 2025, as reported in the Summary Compensation Table of this proxy statement, to the median employee annual total compensation determined on the same basis was 192:1. For 2025, the annual total compensation of our median employee (other than Mr. Michael) was $169,019. To identify the median employee, we prepared a list of active AbbVie employees throughout the world as of December 19, 2025, which was the last payroll date in 2025. Because we use the last payroll date of the applicable year as the determination date, it may vary from year-to-year. The consistently applied compensation measure used to identify the median employee was annual base pay and target bonus, using hours worked during 2025 for hourly employees and base salary for the remaining employees. This process resulted in a median group consisting of several employees and a representative employee was selected, taking into account demographic characteristics that we believe best represent a typical AbbVie employee, including tenure, location, employment status and applicable compensation and benefit programs.</w:t>
      </w:r>
    </w:p>
    <w:p>
      <w:pPr>
        <w:spacing w:after="0" w:line="338"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REQUIRED PAY VERSUS PERFORMANCE DISCLOSURE</w:t>
      </w:r>
    </w:p>
    <w:p>
      <w:pPr>
        <w:spacing w:after="0" w:line="161" w:lineRule="exact"/>
        <w:rPr>
          <w:sz w:val="20"/>
          <w:szCs w:val="20"/>
          <w:color w:val="auto"/>
        </w:rPr>
      </w:pPr>
    </w:p>
    <w:p>
      <w:pPr>
        <w:ind w:left="9" w:right="180"/>
        <w:spacing w:after="0" w:line="251" w:lineRule="auto"/>
        <w:rPr>
          <w:sz w:val="20"/>
          <w:szCs w:val="20"/>
          <w:color w:val="auto"/>
        </w:rPr>
      </w:pPr>
      <w:r>
        <w:rPr>
          <w:rFonts w:ascii="Arial" w:cs="Arial" w:eastAsia="Arial" w:hAnsi="Arial"/>
          <w:sz w:val="16"/>
          <w:szCs w:val="16"/>
          <w:color w:val="auto"/>
        </w:rPr>
        <w:t>As required by Section 953(a) of the Dodd-Frank Wall Street Reform and Consumer Protection Act and Item 402(v) of Regulation S-K, the table below includes information to demonstrate the relationship between NEO compensation and certain financial performance measures for fiscal years 2021, 2022, 2023, 2024, and 2025. For additional information about our performance-based pay philosophy and how we align executive compensation with AbbVie’s performance, refer to the “Compensation Discussion and Analysis” section of this proxy statement.</w:t>
      </w:r>
    </w:p>
    <w:p>
      <w:pPr>
        <w:spacing w:after="0" w:line="204" w:lineRule="exact"/>
        <w:rPr>
          <w:sz w:val="20"/>
          <w:szCs w:val="20"/>
          <w:color w:val="auto"/>
        </w:rPr>
      </w:pPr>
    </w:p>
    <w:tbl>
      <w:tblPr>
        <w:tblLayout w:type="fixed"/>
        <w:tblInd w:w="9" w:type="dxa"/>
        <w:tblCellMar>
          <w:top w:w="0" w:type="dxa"/>
          <w:left w:w="0" w:type="dxa"/>
          <w:bottom w:w="0" w:type="dxa"/>
          <w:right w:w="0" w:type="dxa"/>
        </w:tblCellMar>
      </w:tblPr>
      <w:tr>
        <w:trPr>
          <w:trHeight w:val="118"/>
        </w:trPr>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580" w:type="dxa"/>
            <w:vAlign w:val="bottom"/>
            <w:tcBorders>
              <w:top w:val="single" w:sz="8" w:color="auto"/>
              <w:right w:val="single" w:sz="8" w:color="auto"/>
            </w:tcBorders>
            <w:gridSpan w:val="2"/>
          </w:tcPr>
          <w:p>
            <w:pPr>
              <w:jc w:val="right"/>
              <w:ind w:right="43"/>
              <w:spacing w:after="0" w:line="118" w:lineRule="exact"/>
              <w:rPr>
                <w:sz w:val="20"/>
                <w:szCs w:val="20"/>
                <w:color w:val="auto"/>
              </w:rPr>
            </w:pPr>
            <w:r>
              <w:rPr>
                <w:rFonts w:ascii="Arial" w:cs="Arial" w:eastAsia="Arial" w:hAnsi="Arial"/>
                <w:sz w:val="11"/>
                <w:szCs w:val="11"/>
                <w:b w:val="1"/>
                <w:bCs w:val="1"/>
                <w:color w:val="454968"/>
              </w:rPr>
              <w:t>Value of Initial Fixed $100</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60" w:type="dxa"/>
            <w:vAlign w:val="bottom"/>
          </w:tcPr>
          <w:p>
            <w:pPr>
              <w:spacing w:after="0"/>
              <w:rPr>
                <w:sz w:val="12"/>
                <w:szCs w:val="12"/>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454968"/>
              </w:rPr>
              <w:t>Summary</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454968"/>
              </w:rPr>
              <w:t>Summary</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gridSpan w:val="2"/>
            <w:vMerge w:val="restart"/>
          </w:tcPr>
          <w:p>
            <w:pPr>
              <w:jc w:val="right"/>
              <w:ind w:right="23"/>
              <w:spacing w:after="0"/>
              <w:rPr>
                <w:sz w:val="20"/>
                <w:szCs w:val="20"/>
                <w:color w:val="auto"/>
              </w:rPr>
            </w:pPr>
            <w:r>
              <w:rPr>
                <w:rFonts w:ascii="Arial" w:cs="Arial" w:eastAsia="Arial" w:hAnsi="Arial"/>
                <w:sz w:val="11"/>
                <w:szCs w:val="11"/>
                <w:b w:val="1"/>
                <w:bCs w:val="1"/>
                <w:color w:val="454968"/>
              </w:rPr>
              <w:t>Average Summary</w:t>
            </w:r>
          </w:p>
        </w:tc>
        <w:tc>
          <w:tcPr>
            <w:tcW w:w="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b w:val="1"/>
                <w:bCs w:val="1"/>
                <w:color w:val="454968"/>
              </w:rPr>
              <w:t>Average</w:t>
            </w:r>
          </w:p>
        </w:tc>
        <w:tc>
          <w:tcPr>
            <w:tcW w:w="1580" w:type="dxa"/>
            <w:vAlign w:val="bottom"/>
            <w:tcBorders>
              <w:bottom w:val="single" w:sz="8" w:color="auto"/>
              <w:right w:val="single" w:sz="8" w:color="auto"/>
            </w:tcBorders>
            <w:gridSpan w:val="2"/>
          </w:tcPr>
          <w:p>
            <w:pPr>
              <w:jc w:val="right"/>
              <w:ind w:right="163"/>
              <w:spacing w:after="0"/>
              <w:rPr>
                <w:sz w:val="20"/>
                <w:szCs w:val="20"/>
                <w:color w:val="auto"/>
              </w:rPr>
            </w:pPr>
            <w:r>
              <w:rPr>
                <w:rFonts w:ascii="Arial" w:cs="Arial" w:eastAsia="Arial" w:hAnsi="Arial"/>
                <w:sz w:val="11"/>
                <w:szCs w:val="11"/>
                <w:b w:val="1"/>
                <w:bCs w:val="1"/>
                <w:color w:val="454968"/>
              </w:rPr>
              <w:t>Investment Based on</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6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454968"/>
              </w:rPr>
              <w:t>Compensation</w:t>
            </w:r>
          </w:p>
        </w:tc>
        <w:tc>
          <w:tcPr>
            <w:tcW w:w="2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960" w:type="dxa"/>
            <w:vAlign w:val="bottom"/>
            <w:gridSpan w:val="2"/>
            <w:vMerge w:val="restart"/>
          </w:tcPr>
          <w:p>
            <w:pPr>
              <w:jc w:val="right"/>
              <w:ind w:right="43"/>
              <w:spacing w:after="0"/>
              <w:rPr>
                <w:sz w:val="20"/>
                <w:szCs w:val="20"/>
                <w:color w:val="auto"/>
              </w:rPr>
            </w:pPr>
            <w:r>
              <w:rPr>
                <w:rFonts w:ascii="Arial" w:cs="Arial" w:eastAsia="Arial" w:hAnsi="Arial"/>
                <w:sz w:val="11"/>
                <w:szCs w:val="11"/>
                <w:b w:val="1"/>
                <w:bCs w:val="1"/>
                <w:color w:val="454968"/>
              </w:rPr>
              <w:t>Compensation</w:t>
            </w:r>
          </w:p>
        </w:tc>
        <w:tc>
          <w:tcPr>
            <w:tcW w:w="1180" w:type="dxa"/>
            <w:vAlign w:val="bottom"/>
            <w:gridSpan w:val="2"/>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454968"/>
              </w:rPr>
              <w:t>Total</w:t>
            </w:r>
          </w:p>
        </w:tc>
        <w:tc>
          <w:tcPr>
            <w:tcW w:w="800" w:type="dxa"/>
            <w:vAlign w:val="bottom"/>
            <w:tcBorders>
              <w:right w:val="single" w:sz="8" w:color="auto"/>
            </w:tcBorders>
          </w:tcPr>
          <w:p>
            <w:pPr>
              <w:jc w:val="right"/>
              <w:ind w:right="3"/>
              <w:spacing w:after="0" w:line="98" w:lineRule="exact"/>
              <w:rPr>
                <w:sz w:val="20"/>
                <w:szCs w:val="20"/>
                <w:color w:val="auto"/>
              </w:rPr>
            </w:pPr>
            <w:r>
              <w:rPr>
                <w:rFonts w:ascii="Arial" w:cs="Arial" w:eastAsia="Arial" w:hAnsi="Arial"/>
                <w:sz w:val="11"/>
                <w:szCs w:val="11"/>
                <w:b w:val="1"/>
                <w:bCs w:val="1"/>
                <w:color w:val="454968"/>
              </w:rPr>
              <w:t>Peer Group</w:t>
            </w:r>
          </w:p>
        </w:tc>
        <w:tc>
          <w:tcPr>
            <w:tcW w:w="100" w:type="dxa"/>
            <w:vAlign w:val="bottom"/>
          </w:tcPr>
          <w:p>
            <w:pPr>
              <w:spacing w:after="0"/>
              <w:rPr>
                <w:sz w:val="8"/>
                <w:szCs w:val="8"/>
                <w:color w:val="auto"/>
              </w:rPr>
            </w:pPr>
          </w:p>
        </w:tc>
        <w:tc>
          <w:tcPr>
            <w:tcW w:w="54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454968"/>
              </w:rPr>
              <w:t>Net</w:t>
            </w:r>
          </w:p>
        </w:tc>
        <w:tc>
          <w:tcPr>
            <w:tcW w:w="620" w:type="dxa"/>
            <w:vAlign w:val="bottom"/>
            <w:vMerge w:val="restart"/>
          </w:tcPr>
          <w:p>
            <w:pPr>
              <w:jc w:val="right"/>
              <w:spacing w:after="0"/>
              <w:rPr>
                <w:sz w:val="20"/>
                <w:szCs w:val="20"/>
                <w:color w:val="auto"/>
              </w:rPr>
            </w:pPr>
            <w:r>
              <w:rPr>
                <w:rFonts w:ascii="Arial" w:cs="Arial" w:eastAsia="Arial" w:hAnsi="Arial"/>
                <w:sz w:val="11"/>
                <w:szCs w:val="11"/>
                <w:b w:val="1"/>
                <w:bCs w:val="1"/>
                <w:color w:val="454968"/>
              </w:rPr>
              <w:t>Adjusted</w:t>
            </w: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00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454968"/>
              </w:rPr>
              <w:t>Compensation</w:t>
            </w:r>
          </w:p>
        </w:tc>
        <w:tc>
          <w:tcPr>
            <w:tcW w:w="940" w:type="dxa"/>
            <w:vAlign w:val="bottom"/>
            <w:vMerge w:val="continue"/>
          </w:tcPr>
          <w:p>
            <w:pPr>
              <w:spacing w:after="0"/>
              <w:rPr>
                <w:sz w:val="10"/>
                <w:szCs w:val="10"/>
                <w:color w:val="auto"/>
              </w:rPr>
            </w:pPr>
          </w:p>
        </w:tc>
        <w:tc>
          <w:tcPr>
            <w:tcW w:w="1000" w:type="dxa"/>
            <w:vAlign w:val="bottom"/>
            <w:gridSpan w:val="2"/>
          </w:tcPr>
          <w:p>
            <w:pPr>
              <w:jc w:val="right"/>
              <w:ind w:right="3"/>
              <w:spacing w:after="0" w:line="123" w:lineRule="exact"/>
              <w:rPr>
                <w:sz w:val="20"/>
                <w:szCs w:val="20"/>
                <w:color w:val="auto"/>
              </w:rPr>
            </w:pPr>
            <w:r>
              <w:rPr>
                <w:rFonts w:ascii="Arial" w:cs="Arial" w:eastAsia="Arial" w:hAnsi="Arial"/>
                <w:sz w:val="11"/>
                <w:szCs w:val="11"/>
                <w:b w:val="1"/>
                <w:bCs w:val="1"/>
                <w:color w:val="454968"/>
              </w:rPr>
              <w:t>Compensation</w:t>
            </w:r>
          </w:p>
        </w:tc>
        <w:tc>
          <w:tcPr>
            <w:tcW w:w="9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454968"/>
              </w:rPr>
              <w:t>Compensation</w:t>
            </w:r>
          </w:p>
        </w:tc>
        <w:tc>
          <w:tcPr>
            <w:tcW w:w="98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1"/>
                <w:szCs w:val="11"/>
                <w:b w:val="1"/>
                <w:bCs w:val="1"/>
                <w:color w:val="454968"/>
              </w:rPr>
              <w:t>Compensation</w:t>
            </w:r>
          </w:p>
        </w:tc>
        <w:tc>
          <w:tcPr>
            <w:tcW w:w="780" w:type="dxa"/>
            <w:vAlign w:val="bottom"/>
            <w:vMerge w:val="continue"/>
          </w:tcPr>
          <w:p>
            <w:pPr>
              <w:spacing w:after="0"/>
              <w:rPr>
                <w:sz w:val="10"/>
                <w:szCs w:val="10"/>
                <w:color w:val="auto"/>
              </w:rPr>
            </w:pPr>
          </w:p>
        </w:tc>
        <w:tc>
          <w:tcPr>
            <w:tcW w:w="800" w:type="dxa"/>
            <w:vAlign w:val="bottom"/>
            <w:tcBorders>
              <w:right w:val="single" w:sz="8" w:color="auto"/>
            </w:tcBorders>
          </w:tcPr>
          <w:p>
            <w:pPr>
              <w:jc w:val="right"/>
              <w:ind w:right="3"/>
              <w:spacing w:after="0" w:line="123" w:lineRule="exact"/>
              <w:rPr>
                <w:sz w:val="20"/>
                <w:szCs w:val="20"/>
                <w:color w:val="auto"/>
              </w:rPr>
            </w:pPr>
            <w:r>
              <w:rPr>
                <w:rFonts w:ascii="Arial" w:cs="Arial" w:eastAsia="Arial" w:hAnsi="Arial"/>
                <w:sz w:val="11"/>
                <w:szCs w:val="11"/>
                <w:b w:val="1"/>
                <w:bCs w:val="1"/>
                <w:color w:val="454968"/>
              </w:rPr>
              <w:t>Total</w:t>
            </w: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vMerge w:val="restart"/>
          </w:tcPr>
          <w:p>
            <w:pPr>
              <w:spacing w:after="0"/>
              <w:rPr>
                <w:sz w:val="20"/>
                <w:szCs w:val="20"/>
                <w:color w:val="auto"/>
              </w:rPr>
            </w:pPr>
            <w:r>
              <w:rPr>
                <w:rFonts w:ascii="Arial" w:cs="Arial" w:eastAsia="Arial" w:hAnsi="Arial"/>
                <w:sz w:val="11"/>
                <w:szCs w:val="11"/>
                <w:b w:val="1"/>
                <w:bCs w:val="1"/>
                <w:color w:val="454968"/>
              </w:rPr>
              <w:t>Year</w:t>
            </w:r>
          </w:p>
        </w:tc>
        <w:tc>
          <w:tcPr>
            <w:tcW w:w="100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454968"/>
              </w:rPr>
              <w:t>Table Total</w:t>
            </w:r>
          </w:p>
        </w:tc>
        <w:tc>
          <w:tcPr>
            <w:tcW w:w="94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454968"/>
              </w:rPr>
              <w:t>Actually Paid</w:t>
            </w:r>
          </w:p>
        </w:tc>
        <w:tc>
          <w:tcPr>
            <w:tcW w:w="260" w:type="dxa"/>
            <w:vAlign w:val="bottom"/>
          </w:tcPr>
          <w:p>
            <w:pPr>
              <w:spacing w:after="0"/>
              <w:rPr>
                <w:sz w:val="10"/>
                <w:szCs w:val="10"/>
                <w:color w:val="auto"/>
              </w:rPr>
            </w:pPr>
          </w:p>
        </w:tc>
        <w:tc>
          <w:tcPr>
            <w:tcW w:w="74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454968"/>
              </w:rPr>
              <w:t>Table Total</w:t>
            </w:r>
          </w:p>
        </w:tc>
        <w:tc>
          <w:tcPr>
            <w:tcW w:w="960" w:type="dxa"/>
            <w:vAlign w:val="bottom"/>
            <w:gridSpan w:val="2"/>
          </w:tcPr>
          <w:p>
            <w:pPr>
              <w:jc w:val="right"/>
              <w:ind w:right="43"/>
              <w:spacing w:after="0" w:line="123" w:lineRule="exact"/>
              <w:rPr>
                <w:sz w:val="20"/>
                <w:szCs w:val="20"/>
                <w:color w:val="auto"/>
              </w:rPr>
            </w:pPr>
            <w:r>
              <w:rPr>
                <w:rFonts w:ascii="Arial" w:cs="Arial" w:eastAsia="Arial" w:hAnsi="Arial"/>
                <w:sz w:val="11"/>
                <w:szCs w:val="11"/>
                <w:b w:val="1"/>
                <w:bCs w:val="1"/>
                <w:color w:val="454968"/>
              </w:rPr>
              <w:t>Actually Paid</w:t>
            </w:r>
          </w:p>
        </w:tc>
        <w:tc>
          <w:tcPr>
            <w:tcW w:w="240" w:type="dxa"/>
            <w:vAlign w:val="bottom"/>
          </w:tcPr>
          <w:p>
            <w:pPr>
              <w:spacing w:after="0"/>
              <w:rPr>
                <w:sz w:val="10"/>
                <w:szCs w:val="10"/>
                <w:color w:val="auto"/>
              </w:rPr>
            </w:pPr>
          </w:p>
        </w:tc>
        <w:tc>
          <w:tcPr>
            <w:tcW w:w="94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454968"/>
              </w:rPr>
              <w:t>Table Total for</w:t>
            </w:r>
          </w:p>
        </w:tc>
        <w:tc>
          <w:tcPr>
            <w:tcW w:w="98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1"/>
                <w:szCs w:val="11"/>
                <w:b w:val="1"/>
                <w:bCs w:val="1"/>
                <w:color w:val="454968"/>
              </w:rPr>
              <w:t>Actually Paid to</w:t>
            </w:r>
          </w:p>
        </w:tc>
        <w:tc>
          <w:tcPr>
            <w:tcW w:w="78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454968"/>
              </w:rPr>
              <w:t>Shareholder</w:t>
            </w:r>
          </w:p>
        </w:tc>
        <w:tc>
          <w:tcPr>
            <w:tcW w:w="800" w:type="dxa"/>
            <w:vAlign w:val="bottom"/>
            <w:tcBorders>
              <w:right w:val="single" w:sz="8" w:color="auto"/>
            </w:tcBorders>
          </w:tcPr>
          <w:p>
            <w:pPr>
              <w:jc w:val="right"/>
              <w:ind w:right="3"/>
              <w:spacing w:after="0" w:line="123" w:lineRule="exact"/>
              <w:rPr>
                <w:sz w:val="20"/>
                <w:szCs w:val="20"/>
                <w:color w:val="auto"/>
              </w:rPr>
            </w:pPr>
            <w:r>
              <w:rPr>
                <w:rFonts w:ascii="Arial" w:cs="Arial" w:eastAsia="Arial" w:hAnsi="Arial"/>
                <w:sz w:val="11"/>
                <w:szCs w:val="11"/>
                <w:b w:val="1"/>
                <w:bCs w:val="1"/>
                <w:color w:val="454968"/>
              </w:rPr>
              <w:t>Shareholder</w:t>
            </w:r>
          </w:p>
        </w:tc>
        <w:tc>
          <w:tcPr>
            <w:tcW w:w="100" w:type="dxa"/>
            <w:vAlign w:val="bottom"/>
          </w:tcPr>
          <w:p>
            <w:pPr>
              <w:spacing w:after="0"/>
              <w:rPr>
                <w:sz w:val="10"/>
                <w:szCs w:val="10"/>
                <w:color w:val="auto"/>
              </w:rPr>
            </w:pPr>
          </w:p>
        </w:tc>
        <w:tc>
          <w:tcPr>
            <w:tcW w:w="54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454968"/>
              </w:rPr>
              <w:t>Income</w:t>
            </w:r>
          </w:p>
        </w:tc>
        <w:tc>
          <w:tcPr>
            <w:tcW w:w="62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Diluted</w:t>
            </w:r>
          </w:p>
        </w:tc>
        <w:tc>
          <w:tcPr>
            <w:tcW w:w="0" w:type="dxa"/>
            <w:vAlign w:val="bottom"/>
          </w:tcPr>
          <w:p>
            <w:pPr>
              <w:spacing w:after="0"/>
              <w:rPr>
                <w:sz w:val="1"/>
                <w:szCs w:val="1"/>
                <w:color w:val="auto"/>
              </w:rPr>
            </w:pPr>
          </w:p>
        </w:tc>
      </w:tr>
      <w:tr>
        <w:trPr>
          <w:trHeight w:val="123"/>
        </w:trPr>
        <w:tc>
          <w:tcPr>
            <w:tcW w:w="360" w:type="dxa"/>
            <w:vAlign w:val="bottom"/>
            <w:vMerge w:val="continue"/>
          </w:tcPr>
          <w:p>
            <w:pPr>
              <w:spacing w:after="0"/>
              <w:rPr>
                <w:sz w:val="10"/>
                <w:szCs w:val="10"/>
                <w:color w:val="auto"/>
              </w:rPr>
            </w:pPr>
          </w:p>
        </w:tc>
        <w:tc>
          <w:tcPr>
            <w:tcW w:w="100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454968"/>
              </w:rPr>
              <w:t>for PEO</w:t>
            </w:r>
          </w:p>
        </w:tc>
        <w:tc>
          <w:tcPr>
            <w:tcW w:w="94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454968"/>
              </w:rPr>
              <w:t>to PEO</w:t>
            </w:r>
          </w:p>
        </w:tc>
        <w:tc>
          <w:tcPr>
            <w:tcW w:w="1000" w:type="dxa"/>
            <w:vAlign w:val="bottom"/>
            <w:gridSpan w:val="2"/>
          </w:tcPr>
          <w:p>
            <w:pPr>
              <w:jc w:val="right"/>
              <w:ind w:right="3"/>
              <w:spacing w:after="0" w:line="123" w:lineRule="exact"/>
              <w:rPr>
                <w:sz w:val="20"/>
                <w:szCs w:val="20"/>
                <w:color w:val="auto"/>
              </w:rPr>
            </w:pPr>
            <w:r>
              <w:rPr>
                <w:rFonts w:ascii="Arial" w:cs="Arial" w:eastAsia="Arial" w:hAnsi="Arial"/>
                <w:sz w:val="11"/>
                <w:szCs w:val="11"/>
                <w:b w:val="1"/>
                <w:bCs w:val="1"/>
                <w:color w:val="454968"/>
              </w:rPr>
              <w:t>for Former PEO</w:t>
            </w:r>
          </w:p>
        </w:tc>
        <w:tc>
          <w:tcPr>
            <w:tcW w:w="960" w:type="dxa"/>
            <w:vAlign w:val="bottom"/>
            <w:gridSpan w:val="2"/>
          </w:tcPr>
          <w:p>
            <w:pPr>
              <w:jc w:val="right"/>
              <w:ind w:right="43"/>
              <w:spacing w:after="0" w:line="123" w:lineRule="exact"/>
              <w:rPr>
                <w:sz w:val="20"/>
                <w:szCs w:val="20"/>
                <w:color w:val="auto"/>
              </w:rPr>
            </w:pPr>
            <w:r>
              <w:rPr>
                <w:rFonts w:ascii="Arial" w:cs="Arial" w:eastAsia="Arial" w:hAnsi="Arial"/>
                <w:sz w:val="11"/>
                <w:szCs w:val="11"/>
                <w:b w:val="1"/>
                <w:bCs w:val="1"/>
                <w:color w:val="454968"/>
              </w:rPr>
              <w:t>to Former PEO</w:t>
            </w:r>
          </w:p>
        </w:tc>
        <w:tc>
          <w:tcPr>
            <w:tcW w:w="240" w:type="dxa"/>
            <w:vAlign w:val="bottom"/>
          </w:tcPr>
          <w:p>
            <w:pPr>
              <w:spacing w:after="0"/>
              <w:rPr>
                <w:sz w:val="10"/>
                <w:szCs w:val="10"/>
                <w:color w:val="auto"/>
              </w:rPr>
            </w:pPr>
          </w:p>
        </w:tc>
        <w:tc>
          <w:tcPr>
            <w:tcW w:w="94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454968"/>
              </w:rPr>
              <w:t>Non-PEO NEOs</w:t>
            </w:r>
          </w:p>
        </w:tc>
        <w:tc>
          <w:tcPr>
            <w:tcW w:w="98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1"/>
                <w:szCs w:val="11"/>
                <w:b w:val="1"/>
                <w:bCs w:val="1"/>
                <w:color w:val="454968"/>
              </w:rPr>
              <w:t>Non-PEO NEOs</w:t>
            </w:r>
          </w:p>
        </w:tc>
        <w:tc>
          <w:tcPr>
            <w:tcW w:w="78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454968"/>
              </w:rPr>
              <w:t>Return</w:t>
            </w:r>
          </w:p>
        </w:tc>
        <w:tc>
          <w:tcPr>
            <w:tcW w:w="800" w:type="dxa"/>
            <w:vAlign w:val="bottom"/>
            <w:tcBorders>
              <w:right w:val="single" w:sz="8" w:color="auto"/>
            </w:tcBorders>
          </w:tcPr>
          <w:p>
            <w:pPr>
              <w:jc w:val="right"/>
              <w:ind w:right="3"/>
              <w:spacing w:after="0" w:line="123" w:lineRule="exact"/>
              <w:rPr>
                <w:sz w:val="20"/>
                <w:szCs w:val="20"/>
                <w:color w:val="auto"/>
              </w:rPr>
            </w:pPr>
            <w:r>
              <w:rPr>
                <w:rFonts w:ascii="Arial" w:cs="Arial" w:eastAsia="Arial" w:hAnsi="Arial"/>
                <w:sz w:val="11"/>
                <w:szCs w:val="11"/>
                <w:b w:val="1"/>
                <w:bCs w:val="1"/>
                <w:color w:val="454968"/>
              </w:rPr>
              <w:t>Return</w:t>
            </w:r>
          </w:p>
        </w:tc>
        <w:tc>
          <w:tcPr>
            <w:tcW w:w="100" w:type="dxa"/>
            <w:vAlign w:val="bottom"/>
          </w:tcPr>
          <w:p>
            <w:pPr>
              <w:spacing w:after="0"/>
              <w:rPr>
                <w:sz w:val="10"/>
                <w:szCs w:val="10"/>
                <w:color w:val="auto"/>
              </w:rPr>
            </w:pPr>
          </w:p>
        </w:tc>
        <w:tc>
          <w:tcPr>
            <w:tcW w:w="54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454968"/>
              </w:rPr>
              <w:t>$MM</w:t>
            </w:r>
          </w:p>
        </w:tc>
        <w:tc>
          <w:tcPr>
            <w:tcW w:w="620" w:type="dxa"/>
            <w:vAlign w:val="bottom"/>
          </w:tcPr>
          <w:p>
            <w:pPr>
              <w:jc w:val="right"/>
              <w:spacing w:after="0" w:line="123" w:lineRule="exact"/>
              <w:rPr>
                <w:sz w:val="20"/>
                <w:szCs w:val="20"/>
                <w:color w:val="auto"/>
              </w:rPr>
            </w:pPr>
            <w:r>
              <w:rPr>
                <w:rFonts w:ascii="Arial" w:cs="Arial" w:eastAsia="Arial" w:hAnsi="Arial"/>
                <w:sz w:val="11"/>
                <w:szCs w:val="11"/>
                <w:b w:val="1"/>
                <w:bCs w:val="1"/>
                <w:color w:val="454968"/>
              </w:rPr>
              <w:t>EPS</w:t>
            </w:r>
          </w:p>
        </w:tc>
        <w:tc>
          <w:tcPr>
            <w:tcW w:w="0" w:type="dxa"/>
            <w:vAlign w:val="bottom"/>
          </w:tcPr>
          <w:p>
            <w:pPr>
              <w:spacing w:after="0"/>
              <w:rPr>
                <w:sz w:val="1"/>
                <w:szCs w:val="1"/>
                <w:color w:val="auto"/>
              </w:rPr>
            </w:pPr>
          </w:p>
        </w:tc>
      </w:tr>
      <w:tr>
        <w:trPr>
          <w:trHeight w:val="141"/>
        </w:trPr>
        <w:tc>
          <w:tcPr>
            <w:tcW w:w="360" w:type="dxa"/>
            <w:vAlign w:val="bottom"/>
            <w:tcBorders>
              <w:bottom w:val="single" w:sz="8" w:color="071D49"/>
            </w:tcBorders>
          </w:tcPr>
          <w:p>
            <w:pPr>
              <w:spacing w:after="0"/>
              <w:rPr>
                <w:sz w:val="12"/>
                <w:szCs w:val="12"/>
                <w:color w:val="auto"/>
              </w:rPr>
            </w:pPr>
          </w:p>
        </w:tc>
        <w:tc>
          <w:tcPr>
            <w:tcW w:w="1000" w:type="dxa"/>
            <w:vAlign w:val="bottom"/>
            <w:tcBorders>
              <w:bottom w:val="single" w:sz="8" w:color="071D49"/>
            </w:tcBorders>
          </w:tcPr>
          <w:p>
            <w:pPr>
              <w:jc w:val="right"/>
              <w:ind w:right="43"/>
              <w:spacing w:after="0"/>
              <w:rPr>
                <w:sz w:val="20"/>
                <w:szCs w:val="20"/>
                <w:color w:val="auto"/>
              </w:rPr>
            </w:pPr>
            <w:r>
              <w:rPr>
                <w:rFonts w:ascii="Arial" w:cs="Arial" w:eastAsia="Arial" w:hAnsi="Arial"/>
                <w:sz w:val="11"/>
                <w:szCs w:val="11"/>
                <w:b w:val="1"/>
                <w:bCs w:val="1"/>
                <w:color w:val="454968"/>
              </w:rPr>
              <w:t>($)(a)</w:t>
            </w:r>
          </w:p>
        </w:tc>
        <w:tc>
          <w:tcPr>
            <w:tcW w:w="940" w:type="dxa"/>
            <w:vAlign w:val="bottom"/>
            <w:tcBorders>
              <w:bottom w:val="single" w:sz="8" w:color="071D49"/>
            </w:tcBorders>
          </w:tcPr>
          <w:p>
            <w:pPr>
              <w:jc w:val="right"/>
              <w:ind w:right="3"/>
              <w:spacing w:after="0"/>
              <w:rPr>
                <w:sz w:val="20"/>
                <w:szCs w:val="20"/>
                <w:color w:val="auto"/>
              </w:rPr>
            </w:pPr>
            <w:r>
              <w:rPr>
                <w:rFonts w:ascii="Arial" w:cs="Arial" w:eastAsia="Arial" w:hAnsi="Arial"/>
                <w:sz w:val="11"/>
                <w:szCs w:val="11"/>
                <w:b w:val="1"/>
                <w:bCs w:val="1"/>
                <w:color w:val="454968"/>
              </w:rPr>
              <w:t>($)(b)</w:t>
            </w:r>
          </w:p>
        </w:tc>
        <w:tc>
          <w:tcPr>
            <w:tcW w:w="260" w:type="dxa"/>
            <w:vAlign w:val="bottom"/>
            <w:tcBorders>
              <w:bottom w:val="single" w:sz="8" w:color="071D49"/>
            </w:tcBorders>
          </w:tcPr>
          <w:p>
            <w:pPr>
              <w:spacing w:after="0"/>
              <w:rPr>
                <w:sz w:val="12"/>
                <w:szCs w:val="12"/>
                <w:color w:val="auto"/>
              </w:rPr>
            </w:pPr>
          </w:p>
        </w:tc>
        <w:tc>
          <w:tcPr>
            <w:tcW w:w="740" w:type="dxa"/>
            <w:vAlign w:val="bottom"/>
            <w:tcBorders>
              <w:bottom w:val="single" w:sz="8" w:color="071D49"/>
            </w:tcBorders>
          </w:tcPr>
          <w:p>
            <w:pPr>
              <w:jc w:val="right"/>
              <w:ind w:right="3"/>
              <w:spacing w:after="0"/>
              <w:rPr>
                <w:sz w:val="20"/>
                <w:szCs w:val="20"/>
                <w:color w:val="auto"/>
              </w:rPr>
            </w:pPr>
            <w:r>
              <w:rPr>
                <w:rFonts w:ascii="Arial" w:cs="Arial" w:eastAsia="Arial" w:hAnsi="Arial"/>
                <w:sz w:val="11"/>
                <w:szCs w:val="11"/>
                <w:b w:val="1"/>
                <w:bCs w:val="1"/>
                <w:color w:val="454968"/>
              </w:rPr>
              <w:t>($)(a)</w:t>
            </w:r>
          </w:p>
        </w:tc>
        <w:tc>
          <w:tcPr>
            <w:tcW w:w="220" w:type="dxa"/>
            <w:vAlign w:val="bottom"/>
            <w:tcBorders>
              <w:bottom w:val="single" w:sz="8" w:color="071D49"/>
            </w:tcBorders>
          </w:tcPr>
          <w:p>
            <w:pPr>
              <w:spacing w:after="0"/>
              <w:rPr>
                <w:sz w:val="12"/>
                <w:szCs w:val="12"/>
                <w:color w:val="auto"/>
              </w:rPr>
            </w:pPr>
          </w:p>
        </w:tc>
        <w:tc>
          <w:tcPr>
            <w:tcW w:w="740" w:type="dxa"/>
            <w:vAlign w:val="bottom"/>
            <w:tcBorders>
              <w:bottom w:val="single" w:sz="8" w:color="071D49"/>
            </w:tcBorders>
          </w:tcPr>
          <w:p>
            <w:pPr>
              <w:jc w:val="right"/>
              <w:ind w:right="43"/>
              <w:spacing w:after="0"/>
              <w:rPr>
                <w:sz w:val="20"/>
                <w:szCs w:val="20"/>
                <w:color w:val="auto"/>
              </w:rPr>
            </w:pPr>
            <w:r>
              <w:rPr>
                <w:rFonts w:ascii="Arial" w:cs="Arial" w:eastAsia="Arial" w:hAnsi="Arial"/>
                <w:sz w:val="11"/>
                <w:szCs w:val="11"/>
                <w:b w:val="1"/>
                <w:bCs w:val="1"/>
                <w:color w:val="454968"/>
              </w:rPr>
              <w:t>($)(b)</w:t>
            </w:r>
          </w:p>
        </w:tc>
        <w:tc>
          <w:tcPr>
            <w:tcW w:w="240" w:type="dxa"/>
            <w:vAlign w:val="bottom"/>
            <w:tcBorders>
              <w:bottom w:val="single" w:sz="8" w:color="071D49"/>
            </w:tcBorders>
          </w:tcPr>
          <w:p>
            <w:pPr>
              <w:spacing w:after="0"/>
              <w:rPr>
                <w:sz w:val="12"/>
                <w:szCs w:val="12"/>
                <w:color w:val="auto"/>
              </w:rPr>
            </w:pPr>
          </w:p>
        </w:tc>
        <w:tc>
          <w:tcPr>
            <w:tcW w:w="940" w:type="dxa"/>
            <w:vAlign w:val="bottom"/>
            <w:tcBorders>
              <w:bottom w:val="single" w:sz="8" w:color="071D49"/>
            </w:tcBorders>
          </w:tcPr>
          <w:p>
            <w:pPr>
              <w:jc w:val="right"/>
              <w:ind w:right="23"/>
              <w:spacing w:after="0"/>
              <w:rPr>
                <w:sz w:val="20"/>
                <w:szCs w:val="20"/>
                <w:color w:val="auto"/>
              </w:rPr>
            </w:pPr>
            <w:r>
              <w:rPr>
                <w:rFonts w:ascii="Arial" w:cs="Arial" w:eastAsia="Arial" w:hAnsi="Arial"/>
                <w:sz w:val="11"/>
                <w:szCs w:val="11"/>
                <w:b w:val="1"/>
                <w:bCs w:val="1"/>
                <w:color w:val="454968"/>
              </w:rPr>
              <w:t>($)(c)</w:t>
            </w:r>
          </w:p>
        </w:tc>
        <w:tc>
          <w:tcPr>
            <w:tcW w:w="980" w:type="dxa"/>
            <w:vAlign w:val="bottom"/>
            <w:tcBorders>
              <w:bottom w:val="single" w:sz="8" w:color="071D49"/>
              <w:right w:val="single" w:sz="8" w:color="auto"/>
            </w:tcBorders>
          </w:tcPr>
          <w:p>
            <w:pPr>
              <w:jc w:val="right"/>
              <w:spacing w:after="0"/>
              <w:rPr>
                <w:sz w:val="20"/>
                <w:szCs w:val="20"/>
                <w:color w:val="auto"/>
              </w:rPr>
            </w:pPr>
            <w:r>
              <w:rPr>
                <w:rFonts w:ascii="Arial" w:cs="Arial" w:eastAsia="Arial" w:hAnsi="Arial"/>
                <w:sz w:val="11"/>
                <w:szCs w:val="11"/>
                <w:b w:val="1"/>
                <w:bCs w:val="1"/>
                <w:color w:val="454968"/>
              </w:rPr>
              <w:t>($)(d)</w:t>
            </w:r>
          </w:p>
        </w:tc>
        <w:tc>
          <w:tcPr>
            <w:tcW w:w="780" w:type="dxa"/>
            <w:vAlign w:val="bottom"/>
            <w:tcBorders>
              <w:bottom w:val="single" w:sz="8" w:color="071D49"/>
            </w:tcBorders>
          </w:tcPr>
          <w:p>
            <w:pPr>
              <w:jc w:val="right"/>
              <w:ind w:right="3"/>
              <w:spacing w:after="0"/>
              <w:rPr>
                <w:sz w:val="20"/>
                <w:szCs w:val="20"/>
                <w:color w:val="auto"/>
              </w:rPr>
            </w:pPr>
            <w:r>
              <w:rPr>
                <w:rFonts w:ascii="Arial" w:cs="Arial" w:eastAsia="Arial" w:hAnsi="Arial"/>
                <w:sz w:val="11"/>
                <w:szCs w:val="11"/>
                <w:b w:val="1"/>
                <w:bCs w:val="1"/>
                <w:color w:val="454968"/>
              </w:rPr>
              <w:t>($)(e)</w:t>
            </w:r>
          </w:p>
        </w:tc>
        <w:tc>
          <w:tcPr>
            <w:tcW w:w="800" w:type="dxa"/>
            <w:vAlign w:val="bottom"/>
            <w:tcBorders>
              <w:bottom w:val="single" w:sz="8" w:color="071D49"/>
              <w:right w:val="single" w:sz="8" w:color="auto"/>
            </w:tcBorders>
          </w:tcPr>
          <w:p>
            <w:pPr>
              <w:jc w:val="right"/>
              <w:ind w:right="3"/>
              <w:spacing w:after="0"/>
              <w:rPr>
                <w:sz w:val="20"/>
                <w:szCs w:val="20"/>
                <w:color w:val="auto"/>
              </w:rPr>
            </w:pPr>
            <w:r>
              <w:rPr>
                <w:rFonts w:ascii="Arial" w:cs="Arial" w:eastAsia="Arial" w:hAnsi="Arial"/>
                <w:sz w:val="11"/>
                <w:szCs w:val="11"/>
                <w:b w:val="1"/>
                <w:bCs w:val="1"/>
                <w:color w:val="454968"/>
              </w:rPr>
              <w:t>($)(f)</w:t>
            </w:r>
          </w:p>
        </w:tc>
        <w:tc>
          <w:tcPr>
            <w:tcW w:w="100" w:type="dxa"/>
            <w:vAlign w:val="bottom"/>
            <w:tcBorders>
              <w:bottom w:val="single" w:sz="8" w:color="071D49"/>
            </w:tcBorders>
          </w:tcPr>
          <w:p>
            <w:pPr>
              <w:spacing w:after="0"/>
              <w:rPr>
                <w:sz w:val="12"/>
                <w:szCs w:val="12"/>
                <w:color w:val="auto"/>
              </w:rPr>
            </w:pPr>
          </w:p>
        </w:tc>
        <w:tc>
          <w:tcPr>
            <w:tcW w:w="540" w:type="dxa"/>
            <w:vAlign w:val="bottom"/>
            <w:tcBorders>
              <w:bottom w:val="single" w:sz="8" w:color="071D49"/>
            </w:tcBorders>
          </w:tcPr>
          <w:p>
            <w:pPr>
              <w:jc w:val="right"/>
              <w:ind w:right="43"/>
              <w:spacing w:after="0"/>
              <w:rPr>
                <w:sz w:val="20"/>
                <w:szCs w:val="20"/>
                <w:color w:val="auto"/>
              </w:rPr>
            </w:pPr>
            <w:r>
              <w:rPr>
                <w:rFonts w:ascii="Arial" w:cs="Arial" w:eastAsia="Arial" w:hAnsi="Arial"/>
                <w:sz w:val="11"/>
                <w:szCs w:val="11"/>
                <w:b w:val="1"/>
                <w:bCs w:val="1"/>
                <w:color w:val="454968"/>
              </w:rPr>
              <w:t>($)</w:t>
            </w:r>
          </w:p>
        </w:tc>
        <w:tc>
          <w:tcPr>
            <w:tcW w:w="620" w:type="dxa"/>
            <w:vAlign w:val="bottom"/>
            <w:tcBorders>
              <w:bottom w:val="single" w:sz="8" w:color="071D49"/>
            </w:tcBorders>
          </w:tcPr>
          <w:p>
            <w:pPr>
              <w:jc w:val="right"/>
              <w:spacing w:after="0"/>
              <w:rPr>
                <w:sz w:val="20"/>
                <w:szCs w:val="20"/>
                <w:color w:val="auto"/>
              </w:rPr>
            </w:pPr>
            <w:r>
              <w:rPr>
                <w:rFonts w:ascii="Arial" w:cs="Arial" w:eastAsia="Arial" w:hAnsi="Arial"/>
                <w:sz w:val="11"/>
                <w:szCs w:val="11"/>
                <w:b w:val="1"/>
                <w:bCs w:val="1"/>
                <w:color w:val="454968"/>
              </w:rPr>
              <w:t>($)(g)</w:t>
            </w:r>
          </w:p>
        </w:tc>
        <w:tc>
          <w:tcPr>
            <w:tcW w:w="0" w:type="dxa"/>
            <w:vAlign w:val="bottom"/>
          </w:tcPr>
          <w:p>
            <w:pPr>
              <w:spacing w:after="0"/>
              <w:rPr>
                <w:sz w:val="1"/>
                <w:szCs w:val="1"/>
                <w:color w:val="auto"/>
              </w:rPr>
            </w:pPr>
          </w:p>
        </w:tc>
      </w:tr>
      <w:tr>
        <w:trPr>
          <w:trHeight w:val="115"/>
        </w:trPr>
        <w:tc>
          <w:tcPr>
            <w:tcW w:w="360" w:type="dxa"/>
            <w:vAlign w:val="bottom"/>
            <w:shd w:val="clear" w:color="auto" w:fill="D9D9D9"/>
          </w:tcPr>
          <w:p>
            <w:pPr>
              <w:spacing w:after="0" w:line="115" w:lineRule="exact"/>
              <w:rPr>
                <w:sz w:val="20"/>
                <w:szCs w:val="20"/>
                <w:color w:val="auto"/>
              </w:rPr>
            </w:pPr>
            <w:r>
              <w:rPr>
                <w:rFonts w:ascii="Arial" w:cs="Arial" w:eastAsia="Arial" w:hAnsi="Arial"/>
                <w:sz w:val="11"/>
                <w:szCs w:val="11"/>
                <w:color w:val="auto"/>
              </w:rPr>
              <w:t>2025</w:t>
            </w:r>
          </w:p>
        </w:tc>
        <w:tc>
          <w:tcPr>
            <w:tcW w:w="1000" w:type="dxa"/>
            <w:vAlign w:val="bottom"/>
            <w:shd w:val="clear" w:color="auto" w:fill="D9D9D9"/>
          </w:tcPr>
          <w:p>
            <w:pPr>
              <w:jc w:val="right"/>
              <w:ind w:right="43"/>
              <w:spacing w:after="0" w:line="115" w:lineRule="exact"/>
              <w:rPr>
                <w:sz w:val="20"/>
                <w:szCs w:val="20"/>
                <w:color w:val="auto"/>
              </w:rPr>
            </w:pPr>
            <w:r>
              <w:rPr>
                <w:rFonts w:ascii="Arial" w:cs="Arial" w:eastAsia="Arial" w:hAnsi="Arial"/>
                <w:sz w:val="11"/>
                <w:szCs w:val="11"/>
                <w:color w:val="auto"/>
              </w:rPr>
              <w:t>$   32,530,984</w:t>
            </w:r>
          </w:p>
        </w:tc>
        <w:tc>
          <w:tcPr>
            <w:tcW w:w="94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   57,365,441</w:t>
            </w:r>
          </w:p>
        </w:tc>
        <w:tc>
          <w:tcPr>
            <w:tcW w:w="260" w:type="dxa"/>
            <w:vAlign w:val="bottom"/>
            <w:shd w:val="clear" w:color="auto" w:fill="D9D9D9"/>
          </w:tcPr>
          <w:p>
            <w:pPr>
              <w:jc w:val="right"/>
              <w:ind w:right="23"/>
              <w:spacing w:after="0" w:line="115" w:lineRule="exact"/>
              <w:rPr>
                <w:sz w:val="20"/>
                <w:szCs w:val="20"/>
                <w:color w:val="auto"/>
              </w:rPr>
            </w:pPr>
            <w:r>
              <w:rPr>
                <w:rFonts w:ascii="Arial" w:cs="Arial" w:eastAsia="Arial" w:hAnsi="Arial"/>
                <w:sz w:val="11"/>
                <w:szCs w:val="11"/>
                <w:color w:val="auto"/>
              </w:rPr>
              <w:t>$</w:t>
            </w:r>
          </w:p>
        </w:tc>
        <w:tc>
          <w:tcPr>
            <w:tcW w:w="74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w:t>
            </w:r>
          </w:p>
        </w:tc>
        <w:tc>
          <w:tcPr>
            <w:tcW w:w="22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w:t>
            </w:r>
          </w:p>
        </w:tc>
        <w:tc>
          <w:tcPr>
            <w:tcW w:w="740" w:type="dxa"/>
            <w:vAlign w:val="bottom"/>
            <w:shd w:val="clear" w:color="auto" w:fill="D9D9D9"/>
          </w:tcPr>
          <w:p>
            <w:pPr>
              <w:jc w:val="right"/>
              <w:ind w:right="43"/>
              <w:spacing w:after="0" w:line="115" w:lineRule="exact"/>
              <w:rPr>
                <w:sz w:val="20"/>
                <w:szCs w:val="20"/>
                <w:color w:val="auto"/>
              </w:rPr>
            </w:pPr>
            <w:r>
              <w:rPr>
                <w:rFonts w:ascii="Arial" w:cs="Arial" w:eastAsia="Arial" w:hAnsi="Arial"/>
                <w:sz w:val="11"/>
                <w:szCs w:val="11"/>
                <w:color w:val="auto"/>
              </w:rPr>
              <w:t>—</w:t>
            </w:r>
          </w:p>
        </w:tc>
        <w:tc>
          <w:tcPr>
            <w:tcW w:w="24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940" w:type="dxa"/>
            <w:vAlign w:val="bottom"/>
            <w:shd w:val="clear" w:color="auto" w:fill="D9D9D9"/>
          </w:tcPr>
          <w:p>
            <w:pPr>
              <w:jc w:val="right"/>
              <w:ind w:right="23"/>
              <w:spacing w:after="0" w:line="115" w:lineRule="exact"/>
              <w:rPr>
                <w:sz w:val="20"/>
                <w:szCs w:val="20"/>
                <w:color w:val="auto"/>
              </w:rPr>
            </w:pPr>
            <w:r>
              <w:rPr>
                <w:rFonts w:ascii="Arial" w:cs="Arial" w:eastAsia="Arial" w:hAnsi="Arial"/>
                <w:sz w:val="11"/>
                <w:szCs w:val="11"/>
                <w:color w:val="auto"/>
              </w:rPr>
              <w:t>12,123,281</w:t>
            </w:r>
          </w:p>
        </w:tc>
        <w:tc>
          <w:tcPr>
            <w:tcW w:w="980" w:type="dxa"/>
            <w:vAlign w:val="bottom"/>
            <w:tcBorders>
              <w:right w:val="single" w:sz="8" w:color="auto"/>
            </w:tcBorders>
            <w:shd w:val="clear" w:color="auto" w:fill="D9D9D9"/>
          </w:tcPr>
          <w:p>
            <w:pPr>
              <w:jc w:val="right"/>
              <w:spacing w:after="0" w:line="115" w:lineRule="exact"/>
              <w:rPr>
                <w:sz w:val="20"/>
                <w:szCs w:val="20"/>
                <w:color w:val="auto"/>
              </w:rPr>
            </w:pPr>
            <w:r>
              <w:rPr>
                <w:rFonts w:ascii="Arial" w:cs="Arial" w:eastAsia="Arial" w:hAnsi="Arial"/>
                <w:sz w:val="11"/>
                <w:szCs w:val="11"/>
                <w:color w:val="auto"/>
              </w:rPr>
              <w:t>$   24,187,185</w:t>
            </w:r>
          </w:p>
        </w:tc>
        <w:tc>
          <w:tcPr>
            <w:tcW w:w="78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   259.36</w:t>
            </w:r>
          </w:p>
        </w:tc>
        <w:tc>
          <w:tcPr>
            <w:tcW w:w="800" w:type="dxa"/>
            <w:vAlign w:val="bottom"/>
            <w:tcBorders>
              <w:right w:val="single" w:sz="8" w:color="auto"/>
            </w:tcBorders>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   186.74</w:t>
            </w:r>
          </w:p>
        </w:tc>
        <w:tc>
          <w:tcPr>
            <w:tcW w:w="10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shd w:val="clear" w:color="auto" w:fill="D9D9D9"/>
          </w:tcPr>
          <w:p>
            <w:pPr>
              <w:jc w:val="right"/>
              <w:ind w:right="43"/>
              <w:spacing w:after="0" w:line="115" w:lineRule="exact"/>
              <w:rPr>
                <w:sz w:val="20"/>
                <w:szCs w:val="20"/>
                <w:color w:val="auto"/>
              </w:rPr>
            </w:pPr>
            <w:r>
              <w:rPr>
                <w:rFonts w:ascii="Arial" w:cs="Arial" w:eastAsia="Arial" w:hAnsi="Arial"/>
                <w:sz w:val="11"/>
                <w:szCs w:val="11"/>
                <w:color w:val="auto"/>
              </w:rPr>
              <w:t>4,226</w:t>
            </w:r>
          </w:p>
        </w:tc>
        <w:tc>
          <w:tcPr>
            <w:tcW w:w="62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   10.00</w:t>
            </w:r>
          </w:p>
        </w:tc>
        <w:tc>
          <w:tcPr>
            <w:tcW w:w="0" w:type="dxa"/>
            <w:vAlign w:val="bottom"/>
          </w:tcPr>
          <w:p>
            <w:pPr>
              <w:spacing w:after="0"/>
              <w:rPr>
                <w:sz w:val="1"/>
                <w:szCs w:val="1"/>
                <w:color w:val="auto"/>
              </w:rPr>
            </w:pPr>
          </w:p>
        </w:tc>
      </w:tr>
      <w:tr>
        <w:trPr>
          <w:trHeight w:val="123"/>
        </w:trPr>
        <w:tc>
          <w:tcPr>
            <w:tcW w:w="360" w:type="dxa"/>
            <w:vAlign w:val="bottom"/>
          </w:tcPr>
          <w:p>
            <w:pPr>
              <w:spacing w:after="0" w:line="123" w:lineRule="exact"/>
              <w:rPr>
                <w:sz w:val="20"/>
                <w:szCs w:val="20"/>
                <w:color w:val="auto"/>
              </w:rPr>
            </w:pPr>
            <w:r>
              <w:rPr>
                <w:rFonts w:ascii="Arial" w:cs="Arial" w:eastAsia="Arial" w:hAnsi="Arial"/>
                <w:sz w:val="11"/>
                <w:szCs w:val="11"/>
                <w:color w:val="auto"/>
              </w:rPr>
              <w:t>2024</w:t>
            </w:r>
          </w:p>
        </w:tc>
        <w:tc>
          <w:tcPr>
            <w:tcW w:w="1000" w:type="dxa"/>
            <w:vAlign w:val="bottom"/>
          </w:tcPr>
          <w:p>
            <w:pPr>
              <w:jc w:val="right"/>
              <w:ind w:right="43"/>
              <w:spacing w:after="0" w:line="123" w:lineRule="exact"/>
              <w:rPr>
                <w:sz w:val="20"/>
                <w:szCs w:val="20"/>
                <w:color w:val="auto"/>
              </w:rPr>
            </w:pPr>
            <w:r>
              <w:rPr>
                <w:rFonts w:ascii="Arial" w:cs="Arial" w:eastAsia="Arial" w:hAnsi="Arial"/>
                <w:sz w:val="11"/>
                <w:szCs w:val="11"/>
                <w:color w:val="auto"/>
              </w:rPr>
              <w:t>18,492,517</w:t>
            </w:r>
          </w:p>
        </w:tc>
        <w:tc>
          <w:tcPr>
            <w:tcW w:w="940" w:type="dxa"/>
            <w:vAlign w:val="bottom"/>
          </w:tcPr>
          <w:p>
            <w:pPr>
              <w:jc w:val="right"/>
              <w:ind w:right="3"/>
              <w:spacing w:after="0" w:line="123" w:lineRule="exact"/>
              <w:rPr>
                <w:sz w:val="20"/>
                <w:szCs w:val="20"/>
                <w:color w:val="auto"/>
              </w:rPr>
            </w:pPr>
            <w:r>
              <w:rPr>
                <w:rFonts w:ascii="Arial" w:cs="Arial" w:eastAsia="Arial" w:hAnsi="Arial"/>
                <w:sz w:val="11"/>
                <w:szCs w:val="11"/>
                <w:color w:val="auto"/>
              </w:rPr>
              <w:t>33,323,947</w:t>
            </w:r>
          </w:p>
        </w:tc>
        <w:tc>
          <w:tcPr>
            <w:tcW w:w="260" w:type="dxa"/>
            <w:vAlign w:val="bottom"/>
          </w:tcPr>
          <w:p>
            <w:pPr>
              <w:spacing w:after="0"/>
              <w:rPr>
                <w:sz w:val="10"/>
                <w:szCs w:val="10"/>
                <w:color w:val="auto"/>
              </w:rPr>
            </w:pPr>
          </w:p>
        </w:tc>
        <w:tc>
          <w:tcPr>
            <w:tcW w:w="740" w:type="dxa"/>
            <w:vAlign w:val="bottom"/>
          </w:tcPr>
          <w:p>
            <w:pPr>
              <w:jc w:val="right"/>
              <w:ind w:right="3"/>
              <w:spacing w:after="0" w:line="123" w:lineRule="exact"/>
              <w:rPr>
                <w:sz w:val="20"/>
                <w:szCs w:val="20"/>
                <w:color w:val="auto"/>
              </w:rPr>
            </w:pPr>
            <w:r>
              <w:rPr>
                <w:rFonts w:ascii="Arial" w:cs="Arial" w:eastAsia="Arial" w:hAnsi="Arial"/>
                <w:sz w:val="11"/>
                <w:szCs w:val="11"/>
                <w:color w:val="auto"/>
              </w:rPr>
              <w:t>28,502,888</w:t>
            </w:r>
          </w:p>
        </w:tc>
        <w:tc>
          <w:tcPr>
            <w:tcW w:w="220" w:type="dxa"/>
            <w:vAlign w:val="bottom"/>
          </w:tcPr>
          <w:p>
            <w:pPr>
              <w:spacing w:after="0"/>
              <w:rPr>
                <w:sz w:val="10"/>
                <w:szCs w:val="10"/>
                <w:color w:val="auto"/>
              </w:rPr>
            </w:pPr>
          </w:p>
        </w:tc>
        <w:tc>
          <w:tcPr>
            <w:tcW w:w="740" w:type="dxa"/>
            <w:vAlign w:val="bottom"/>
          </w:tcPr>
          <w:p>
            <w:pPr>
              <w:jc w:val="right"/>
              <w:ind w:right="43"/>
              <w:spacing w:after="0" w:line="123" w:lineRule="exact"/>
              <w:rPr>
                <w:sz w:val="20"/>
                <w:szCs w:val="20"/>
                <w:color w:val="auto"/>
              </w:rPr>
            </w:pPr>
            <w:r>
              <w:rPr>
                <w:rFonts w:ascii="Arial" w:cs="Arial" w:eastAsia="Arial" w:hAnsi="Arial"/>
                <w:sz w:val="11"/>
                <w:szCs w:val="11"/>
                <w:color w:val="auto"/>
              </w:rPr>
              <w:t>67,567,568</w:t>
            </w:r>
          </w:p>
        </w:tc>
        <w:tc>
          <w:tcPr>
            <w:tcW w:w="240" w:type="dxa"/>
            <w:vAlign w:val="bottom"/>
          </w:tcPr>
          <w:p>
            <w:pPr>
              <w:spacing w:after="0"/>
              <w:rPr>
                <w:sz w:val="10"/>
                <w:szCs w:val="10"/>
                <w:color w:val="auto"/>
              </w:rPr>
            </w:pPr>
          </w:p>
        </w:tc>
        <w:tc>
          <w:tcPr>
            <w:tcW w:w="940" w:type="dxa"/>
            <w:vAlign w:val="bottom"/>
          </w:tcPr>
          <w:p>
            <w:pPr>
              <w:jc w:val="right"/>
              <w:ind w:right="23"/>
              <w:spacing w:after="0" w:line="123" w:lineRule="exact"/>
              <w:rPr>
                <w:sz w:val="20"/>
                <w:szCs w:val="20"/>
                <w:color w:val="auto"/>
              </w:rPr>
            </w:pPr>
            <w:r>
              <w:rPr>
                <w:rFonts w:ascii="Arial" w:cs="Arial" w:eastAsia="Arial" w:hAnsi="Arial"/>
                <w:sz w:val="11"/>
                <w:szCs w:val="11"/>
                <w:color w:val="auto"/>
              </w:rPr>
              <w:t>11,314,957</w:t>
            </w:r>
          </w:p>
        </w:tc>
        <w:tc>
          <w:tcPr>
            <w:tcW w:w="98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1"/>
                <w:szCs w:val="11"/>
                <w:color w:val="auto"/>
              </w:rPr>
              <w:t>20,324,464</w:t>
            </w:r>
          </w:p>
        </w:tc>
        <w:tc>
          <w:tcPr>
            <w:tcW w:w="780" w:type="dxa"/>
            <w:vAlign w:val="bottom"/>
          </w:tcPr>
          <w:p>
            <w:pPr>
              <w:jc w:val="right"/>
              <w:ind w:right="3"/>
              <w:spacing w:after="0" w:line="123" w:lineRule="exact"/>
              <w:rPr>
                <w:sz w:val="20"/>
                <w:szCs w:val="20"/>
                <w:color w:val="auto"/>
              </w:rPr>
            </w:pPr>
            <w:r>
              <w:rPr>
                <w:rFonts w:ascii="Arial" w:cs="Arial" w:eastAsia="Arial" w:hAnsi="Arial"/>
                <w:sz w:val="11"/>
                <w:szCs w:val="11"/>
                <w:color w:val="auto"/>
              </w:rPr>
              <w:t>194.82</w:t>
            </w:r>
          </w:p>
        </w:tc>
        <w:tc>
          <w:tcPr>
            <w:tcW w:w="800" w:type="dxa"/>
            <w:vAlign w:val="bottom"/>
            <w:tcBorders>
              <w:right w:val="single" w:sz="8" w:color="auto"/>
            </w:tcBorders>
          </w:tcPr>
          <w:p>
            <w:pPr>
              <w:jc w:val="right"/>
              <w:ind w:right="3"/>
              <w:spacing w:after="0" w:line="123" w:lineRule="exact"/>
              <w:rPr>
                <w:sz w:val="20"/>
                <w:szCs w:val="20"/>
                <w:color w:val="auto"/>
              </w:rPr>
            </w:pPr>
            <w:r>
              <w:rPr>
                <w:rFonts w:ascii="Arial" w:cs="Arial" w:eastAsia="Arial" w:hAnsi="Arial"/>
                <w:sz w:val="11"/>
                <w:szCs w:val="11"/>
                <w:color w:val="auto"/>
              </w:rPr>
              <w:t>150.75</w:t>
            </w:r>
          </w:p>
        </w:tc>
        <w:tc>
          <w:tcPr>
            <w:tcW w:w="100" w:type="dxa"/>
            <w:vAlign w:val="bottom"/>
          </w:tcPr>
          <w:p>
            <w:pPr>
              <w:spacing w:after="0"/>
              <w:rPr>
                <w:sz w:val="10"/>
                <w:szCs w:val="10"/>
                <w:color w:val="auto"/>
              </w:rPr>
            </w:pPr>
          </w:p>
        </w:tc>
        <w:tc>
          <w:tcPr>
            <w:tcW w:w="540" w:type="dxa"/>
            <w:vAlign w:val="bottom"/>
          </w:tcPr>
          <w:p>
            <w:pPr>
              <w:jc w:val="right"/>
              <w:ind w:right="43"/>
              <w:spacing w:after="0" w:line="123" w:lineRule="exact"/>
              <w:rPr>
                <w:sz w:val="20"/>
                <w:szCs w:val="20"/>
                <w:color w:val="auto"/>
              </w:rPr>
            </w:pPr>
            <w:r>
              <w:rPr>
                <w:rFonts w:ascii="Arial" w:cs="Arial" w:eastAsia="Arial" w:hAnsi="Arial"/>
                <w:sz w:val="11"/>
                <w:szCs w:val="11"/>
                <w:color w:val="auto"/>
              </w:rPr>
              <w:t>4,278</w:t>
            </w: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10.12</w:t>
            </w:r>
          </w:p>
        </w:tc>
        <w:tc>
          <w:tcPr>
            <w:tcW w:w="0" w:type="dxa"/>
            <w:vAlign w:val="bottom"/>
          </w:tcPr>
          <w:p>
            <w:pPr>
              <w:spacing w:after="0"/>
              <w:rPr>
                <w:sz w:val="1"/>
                <w:szCs w:val="1"/>
                <w:color w:val="auto"/>
              </w:rPr>
            </w:pPr>
          </w:p>
        </w:tc>
      </w:tr>
      <w:tr>
        <w:trPr>
          <w:trHeight w:val="123"/>
        </w:trPr>
        <w:tc>
          <w:tcPr>
            <w:tcW w:w="360" w:type="dxa"/>
            <w:vAlign w:val="bottom"/>
            <w:shd w:val="clear" w:color="auto" w:fill="D9D9D9"/>
          </w:tcPr>
          <w:p>
            <w:pPr>
              <w:spacing w:after="0" w:line="123" w:lineRule="exact"/>
              <w:rPr>
                <w:sz w:val="20"/>
                <w:szCs w:val="20"/>
                <w:color w:val="auto"/>
              </w:rPr>
            </w:pPr>
            <w:r>
              <w:rPr>
                <w:rFonts w:ascii="Arial" w:cs="Arial" w:eastAsia="Arial" w:hAnsi="Arial"/>
                <w:sz w:val="11"/>
                <w:szCs w:val="11"/>
                <w:color w:val="auto"/>
              </w:rPr>
              <w:t>2023</w:t>
            </w:r>
          </w:p>
        </w:tc>
        <w:tc>
          <w:tcPr>
            <w:tcW w:w="1000" w:type="dxa"/>
            <w:vAlign w:val="bottom"/>
            <w:shd w:val="clear" w:color="auto" w:fill="D9D9D9"/>
          </w:tcPr>
          <w:p>
            <w:pPr>
              <w:spacing w:after="0"/>
              <w:rPr>
                <w:sz w:val="10"/>
                <w:szCs w:val="10"/>
                <w:color w:val="auto"/>
              </w:rPr>
            </w:pPr>
          </w:p>
        </w:tc>
        <w:tc>
          <w:tcPr>
            <w:tcW w:w="940" w:type="dxa"/>
            <w:vAlign w:val="bottom"/>
            <w:shd w:val="clear" w:color="auto" w:fill="D9D9D9"/>
          </w:tcPr>
          <w:p>
            <w:pPr>
              <w:spacing w:after="0"/>
              <w:rPr>
                <w:sz w:val="10"/>
                <w:szCs w:val="10"/>
                <w:color w:val="auto"/>
              </w:rPr>
            </w:pPr>
          </w:p>
        </w:tc>
        <w:tc>
          <w:tcPr>
            <w:tcW w:w="260" w:type="dxa"/>
            <w:vAlign w:val="bottom"/>
            <w:shd w:val="clear" w:color="auto" w:fill="D9D9D9"/>
          </w:tcPr>
          <w:p>
            <w:pPr>
              <w:spacing w:after="0"/>
              <w:rPr>
                <w:sz w:val="10"/>
                <w:szCs w:val="10"/>
                <w:color w:val="auto"/>
              </w:rPr>
            </w:pPr>
          </w:p>
        </w:tc>
        <w:tc>
          <w:tcPr>
            <w:tcW w:w="74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25,661,972</w:t>
            </w:r>
          </w:p>
        </w:tc>
        <w:tc>
          <w:tcPr>
            <w:tcW w:w="220" w:type="dxa"/>
            <w:vAlign w:val="bottom"/>
            <w:shd w:val="clear" w:color="auto" w:fill="D9D9D9"/>
          </w:tcPr>
          <w:p>
            <w:pPr>
              <w:spacing w:after="0"/>
              <w:rPr>
                <w:sz w:val="10"/>
                <w:szCs w:val="10"/>
                <w:color w:val="auto"/>
              </w:rPr>
            </w:pPr>
          </w:p>
        </w:tc>
        <w:tc>
          <w:tcPr>
            <w:tcW w:w="740" w:type="dxa"/>
            <w:vAlign w:val="bottom"/>
            <w:shd w:val="clear" w:color="auto" w:fill="D9D9D9"/>
          </w:tcPr>
          <w:p>
            <w:pPr>
              <w:jc w:val="right"/>
              <w:ind w:right="43"/>
              <w:spacing w:after="0" w:line="123" w:lineRule="exact"/>
              <w:rPr>
                <w:sz w:val="20"/>
                <w:szCs w:val="20"/>
                <w:color w:val="auto"/>
              </w:rPr>
            </w:pPr>
            <w:r>
              <w:rPr>
                <w:rFonts w:ascii="Arial" w:cs="Arial" w:eastAsia="Arial" w:hAnsi="Arial"/>
                <w:sz w:val="11"/>
                <w:szCs w:val="11"/>
                <w:color w:val="auto"/>
              </w:rPr>
              <w:t>34,672,518</w:t>
            </w:r>
          </w:p>
        </w:tc>
        <w:tc>
          <w:tcPr>
            <w:tcW w:w="240" w:type="dxa"/>
            <w:vAlign w:val="bottom"/>
            <w:shd w:val="clear" w:color="auto" w:fill="D9D9D9"/>
          </w:tcPr>
          <w:p>
            <w:pPr>
              <w:spacing w:after="0"/>
              <w:rPr>
                <w:sz w:val="10"/>
                <w:szCs w:val="10"/>
                <w:color w:val="auto"/>
              </w:rPr>
            </w:pPr>
          </w:p>
        </w:tc>
        <w:tc>
          <w:tcPr>
            <w:tcW w:w="940" w:type="dxa"/>
            <w:vAlign w:val="bottom"/>
            <w:shd w:val="clear" w:color="auto" w:fill="D9D9D9"/>
          </w:tcPr>
          <w:p>
            <w:pPr>
              <w:jc w:val="right"/>
              <w:ind w:right="23"/>
              <w:spacing w:after="0" w:line="123" w:lineRule="exact"/>
              <w:rPr>
                <w:sz w:val="20"/>
                <w:szCs w:val="20"/>
                <w:color w:val="auto"/>
              </w:rPr>
            </w:pPr>
            <w:r>
              <w:rPr>
                <w:rFonts w:ascii="Arial" w:cs="Arial" w:eastAsia="Arial" w:hAnsi="Arial"/>
                <w:sz w:val="11"/>
                <w:szCs w:val="11"/>
                <w:color w:val="auto"/>
              </w:rPr>
              <w:t>12,319,311</w:t>
            </w:r>
          </w:p>
        </w:tc>
        <w:tc>
          <w:tcPr>
            <w:tcW w:w="980" w:type="dxa"/>
            <w:vAlign w:val="bottom"/>
            <w:tcBorders>
              <w:right w:val="single" w:sz="8" w:color="auto"/>
            </w:tcBorders>
            <w:shd w:val="clear" w:color="auto" w:fill="D9D9D9"/>
          </w:tcPr>
          <w:p>
            <w:pPr>
              <w:jc w:val="right"/>
              <w:spacing w:after="0" w:line="123" w:lineRule="exact"/>
              <w:rPr>
                <w:sz w:val="20"/>
                <w:szCs w:val="20"/>
                <w:color w:val="auto"/>
              </w:rPr>
            </w:pPr>
            <w:r>
              <w:rPr>
                <w:rFonts w:ascii="Arial" w:cs="Arial" w:eastAsia="Arial" w:hAnsi="Arial"/>
                <w:sz w:val="11"/>
                <w:szCs w:val="11"/>
                <w:color w:val="auto"/>
              </w:rPr>
              <w:t>12,199,327</w:t>
            </w:r>
          </w:p>
        </w:tc>
        <w:tc>
          <w:tcPr>
            <w:tcW w:w="78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163.86</w:t>
            </w:r>
          </w:p>
        </w:tc>
        <w:tc>
          <w:tcPr>
            <w:tcW w:w="800" w:type="dxa"/>
            <w:vAlign w:val="bottom"/>
            <w:tcBorders>
              <w:right w:val="single" w:sz="8" w:color="auto"/>
            </w:tcBorders>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143.33</w:t>
            </w:r>
          </w:p>
        </w:tc>
        <w:tc>
          <w:tcPr>
            <w:tcW w:w="100" w:type="dxa"/>
            <w:vAlign w:val="bottom"/>
            <w:shd w:val="clear" w:color="auto" w:fill="D9D9D9"/>
          </w:tcPr>
          <w:p>
            <w:pPr>
              <w:spacing w:after="0"/>
              <w:rPr>
                <w:sz w:val="10"/>
                <w:szCs w:val="10"/>
                <w:color w:val="auto"/>
              </w:rPr>
            </w:pPr>
          </w:p>
        </w:tc>
        <w:tc>
          <w:tcPr>
            <w:tcW w:w="540" w:type="dxa"/>
            <w:vAlign w:val="bottom"/>
            <w:shd w:val="clear" w:color="auto" w:fill="D9D9D9"/>
          </w:tcPr>
          <w:p>
            <w:pPr>
              <w:jc w:val="right"/>
              <w:ind w:right="43"/>
              <w:spacing w:after="0" w:line="123" w:lineRule="exact"/>
              <w:rPr>
                <w:sz w:val="20"/>
                <w:szCs w:val="20"/>
                <w:color w:val="auto"/>
              </w:rPr>
            </w:pPr>
            <w:r>
              <w:rPr>
                <w:rFonts w:ascii="Arial" w:cs="Arial" w:eastAsia="Arial" w:hAnsi="Arial"/>
                <w:sz w:val="11"/>
                <w:szCs w:val="11"/>
                <w:color w:val="auto"/>
              </w:rPr>
              <w:t>4,863</w:t>
            </w:r>
          </w:p>
        </w:tc>
        <w:tc>
          <w:tcPr>
            <w:tcW w:w="620" w:type="dxa"/>
            <w:vAlign w:val="bottom"/>
            <w:shd w:val="clear" w:color="auto" w:fill="D9D9D9"/>
          </w:tcPr>
          <w:p>
            <w:pPr>
              <w:jc w:val="right"/>
              <w:spacing w:after="0" w:line="123" w:lineRule="exact"/>
              <w:rPr>
                <w:sz w:val="20"/>
                <w:szCs w:val="20"/>
                <w:color w:val="auto"/>
              </w:rPr>
            </w:pPr>
            <w:r>
              <w:rPr>
                <w:rFonts w:ascii="Arial" w:cs="Arial" w:eastAsia="Arial" w:hAnsi="Arial"/>
                <w:sz w:val="11"/>
                <w:szCs w:val="11"/>
                <w:color w:val="auto"/>
              </w:rPr>
              <w:t>11.11</w:t>
            </w:r>
          </w:p>
        </w:tc>
        <w:tc>
          <w:tcPr>
            <w:tcW w:w="0" w:type="dxa"/>
            <w:vAlign w:val="bottom"/>
          </w:tcPr>
          <w:p>
            <w:pPr>
              <w:spacing w:after="0"/>
              <w:rPr>
                <w:sz w:val="1"/>
                <w:szCs w:val="1"/>
                <w:color w:val="auto"/>
              </w:rPr>
            </w:pPr>
          </w:p>
        </w:tc>
      </w:tr>
      <w:tr>
        <w:trPr>
          <w:trHeight w:val="123"/>
        </w:trPr>
        <w:tc>
          <w:tcPr>
            <w:tcW w:w="360" w:type="dxa"/>
            <w:vAlign w:val="bottom"/>
          </w:tcPr>
          <w:p>
            <w:pPr>
              <w:spacing w:after="0" w:line="123" w:lineRule="exact"/>
              <w:rPr>
                <w:sz w:val="20"/>
                <w:szCs w:val="20"/>
                <w:color w:val="auto"/>
              </w:rPr>
            </w:pPr>
            <w:r>
              <w:rPr>
                <w:rFonts w:ascii="Arial" w:cs="Arial" w:eastAsia="Arial" w:hAnsi="Arial"/>
                <w:sz w:val="11"/>
                <w:szCs w:val="11"/>
                <w:color w:val="auto"/>
              </w:rPr>
              <w:t>2022</w:t>
            </w: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jc w:val="right"/>
              <w:ind w:right="3"/>
              <w:spacing w:after="0" w:line="123" w:lineRule="exact"/>
              <w:rPr>
                <w:sz w:val="20"/>
                <w:szCs w:val="20"/>
                <w:color w:val="auto"/>
              </w:rPr>
            </w:pPr>
            <w:r>
              <w:rPr>
                <w:rFonts w:ascii="Arial" w:cs="Arial" w:eastAsia="Arial" w:hAnsi="Arial"/>
                <w:sz w:val="11"/>
                <w:szCs w:val="11"/>
                <w:color w:val="auto"/>
              </w:rPr>
              <w:t>26,287,185</w:t>
            </w:r>
          </w:p>
        </w:tc>
        <w:tc>
          <w:tcPr>
            <w:tcW w:w="220" w:type="dxa"/>
            <w:vAlign w:val="bottom"/>
          </w:tcPr>
          <w:p>
            <w:pPr>
              <w:spacing w:after="0"/>
              <w:rPr>
                <w:sz w:val="10"/>
                <w:szCs w:val="10"/>
                <w:color w:val="auto"/>
              </w:rPr>
            </w:pPr>
          </w:p>
        </w:tc>
        <w:tc>
          <w:tcPr>
            <w:tcW w:w="740" w:type="dxa"/>
            <w:vAlign w:val="bottom"/>
          </w:tcPr>
          <w:p>
            <w:pPr>
              <w:jc w:val="right"/>
              <w:ind w:right="43"/>
              <w:spacing w:after="0" w:line="123" w:lineRule="exact"/>
              <w:rPr>
                <w:sz w:val="20"/>
                <w:szCs w:val="20"/>
                <w:color w:val="auto"/>
              </w:rPr>
            </w:pPr>
            <w:r>
              <w:rPr>
                <w:rFonts w:ascii="Arial" w:cs="Arial" w:eastAsia="Arial" w:hAnsi="Arial"/>
                <w:sz w:val="11"/>
                <w:szCs w:val="11"/>
                <w:color w:val="auto"/>
              </w:rPr>
              <w:t>67,395,343</w:t>
            </w:r>
          </w:p>
        </w:tc>
        <w:tc>
          <w:tcPr>
            <w:tcW w:w="240" w:type="dxa"/>
            <w:vAlign w:val="bottom"/>
          </w:tcPr>
          <w:p>
            <w:pPr>
              <w:spacing w:after="0"/>
              <w:rPr>
                <w:sz w:val="10"/>
                <w:szCs w:val="10"/>
                <w:color w:val="auto"/>
              </w:rPr>
            </w:pPr>
          </w:p>
        </w:tc>
        <w:tc>
          <w:tcPr>
            <w:tcW w:w="940" w:type="dxa"/>
            <w:vAlign w:val="bottom"/>
          </w:tcPr>
          <w:p>
            <w:pPr>
              <w:jc w:val="right"/>
              <w:ind w:right="23"/>
              <w:spacing w:after="0" w:line="123" w:lineRule="exact"/>
              <w:rPr>
                <w:sz w:val="20"/>
                <w:szCs w:val="20"/>
                <w:color w:val="auto"/>
              </w:rPr>
            </w:pPr>
            <w:r>
              <w:rPr>
                <w:rFonts w:ascii="Arial" w:cs="Arial" w:eastAsia="Arial" w:hAnsi="Arial"/>
                <w:sz w:val="11"/>
                <w:szCs w:val="11"/>
                <w:color w:val="auto"/>
              </w:rPr>
              <w:t>9,125,252</w:t>
            </w:r>
          </w:p>
        </w:tc>
        <w:tc>
          <w:tcPr>
            <w:tcW w:w="98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1"/>
                <w:szCs w:val="11"/>
                <w:color w:val="auto"/>
              </w:rPr>
              <w:t>20,275,581</w:t>
            </w:r>
          </w:p>
        </w:tc>
        <w:tc>
          <w:tcPr>
            <w:tcW w:w="780" w:type="dxa"/>
            <w:vAlign w:val="bottom"/>
          </w:tcPr>
          <w:p>
            <w:pPr>
              <w:jc w:val="right"/>
              <w:ind w:right="3"/>
              <w:spacing w:after="0" w:line="123" w:lineRule="exact"/>
              <w:rPr>
                <w:sz w:val="20"/>
                <w:szCs w:val="20"/>
                <w:color w:val="auto"/>
              </w:rPr>
            </w:pPr>
            <w:r>
              <w:rPr>
                <w:rFonts w:ascii="Arial" w:cs="Arial" w:eastAsia="Arial" w:hAnsi="Arial"/>
                <w:sz w:val="11"/>
                <w:szCs w:val="11"/>
                <w:color w:val="auto"/>
              </w:rPr>
              <w:t>164.23</w:t>
            </w:r>
          </w:p>
        </w:tc>
        <w:tc>
          <w:tcPr>
            <w:tcW w:w="800" w:type="dxa"/>
            <w:vAlign w:val="bottom"/>
            <w:tcBorders>
              <w:right w:val="single" w:sz="8" w:color="auto"/>
            </w:tcBorders>
          </w:tcPr>
          <w:p>
            <w:pPr>
              <w:jc w:val="right"/>
              <w:ind w:right="3"/>
              <w:spacing w:after="0" w:line="123" w:lineRule="exact"/>
              <w:rPr>
                <w:sz w:val="20"/>
                <w:szCs w:val="20"/>
                <w:color w:val="auto"/>
              </w:rPr>
            </w:pPr>
            <w:r>
              <w:rPr>
                <w:rFonts w:ascii="Arial" w:cs="Arial" w:eastAsia="Arial" w:hAnsi="Arial"/>
                <w:sz w:val="11"/>
                <w:szCs w:val="11"/>
                <w:color w:val="auto"/>
              </w:rPr>
              <w:t>133.03</w:t>
            </w:r>
          </w:p>
        </w:tc>
        <w:tc>
          <w:tcPr>
            <w:tcW w:w="100" w:type="dxa"/>
            <w:vAlign w:val="bottom"/>
          </w:tcPr>
          <w:p>
            <w:pPr>
              <w:spacing w:after="0"/>
              <w:rPr>
                <w:sz w:val="10"/>
                <w:szCs w:val="10"/>
                <w:color w:val="auto"/>
              </w:rPr>
            </w:pPr>
          </w:p>
        </w:tc>
        <w:tc>
          <w:tcPr>
            <w:tcW w:w="540" w:type="dxa"/>
            <w:vAlign w:val="bottom"/>
          </w:tcPr>
          <w:p>
            <w:pPr>
              <w:jc w:val="right"/>
              <w:ind w:right="43"/>
              <w:spacing w:after="0" w:line="123" w:lineRule="exact"/>
              <w:rPr>
                <w:sz w:val="20"/>
                <w:szCs w:val="20"/>
                <w:color w:val="auto"/>
              </w:rPr>
            </w:pPr>
            <w:r>
              <w:rPr>
                <w:rFonts w:ascii="Arial" w:cs="Arial" w:eastAsia="Arial" w:hAnsi="Arial"/>
                <w:sz w:val="11"/>
                <w:szCs w:val="11"/>
                <w:color w:val="auto"/>
              </w:rPr>
              <w:t>11,836</w:t>
            </w: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13.77</w:t>
            </w:r>
          </w:p>
        </w:tc>
        <w:tc>
          <w:tcPr>
            <w:tcW w:w="0" w:type="dxa"/>
            <w:vAlign w:val="bottom"/>
          </w:tcPr>
          <w:p>
            <w:pPr>
              <w:spacing w:after="0"/>
              <w:rPr>
                <w:sz w:val="1"/>
                <w:szCs w:val="1"/>
                <w:color w:val="auto"/>
              </w:rPr>
            </w:pPr>
          </w:p>
        </w:tc>
      </w:tr>
      <w:tr>
        <w:trPr>
          <w:trHeight w:val="123"/>
        </w:trPr>
        <w:tc>
          <w:tcPr>
            <w:tcW w:w="360" w:type="dxa"/>
            <w:vAlign w:val="bottom"/>
            <w:shd w:val="clear" w:color="auto" w:fill="D9D9D9"/>
          </w:tcPr>
          <w:p>
            <w:pPr>
              <w:spacing w:after="0" w:line="123" w:lineRule="exact"/>
              <w:rPr>
                <w:sz w:val="20"/>
                <w:szCs w:val="20"/>
                <w:color w:val="auto"/>
              </w:rPr>
            </w:pPr>
            <w:r>
              <w:rPr>
                <w:rFonts w:ascii="Arial" w:cs="Arial" w:eastAsia="Arial" w:hAnsi="Arial"/>
                <w:sz w:val="11"/>
                <w:szCs w:val="11"/>
                <w:color w:val="auto"/>
              </w:rPr>
              <w:t>2021</w:t>
            </w:r>
          </w:p>
        </w:tc>
        <w:tc>
          <w:tcPr>
            <w:tcW w:w="1000" w:type="dxa"/>
            <w:vAlign w:val="bottom"/>
            <w:shd w:val="clear" w:color="auto" w:fill="D9D9D9"/>
          </w:tcPr>
          <w:p>
            <w:pPr>
              <w:spacing w:after="0"/>
              <w:rPr>
                <w:sz w:val="10"/>
                <w:szCs w:val="10"/>
                <w:color w:val="auto"/>
              </w:rPr>
            </w:pPr>
          </w:p>
        </w:tc>
        <w:tc>
          <w:tcPr>
            <w:tcW w:w="940" w:type="dxa"/>
            <w:vAlign w:val="bottom"/>
            <w:shd w:val="clear" w:color="auto" w:fill="D9D9D9"/>
          </w:tcPr>
          <w:p>
            <w:pPr>
              <w:spacing w:after="0"/>
              <w:rPr>
                <w:sz w:val="10"/>
                <w:szCs w:val="10"/>
                <w:color w:val="auto"/>
              </w:rPr>
            </w:pPr>
          </w:p>
        </w:tc>
        <w:tc>
          <w:tcPr>
            <w:tcW w:w="260" w:type="dxa"/>
            <w:vAlign w:val="bottom"/>
            <w:shd w:val="clear" w:color="auto" w:fill="D9D9D9"/>
          </w:tcPr>
          <w:p>
            <w:pPr>
              <w:spacing w:after="0"/>
              <w:rPr>
                <w:sz w:val="10"/>
                <w:szCs w:val="10"/>
                <w:color w:val="auto"/>
              </w:rPr>
            </w:pPr>
          </w:p>
        </w:tc>
        <w:tc>
          <w:tcPr>
            <w:tcW w:w="740" w:type="dxa"/>
            <w:vAlign w:val="bottom"/>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23,912,154</w:t>
            </w:r>
          </w:p>
        </w:tc>
        <w:tc>
          <w:tcPr>
            <w:tcW w:w="220" w:type="dxa"/>
            <w:vAlign w:val="bottom"/>
            <w:shd w:val="clear" w:color="auto" w:fill="D9D9D9"/>
          </w:tcPr>
          <w:p>
            <w:pPr>
              <w:spacing w:after="0"/>
              <w:rPr>
                <w:sz w:val="10"/>
                <w:szCs w:val="10"/>
                <w:color w:val="auto"/>
              </w:rPr>
            </w:pPr>
          </w:p>
        </w:tc>
        <w:tc>
          <w:tcPr>
            <w:tcW w:w="740" w:type="dxa"/>
            <w:vAlign w:val="bottom"/>
            <w:shd w:val="clear" w:color="auto" w:fill="D9D9D9"/>
          </w:tcPr>
          <w:p>
            <w:pPr>
              <w:jc w:val="right"/>
              <w:ind w:right="43"/>
              <w:spacing w:after="0" w:line="123" w:lineRule="exact"/>
              <w:rPr>
                <w:sz w:val="20"/>
                <w:szCs w:val="20"/>
                <w:color w:val="auto"/>
              </w:rPr>
            </w:pPr>
            <w:r>
              <w:rPr>
                <w:rFonts w:ascii="Arial" w:cs="Arial" w:eastAsia="Arial" w:hAnsi="Arial"/>
                <w:sz w:val="11"/>
                <w:szCs w:val="11"/>
                <w:color w:val="auto"/>
              </w:rPr>
              <w:t>66,387,875</w:t>
            </w:r>
          </w:p>
        </w:tc>
        <w:tc>
          <w:tcPr>
            <w:tcW w:w="240" w:type="dxa"/>
            <w:vAlign w:val="bottom"/>
            <w:shd w:val="clear" w:color="auto" w:fill="D9D9D9"/>
          </w:tcPr>
          <w:p>
            <w:pPr>
              <w:spacing w:after="0"/>
              <w:rPr>
                <w:sz w:val="10"/>
                <w:szCs w:val="10"/>
                <w:color w:val="auto"/>
              </w:rPr>
            </w:pPr>
          </w:p>
        </w:tc>
        <w:tc>
          <w:tcPr>
            <w:tcW w:w="940" w:type="dxa"/>
            <w:vAlign w:val="bottom"/>
            <w:shd w:val="clear" w:color="auto" w:fill="D9D9D9"/>
          </w:tcPr>
          <w:p>
            <w:pPr>
              <w:jc w:val="right"/>
              <w:ind w:right="23"/>
              <w:spacing w:after="0" w:line="123" w:lineRule="exact"/>
              <w:rPr>
                <w:sz w:val="20"/>
                <w:szCs w:val="20"/>
                <w:color w:val="auto"/>
              </w:rPr>
            </w:pPr>
            <w:r>
              <w:rPr>
                <w:rFonts w:ascii="Arial" w:cs="Arial" w:eastAsia="Arial" w:hAnsi="Arial"/>
                <w:sz w:val="11"/>
                <w:szCs w:val="11"/>
                <w:color w:val="auto"/>
              </w:rPr>
              <w:t>11,035,630</w:t>
            </w:r>
          </w:p>
        </w:tc>
        <w:tc>
          <w:tcPr>
            <w:tcW w:w="980" w:type="dxa"/>
            <w:vAlign w:val="bottom"/>
            <w:tcBorders>
              <w:right w:val="single" w:sz="8" w:color="auto"/>
            </w:tcBorders>
            <w:shd w:val="clear" w:color="auto" w:fill="D9D9D9"/>
          </w:tcPr>
          <w:p>
            <w:pPr>
              <w:jc w:val="right"/>
              <w:spacing w:after="0" w:line="123" w:lineRule="exact"/>
              <w:rPr>
                <w:sz w:val="20"/>
                <w:szCs w:val="20"/>
                <w:color w:val="auto"/>
              </w:rPr>
            </w:pPr>
            <w:r>
              <w:rPr>
                <w:rFonts w:ascii="Arial" w:cs="Arial" w:eastAsia="Arial" w:hAnsi="Arial"/>
                <w:sz w:val="11"/>
                <w:szCs w:val="11"/>
                <w:color w:val="auto"/>
              </w:rPr>
              <w:t>24,203,425</w:t>
            </w:r>
          </w:p>
        </w:tc>
        <w:tc>
          <w:tcPr>
            <w:tcW w:w="780" w:type="dxa"/>
            <w:vAlign w:val="bottom"/>
            <w:tcBorders>
              <w:bottom w:val="single" w:sz="8" w:color="auto"/>
            </w:tcBorders>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132.40</w:t>
            </w:r>
          </w:p>
        </w:tc>
        <w:tc>
          <w:tcPr>
            <w:tcW w:w="800" w:type="dxa"/>
            <w:vAlign w:val="bottom"/>
            <w:tcBorders>
              <w:bottom w:val="single" w:sz="8" w:color="auto"/>
              <w:right w:val="single" w:sz="8" w:color="auto"/>
            </w:tcBorders>
            <w:shd w:val="clear" w:color="auto" w:fill="D9D9D9"/>
          </w:tcPr>
          <w:p>
            <w:pPr>
              <w:jc w:val="right"/>
              <w:ind w:right="3"/>
              <w:spacing w:after="0" w:line="123" w:lineRule="exact"/>
              <w:rPr>
                <w:sz w:val="20"/>
                <w:szCs w:val="20"/>
                <w:color w:val="auto"/>
              </w:rPr>
            </w:pPr>
            <w:r>
              <w:rPr>
                <w:rFonts w:ascii="Arial" w:cs="Arial" w:eastAsia="Arial" w:hAnsi="Arial"/>
                <w:sz w:val="11"/>
                <w:szCs w:val="11"/>
                <w:color w:val="auto"/>
              </w:rPr>
              <w:t>123.44</w:t>
            </w:r>
          </w:p>
        </w:tc>
        <w:tc>
          <w:tcPr>
            <w:tcW w:w="100" w:type="dxa"/>
            <w:vAlign w:val="bottom"/>
            <w:shd w:val="clear" w:color="auto" w:fill="D9D9D9"/>
          </w:tcPr>
          <w:p>
            <w:pPr>
              <w:spacing w:after="0"/>
              <w:rPr>
                <w:sz w:val="10"/>
                <w:szCs w:val="10"/>
                <w:color w:val="auto"/>
              </w:rPr>
            </w:pPr>
          </w:p>
        </w:tc>
        <w:tc>
          <w:tcPr>
            <w:tcW w:w="540" w:type="dxa"/>
            <w:vAlign w:val="bottom"/>
            <w:shd w:val="clear" w:color="auto" w:fill="D9D9D9"/>
          </w:tcPr>
          <w:p>
            <w:pPr>
              <w:jc w:val="right"/>
              <w:ind w:right="43"/>
              <w:spacing w:after="0" w:line="123" w:lineRule="exact"/>
              <w:rPr>
                <w:sz w:val="20"/>
                <w:szCs w:val="20"/>
                <w:color w:val="auto"/>
              </w:rPr>
            </w:pPr>
            <w:r>
              <w:rPr>
                <w:rFonts w:ascii="Arial" w:cs="Arial" w:eastAsia="Arial" w:hAnsi="Arial"/>
                <w:sz w:val="11"/>
                <w:szCs w:val="11"/>
                <w:color w:val="auto"/>
              </w:rPr>
              <w:t>11,542</w:t>
            </w:r>
          </w:p>
        </w:tc>
        <w:tc>
          <w:tcPr>
            <w:tcW w:w="620" w:type="dxa"/>
            <w:vAlign w:val="bottom"/>
            <w:shd w:val="clear" w:color="auto" w:fill="D9D9D9"/>
          </w:tcPr>
          <w:p>
            <w:pPr>
              <w:jc w:val="right"/>
              <w:spacing w:after="0" w:line="123" w:lineRule="exact"/>
              <w:rPr>
                <w:sz w:val="20"/>
                <w:szCs w:val="20"/>
                <w:color w:val="auto"/>
              </w:rPr>
            </w:pPr>
            <w:r>
              <w:rPr>
                <w:rFonts w:ascii="Arial" w:cs="Arial" w:eastAsia="Arial" w:hAnsi="Arial"/>
                <w:sz w:val="11"/>
                <w:szCs w:val="11"/>
                <w:color w:val="auto"/>
              </w:rPr>
              <w:t>11.83</w:t>
            </w:r>
          </w:p>
        </w:tc>
        <w:tc>
          <w:tcPr>
            <w:tcW w:w="0" w:type="dxa"/>
            <w:vAlign w:val="bottom"/>
          </w:tcPr>
          <w:p>
            <w:pPr>
              <w:spacing w:after="0"/>
              <w:rPr>
                <w:sz w:val="1"/>
                <w:szCs w:val="1"/>
                <w:color w:val="auto"/>
              </w:rPr>
            </w:pPr>
          </w:p>
        </w:tc>
      </w:tr>
      <w:tr>
        <w:trPr>
          <w:trHeight w:val="91"/>
        </w:trPr>
        <w:tc>
          <w:tcPr>
            <w:tcW w:w="3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589" w:right="60" w:hanging="589"/>
        <w:spacing w:after="0" w:line="262" w:lineRule="auto"/>
        <w:tabs>
          <w:tab w:leader="none" w:pos="589"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dollar amounts reported are the total compensation reported for Mr. Michael (PEO) for fiscal years 2024 and 2025, and Mr. Gonzalez (former PEO, who served as PEO until July 1, 2024) for fiscal years 2021, 2022, 2023 and 2024 in the “Total” column of the Summary Compensation Table.</w:t>
      </w:r>
    </w:p>
    <w:p>
      <w:pPr>
        <w:spacing w:after="0" w:line="136" w:lineRule="exact"/>
        <w:rPr>
          <w:rFonts w:ascii="Arial" w:cs="Arial" w:eastAsia="Arial" w:hAnsi="Arial"/>
          <w:sz w:val="16"/>
          <w:szCs w:val="16"/>
          <w:color w:val="auto"/>
        </w:rPr>
      </w:pPr>
    </w:p>
    <w:p>
      <w:pPr>
        <w:ind w:left="589" w:right="100" w:hanging="589"/>
        <w:spacing w:after="0" w:line="247" w:lineRule="auto"/>
        <w:tabs>
          <w:tab w:leader="none" w:pos="589"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dollar amounts reported represent the “compensation actually paid” to Mr. Michael for fiscal years 2024 and 2025, and to Mr. Gonzalez (former PEO) for fiscal years 2021, 2022 and 2023, and 2024, as computed in accordance with Item 402(v) of Regulation S-K. The dollar amounts do not reflect the actual amount of compensation earned by or paid to Mr. Michael or Mr. Gonzalez during such fiscal years and are based on valuation assumptions required by the SEC, which are unlikely to reflect actual amounts realized at vesting or exercise (as applicable). In accordance with the requirements of Item 402(v) of Regulation S-K, the reported “Total” in the Summary Compensation Table for the applicable year is adjusted to determine the “compensation actually paid” amount as follows:</w:t>
      </w:r>
    </w:p>
    <w:p>
      <w:pPr>
        <w:spacing w:after="0" w:line="151" w:lineRule="exact"/>
        <w:rPr>
          <w:rFonts w:ascii="Arial" w:cs="Arial" w:eastAsia="Arial" w:hAnsi="Arial"/>
          <w:sz w:val="16"/>
          <w:szCs w:val="16"/>
          <w:color w:val="auto"/>
        </w:rPr>
      </w:pPr>
    </w:p>
    <w:p>
      <w:pPr>
        <w:ind w:left="1209" w:right="20" w:hanging="594"/>
        <w:spacing w:after="0" w:line="251" w:lineRule="auto"/>
        <w:tabs>
          <w:tab w:leader="none" w:pos="1209"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amount reflected in the “Stock Award” and “Option Award” columns of the Summary Compensation Table with respect to Mr. Michael and Mr. Gonzalez has been deducted from the Summary Compensation Table Total and substituted with an equity award value for each year calculated by adding or subtracting, as applicable, the following: (i) the year-end fair value of any equity awards granted in the applicable fiscal year that are outstanding and unvested as of the</w:t>
      </w:r>
    </w:p>
    <w:p>
      <w:pPr>
        <w:spacing w:after="0" w:line="349"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62</w:t>
      </w:r>
      <w:r>
        <w:rPr>
          <w:sz w:val="20"/>
          <w:szCs w:val="20"/>
          <w:color w:val="auto"/>
        </w:rPr>
        <w:tab/>
      </w:r>
      <w:r>
        <w:rPr>
          <w:sz w:val="1"/>
          <w:szCs w:val="1"/>
          <w:color w:val="auto"/>
        </w:rPr>
        <w:drawing>
          <wp:inline distT="0" distB="0" distL="0" distR="0">
            <wp:extent cx="797560" cy="14859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1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65" w:name="page66"/>
    <w:bookmarkEnd w:id="65"/>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6969"/>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1209" w:right="140"/>
        <w:spacing w:after="0" w:line="244" w:lineRule="auto"/>
        <w:rPr>
          <w:sz w:val="20"/>
          <w:szCs w:val="20"/>
          <w:color w:val="auto"/>
        </w:rPr>
      </w:pPr>
      <w:r>
        <w:rPr>
          <w:rFonts w:ascii="Arial" w:cs="Arial" w:eastAsia="Arial" w:hAnsi="Arial"/>
          <w:sz w:val="16"/>
          <w:szCs w:val="16"/>
          <w:color w:val="auto"/>
        </w:rPr>
        <w:t>end of such year, accounting for any banking of the award resulting from adjusted diluted EPS performance (as reflected in footnote (2) to the Outstanding Equity Awards at Fiscal Year End Table); (ii) the change in fair value from the end of the prior fiscal year of any awards granted in prior fiscal years that are outstanding and unvested as of the end of the applicable fiscal year, accounting for any adjustment based on relative TSR performance on awards for which the performance period ends as of this date (as reflected in footnote (2) to the Outstanding Equity Awards at Fiscal Year End Table); (iii) for awards granted in prior fiscal years that vested in the applicable fiscal year, the amount equal to the change in value as of the vesting date (from the end of the prior fiscal year); and (iv) the dollar value of dividends accrued on equity awards in the applicable year prior to the vesting date (excluding option awards, which do not carry dividend equivalent rights) that are not otherwise reflected in the fair value of such award or included in any other component of total compensation for the applicable fiscal year. The valuation assumptions used to calculate fair values on equity awards other than options are the same as those disclosed at the time of grant. Stock option awards are valued using a Black-Scholes model at the time of grant (as disclosed in footnote (2) to the Summary Compensation Table) with subsequent fair value calculations performed using a Lattice model.</w:t>
      </w:r>
    </w:p>
    <w:p>
      <w:pPr>
        <w:spacing w:after="0" w:line="52" w:lineRule="exact"/>
        <w:rPr>
          <w:sz w:val="20"/>
          <w:szCs w:val="20"/>
          <w:color w:val="auto"/>
        </w:rPr>
      </w:pPr>
    </w:p>
    <w:p>
      <w:pPr>
        <w:jc w:val="both"/>
        <w:ind w:left="1189" w:right="360"/>
        <w:spacing w:after="0" w:line="262" w:lineRule="auto"/>
        <w:rPr>
          <w:sz w:val="20"/>
          <w:szCs w:val="20"/>
          <w:color w:val="auto"/>
        </w:rPr>
      </w:pPr>
      <w:r>
        <w:rPr>
          <w:rFonts w:ascii="Arial" w:cs="Arial" w:eastAsia="Arial" w:hAnsi="Arial"/>
          <w:sz w:val="16"/>
          <w:szCs w:val="16"/>
          <w:color w:val="auto"/>
        </w:rPr>
        <w:t>The amounts in the following table represent each of the amounts deducted and added to the equity award values for Mr. Michael for the 2025 fiscal year for purposes of computing the “compensation actually paid” amount appearing in column (b) of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10795</wp:posOffset>
            </wp:positionV>
            <wp:extent cx="276733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67330" cy="7620"/>
                    </a:xfrm>
                    <a:prstGeom prst="rect">
                      <a:avLst/>
                    </a:prstGeom>
                    <a:noFill/>
                  </pic:spPr>
                </pic:pic>
              </a:graphicData>
            </a:graphic>
          </wp:anchor>
        </w:drawing>
      </w:r>
    </w:p>
    <w:p>
      <w:pPr>
        <w:spacing w:after="0" w:line="112" w:lineRule="exact"/>
        <w:rPr>
          <w:sz w:val="20"/>
          <w:szCs w:val="20"/>
          <w:color w:val="auto"/>
        </w:rPr>
      </w:pPr>
    </w:p>
    <w:tbl>
      <w:tblPr>
        <w:tblLayout w:type="fixed"/>
        <w:tblInd w:w="589" w:type="dxa"/>
        <w:tblCellMar>
          <w:top w:w="0" w:type="dxa"/>
          <w:left w:w="0" w:type="dxa"/>
          <w:bottom w:w="0" w:type="dxa"/>
          <w:right w:w="0" w:type="dxa"/>
        </w:tblCellMar>
      </w:tblPr>
      <w:tr>
        <w:trPr>
          <w:trHeight w:val="126"/>
        </w:trPr>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Total Equity</w:t>
            </w:r>
          </w:p>
        </w:tc>
        <w:tc>
          <w:tcPr>
            <w:tcW w:w="180" w:type="dxa"/>
            <w:vAlign w:val="bottom"/>
          </w:tcPr>
          <w:p>
            <w:pPr>
              <w:spacing w:after="0"/>
              <w:rPr>
                <w:sz w:val="10"/>
                <w:szCs w:val="10"/>
                <w:color w:val="auto"/>
              </w:rPr>
            </w:pPr>
          </w:p>
        </w:tc>
        <w:tc>
          <w:tcPr>
            <w:tcW w:w="920" w:type="dxa"/>
            <w:vAlign w:val="bottom"/>
          </w:tcPr>
          <w:p>
            <w:pPr>
              <w:jc w:val="right"/>
              <w:ind w:right="43"/>
              <w:spacing w:after="0"/>
              <w:rPr>
                <w:sz w:val="20"/>
                <w:szCs w:val="20"/>
                <w:color w:val="auto"/>
              </w:rPr>
            </w:pPr>
            <w:r>
              <w:rPr>
                <w:rFonts w:ascii="Arial" w:cs="Arial" w:eastAsia="Arial" w:hAnsi="Arial"/>
                <w:sz w:val="11"/>
                <w:szCs w:val="11"/>
                <w:b w:val="1"/>
                <w:bCs w:val="1"/>
                <w:color w:val="auto"/>
              </w:rPr>
              <w:t>Grant Date</w:t>
            </w:r>
          </w:p>
        </w:tc>
        <w:tc>
          <w:tcPr>
            <w:tcW w:w="120" w:type="dxa"/>
            <w:vAlign w:val="bottom"/>
          </w:tcPr>
          <w:p>
            <w:pPr>
              <w:spacing w:after="0"/>
              <w:rPr>
                <w:sz w:val="10"/>
                <w:szCs w:val="10"/>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b w:val="1"/>
                <w:bCs w:val="1"/>
                <w:color w:val="auto"/>
              </w:rPr>
              <w:t>Year-end</w:t>
            </w:r>
          </w:p>
        </w:tc>
        <w:tc>
          <w:tcPr>
            <w:tcW w:w="1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Change in</w:t>
            </w:r>
          </w:p>
        </w:tc>
        <w:tc>
          <w:tcPr>
            <w:tcW w:w="120" w:type="dxa"/>
            <w:vAlign w:val="bottom"/>
          </w:tcPr>
          <w:p>
            <w:pPr>
              <w:spacing w:after="0"/>
              <w:rPr>
                <w:sz w:val="10"/>
                <w:szCs w:val="10"/>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b w:val="1"/>
                <w:bCs w:val="1"/>
                <w:color w:val="auto"/>
              </w:rPr>
              <w:t>Change in</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Fair Value of</w:t>
            </w:r>
          </w:p>
        </w:tc>
        <w:tc>
          <w:tcPr>
            <w:tcW w:w="120" w:type="dxa"/>
            <w:vAlign w:val="bottom"/>
          </w:tcPr>
          <w:p>
            <w:pPr>
              <w:spacing w:after="0"/>
              <w:rPr>
                <w:sz w:val="10"/>
                <w:szCs w:val="10"/>
                <w:color w:val="auto"/>
              </w:rPr>
            </w:pPr>
          </w:p>
        </w:tc>
        <w:tc>
          <w:tcPr>
            <w:tcW w:w="88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auto"/>
              </w:rPr>
              <w:t>Fair Value of</w:t>
            </w:r>
          </w:p>
        </w:tc>
        <w:tc>
          <w:tcPr>
            <w:tcW w:w="140" w:type="dxa"/>
            <w:vAlign w:val="bottom"/>
          </w:tcPr>
          <w:p>
            <w:pPr>
              <w:spacing w:after="0"/>
              <w:rPr>
                <w:sz w:val="10"/>
                <w:szCs w:val="10"/>
                <w:color w:val="auto"/>
              </w:rPr>
            </w:pPr>
          </w:p>
        </w:tc>
        <w:tc>
          <w:tcPr>
            <w:tcW w:w="102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Fair Value as of</w:t>
            </w:r>
          </w:p>
        </w:tc>
        <w:tc>
          <w:tcPr>
            <w:tcW w:w="120" w:type="dxa"/>
            <w:vAlign w:val="bottom"/>
          </w:tcPr>
          <w:p>
            <w:pPr>
              <w:spacing w:after="0"/>
              <w:rPr>
                <w:sz w:val="10"/>
                <w:szCs w:val="10"/>
                <w:color w:val="auto"/>
              </w:rPr>
            </w:pPr>
          </w:p>
        </w:tc>
        <w:tc>
          <w:tcPr>
            <w:tcW w:w="102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auto"/>
              </w:rPr>
              <w:t>Fair Value as of</w:t>
            </w: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Value</w:t>
            </w:r>
          </w:p>
        </w:tc>
        <w:tc>
          <w:tcPr>
            <w:tcW w:w="180" w:type="dxa"/>
            <w:vAlign w:val="bottom"/>
          </w:tcPr>
          <w:p>
            <w:pPr>
              <w:spacing w:after="0"/>
              <w:rPr>
                <w:sz w:val="10"/>
                <w:szCs w:val="10"/>
                <w:color w:val="auto"/>
              </w:rPr>
            </w:pPr>
          </w:p>
        </w:tc>
        <w:tc>
          <w:tcPr>
            <w:tcW w:w="92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Equity Awards</w:t>
            </w:r>
          </w:p>
        </w:tc>
        <w:tc>
          <w:tcPr>
            <w:tcW w:w="120" w:type="dxa"/>
            <w:vAlign w:val="bottom"/>
          </w:tcPr>
          <w:p>
            <w:pPr>
              <w:spacing w:after="0"/>
              <w:rPr>
                <w:sz w:val="10"/>
                <w:szCs w:val="10"/>
                <w:color w:val="auto"/>
              </w:rPr>
            </w:pPr>
          </w:p>
        </w:tc>
        <w:tc>
          <w:tcPr>
            <w:tcW w:w="88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auto"/>
              </w:rPr>
              <w:t>Equity Awards</w:t>
            </w:r>
          </w:p>
        </w:tc>
        <w:tc>
          <w:tcPr>
            <w:tcW w:w="140" w:type="dxa"/>
            <w:vAlign w:val="bottom"/>
          </w:tcPr>
          <w:p>
            <w:pPr>
              <w:spacing w:after="0"/>
              <w:rPr>
                <w:sz w:val="10"/>
                <w:szCs w:val="10"/>
                <w:color w:val="auto"/>
              </w:rPr>
            </w:pPr>
          </w:p>
        </w:tc>
        <w:tc>
          <w:tcPr>
            <w:tcW w:w="102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Year-End of Any</w:t>
            </w:r>
          </w:p>
        </w:tc>
        <w:tc>
          <w:tcPr>
            <w:tcW w:w="120" w:type="dxa"/>
            <w:vAlign w:val="bottom"/>
          </w:tcPr>
          <w:p>
            <w:pPr>
              <w:spacing w:after="0"/>
              <w:rPr>
                <w:sz w:val="10"/>
                <w:szCs w:val="10"/>
                <w:color w:val="auto"/>
              </w:rPr>
            </w:pPr>
          </w:p>
        </w:tc>
        <w:tc>
          <w:tcPr>
            <w:tcW w:w="102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auto"/>
              </w:rPr>
              <w:t>the Vesting Date</w:t>
            </w:r>
          </w:p>
        </w:tc>
        <w:tc>
          <w:tcPr>
            <w:tcW w:w="1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Reflected in</w:t>
            </w:r>
          </w:p>
        </w:tc>
        <w:tc>
          <w:tcPr>
            <w:tcW w:w="180" w:type="dxa"/>
            <w:vAlign w:val="bottom"/>
          </w:tcPr>
          <w:p>
            <w:pPr>
              <w:spacing w:after="0"/>
              <w:rPr>
                <w:sz w:val="10"/>
                <w:szCs w:val="10"/>
                <w:color w:val="auto"/>
              </w:rPr>
            </w:pPr>
          </w:p>
        </w:tc>
        <w:tc>
          <w:tcPr>
            <w:tcW w:w="92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Granted</w:t>
            </w:r>
          </w:p>
        </w:tc>
        <w:tc>
          <w:tcPr>
            <w:tcW w:w="120" w:type="dxa"/>
            <w:vAlign w:val="bottom"/>
          </w:tcPr>
          <w:p>
            <w:pPr>
              <w:spacing w:after="0"/>
              <w:rPr>
                <w:sz w:val="10"/>
                <w:szCs w:val="10"/>
                <w:color w:val="auto"/>
              </w:rPr>
            </w:pPr>
          </w:p>
        </w:tc>
        <w:tc>
          <w:tcPr>
            <w:tcW w:w="88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auto"/>
              </w:rPr>
              <w:t>Granted</w:t>
            </w:r>
          </w:p>
        </w:tc>
        <w:tc>
          <w:tcPr>
            <w:tcW w:w="140" w:type="dxa"/>
            <w:vAlign w:val="bottom"/>
          </w:tcPr>
          <w:p>
            <w:pPr>
              <w:spacing w:after="0"/>
              <w:rPr>
                <w:sz w:val="10"/>
                <w:szCs w:val="10"/>
                <w:color w:val="auto"/>
              </w:rPr>
            </w:pPr>
          </w:p>
        </w:tc>
        <w:tc>
          <w:tcPr>
            <w:tcW w:w="102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Prior Year</w:t>
            </w:r>
          </w:p>
        </w:tc>
        <w:tc>
          <w:tcPr>
            <w:tcW w:w="120" w:type="dxa"/>
            <w:vAlign w:val="bottom"/>
          </w:tcPr>
          <w:p>
            <w:pPr>
              <w:spacing w:after="0"/>
              <w:rPr>
                <w:sz w:val="10"/>
                <w:szCs w:val="10"/>
                <w:color w:val="auto"/>
              </w:rPr>
            </w:pPr>
          </w:p>
        </w:tc>
        <w:tc>
          <w:tcPr>
            <w:tcW w:w="102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auto"/>
              </w:rPr>
              <w:t>of Any Prior Year</w:t>
            </w:r>
          </w:p>
        </w:tc>
        <w:tc>
          <w:tcPr>
            <w:tcW w:w="16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Equity Value</w:t>
            </w: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Summary</w:t>
            </w:r>
          </w:p>
        </w:tc>
        <w:tc>
          <w:tcPr>
            <w:tcW w:w="180" w:type="dxa"/>
            <w:vAlign w:val="bottom"/>
          </w:tcPr>
          <w:p>
            <w:pPr>
              <w:spacing w:after="0"/>
              <w:rPr>
                <w:sz w:val="10"/>
                <w:szCs w:val="10"/>
                <w:color w:val="auto"/>
              </w:rPr>
            </w:pPr>
          </w:p>
        </w:tc>
        <w:tc>
          <w:tcPr>
            <w:tcW w:w="92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During</w:t>
            </w:r>
          </w:p>
        </w:tc>
        <w:tc>
          <w:tcPr>
            <w:tcW w:w="120" w:type="dxa"/>
            <w:vAlign w:val="bottom"/>
          </w:tcPr>
          <w:p>
            <w:pPr>
              <w:spacing w:after="0"/>
              <w:rPr>
                <w:sz w:val="10"/>
                <w:szCs w:val="10"/>
                <w:color w:val="auto"/>
              </w:rPr>
            </w:pPr>
          </w:p>
        </w:tc>
        <w:tc>
          <w:tcPr>
            <w:tcW w:w="88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auto"/>
              </w:rPr>
              <w:t>During</w:t>
            </w:r>
          </w:p>
        </w:tc>
        <w:tc>
          <w:tcPr>
            <w:tcW w:w="140" w:type="dxa"/>
            <w:vAlign w:val="bottom"/>
          </w:tcPr>
          <w:p>
            <w:pPr>
              <w:spacing w:after="0"/>
              <w:rPr>
                <w:sz w:val="10"/>
                <w:szCs w:val="10"/>
                <w:color w:val="auto"/>
              </w:rPr>
            </w:pPr>
          </w:p>
        </w:tc>
        <w:tc>
          <w:tcPr>
            <w:tcW w:w="102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Awards that</w:t>
            </w:r>
          </w:p>
        </w:tc>
        <w:tc>
          <w:tcPr>
            <w:tcW w:w="120" w:type="dxa"/>
            <w:vAlign w:val="bottom"/>
          </w:tcPr>
          <w:p>
            <w:pPr>
              <w:spacing w:after="0"/>
              <w:rPr>
                <w:sz w:val="10"/>
                <w:szCs w:val="10"/>
                <w:color w:val="auto"/>
              </w:rPr>
            </w:pPr>
          </w:p>
        </w:tc>
        <w:tc>
          <w:tcPr>
            <w:tcW w:w="102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auto"/>
              </w:rPr>
              <w:t>Awards that</w:t>
            </w:r>
          </w:p>
        </w:tc>
        <w:tc>
          <w:tcPr>
            <w:tcW w:w="16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Reflected in</w:t>
            </w:r>
          </w:p>
        </w:tc>
        <w:tc>
          <w:tcPr>
            <w:tcW w:w="0" w:type="dxa"/>
            <w:vAlign w:val="bottom"/>
          </w:tcPr>
          <w:p>
            <w:pPr>
              <w:spacing w:after="0"/>
              <w:rPr>
                <w:sz w:val="1"/>
                <w:szCs w:val="1"/>
                <w:color w:val="auto"/>
              </w:rPr>
            </w:pPr>
          </w:p>
        </w:tc>
      </w:tr>
      <w:tr>
        <w:trPr>
          <w:trHeight w:val="123"/>
        </w:trPr>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Year</w:t>
            </w:r>
          </w:p>
        </w:tc>
        <w:tc>
          <w:tcPr>
            <w:tcW w:w="13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PEO Name</w:t>
            </w:r>
          </w:p>
        </w:tc>
        <w:tc>
          <w:tcPr>
            <w:tcW w:w="92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Compensation</w:t>
            </w:r>
          </w:p>
        </w:tc>
        <w:tc>
          <w:tcPr>
            <w:tcW w:w="180" w:type="dxa"/>
            <w:vAlign w:val="bottom"/>
          </w:tcPr>
          <w:p>
            <w:pPr>
              <w:spacing w:after="0"/>
              <w:rPr>
                <w:sz w:val="10"/>
                <w:szCs w:val="10"/>
                <w:color w:val="auto"/>
              </w:rPr>
            </w:pPr>
          </w:p>
        </w:tc>
        <w:tc>
          <w:tcPr>
            <w:tcW w:w="92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Applicable</w:t>
            </w:r>
          </w:p>
        </w:tc>
        <w:tc>
          <w:tcPr>
            <w:tcW w:w="120" w:type="dxa"/>
            <w:vAlign w:val="bottom"/>
          </w:tcPr>
          <w:p>
            <w:pPr>
              <w:spacing w:after="0"/>
              <w:rPr>
                <w:sz w:val="10"/>
                <w:szCs w:val="10"/>
                <w:color w:val="auto"/>
              </w:rPr>
            </w:pPr>
          </w:p>
        </w:tc>
        <w:tc>
          <w:tcPr>
            <w:tcW w:w="88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auto"/>
              </w:rPr>
              <w:t>Applicable</w:t>
            </w:r>
          </w:p>
        </w:tc>
        <w:tc>
          <w:tcPr>
            <w:tcW w:w="140" w:type="dxa"/>
            <w:vAlign w:val="bottom"/>
          </w:tcPr>
          <w:p>
            <w:pPr>
              <w:spacing w:after="0"/>
              <w:rPr>
                <w:sz w:val="10"/>
                <w:szCs w:val="10"/>
                <w:color w:val="auto"/>
              </w:rPr>
            </w:pPr>
          </w:p>
        </w:tc>
        <w:tc>
          <w:tcPr>
            <w:tcW w:w="102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Remain Unvested</w:t>
            </w:r>
          </w:p>
        </w:tc>
        <w:tc>
          <w:tcPr>
            <w:tcW w:w="120" w:type="dxa"/>
            <w:vAlign w:val="bottom"/>
          </w:tcPr>
          <w:p>
            <w:pPr>
              <w:spacing w:after="0"/>
              <w:rPr>
                <w:sz w:val="10"/>
                <w:szCs w:val="10"/>
                <w:color w:val="auto"/>
              </w:rPr>
            </w:pPr>
          </w:p>
        </w:tc>
        <w:tc>
          <w:tcPr>
            <w:tcW w:w="102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auto"/>
              </w:rPr>
              <w:t>Vested During</w:t>
            </w:r>
          </w:p>
        </w:tc>
        <w:tc>
          <w:tcPr>
            <w:tcW w:w="16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Compensation</w:t>
            </w:r>
          </w:p>
        </w:tc>
        <w:tc>
          <w:tcPr>
            <w:tcW w:w="0" w:type="dxa"/>
            <w:vAlign w:val="bottom"/>
          </w:tcPr>
          <w:p>
            <w:pPr>
              <w:spacing w:after="0"/>
              <w:rPr>
                <w:sz w:val="1"/>
                <w:szCs w:val="1"/>
                <w:color w:val="auto"/>
              </w:rPr>
            </w:pPr>
          </w:p>
        </w:tc>
      </w:tr>
      <w:tr>
        <w:trPr>
          <w:trHeight w:val="141"/>
        </w:trPr>
        <w:tc>
          <w:tcPr>
            <w:tcW w:w="40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Table</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Year</w:t>
            </w: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Year</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as of Year-End</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Applicable Year</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Actually Paid</w:t>
            </w:r>
          </w:p>
        </w:tc>
        <w:tc>
          <w:tcPr>
            <w:tcW w:w="0" w:type="dxa"/>
            <w:vAlign w:val="bottom"/>
          </w:tcPr>
          <w:p>
            <w:pPr>
              <w:spacing w:after="0"/>
              <w:rPr>
                <w:sz w:val="1"/>
                <w:szCs w:val="1"/>
                <w:color w:val="auto"/>
              </w:rPr>
            </w:pPr>
          </w:p>
        </w:tc>
      </w:tr>
      <w:tr>
        <w:trPr>
          <w:trHeight w:val="115"/>
        </w:trPr>
        <w:tc>
          <w:tcPr>
            <w:tcW w:w="400" w:type="dxa"/>
            <w:vAlign w:val="bottom"/>
            <w:shd w:val="clear" w:color="auto" w:fill="D9D9D9"/>
          </w:tcPr>
          <w:p>
            <w:pPr>
              <w:spacing w:after="0" w:line="115" w:lineRule="exact"/>
              <w:rPr>
                <w:sz w:val="20"/>
                <w:szCs w:val="20"/>
                <w:color w:val="auto"/>
              </w:rPr>
            </w:pPr>
            <w:r>
              <w:rPr>
                <w:rFonts w:ascii="Arial" w:cs="Arial" w:eastAsia="Arial" w:hAnsi="Arial"/>
                <w:sz w:val="11"/>
                <w:szCs w:val="11"/>
                <w:color w:val="auto"/>
              </w:rPr>
              <w:t>2025</w:t>
            </w:r>
          </w:p>
        </w:tc>
        <w:tc>
          <w:tcPr>
            <w:tcW w:w="1380" w:type="dxa"/>
            <w:vAlign w:val="bottom"/>
            <w:shd w:val="clear" w:color="auto" w:fill="D9D9D9"/>
          </w:tcPr>
          <w:p>
            <w:pPr>
              <w:ind w:left="140"/>
              <w:spacing w:after="0" w:line="115" w:lineRule="exact"/>
              <w:rPr>
                <w:sz w:val="20"/>
                <w:szCs w:val="20"/>
                <w:color w:val="auto"/>
              </w:rPr>
            </w:pPr>
            <w:r>
              <w:rPr>
                <w:rFonts w:ascii="Arial" w:cs="Arial" w:eastAsia="Arial" w:hAnsi="Arial"/>
                <w:sz w:val="11"/>
                <w:szCs w:val="11"/>
                <w:color w:val="auto"/>
              </w:rPr>
              <w:t>Robert A. Michael   $</w:t>
            </w:r>
          </w:p>
        </w:tc>
        <w:tc>
          <w:tcPr>
            <w:tcW w:w="920" w:type="dxa"/>
            <w:vAlign w:val="bottom"/>
            <w:shd w:val="clear" w:color="auto" w:fill="D9D9D9"/>
          </w:tcPr>
          <w:p>
            <w:pPr>
              <w:jc w:val="right"/>
              <w:ind w:right="23"/>
              <w:spacing w:after="0" w:line="115" w:lineRule="exact"/>
              <w:rPr>
                <w:sz w:val="20"/>
                <w:szCs w:val="20"/>
                <w:color w:val="auto"/>
              </w:rPr>
            </w:pPr>
            <w:r>
              <w:rPr>
                <w:rFonts w:ascii="Arial" w:cs="Arial" w:eastAsia="Arial" w:hAnsi="Arial"/>
                <w:sz w:val="11"/>
                <w:szCs w:val="11"/>
                <w:color w:val="auto"/>
              </w:rPr>
              <w:t>16,467,610</w:t>
            </w:r>
          </w:p>
        </w:tc>
        <w:tc>
          <w:tcPr>
            <w:tcW w:w="18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(16,467,610)</w:t>
            </w:r>
          </w:p>
        </w:tc>
        <w:tc>
          <w:tcPr>
            <w:tcW w:w="12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88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33,774,613</w:t>
            </w:r>
          </w:p>
        </w:tc>
        <w:tc>
          <w:tcPr>
            <w:tcW w:w="14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102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12,801,133</w:t>
            </w:r>
          </w:p>
        </w:tc>
        <w:tc>
          <w:tcPr>
            <w:tcW w:w="12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102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2,315,453</w:t>
            </w:r>
          </w:p>
        </w:tc>
        <w:tc>
          <w:tcPr>
            <w:tcW w:w="16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84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48,891,199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209" w:right="20" w:hanging="594"/>
        <w:spacing w:after="0" w:line="249" w:lineRule="auto"/>
        <w:tabs>
          <w:tab w:leader="none" w:pos="1209"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pension benefit value reported in the “Change in Pension Value and Non-qualified Deferred Compensation Earnings” column of the Summary Compensation Table for the 2025 fiscal year is adjusted to account for the aggregate of two components: (i) the actuarially determined service cost for services rendered by Mr. Michael during 2025 (the “service cost”); and (ii) the entire cost of benefits granted in a plan amendment during 2025 that are attributed by the benefit formula to services rendered in periods prior to the plan amendment (the “prior service cost”), in each case, calculated in accordance with U.S. GAAP.</w:t>
      </w:r>
    </w:p>
    <w:p>
      <w:pPr>
        <w:spacing w:after="0" w:line="49" w:lineRule="exact"/>
        <w:rPr>
          <w:sz w:val="20"/>
          <w:szCs w:val="20"/>
          <w:color w:val="auto"/>
        </w:rPr>
      </w:pPr>
    </w:p>
    <w:p>
      <w:pPr>
        <w:ind w:left="1189" w:right="300"/>
        <w:spacing w:after="0" w:line="262" w:lineRule="auto"/>
        <w:rPr>
          <w:sz w:val="20"/>
          <w:szCs w:val="20"/>
          <w:color w:val="auto"/>
        </w:rPr>
      </w:pPr>
      <w:r>
        <w:rPr>
          <w:rFonts w:ascii="Arial" w:cs="Arial" w:eastAsia="Arial" w:hAnsi="Arial"/>
          <w:sz w:val="16"/>
          <w:szCs w:val="16"/>
          <w:color w:val="auto"/>
        </w:rPr>
        <w:t>The amounts in the following table represent each of the amounts deducted and added to the change in pension value for Mr. Michael for the 2025 fiscal year for purposes of computing the “compensation actually paid” amount appearing in column (b) of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10795</wp:posOffset>
            </wp:positionV>
            <wp:extent cx="239204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392045" cy="7620"/>
                    </a:xfrm>
                    <a:prstGeom prst="rect">
                      <a:avLst/>
                    </a:prstGeom>
                    <a:noFill/>
                  </pic:spPr>
                </pic:pic>
              </a:graphicData>
            </a:graphic>
          </wp:anchor>
        </w:drawing>
      </w:r>
    </w:p>
    <w:p>
      <w:pPr>
        <w:spacing w:after="0" w:line="112" w:lineRule="exact"/>
        <w:rPr>
          <w:sz w:val="20"/>
          <w:szCs w:val="20"/>
          <w:color w:val="auto"/>
        </w:rPr>
      </w:pPr>
    </w:p>
    <w:tbl>
      <w:tblPr>
        <w:tblLayout w:type="fixed"/>
        <w:tblInd w:w="589" w:type="dxa"/>
        <w:tblCellMar>
          <w:top w:w="0" w:type="dxa"/>
          <w:left w:w="0" w:type="dxa"/>
          <w:bottom w:w="0" w:type="dxa"/>
          <w:right w:w="0" w:type="dxa"/>
        </w:tblCellMar>
      </w:tblPr>
      <w:tr>
        <w:trPr>
          <w:trHeight w:val="126"/>
        </w:trPr>
        <w:tc>
          <w:tcPr>
            <w:tcW w:w="5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b w:val="1"/>
                <w:bCs w:val="1"/>
                <w:color w:val="auto"/>
              </w:rPr>
              <w:t>Total Change</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restart"/>
          </w:tcPr>
          <w:p>
            <w:pPr>
              <w:jc w:val="right"/>
              <w:ind w:right="63"/>
              <w:spacing w:after="0"/>
              <w:rPr>
                <w:sz w:val="20"/>
                <w:szCs w:val="20"/>
                <w:color w:val="auto"/>
              </w:rPr>
            </w:pPr>
            <w:r>
              <w:rPr>
                <w:rFonts w:ascii="Arial" w:cs="Arial" w:eastAsia="Arial" w:hAnsi="Arial"/>
                <w:sz w:val="11"/>
                <w:szCs w:val="11"/>
                <w:b w:val="1"/>
                <w:bCs w:val="1"/>
                <w:color w:val="auto"/>
              </w:rPr>
              <w:t>Prior</w:t>
            </w:r>
          </w:p>
        </w:tc>
        <w:tc>
          <w:tcPr>
            <w:tcW w:w="2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Total Change in</w:t>
            </w:r>
          </w:p>
        </w:tc>
        <w:tc>
          <w:tcPr>
            <w:tcW w:w="0" w:type="dxa"/>
            <w:vAlign w:val="bottom"/>
          </w:tcPr>
          <w:p>
            <w:pPr>
              <w:spacing w:after="0"/>
              <w:rPr>
                <w:sz w:val="1"/>
                <w:szCs w:val="1"/>
                <w:color w:val="auto"/>
              </w:rPr>
            </w:pPr>
          </w:p>
        </w:tc>
      </w:tr>
      <w:tr>
        <w:trPr>
          <w:trHeight w:val="123"/>
        </w:trPr>
        <w:tc>
          <w:tcPr>
            <w:tcW w:w="5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jc w:val="right"/>
              <w:ind w:right="63"/>
              <w:spacing w:after="0" w:line="123" w:lineRule="exact"/>
              <w:rPr>
                <w:sz w:val="20"/>
                <w:szCs w:val="20"/>
                <w:color w:val="auto"/>
              </w:rPr>
            </w:pPr>
            <w:r>
              <w:rPr>
                <w:rFonts w:ascii="Arial" w:cs="Arial" w:eastAsia="Arial" w:hAnsi="Arial"/>
                <w:sz w:val="11"/>
                <w:szCs w:val="11"/>
                <w:b w:val="1"/>
                <w:bCs w:val="1"/>
                <w:color w:val="auto"/>
              </w:rPr>
              <w:t>in Pension</w:t>
            </w:r>
          </w:p>
        </w:tc>
        <w:tc>
          <w:tcPr>
            <w:tcW w:w="220" w:type="dxa"/>
            <w:vAlign w:val="bottom"/>
          </w:tcPr>
          <w:p>
            <w:pPr>
              <w:spacing w:after="0"/>
              <w:rPr>
                <w:sz w:val="10"/>
                <w:szCs w:val="10"/>
                <w:color w:val="auto"/>
              </w:rPr>
            </w:pPr>
          </w:p>
        </w:tc>
        <w:tc>
          <w:tcPr>
            <w:tcW w:w="1040" w:type="dxa"/>
            <w:vAlign w:val="bottom"/>
            <w:vMerge w:val="restart"/>
          </w:tcPr>
          <w:p>
            <w:pPr>
              <w:jc w:val="right"/>
              <w:ind w:right="83"/>
              <w:spacing w:after="0"/>
              <w:rPr>
                <w:sz w:val="20"/>
                <w:szCs w:val="20"/>
                <w:color w:val="auto"/>
              </w:rPr>
            </w:pPr>
            <w:r>
              <w:rPr>
                <w:rFonts w:ascii="Arial" w:cs="Arial" w:eastAsia="Arial" w:hAnsi="Arial"/>
                <w:sz w:val="11"/>
                <w:szCs w:val="11"/>
                <w:b w:val="1"/>
                <w:bCs w:val="1"/>
                <w:color w:val="auto"/>
              </w:rPr>
              <w:t>Change in</w:t>
            </w:r>
          </w:p>
        </w:tc>
        <w:tc>
          <w:tcPr>
            <w:tcW w:w="200" w:type="dxa"/>
            <w:vAlign w:val="bottom"/>
          </w:tcPr>
          <w:p>
            <w:pPr>
              <w:spacing w:after="0"/>
              <w:rPr>
                <w:sz w:val="10"/>
                <w:szCs w:val="10"/>
                <w:color w:val="auto"/>
              </w:rPr>
            </w:pPr>
          </w:p>
        </w:tc>
        <w:tc>
          <w:tcPr>
            <w:tcW w:w="102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rPr>
              <w:t>Service Costs</w:t>
            </w:r>
          </w:p>
        </w:tc>
        <w:tc>
          <w:tcPr>
            <w:tcW w:w="2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jc w:val="right"/>
              <w:ind w:right="63"/>
              <w:spacing w:after="0" w:line="123" w:lineRule="exact"/>
              <w:rPr>
                <w:sz w:val="20"/>
                <w:szCs w:val="20"/>
                <w:color w:val="auto"/>
              </w:rPr>
            </w:pPr>
            <w:r>
              <w:rPr>
                <w:rFonts w:ascii="Arial" w:cs="Arial" w:eastAsia="Arial" w:hAnsi="Arial"/>
                <w:sz w:val="11"/>
                <w:szCs w:val="11"/>
                <w:b w:val="1"/>
                <w:bCs w:val="1"/>
                <w:color w:val="auto"/>
              </w:rPr>
              <w:t>Value Reflected</w:t>
            </w:r>
          </w:p>
        </w:tc>
        <w:tc>
          <w:tcPr>
            <w:tcW w:w="2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right"/>
              <w:ind w:right="63"/>
              <w:spacing w:after="0" w:line="123" w:lineRule="exact"/>
              <w:rPr>
                <w:sz w:val="20"/>
                <w:szCs w:val="20"/>
                <w:color w:val="auto"/>
              </w:rPr>
            </w:pPr>
            <w:r>
              <w:rPr>
                <w:rFonts w:ascii="Arial" w:cs="Arial" w:eastAsia="Arial" w:hAnsi="Arial"/>
                <w:sz w:val="11"/>
                <w:szCs w:val="11"/>
                <w:b w:val="1"/>
                <w:bCs w:val="1"/>
                <w:color w:val="auto"/>
              </w:rPr>
              <w:t>Service Costs</w:t>
            </w:r>
          </w:p>
        </w:tc>
        <w:tc>
          <w:tcPr>
            <w:tcW w:w="240" w:type="dxa"/>
            <w:vAlign w:val="bottom"/>
          </w:tcPr>
          <w:p>
            <w:pPr>
              <w:spacing w:after="0"/>
              <w:rPr>
                <w:sz w:val="10"/>
                <w:szCs w:val="10"/>
                <w:color w:val="auto"/>
              </w:rPr>
            </w:pPr>
          </w:p>
        </w:tc>
        <w:tc>
          <w:tcPr>
            <w:tcW w:w="96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Pension Value</w:t>
            </w:r>
          </w:p>
        </w:tc>
        <w:tc>
          <w:tcPr>
            <w:tcW w:w="0" w:type="dxa"/>
            <w:vAlign w:val="bottom"/>
          </w:tcPr>
          <w:p>
            <w:pPr>
              <w:spacing w:after="0"/>
              <w:rPr>
                <w:sz w:val="1"/>
                <w:szCs w:val="1"/>
                <w:color w:val="auto"/>
              </w:rPr>
            </w:pPr>
          </w:p>
        </w:tc>
      </w:tr>
      <w:tr>
        <w:trPr>
          <w:trHeight w:val="123"/>
        </w:trPr>
        <w:tc>
          <w:tcPr>
            <w:tcW w:w="5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jc w:val="right"/>
              <w:ind w:right="63"/>
              <w:spacing w:after="0" w:line="123" w:lineRule="exact"/>
              <w:rPr>
                <w:sz w:val="20"/>
                <w:szCs w:val="20"/>
                <w:color w:val="auto"/>
              </w:rPr>
            </w:pPr>
            <w:r>
              <w:rPr>
                <w:rFonts w:ascii="Arial" w:cs="Arial" w:eastAsia="Arial" w:hAnsi="Arial"/>
                <w:sz w:val="11"/>
                <w:szCs w:val="11"/>
                <w:b w:val="1"/>
                <w:bCs w:val="1"/>
                <w:color w:val="auto"/>
              </w:rPr>
              <w:t>in the Summary</w:t>
            </w:r>
          </w:p>
        </w:tc>
        <w:tc>
          <w:tcPr>
            <w:tcW w:w="220" w:type="dxa"/>
            <w:vAlign w:val="bottom"/>
          </w:tcPr>
          <w:p>
            <w:pPr>
              <w:spacing w:after="0"/>
              <w:rPr>
                <w:sz w:val="10"/>
                <w:szCs w:val="10"/>
                <w:color w:val="auto"/>
              </w:rPr>
            </w:pPr>
          </w:p>
        </w:tc>
        <w:tc>
          <w:tcPr>
            <w:tcW w:w="1040" w:type="dxa"/>
            <w:vAlign w:val="bottom"/>
          </w:tcPr>
          <w:p>
            <w:pPr>
              <w:jc w:val="right"/>
              <w:ind w:right="83"/>
              <w:spacing w:after="0" w:line="123" w:lineRule="exact"/>
              <w:rPr>
                <w:sz w:val="20"/>
                <w:szCs w:val="20"/>
                <w:color w:val="auto"/>
              </w:rPr>
            </w:pPr>
            <w:r>
              <w:rPr>
                <w:rFonts w:ascii="Arial" w:cs="Arial" w:eastAsia="Arial" w:hAnsi="Arial"/>
                <w:sz w:val="11"/>
                <w:szCs w:val="11"/>
                <w:b w:val="1"/>
                <w:bCs w:val="1"/>
                <w:color w:val="auto"/>
              </w:rPr>
              <w:t>Pension Value</w:t>
            </w:r>
          </w:p>
        </w:tc>
        <w:tc>
          <w:tcPr>
            <w:tcW w:w="200" w:type="dxa"/>
            <w:vAlign w:val="bottom"/>
          </w:tcPr>
          <w:p>
            <w:pPr>
              <w:spacing w:after="0"/>
              <w:rPr>
                <w:sz w:val="10"/>
                <w:szCs w:val="10"/>
                <w:color w:val="auto"/>
              </w:rPr>
            </w:pPr>
          </w:p>
        </w:tc>
        <w:tc>
          <w:tcPr>
            <w:tcW w:w="102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Attributable</w:t>
            </w:r>
          </w:p>
        </w:tc>
        <w:tc>
          <w:tcPr>
            <w:tcW w:w="240" w:type="dxa"/>
            <w:vAlign w:val="bottom"/>
          </w:tcPr>
          <w:p>
            <w:pPr>
              <w:spacing w:after="0"/>
              <w:rPr>
                <w:sz w:val="10"/>
                <w:szCs w:val="10"/>
                <w:color w:val="auto"/>
              </w:rPr>
            </w:pPr>
          </w:p>
        </w:tc>
        <w:tc>
          <w:tcPr>
            <w:tcW w:w="1020" w:type="dxa"/>
            <w:vAlign w:val="bottom"/>
          </w:tcPr>
          <w:p>
            <w:pPr>
              <w:jc w:val="right"/>
              <w:ind w:right="63"/>
              <w:spacing w:after="0" w:line="123" w:lineRule="exact"/>
              <w:rPr>
                <w:sz w:val="20"/>
                <w:szCs w:val="20"/>
                <w:color w:val="auto"/>
              </w:rPr>
            </w:pPr>
            <w:r>
              <w:rPr>
                <w:rFonts w:ascii="Arial" w:cs="Arial" w:eastAsia="Arial" w:hAnsi="Arial"/>
                <w:sz w:val="11"/>
                <w:szCs w:val="11"/>
                <w:b w:val="1"/>
                <w:bCs w:val="1"/>
                <w:color w:val="auto"/>
              </w:rPr>
              <w:t>Introduced</w:t>
            </w:r>
          </w:p>
        </w:tc>
        <w:tc>
          <w:tcPr>
            <w:tcW w:w="240" w:type="dxa"/>
            <w:vAlign w:val="bottom"/>
          </w:tcPr>
          <w:p>
            <w:pPr>
              <w:spacing w:after="0"/>
              <w:rPr>
                <w:sz w:val="10"/>
                <w:szCs w:val="10"/>
                <w:color w:val="auto"/>
              </w:rPr>
            </w:pPr>
          </w:p>
        </w:tc>
        <w:tc>
          <w:tcPr>
            <w:tcW w:w="96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Reflected in</w:t>
            </w:r>
          </w:p>
        </w:tc>
        <w:tc>
          <w:tcPr>
            <w:tcW w:w="0" w:type="dxa"/>
            <w:vAlign w:val="bottom"/>
          </w:tcPr>
          <w:p>
            <w:pPr>
              <w:spacing w:after="0"/>
              <w:rPr>
                <w:sz w:val="1"/>
                <w:szCs w:val="1"/>
                <w:color w:val="auto"/>
              </w:rPr>
            </w:pPr>
          </w:p>
        </w:tc>
      </w:tr>
      <w:tr>
        <w:trPr>
          <w:trHeight w:val="123"/>
        </w:trPr>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rPr>
              <w:t>Year</w:t>
            </w:r>
          </w:p>
        </w:tc>
        <w:tc>
          <w:tcPr>
            <w:tcW w:w="13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PEO Name</w:t>
            </w:r>
          </w:p>
        </w:tc>
        <w:tc>
          <w:tcPr>
            <w:tcW w:w="220" w:type="dxa"/>
            <w:vAlign w:val="bottom"/>
          </w:tcPr>
          <w:p>
            <w:pPr>
              <w:spacing w:after="0"/>
              <w:rPr>
                <w:sz w:val="10"/>
                <w:szCs w:val="10"/>
                <w:color w:val="auto"/>
              </w:rPr>
            </w:pPr>
          </w:p>
        </w:tc>
        <w:tc>
          <w:tcPr>
            <w:tcW w:w="1020" w:type="dxa"/>
            <w:vAlign w:val="bottom"/>
          </w:tcPr>
          <w:p>
            <w:pPr>
              <w:jc w:val="right"/>
              <w:ind w:right="63"/>
              <w:spacing w:after="0" w:line="123" w:lineRule="exact"/>
              <w:rPr>
                <w:sz w:val="20"/>
                <w:szCs w:val="20"/>
                <w:color w:val="auto"/>
              </w:rPr>
            </w:pPr>
            <w:r>
              <w:rPr>
                <w:rFonts w:ascii="Arial" w:cs="Arial" w:eastAsia="Arial" w:hAnsi="Arial"/>
                <w:sz w:val="11"/>
                <w:szCs w:val="11"/>
                <w:b w:val="1"/>
                <w:bCs w:val="1"/>
                <w:color w:val="auto"/>
              </w:rPr>
              <w:t>Compensation</w:t>
            </w:r>
          </w:p>
        </w:tc>
        <w:tc>
          <w:tcPr>
            <w:tcW w:w="220" w:type="dxa"/>
            <w:vAlign w:val="bottom"/>
          </w:tcPr>
          <w:p>
            <w:pPr>
              <w:spacing w:after="0"/>
              <w:rPr>
                <w:sz w:val="10"/>
                <w:szCs w:val="10"/>
                <w:color w:val="auto"/>
              </w:rPr>
            </w:pPr>
          </w:p>
        </w:tc>
        <w:tc>
          <w:tcPr>
            <w:tcW w:w="1040" w:type="dxa"/>
            <w:vAlign w:val="bottom"/>
          </w:tcPr>
          <w:p>
            <w:pPr>
              <w:jc w:val="right"/>
              <w:ind w:right="83"/>
              <w:spacing w:after="0" w:line="123" w:lineRule="exact"/>
              <w:rPr>
                <w:sz w:val="20"/>
                <w:szCs w:val="20"/>
                <w:color w:val="auto"/>
              </w:rPr>
            </w:pPr>
            <w:r>
              <w:rPr>
                <w:rFonts w:ascii="Arial" w:cs="Arial" w:eastAsia="Arial" w:hAnsi="Arial"/>
                <w:sz w:val="11"/>
                <w:szCs w:val="11"/>
                <w:b w:val="1"/>
                <w:bCs w:val="1"/>
                <w:color w:val="auto"/>
              </w:rPr>
              <w:t>for the</w:t>
            </w:r>
          </w:p>
        </w:tc>
        <w:tc>
          <w:tcPr>
            <w:tcW w:w="200" w:type="dxa"/>
            <w:vAlign w:val="bottom"/>
          </w:tcPr>
          <w:p>
            <w:pPr>
              <w:spacing w:after="0"/>
              <w:rPr>
                <w:sz w:val="10"/>
                <w:szCs w:val="10"/>
                <w:color w:val="auto"/>
              </w:rPr>
            </w:pPr>
          </w:p>
        </w:tc>
        <w:tc>
          <w:tcPr>
            <w:tcW w:w="102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to the</w:t>
            </w:r>
          </w:p>
        </w:tc>
        <w:tc>
          <w:tcPr>
            <w:tcW w:w="240" w:type="dxa"/>
            <w:vAlign w:val="bottom"/>
          </w:tcPr>
          <w:p>
            <w:pPr>
              <w:spacing w:after="0"/>
              <w:rPr>
                <w:sz w:val="10"/>
                <w:szCs w:val="10"/>
                <w:color w:val="auto"/>
              </w:rPr>
            </w:pPr>
          </w:p>
        </w:tc>
        <w:tc>
          <w:tcPr>
            <w:tcW w:w="1020" w:type="dxa"/>
            <w:vAlign w:val="bottom"/>
          </w:tcPr>
          <w:p>
            <w:pPr>
              <w:jc w:val="right"/>
              <w:ind w:right="63"/>
              <w:spacing w:after="0" w:line="123" w:lineRule="exact"/>
              <w:rPr>
                <w:sz w:val="20"/>
                <w:szCs w:val="20"/>
                <w:color w:val="auto"/>
              </w:rPr>
            </w:pPr>
            <w:r>
              <w:rPr>
                <w:rFonts w:ascii="Arial" w:cs="Arial" w:eastAsia="Arial" w:hAnsi="Arial"/>
                <w:sz w:val="11"/>
                <w:szCs w:val="11"/>
                <w:b w:val="1"/>
                <w:bCs w:val="1"/>
                <w:color w:val="auto"/>
              </w:rPr>
              <w:t>During the</w:t>
            </w:r>
          </w:p>
        </w:tc>
        <w:tc>
          <w:tcPr>
            <w:tcW w:w="240" w:type="dxa"/>
            <w:vAlign w:val="bottom"/>
          </w:tcPr>
          <w:p>
            <w:pPr>
              <w:spacing w:after="0"/>
              <w:rPr>
                <w:sz w:val="10"/>
                <w:szCs w:val="10"/>
                <w:color w:val="auto"/>
              </w:rPr>
            </w:pPr>
          </w:p>
        </w:tc>
        <w:tc>
          <w:tcPr>
            <w:tcW w:w="96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Compensation</w:t>
            </w:r>
          </w:p>
        </w:tc>
        <w:tc>
          <w:tcPr>
            <w:tcW w:w="0" w:type="dxa"/>
            <w:vAlign w:val="bottom"/>
          </w:tcPr>
          <w:p>
            <w:pPr>
              <w:spacing w:after="0"/>
              <w:rPr>
                <w:sz w:val="1"/>
                <w:szCs w:val="1"/>
                <w:color w:val="auto"/>
              </w:rPr>
            </w:pPr>
          </w:p>
        </w:tc>
      </w:tr>
      <w:tr>
        <w:trPr>
          <w:trHeight w:val="141"/>
        </w:trPr>
        <w:tc>
          <w:tcPr>
            <w:tcW w:w="560" w:type="dxa"/>
            <w:vAlign w:val="bottom"/>
            <w:tcBorders>
              <w:bottom w:val="single" w:sz="8" w:color="auto"/>
            </w:tcBorders>
            <w:vMerge w:val="continue"/>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Table</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Applicable Year</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Applicable Year</w:t>
            </w: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Applicable Year</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Actually Paid</w:t>
            </w:r>
          </w:p>
        </w:tc>
        <w:tc>
          <w:tcPr>
            <w:tcW w:w="0" w:type="dxa"/>
            <w:vAlign w:val="bottom"/>
          </w:tcPr>
          <w:p>
            <w:pPr>
              <w:spacing w:after="0"/>
              <w:rPr>
                <w:sz w:val="1"/>
                <w:szCs w:val="1"/>
                <w:color w:val="auto"/>
              </w:rPr>
            </w:pPr>
          </w:p>
        </w:tc>
      </w:tr>
      <w:tr>
        <w:trPr>
          <w:trHeight w:val="115"/>
        </w:trPr>
        <w:tc>
          <w:tcPr>
            <w:tcW w:w="560" w:type="dxa"/>
            <w:vAlign w:val="bottom"/>
            <w:shd w:val="clear" w:color="auto" w:fill="D9D9D9"/>
          </w:tcPr>
          <w:p>
            <w:pPr>
              <w:spacing w:after="0" w:line="115" w:lineRule="exact"/>
              <w:rPr>
                <w:sz w:val="20"/>
                <w:szCs w:val="20"/>
                <w:color w:val="auto"/>
              </w:rPr>
            </w:pPr>
            <w:r>
              <w:rPr>
                <w:rFonts w:ascii="Arial" w:cs="Arial" w:eastAsia="Arial" w:hAnsi="Arial"/>
                <w:sz w:val="11"/>
                <w:szCs w:val="11"/>
                <w:color w:val="auto"/>
              </w:rPr>
              <w:t>2025</w:t>
            </w:r>
          </w:p>
        </w:tc>
        <w:tc>
          <w:tcPr>
            <w:tcW w:w="1320" w:type="dxa"/>
            <w:vAlign w:val="bottom"/>
            <w:shd w:val="clear" w:color="auto" w:fill="D9D9D9"/>
          </w:tcPr>
          <w:p>
            <w:pPr>
              <w:ind w:left="300"/>
              <w:spacing w:after="0" w:line="115" w:lineRule="exact"/>
              <w:rPr>
                <w:sz w:val="20"/>
                <w:szCs w:val="20"/>
                <w:color w:val="auto"/>
              </w:rPr>
            </w:pPr>
            <w:r>
              <w:rPr>
                <w:rFonts w:ascii="Arial" w:cs="Arial" w:eastAsia="Arial" w:hAnsi="Arial"/>
                <w:sz w:val="11"/>
                <w:szCs w:val="11"/>
                <w:color w:val="auto"/>
              </w:rPr>
              <w:t>Robert A. Michael</w:t>
            </w:r>
          </w:p>
        </w:tc>
        <w:tc>
          <w:tcPr>
            <w:tcW w:w="22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1020" w:type="dxa"/>
            <w:vAlign w:val="bottom"/>
            <w:shd w:val="clear" w:color="auto" w:fill="D9D9D9"/>
          </w:tcPr>
          <w:p>
            <w:pPr>
              <w:jc w:val="right"/>
              <w:ind w:right="63"/>
              <w:spacing w:after="0" w:line="115" w:lineRule="exact"/>
              <w:rPr>
                <w:sz w:val="20"/>
                <w:szCs w:val="20"/>
                <w:color w:val="auto"/>
              </w:rPr>
            </w:pPr>
            <w:r>
              <w:rPr>
                <w:rFonts w:ascii="Arial" w:cs="Arial" w:eastAsia="Arial" w:hAnsi="Arial"/>
                <w:sz w:val="11"/>
                <w:szCs w:val="11"/>
                <w:color w:val="auto"/>
              </w:rPr>
              <w:t>8,147,000</w:t>
            </w:r>
          </w:p>
        </w:tc>
        <w:tc>
          <w:tcPr>
            <w:tcW w:w="22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1040" w:type="dxa"/>
            <w:vAlign w:val="bottom"/>
            <w:shd w:val="clear" w:color="auto" w:fill="D9D9D9"/>
          </w:tcPr>
          <w:p>
            <w:pPr>
              <w:jc w:val="right"/>
              <w:ind w:right="43"/>
              <w:spacing w:after="0" w:line="115" w:lineRule="exact"/>
              <w:rPr>
                <w:sz w:val="20"/>
                <w:szCs w:val="20"/>
                <w:color w:val="auto"/>
              </w:rPr>
            </w:pPr>
            <w:r>
              <w:rPr>
                <w:rFonts w:ascii="Arial" w:cs="Arial" w:eastAsia="Arial" w:hAnsi="Arial"/>
                <w:sz w:val="11"/>
                <w:szCs w:val="11"/>
                <w:color w:val="auto"/>
              </w:rPr>
              <w:t>(8,147,000)</w:t>
            </w:r>
          </w:p>
        </w:tc>
        <w:tc>
          <w:tcPr>
            <w:tcW w:w="20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1020" w:type="dxa"/>
            <w:vAlign w:val="bottom"/>
            <w:shd w:val="clear" w:color="auto" w:fill="D9D9D9"/>
          </w:tcPr>
          <w:p>
            <w:pPr>
              <w:jc w:val="right"/>
              <w:ind w:right="43"/>
              <w:spacing w:after="0" w:line="115" w:lineRule="exact"/>
              <w:rPr>
                <w:sz w:val="20"/>
                <w:szCs w:val="20"/>
                <w:color w:val="auto"/>
              </w:rPr>
            </w:pPr>
            <w:r>
              <w:rPr>
                <w:rFonts w:ascii="Arial" w:cs="Arial" w:eastAsia="Arial" w:hAnsi="Arial"/>
                <w:sz w:val="11"/>
                <w:szCs w:val="11"/>
                <w:color w:val="auto"/>
              </w:rPr>
              <w:t>557,868</w:t>
            </w:r>
          </w:p>
        </w:tc>
        <w:tc>
          <w:tcPr>
            <w:tcW w:w="24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w:t>
            </w:r>
          </w:p>
        </w:tc>
        <w:tc>
          <w:tcPr>
            <w:tcW w:w="1020" w:type="dxa"/>
            <w:vAlign w:val="bottom"/>
            <w:shd w:val="clear" w:color="auto" w:fill="D9D9D9"/>
          </w:tcPr>
          <w:p>
            <w:pPr>
              <w:jc w:val="right"/>
              <w:ind w:right="63"/>
              <w:spacing w:after="0" w:line="115" w:lineRule="exact"/>
              <w:rPr>
                <w:sz w:val="20"/>
                <w:szCs w:val="20"/>
                <w:color w:val="auto"/>
              </w:rPr>
            </w:pPr>
            <w:r>
              <w:rPr>
                <w:rFonts w:ascii="Arial" w:cs="Arial" w:eastAsia="Arial" w:hAnsi="Arial"/>
                <w:sz w:val="11"/>
                <w:szCs w:val="11"/>
                <w:color w:val="auto"/>
              </w:rPr>
              <w:t>N/A</w:t>
            </w:r>
          </w:p>
        </w:tc>
        <w:tc>
          <w:tcPr>
            <w:tcW w:w="24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w:t>
            </w:r>
          </w:p>
        </w:tc>
        <w:tc>
          <w:tcPr>
            <w:tcW w:w="96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557,868</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89" w:right="100" w:hanging="589"/>
        <w:spacing w:after="0" w:line="247" w:lineRule="auto"/>
        <w:tabs>
          <w:tab w:leader="none" w:pos="589"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dollar amounts reported represent the average of the amounts reported for AbbVie’s named executive officers (NEOs) as a group (excluding the PEO) in the “Total” column of the Summary Compensation Table in each applicable fiscal year. The names of each of the NEOs included for purposes of calculating the average amounts in each applicable year are as follows: (i) for 2025, S. Reents, J. Stewart, A. Saleki-Gerhardt and R. Thakkar; (ii) for 2024, S. Reents, J. Stewart, A. Saleki-Gerhardt and T. Richmond; (iii) for 2023, R. Michael, S. Reents, J. Stewart and A. Saleki-Gerhardt; (iv) for 2022, R. Michael, S. Reents, L. Schumacher, J. Stewart and A. Saleki-Gerhardt; and (v) for 2021, R. Michael, L. Schumacher, M. Severino and J. Stewart.</w:t>
      </w:r>
    </w:p>
    <w:p>
      <w:pPr>
        <w:spacing w:after="0" w:line="200" w:lineRule="exact"/>
        <w:rPr>
          <w:sz w:val="20"/>
          <w:szCs w:val="20"/>
          <w:color w:val="auto"/>
        </w:rPr>
      </w:pPr>
    </w:p>
    <w:p>
      <w:pPr>
        <w:spacing w:after="0" w:line="214"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-491490</wp:posOffset>
            </wp:positionV>
            <wp:extent cx="797560" cy="148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66" w:name="page67"/>
    <w:bookmarkEnd w:id="66"/>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589" w:right="20" w:hanging="589"/>
        <w:spacing w:after="0" w:line="247" w:lineRule="auto"/>
        <w:tabs>
          <w:tab w:leader="none" w:pos="589"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dollar amounts reported represent the average amount of “compensation actually paid” to the NEOs as a group (excluding the PEO), as computed in accordance with Item 402(v) of Regulation S-K. The dollar amounts do not reflect the actual amount of compensation earned by or paid to the NEOs as a group (excluding the PEO) during such fiscal years and are based on valuation assumptions required by the SEC, which are unlikely to reflect actual amounts realized at vesting or exercise (as applicable). The average total compensation for the NEOs as a group (excluding the PEO) for each year was adjusted using the same methodology described above in footnote (b) to determine the compensation actually paid.</w:t>
      </w:r>
    </w:p>
    <w:p>
      <w:pPr>
        <w:spacing w:after="0" w:line="151" w:lineRule="exact"/>
        <w:rPr>
          <w:rFonts w:ascii="Arial" w:cs="Arial" w:eastAsia="Arial" w:hAnsi="Arial"/>
          <w:sz w:val="16"/>
          <w:szCs w:val="16"/>
          <w:color w:val="auto"/>
        </w:rPr>
      </w:pPr>
    </w:p>
    <w:p>
      <w:pPr>
        <w:ind w:left="589" w:right="380"/>
        <w:spacing w:after="0" w:line="254" w:lineRule="auto"/>
        <w:rPr>
          <w:rFonts w:ascii="Arial" w:cs="Arial" w:eastAsia="Arial" w:hAnsi="Arial"/>
          <w:sz w:val="16"/>
          <w:szCs w:val="16"/>
          <w:color w:val="auto"/>
        </w:rPr>
      </w:pPr>
      <w:r>
        <w:rPr>
          <w:rFonts w:ascii="Arial" w:cs="Arial" w:eastAsia="Arial" w:hAnsi="Arial"/>
          <w:sz w:val="16"/>
          <w:szCs w:val="16"/>
          <w:color w:val="auto"/>
        </w:rPr>
        <w:t>The amounts in the following table represent the average of the amounts deducted and added to the equity award values for AbbVie’s named executive officers (NEOs) as a group (excluding the PEO) for the 2025 fiscal year for purposes of computing the “compensation actually paid” amount appearing in column (d) of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2598420</wp:posOffset>
            </wp:positionH>
            <wp:positionV relativeFrom="paragraph">
              <wp:posOffset>63500</wp:posOffset>
            </wp:positionV>
            <wp:extent cx="286893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68930" cy="7620"/>
                    </a:xfrm>
                    <a:prstGeom prst="rect">
                      <a:avLst/>
                    </a:prstGeom>
                    <a:noFill/>
                  </pic:spPr>
                </pic:pic>
              </a:graphicData>
            </a:graphic>
          </wp:anchor>
        </w:drawing>
      </w:r>
    </w:p>
    <w:p>
      <w:pPr>
        <w:spacing w:after="0" w:line="194" w:lineRule="exact"/>
        <w:rPr>
          <w:sz w:val="20"/>
          <w:szCs w:val="20"/>
          <w:color w:val="auto"/>
        </w:rPr>
      </w:pPr>
    </w:p>
    <w:tbl>
      <w:tblPr>
        <w:tblLayout w:type="fixed"/>
        <w:tblInd w:w="589" w:type="dxa"/>
        <w:tblCellMar>
          <w:top w:w="0" w:type="dxa"/>
          <w:left w:w="0" w:type="dxa"/>
          <w:bottom w:w="0" w:type="dxa"/>
          <w:right w:w="0" w:type="dxa"/>
        </w:tblCellMar>
      </w:tblPr>
      <w:tr>
        <w:trPr>
          <w:trHeight w:val="126"/>
        </w:trPr>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Total Equity</w:t>
            </w:r>
          </w:p>
        </w:tc>
        <w:tc>
          <w:tcPr>
            <w:tcW w:w="180" w:type="dxa"/>
            <w:vAlign w:val="bottom"/>
          </w:tcPr>
          <w:p>
            <w:pPr>
              <w:spacing w:after="0"/>
              <w:rPr>
                <w:sz w:val="10"/>
                <w:szCs w:val="10"/>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b w:val="1"/>
                <w:bCs w:val="1"/>
                <w:color w:val="auto"/>
              </w:rPr>
              <w:t>Grant Date</w:t>
            </w:r>
          </w:p>
        </w:tc>
        <w:tc>
          <w:tcPr>
            <w:tcW w:w="160" w:type="dxa"/>
            <w:vAlign w:val="bottom"/>
          </w:tcPr>
          <w:p>
            <w:pPr>
              <w:spacing w:after="0"/>
              <w:rPr>
                <w:sz w:val="10"/>
                <w:szCs w:val="10"/>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b w:val="1"/>
                <w:bCs w:val="1"/>
                <w:color w:val="auto"/>
              </w:rPr>
              <w:t>Year-end</w:t>
            </w:r>
          </w:p>
        </w:tc>
        <w:tc>
          <w:tcPr>
            <w:tcW w:w="180" w:type="dxa"/>
            <w:vAlign w:val="bottom"/>
          </w:tcPr>
          <w:p>
            <w:pPr>
              <w:spacing w:after="0"/>
              <w:rPr>
                <w:sz w:val="10"/>
                <w:szCs w:val="10"/>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b w:val="1"/>
                <w:bCs w:val="1"/>
                <w:color w:val="auto"/>
              </w:rPr>
              <w:t>Change in</w:t>
            </w:r>
          </w:p>
        </w:tc>
        <w:tc>
          <w:tcPr>
            <w:tcW w:w="220" w:type="dxa"/>
            <w:vAlign w:val="bottom"/>
          </w:tcPr>
          <w:p>
            <w:pPr>
              <w:spacing w:after="0"/>
              <w:rPr>
                <w:sz w:val="10"/>
                <w:szCs w:val="10"/>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b w:val="1"/>
                <w:bCs w:val="1"/>
                <w:color w:val="auto"/>
              </w:rPr>
              <w:t>Change in</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Fair Value of</w:t>
            </w:r>
          </w:p>
        </w:tc>
        <w:tc>
          <w:tcPr>
            <w:tcW w:w="160" w:type="dxa"/>
            <w:vAlign w:val="bottom"/>
          </w:tcPr>
          <w:p>
            <w:pPr>
              <w:spacing w:after="0"/>
              <w:rPr>
                <w:sz w:val="10"/>
                <w:szCs w:val="10"/>
                <w:color w:val="auto"/>
              </w:rPr>
            </w:pPr>
          </w:p>
        </w:tc>
        <w:tc>
          <w:tcPr>
            <w:tcW w:w="80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auto"/>
              </w:rPr>
              <w:t>Fair Value of</w:t>
            </w:r>
          </w:p>
        </w:tc>
        <w:tc>
          <w:tcPr>
            <w:tcW w:w="180" w:type="dxa"/>
            <w:vAlign w:val="bottom"/>
          </w:tcPr>
          <w:p>
            <w:pPr>
              <w:spacing w:after="0"/>
              <w:rPr>
                <w:sz w:val="10"/>
                <w:szCs w:val="10"/>
                <w:color w:val="auto"/>
              </w:rPr>
            </w:pPr>
          </w:p>
        </w:tc>
        <w:tc>
          <w:tcPr>
            <w:tcW w:w="1100" w:type="dxa"/>
            <w:vAlign w:val="bottom"/>
          </w:tcPr>
          <w:p>
            <w:pPr>
              <w:jc w:val="right"/>
              <w:ind w:right="123"/>
              <w:spacing w:after="0" w:line="123" w:lineRule="exact"/>
              <w:rPr>
                <w:sz w:val="20"/>
                <w:szCs w:val="20"/>
                <w:color w:val="auto"/>
              </w:rPr>
            </w:pPr>
            <w:r>
              <w:rPr>
                <w:rFonts w:ascii="Arial" w:cs="Arial" w:eastAsia="Arial" w:hAnsi="Arial"/>
                <w:sz w:val="11"/>
                <w:szCs w:val="11"/>
                <w:b w:val="1"/>
                <w:bCs w:val="1"/>
                <w:color w:val="auto"/>
              </w:rPr>
              <w:t>Fair Value as of</w:t>
            </w:r>
          </w:p>
        </w:tc>
        <w:tc>
          <w:tcPr>
            <w:tcW w:w="220" w:type="dxa"/>
            <w:vAlign w:val="bottom"/>
          </w:tcPr>
          <w:p>
            <w:pPr>
              <w:spacing w:after="0"/>
              <w:rPr>
                <w:sz w:val="10"/>
                <w:szCs w:val="10"/>
                <w:color w:val="auto"/>
              </w:rPr>
            </w:pPr>
          </w:p>
        </w:tc>
        <w:tc>
          <w:tcPr>
            <w:tcW w:w="102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Fair Value as of</w:t>
            </w: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3"/>
        </w:trPr>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Value</w:t>
            </w:r>
          </w:p>
        </w:tc>
        <w:tc>
          <w:tcPr>
            <w:tcW w:w="1020" w:type="dxa"/>
            <w:vAlign w:val="bottom"/>
            <w:gridSpan w:val="2"/>
          </w:tcPr>
          <w:p>
            <w:pPr>
              <w:jc w:val="right"/>
              <w:ind w:right="43"/>
              <w:spacing w:after="0" w:line="123" w:lineRule="exact"/>
              <w:rPr>
                <w:sz w:val="20"/>
                <w:szCs w:val="20"/>
                <w:color w:val="auto"/>
              </w:rPr>
            </w:pPr>
            <w:r>
              <w:rPr>
                <w:rFonts w:ascii="Arial" w:cs="Arial" w:eastAsia="Arial" w:hAnsi="Arial"/>
                <w:sz w:val="11"/>
                <w:szCs w:val="11"/>
                <w:b w:val="1"/>
                <w:bCs w:val="1"/>
                <w:color w:val="auto"/>
              </w:rPr>
              <w:t>Equity Awards</w:t>
            </w:r>
          </w:p>
        </w:tc>
        <w:tc>
          <w:tcPr>
            <w:tcW w:w="960" w:type="dxa"/>
            <w:vAlign w:val="bottom"/>
            <w:gridSpan w:val="2"/>
          </w:tcPr>
          <w:p>
            <w:pPr>
              <w:jc w:val="right"/>
              <w:ind w:right="3"/>
              <w:spacing w:after="0" w:line="123" w:lineRule="exact"/>
              <w:rPr>
                <w:sz w:val="20"/>
                <w:szCs w:val="20"/>
                <w:color w:val="auto"/>
              </w:rPr>
            </w:pPr>
            <w:r>
              <w:rPr>
                <w:rFonts w:ascii="Arial" w:cs="Arial" w:eastAsia="Arial" w:hAnsi="Arial"/>
                <w:sz w:val="11"/>
                <w:szCs w:val="11"/>
                <w:b w:val="1"/>
                <w:bCs w:val="1"/>
                <w:color w:val="auto"/>
              </w:rPr>
              <w:t>Equity Awards</w:t>
            </w:r>
          </w:p>
        </w:tc>
        <w:tc>
          <w:tcPr>
            <w:tcW w:w="180" w:type="dxa"/>
            <w:vAlign w:val="bottom"/>
          </w:tcPr>
          <w:p>
            <w:pPr>
              <w:spacing w:after="0"/>
              <w:rPr>
                <w:sz w:val="10"/>
                <w:szCs w:val="10"/>
                <w:color w:val="auto"/>
              </w:rPr>
            </w:pPr>
          </w:p>
        </w:tc>
        <w:tc>
          <w:tcPr>
            <w:tcW w:w="1100" w:type="dxa"/>
            <w:vAlign w:val="bottom"/>
          </w:tcPr>
          <w:p>
            <w:pPr>
              <w:jc w:val="right"/>
              <w:ind w:right="123"/>
              <w:spacing w:after="0" w:line="123" w:lineRule="exact"/>
              <w:rPr>
                <w:sz w:val="20"/>
                <w:szCs w:val="20"/>
                <w:color w:val="auto"/>
              </w:rPr>
            </w:pPr>
            <w:r>
              <w:rPr>
                <w:rFonts w:ascii="Arial" w:cs="Arial" w:eastAsia="Arial" w:hAnsi="Arial"/>
                <w:sz w:val="11"/>
                <w:szCs w:val="11"/>
                <w:b w:val="1"/>
                <w:bCs w:val="1"/>
                <w:color w:val="auto"/>
              </w:rPr>
              <w:t>Year-End of Any</w:t>
            </w:r>
          </w:p>
        </w:tc>
        <w:tc>
          <w:tcPr>
            <w:tcW w:w="220" w:type="dxa"/>
            <w:vAlign w:val="bottom"/>
          </w:tcPr>
          <w:p>
            <w:pPr>
              <w:spacing w:after="0"/>
              <w:rPr>
                <w:sz w:val="10"/>
                <w:szCs w:val="10"/>
                <w:color w:val="auto"/>
              </w:rPr>
            </w:pPr>
          </w:p>
        </w:tc>
        <w:tc>
          <w:tcPr>
            <w:tcW w:w="102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the Vesting Date</w:t>
            </w:r>
          </w:p>
        </w:tc>
        <w:tc>
          <w:tcPr>
            <w:tcW w:w="1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Reflected in</w:t>
            </w:r>
          </w:p>
        </w:tc>
        <w:tc>
          <w:tcPr>
            <w:tcW w:w="180" w:type="dxa"/>
            <w:vAlign w:val="bottom"/>
          </w:tcPr>
          <w:p>
            <w:pPr>
              <w:spacing w:after="0"/>
              <w:rPr>
                <w:sz w:val="10"/>
                <w:szCs w:val="10"/>
                <w:color w:val="auto"/>
              </w:rPr>
            </w:pPr>
          </w:p>
        </w:tc>
        <w:tc>
          <w:tcPr>
            <w:tcW w:w="84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Granted</w:t>
            </w:r>
          </w:p>
        </w:tc>
        <w:tc>
          <w:tcPr>
            <w:tcW w:w="160" w:type="dxa"/>
            <w:vAlign w:val="bottom"/>
          </w:tcPr>
          <w:p>
            <w:pPr>
              <w:spacing w:after="0"/>
              <w:rPr>
                <w:sz w:val="10"/>
                <w:szCs w:val="10"/>
                <w:color w:val="auto"/>
              </w:rPr>
            </w:pPr>
          </w:p>
        </w:tc>
        <w:tc>
          <w:tcPr>
            <w:tcW w:w="80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auto"/>
              </w:rPr>
              <w:t>Granted</w:t>
            </w:r>
          </w:p>
        </w:tc>
        <w:tc>
          <w:tcPr>
            <w:tcW w:w="180" w:type="dxa"/>
            <w:vAlign w:val="bottom"/>
          </w:tcPr>
          <w:p>
            <w:pPr>
              <w:spacing w:after="0"/>
              <w:rPr>
                <w:sz w:val="10"/>
                <w:szCs w:val="10"/>
                <w:color w:val="auto"/>
              </w:rPr>
            </w:pPr>
          </w:p>
        </w:tc>
        <w:tc>
          <w:tcPr>
            <w:tcW w:w="1100" w:type="dxa"/>
            <w:vAlign w:val="bottom"/>
          </w:tcPr>
          <w:p>
            <w:pPr>
              <w:jc w:val="right"/>
              <w:ind w:right="123"/>
              <w:spacing w:after="0" w:line="123" w:lineRule="exact"/>
              <w:rPr>
                <w:sz w:val="20"/>
                <w:szCs w:val="20"/>
                <w:color w:val="auto"/>
              </w:rPr>
            </w:pPr>
            <w:r>
              <w:rPr>
                <w:rFonts w:ascii="Arial" w:cs="Arial" w:eastAsia="Arial" w:hAnsi="Arial"/>
                <w:sz w:val="11"/>
                <w:szCs w:val="11"/>
                <w:b w:val="1"/>
                <w:bCs w:val="1"/>
                <w:color w:val="auto"/>
              </w:rPr>
              <w:t>Prior Year</w:t>
            </w:r>
          </w:p>
        </w:tc>
        <w:tc>
          <w:tcPr>
            <w:tcW w:w="220" w:type="dxa"/>
            <w:vAlign w:val="bottom"/>
          </w:tcPr>
          <w:p>
            <w:pPr>
              <w:spacing w:after="0"/>
              <w:rPr>
                <w:sz w:val="10"/>
                <w:szCs w:val="10"/>
                <w:color w:val="auto"/>
              </w:rPr>
            </w:pPr>
          </w:p>
        </w:tc>
        <w:tc>
          <w:tcPr>
            <w:tcW w:w="102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of Any Prior Year</w:t>
            </w:r>
          </w:p>
        </w:tc>
        <w:tc>
          <w:tcPr>
            <w:tcW w:w="18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Equity Value</w:t>
            </w:r>
          </w:p>
        </w:tc>
        <w:tc>
          <w:tcPr>
            <w:tcW w:w="0" w:type="dxa"/>
            <w:vAlign w:val="bottom"/>
          </w:tcPr>
          <w:p>
            <w:pPr>
              <w:spacing w:after="0"/>
              <w:rPr>
                <w:sz w:val="1"/>
                <w:szCs w:val="1"/>
                <w:color w:val="auto"/>
              </w:rPr>
            </w:pPr>
          </w:p>
        </w:tc>
      </w:tr>
      <w:tr>
        <w:trPr>
          <w:trHeight w:val="123"/>
        </w:trPr>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Summary</w:t>
            </w:r>
          </w:p>
        </w:tc>
        <w:tc>
          <w:tcPr>
            <w:tcW w:w="180" w:type="dxa"/>
            <w:vAlign w:val="bottom"/>
          </w:tcPr>
          <w:p>
            <w:pPr>
              <w:spacing w:after="0"/>
              <w:rPr>
                <w:sz w:val="10"/>
                <w:szCs w:val="10"/>
                <w:color w:val="auto"/>
              </w:rPr>
            </w:pPr>
          </w:p>
        </w:tc>
        <w:tc>
          <w:tcPr>
            <w:tcW w:w="84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During</w:t>
            </w:r>
          </w:p>
        </w:tc>
        <w:tc>
          <w:tcPr>
            <w:tcW w:w="160" w:type="dxa"/>
            <w:vAlign w:val="bottom"/>
          </w:tcPr>
          <w:p>
            <w:pPr>
              <w:spacing w:after="0"/>
              <w:rPr>
                <w:sz w:val="10"/>
                <w:szCs w:val="10"/>
                <w:color w:val="auto"/>
              </w:rPr>
            </w:pPr>
          </w:p>
        </w:tc>
        <w:tc>
          <w:tcPr>
            <w:tcW w:w="80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auto"/>
              </w:rPr>
              <w:t>During</w:t>
            </w:r>
          </w:p>
        </w:tc>
        <w:tc>
          <w:tcPr>
            <w:tcW w:w="180" w:type="dxa"/>
            <w:vAlign w:val="bottom"/>
          </w:tcPr>
          <w:p>
            <w:pPr>
              <w:spacing w:after="0"/>
              <w:rPr>
                <w:sz w:val="10"/>
                <w:szCs w:val="10"/>
                <w:color w:val="auto"/>
              </w:rPr>
            </w:pPr>
          </w:p>
        </w:tc>
        <w:tc>
          <w:tcPr>
            <w:tcW w:w="1100" w:type="dxa"/>
            <w:vAlign w:val="bottom"/>
          </w:tcPr>
          <w:p>
            <w:pPr>
              <w:jc w:val="right"/>
              <w:ind w:right="123"/>
              <w:spacing w:after="0" w:line="123" w:lineRule="exact"/>
              <w:rPr>
                <w:sz w:val="20"/>
                <w:szCs w:val="20"/>
                <w:color w:val="auto"/>
              </w:rPr>
            </w:pPr>
            <w:r>
              <w:rPr>
                <w:rFonts w:ascii="Arial" w:cs="Arial" w:eastAsia="Arial" w:hAnsi="Arial"/>
                <w:sz w:val="11"/>
                <w:szCs w:val="11"/>
                <w:b w:val="1"/>
                <w:bCs w:val="1"/>
                <w:color w:val="auto"/>
              </w:rPr>
              <w:t>Awards that</w:t>
            </w:r>
          </w:p>
        </w:tc>
        <w:tc>
          <w:tcPr>
            <w:tcW w:w="220" w:type="dxa"/>
            <w:vAlign w:val="bottom"/>
          </w:tcPr>
          <w:p>
            <w:pPr>
              <w:spacing w:after="0"/>
              <w:rPr>
                <w:sz w:val="10"/>
                <w:szCs w:val="10"/>
                <w:color w:val="auto"/>
              </w:rPr>
            </w:pPr>
          </w:p>
        </w:tc>
        <w:tc>
          <w:tcPr>
            <w:tcW w:w="102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Awards that</w:t>
            </w:r>
          </w:p>
        </w:tc>
        <w:tc>
          <w:tcPr>
            <w:tcW w:w="18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Reflected in</w:t>
            </w:r>
          </w:p>
        </w:tc>
        <w:tc>
          <w:tcPr>
            <w:tcW w:w="0" w:type="dxa"/>
            <w:vAlign w:val="bottom"/>
          </w:tcPr>
          <w:p>
            <w:pPr>
              <w:spacing w:after="0"/>
              <w:rPr>
                <w:sz w:val="1"/>
                <w:szCs w:val="1"/>
                <w:color w:val="auto"/>
              </w:rPr>
            </w:pPr>
          </w:p>
        </w:tc>
      </w:tr>
      <w:tr>
        <w:trPr>
          <w:trHeight w:val="123"/>
        </w:trPr>
        <w:tc>
          <w:tcPr>
            <w:tcW w:w="440" w:type="dxa"/>
            <w:vAlign w:val="bottom"/>
            <w:vMerge w:val="restart"/>
          </w:tcPr>
          <w:p>
            <w:pPr>
              <w:spacing w:after="0"/>
              <w:rPr>
                <w:sz w:val="20"/>
                <w:szCs w:val="20"/>
                <w:color w:val="auto"/>
              </w:rPr>
            </w:pPr>
            <w:r>
              <w:rPr>
                <w:rFonts w:ascii="Arial" w:cs="Arial" w:eastAsia="Arial" w:hAnsi="Arial"/>
                <w:sz w:val="11"/>
                <w:szCs w:val="11"/>
                <w:b w:val="1"/>
                <w:bCs w:val="1"/>
                <w:color w:val="auto"/>
              </w:rPr>
              <w:t>Year</w:t>
            </w:r>
          </w:p>
        </w:tc>
        <w:tc>
          <w:tcPr>
            <w:tcW w:w="11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NEO Names</w:t>
            </w:r>
          </w:p>
        </w:tc>
        <w:tc>
          <w:tcPr>
            <w:tcW w:w="980" w:type="dxa"/>
            <w:vAlign w:val="bottom"/>
            <w:gridSpan w:val="2"/>
          </w:tcPr>
          <w:p>
            <w:pPr>
              <w:jc w:val="right"/>
              <w:ind w:right="23"/>
              <w:spacing w:after="0" w:line="123" w:lineRule="exact"/>
              <w:rPr>
                <w:sz w:val="20"/>
                <w:szCs w:val="20"/>
                <w:color w:val="auto"/>
              </w:rPr>
            </w:pPr>
            <w:r>
              <w:rPr>
                <w:rFonts w:ascii="Arial" w:cs="Arial" w:eastAsia="Arial" w:hAnsi="Arial"/>
                <w:sz w:val="11"/>
                <w:szCs w:val="11"/>
                <w:b w:val="1"/>
                <w:bCs w:val="1"/>
                <w:color w:val="auto"/>
              </w:rPr>
              <w:t>Compensation</w:t>
            </w:r>
          </w:p>
        </w:tc>
        <w:tc>
          <w:tcPr>
            <w:tcW w:w="180" w:type="dxa"/>
            <w:vAlign w:val="bottom"/>
          </w:tcPr>
          <w:p>
            <w:pPr>
              <w:spacing w:after="0"/>
              <w:rPr>
                <w:sz w:val="10"/>
                <w:szCs w:val="10"/>
                <w:color w:val="auto"/>
              </w:rPr>
            </w:pPr>
          </w:p>
        </w:tc>
        <w:tc>
          <w:tcPr>
            <w:tcW w:w="84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Applicable</w:t>
            </w:r>
          </w:p>
        </w:tc>
        <w:tc>
          <w:tcPr>
            <w:tcW w:w="160" w:type="dxa"/>
            <w:vAlign w:val="bottom"/>
          </w:tcPr>
          <w:p>
            <w:pPr>
              <w:spacing w:after="0"/>
              <w:rPr>
                <w:sz w:val="10"/>
                <w:szCs w:val="10"/>
                <w:color w:val="auto"/>
              </w:rPr>
            </w:pPr>
          </w:p>
        </w:tc>
        <w:tc>
          <w:tcPr>
            <w:tcW w:w="80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auto"/>
              </w:rPr>
              <w:t>Applicable</w:t>
            </w:r>
          </w:p>
        </w:tc>
        <w:tc>
          <w:tcPr>
            <w:tcW w:w="1280" w:type="dxa"/>
            <w:vAlign w:val="bottom"/>
            <w:gridSpan w:val="2"/>
          </w:tcPr>
          <w:p>
            <w:pPr>
              <w:jc w:val="right"/>
              <w:ind w:right="123"/>
              <w:spacing w:after="0" w:line="123" w:lineRule="exact"/>
              <w:rPr>
                <w:sz w:val="20"/>
                <w:szCs w:val="20"/>
                <w:color w:val="auto"/>
              </w:rPr>
            </w:pPr>
            <w:r>
              <w:rPr>
                <w:rFonts w:ascii="Arial" w:cs="Arial" w:eastAsia="Arial" w:hAnsi="Arial"/>
                <w:sz w:val="11"/>
                <w:szCs w:val="11"/>
                <w:b w:val="1"/>
                <w:bCs w:val="1"/>
                <w:color w:val="auto"/>
              </w:rPr>
              <w:t>Remain Unvested</w:t>
            </w:r>
          </w:p>
        </w:tc>
        <w:tc>
          <w:tcPr>
            <w:tcW w:w="220" w:type="dxa"/>
            <w:vAlign w:val="bottom"/>
          </w:tcPr>
          <w:p>
            <w:pPr>
              <w:spacing w:after="0"/>
              <w:rPr>
                <w:sz w:val="10"/>
                <w:szCs w:val="10"/>
                <w:color w:val="auto"/>
              </w:rPr>
            </w:pPr>
          </w:p>
        </w:tc>
        <w:tc>
          <w:tcPr>
            <w:tcW w:w="102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rPr>
              <w:t>Vested During</w:t>
            </w:r>
          </w:p>
        </w:tc>
        <w:tc>
          <w:tcPr>
            <w:tcW w:w="980" w:type="dxa"/>
            <w:vAlign w:val="bottom"/>
            <w:gridSpan w:val="2"/>
          </w:tcPr>
          <w:p>
            <w:pPr>
              <w:jc w:val="right"/>
              <w:spacing w:after="0" w:line="123" w:lineRule="exact"/>
              <w:rPr>
                <w:sz w:val="20"/>
                <w:szCs w:val="20"/>
                <w:color w:val="auto"/>
              </w:rPr>
            </w:pPr>
            <w:r>
              <w:rPr>
                <w:rFonts w:ascii="Arial" w:cs="Arial" w:eastAsia="Arial" w:hAnsi="Arial"/>
                <w:sz w:val="11"/>
                <w:szCs w:val="11"/>
                <w:b w:val="1"/>
                <w:bCs w:val="1"/>
                <w:color w:val="auto"/>
              </w:rPr>
              <w:t>Compensation</w:t>
            </w:r>
          </w:p>
        </w:tc>
        <w:tc>
          <w:tcPr>
            <w:tcW w:w="0" w:type="dxa"/>
            <w:vAlign w:val="bottom"/>
          </w:tcPr>
          <w:p>
            <w:pPr>
              <w:spacing w:after="0"/>
              <w:rPr>
                <w:sz w:val="1"/>
                <w:szCs w:val="1"/>
                <w:color w:val="auto"/>
              </w:rPr>
            </w:pPr>
          </w:p>
        </w:tc>
      </w:tr>
      <w:tr>
        <w:trPr>
          <w:trHeight w:val="141"/>
        </w:trPr>
        <w:tc>
          <w:tcPr>
            <w:tcW w:w="44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Table</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Year</w:t>
            </w: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Year</w:t>
            </w: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as of Year-End</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Applicable Year</w:t>
            </w: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Actually Paid</w:t>
            </w:r>
          </w:p>
        </w:tc>
        <w:tc>
          <w:tcPr>
            <w:tcW w:w="0" w:type="dxa"/>
            <w:vAlign w:val="bottom"/>
          </w:tcPr>
          <w:p>
            <w:pPr>
              <w:spacing w:after="0"/>
              <w:rPr>
                <w:sz w:val="1"/>
                <w:szCs w:val="1"/>
                <w:color w:val="auto"/>
              </w:rPr>
            </w:pPr>
          </w:p>
        </w:tc>
      </w:tr>
      <w:tr>
        <w:trPr>
          <w:trHeight w:val="115"/>
        </w:trPr>
        <w:tc>
          <w:tcPr>
            <w:tcW w:w="440" w:type="dxa"/>
            <w:vAlign w:val="bottom"/>
            <w:shd w:val="clear" w:color="auto" w:fill="D9D9D9"/>
          </w:tcPr>
          <w:p>
            <w:pPr>
              <w:spacing w:after="0" w:line="115" w:lineRule="exact"/>
              <w:rPr>
                <w:sz w:val="20"/>
                <w:szCs w:val="20"/>
                <w:color w:val="auto"/>
              </w:rPr>
            </w:pPr>
            <w:r>
              <w:rPr>
                <w:rFonts w:ascii="Arial" w:cs="Arial" w:eastAsia="Arial" w:hAnsi="Arial"/>
                <w:sz w:val="11"/>
                <w:szCs w:val="11"/>
                <w:color w:val="auto"/>
              </w:rPr>
              <w:t>2025</w:t>
            </w:r>
          </w:p>
        </w:tc>
        <w:tc>
          <w:tcPr>
            <w:tcW w:w="1120" w:type="dxa"/>
            <w:vAlign w:val="bottom"/>
            <w:shd w:val="clear" w:color="auto" w:fill="D9D9D9"/>
          </w:tcPr>
          <w:p>
            <w:pPr>
              <w:ind w:left="220"/>
              <w:spacing w:after="0" w:line="115" w:lineRule="exact"/>
              <w:rPr>
                <w:sz w:val="20"/>
                <w:szCs w:val="20"/>
                <w:color w:val="auto"/>
              </w:rPr>
            </w:pPr>
            <w:r>
              <w:rPr>
                <w:rFonts w:ascii="Arial" w:cs="Arial" w:eastAsia="Arial" w:hAnsi="Arial"/>
                <w:sz w:val="11"/>
                <w:szCs w:val="11"/>
                <w:color w:val="auto"/>
              </w:rPr>
              <w:t>See footnote (c)</w:t>
            </w:r>
          </w:p>
        </w:tc>
        <w:tc>
          <w:tcPr>
            <w:tcW w:w="18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800" w:type="dxa"/>
            <w:vAlign w:val="bottom"/>
            <w:shd w:val="clear" w:color="auto" w:fill="D9D9D9"/>
          </w:tcPr>
          <w:p>
            <w:pPr>
              <w:jc w:val="right"/>
              <w:ind w:right="23"/>
              <w:spacing w:after="0" w:line="115" w:lineRule="exact"/>
              <w:rPr>
                <w:sz w:val="20"/>
                <w:szCs w:val="20"/>
                <w:color w:val="auto"/>
              </w:rPr>
            </w:pPr>
            <w:r>
              <w:rPr>
                <w:rFonts w:ascii="Arial" w:cs="Arial" w:eastAsia="Arial" w:hAnsi="Arial"/>
                <w:sz w:val="11"/>
                <w:szCs w:val="11"/>
                <w:color w:val="auto"/>
              </w:rPr>
              <w:t>5,493,397</w:t>
            </w:r>
          </w:p>
        </w:tc>
        <w:tc>
          <w:tcPr>
            <w:tcW w:w="18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84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(5,493,397)</w:t>
            </w:r>
          </w:p>
        </w:tc>
        <w:tc>
          <w:tcPr>
            <w:tcW w:w="16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80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11,266,889</w:t>
            </w:r>
          </w:p>
        </w:tc>
        <w:tc>
          <w:tcPr>
            <w:tcW w:w="18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1100" w:type="dxa"/>
            <w:vAlign w:val="bottom"/>
            <w:shd w:val="clear" w:color="auto" w:fill="D9D9D9"/>
          </w:tcPr>
          <w:p>
            <w:pPr>
              <w:jc w:val="right"/>
              <w:ind w:right="123"/>
              <w:spacing w:after="0" w:line="115" w:lineRule="exact"/>
              <w:rPr>
                <w:sz w:val="20"/>
                <w:szCs w:val="20"/>
                <w:color w:val="auto"/>
              </w:rPr>
            </w:pPr>
            <w:r>
              <w:rPr>
                <w:rFonts w:ascii="Arial" w:cs="Arial" w:eastAsia="Arial" w:hAnsi="Arial"/>
                <w:sz w:val="11"/>
                <w:szCs w:val="11"/>
                <w:color w:val="auto"/>
              </w:rPr>
              <w:t>6,458,837</w:t>
            </w:r>
          </w:p>
        </w:tc>
        <w:tc>
          <w:tcPr>
            <w:tcW w:w="22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1020" w:type="dxa"/>
            <w:vAlign w:val="bottom"/>
            <w:shd w:val="clear" w:color="auto" w:fill="D9D9D9"/>
          </w:tcPr>
          <w:p>
            <w:pPr>
              <w:jc w:val="right"/>
              <w:ind w:right="23"/>
              <w:spacing w:after="0" w:line="115" w:lineRule="exact"/>
              <w:rPr>
                <w:sz w:val="20"/>
                <w:szCs w:val="20"/>
                <w:color w:val="auto"/>
              </w:rPr>
            </w:pPr>
            <w:r>
              <w:rPr>
                <w:rFonts w:ascii="Arial" w:cs="Arial" w:eastAsia="Arial" w:hAnsi="Arial"/>
                <w:sz w:val="11"/>
                <w:szCs w:val="11"/>
                <w:color w:val="auto"/>
              </w:rPr>
              <w:t>1,325,284</w:t>
            </w:r>
          </w:p>
        </w:tc>
        <w:tc>
          <w:tcPr>
            <w:tcW w:w="18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80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19,051,010</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left="589" w:right="40"/>
        <w:spacing w:after="0" w:line="262" w:lineRule="auto"/>
        <w:rPr>
          <w:sz w:val="20"/>
          <w:szCs w:val="20"/>
          <w:color w:val="auto"/>
        </w:rPr>
      </w:pPr>
      <w:r>
        <w:rPr>
          <w:rFonts w:ascii="Arial" w:cs="Arial" w:eastAsia="Arial" w:hAnsi="Arial"/>
          <w:sz w:val="16"/>
          <w:szCs w:val="16"/>
          <w:color w:val="auto"/>
        </w:rPr>
        <w:t>The amounts in the following table represent each of the amounts deducted and added to the change in pension value for AbbVie’s named executive officers (NEOs) as a group (excluding the PEO) for the 2025 fiscal year for purposes of computing the “compensation actually paid” amount appearing in column (d) of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50165</wp:posOffset>
            </wp:positionV>
            <wp:extent cx="238379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83790" cy="7620"/>
                    </a:xfrm>
                    <a:prstGeom prst="rect">
                      <a:avLst/>
                    </a:prstGeom>
                    <a:noFill/>
                  </pic:spPr>
                </pic:pic>
              </a:graphicData>
            </a:graphic>
          </wp:anchor>
        </w:drawing>
      </w:r>
    </w:p>
    <w:p>
      <w:pPr>
        <w:spacing w:after="0" w:line="174" w:lineRule="exact"/>
        <w:rPr>
          <w:sz w:val="20"/>
          <w:szCs w:val="20"/>
          <w:color w:val="auto"/>
        </w:rPr>
      </w:pPr>
    </w:p>
    <w:tbl>
      <w:tblPr>
        <w:tblLayout w:type="fixed"/>
        <w:tblInd w:w="589" w:type="dxa"/>
        <w:tblCellMar>
          <w:top w:w="0" w:type="dxa"/>
          <w:left w:w="0" w:type="dxa"/>
          <w:bottom w:w="0" w:type="dxa"/>
          <w:right w:w="0" w:type="dxa"/>
        </w:tblCellMar>
      </w:tblPr>
      <w:tr>
        <w:trPr>
          <w:trHeight w:val="126"/>
        </w:trPr>
        <w:tc>
          <w:tcPr>
            <w:tcW w:w="5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b w:val="1"/>
                <w:bCs w:val="1"/>
                <w:color w:val="auto"/>
              </w:rPr>
              <w:t>Total Change</w:t>
            </w: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vMerge w:val="restart"/>
          </w:tcPr>
          <w:p>
            <w:pPr>
              <w:jc w:val="right"/>
              <w:ind w:right="63"/>
              <w:spacing w:after="0"/>
              <w:rPr>
                <w:sz w:val="20"/>
                <w:szCs w:val="20"/>
                <w:color w:val="auto"/>
              </w:rPr>
            </w:pPr>
            <w:r>
              <w:rPr>
                <w:rFonts w:ascii="Arial" w:cs="Arial" w:eastAsia="Arial" w:hAnsi="Arial"/>
                <w:sz w:val="11"/>
                <w:szCs w:val="11"/>
                <w:b w:val="1"/>
                <w:bCs w:val="1"/>
                <w:color w:val="auto"/>
              </w:rPr>
              <w:t>Prior</w:t>
            </w:r>
          </w:p>
        </w:tc>
        <w:tc>
          <w:tcPr>
            <w:tcW w:w="2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Total Change in</w:t>
            </w:r>
          </w:p>
        </w:tc>
        <w:tc>
          <w:tcPr>
            <w:tcW w:w="0" w:type="dxa"/>
            <w:vAlign w:val="bottom"/>
          </w:tcPr>
          <w:p>
            <w:pPr>
              <w:spacing w:after="0"/>
              <w:rPr>
                <w:sz w:val="1"/>
                <w:szCs w:val="1"/>
                <w:color w:val="auto"/>
              </w:rPr>
            </w:pPr>
          </w:p>
        </w:tc>
      </w:tr>
      <w:tr>
        <w:trPr>
          <w:trHeight w:val="123"/>
        </w:trPr>
        <w:tc>
          <w:tcPr>
            <w:tcW w:w="5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in Pension</w:t>
            </w:r>
          </w:p>
        </w:tc>
        <w:tc>
          <w:tcPr>
            <w:tcW w:w="240" w:type="dxa"/>
            <w:vAlign w:val="bottom"/>
          </w:tcPr>
          <w:p>
            <w:pPr>
              <w:spacing w:after="0"/>
              <w:rPr>
                <w:sz w:val="10"/>
                <w:szCs w:val="10"/>
                <w:color w:val="auto"/>
              </w:rPr>
            </w:pPr>
          </w:p>
        </w:tc>
        <w:tc>
          <w:tcPr>
            <w:tcW w:w="1040" w:type="dxa"/>
            <w:vAlign w:val="bottom"/>
            <w:vMerge w:val="restart"/>
          </w:tcPr>
          <w:p>
            <w:pPr>
              <w:jc w:val="right"/>
              <w:ind w:right="83"/>
              <w:spacing w:after="0"/>
              <w:rPr>
                <w:sz w:val="20"/>
                <w:szCs w:val="20"/>
                <w:color w:val="auto"/>
              </w:rPr>
            </w:pPr>
            <w:r>
              <w:rPr>
                <w:rFonts w:ascii="Arial" w:cs="Arial" w:eastAsia="Arial" w:hAnsi="Arial"/>
                <w:sz w:val="11"/>
                <w:szCs w:val="11"/>
                <w:b w:val="1"/>
                <w:bCs w:val="1"/>
                <w:color w:val="auto"/>
              </w:rPr>
              <w:t>Change in</w:t>
            </w:r>
          </w:p>
        </w:tc>
        <w:tc>
          <w:tcPr>
            <w:tcW w:w="200" w:type="dxa"/>
            <w:vAlign w:val="bottom"/>
          </w:tcPr>
          <w:p>
            <w:pPr>
              <w:spacing w:after="0"/>
              <w:rPr>
                <w:sz w:val="10"/>
                <w:szCs w:val="10"/>
                <w:color w:val="auto"/>
              </w:rPr>
            </w:pPr>
          </w:p>
        </w:tc>
        <w:tc>
          <w:tcPr>
            <w:tcW w:w="1020" w:type="dxa"/>
            <w:vAlign w:val="bottom"/>
            <w:vMerge w:val="restart"/>
          </w:tcPr>
          <w:p>
            <w:pPr>
              <w:jc w:val="right"/>
              <w:ind w:right="63"/>
              <w:spacing w:after="0"/>
              <w:rPr>
                <w:sz w:val="20"/>
                <w:szCs w:val="20"/>
                <w:color w:val="auto"/>
              </w:rPr>
            </w:pPr>
            <w:r>
              <w:rPr>
                <w:rFonts w:ascii="Arial" w:cs="Arial" w:eastAsia="Arial" w:hAnsi="Arial"/>
                <w:sz w:val="11"/>
                <w:szCs w:val="11"/>
                <w:b w:val="1"/>
                <w:bCs w:val="1"/>
                <w:color w:val="auto"/>
              </w:rPr>
              <w:t>Service Costs</w:t>
            </w:r>
          </w:p>
        </w:tc>
        <w:tc>
          <w:tcPr>
            <w:tcW w:w="2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Value Reflected</w:t>
            </w:r>
          </w:p>
        </w:tc>
        <w:tc>
          <w:tcPr>
            <w:tcW w:w="2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right"/>
              <w:ind w:right="63"/>
              <w:spacing w:after="0" w:line="123" w:lineRule="exact"/>
              <w:rPr>
                <w:sz w:val="20"/>
                <w:szCs w:val="20"/>
                <w:color w:val="auto"/>
              </w:rPr>
            </w:pPr>
            <w:r>
              <w:rPr>
                <w:rFonts w:ascii="Arial" w:cs="Arial" w:eastAsia="Arial" w:hAnsi="Arial"/>
                <w:sz w:val="11"/>
                <w:szCs w:val="11"/>
                <w:b w:val="1"/>
                <w:bCs w:val="1"/>
                <w:color w:val="auto"/>
              </w:rPr>
              <w:t>Service Costs</w:t>
            </w:r>
          </w:p>
        </w:tc>
        <w:tc>
          <w:tcPr>
            <w:tcW w:w="220" w:type="dxa"/>
            <w:vAlign w:val="bottom"/>
          </w:tcPr>
          <w:p>
            <w:pPr>
              <w:spacing w:after="0"/>
              <w:rPr>
                <w:sz w:val="10"/>
                <w:szCs w:val="10"/>
                <w:color w:val="auto"/>
              </w:rPr>
            </w:pPr>
          </w:p>
        </w:tc>
        <w:tc>
          <w:tcPr>
            <w:tcW w:w="96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Pension Value</w:t>
            </w:r>
          </w:p>
        </w:tc>
        <w:tc>
          <w:tcPr>
            <w:tcW w:w="0" w:type="dxa"/>
            <w:vAlign w:val="bottom"/>
          </w:tcPr>
          <w:p>
            <w:pPr>
              <w:spacing w:after="0"/>
              <w:rPr>
                <w:sz w:val="1"/>
                <w:szCs w:val="1"/>
                <w:color w:val="auto"/>
              </w:rPr>
            </w:pPr>
          </w:p>
        </w:tc>
      </w:tr>
      <w:tr>
        <w:trPr>
          <w:trHeight w:val="123"/>
        </w:trPr>
        <w:tc>
          <w:tcPr>
            <w:tcW w:w="5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in the Summary</w:t>
            </w:r>
          </w:p>
        </w:tc>
        <w:tc>
          <w:tcPr>
            <w:tcW w:w="240" w:type="dxa"/>
            <w:vAlign w:val="bottom"/>
          </w:tcPr>
          <w:p>
            <w:pPr>
              <w:spacing w:after="0"/>
              <w:rPr>
                <w:sz w:val="10"/>
                <w:szCs w:val="10"/>
                <w:color w:val="auto"/>
              </w:rPr>
            </w:pPr>
          </w:p>
        </w:tc>
        <w:tc>
          <w:tcPr>
            <w:tcW w:w="1040" w:type="dxa"/>
            <w:vAlign w:val="bottom"/>
          </w:tcPr>
          <w:p>
            <w:pPr>
              <w:jc w:val="right"/>
              <w:ind w:right="83"/>
              <w:spacing w:after="0" w:line="123" w:lineRule="exact"/>
              <w:rPr>
                <w:sz w:val="20"/>
                <w:szCs w:val="20"/>
                <w:color w:val="auto"/>
              </w:rPr>
            </w:pPr>
            <w:r>
              <w:rPr>
                <w:rFonts w:ascii="Arial" w:cs="Arial" w:eastAsia="Arial" w:hAnsi="Arial"/>
                <w:sz w:val="11"/>
                <w:szCs w:val="11"/>
                <w:b w:val="1"/>
                <w:bCs w:val="1"/>
                <w:color w:val="auto"/>
              </w:rPr>
              <w:t>Pension Value</w:t>
            </w:r>
          </w:p>
        </w:tc>
        <w:tc>
          <w:tcPr>
            <w:tcW w:w="200" w:type="dxa"/>
            <w:vAlign w:val="bottom"/>
          </w:tcPr>
          <w:p>
            <w:pPr>
              <w:spacing w:after="0"/>
              <w:rPr>
                <w:sz w:val="10"/>
                <w:szCs w:val="10"/>
                <w:color w:val="auto"/>
              </w:rPr>
            </w:pPr>
          </w:p>
        </w:tc>
        <w:tc>
          <w:tcPr>
            <w:tcW w:w="1020" w:type="dxa"/>
            <w:vAlign w:val="bottom"/>
          </w:tcPr>
          <w:p>
            <w:pPr>
              <w:jc w:val="right"/>
              <w:ind w:right="63"/>
              <w:spacing w:after="0" w:line="123" w:lineRule="exact"/>
              <w:rPr>
                <w:sz w:val="20"/>
                <w:szCs w:val="20"/>
                <w:color w:val="auto"/>
              </w:rPr>
            </w:pPr>
            <w:r>
              <w:rPr>
                <w:rFonts w:ascii="Arial" w:cs="Arial" w:eastAsia="Arial" w:hAnsi="Arial"/>
                <w:sz w:val="11"/>
                <w:szCs w:val="11"/>
                <w:b w:val="1"/>
                <w:bCs w:val="1"/>
                <w:color w:val="auto"/>
              </w:rPr>
              <w:t>Attributable</w:t>
            </w:r>
          </w:p>
        </w:tc>
        <w:tc>
          <w:tcPr>
            <w:tcW w:w="220" w:type="dxa"/>
            <w:vAlign w:val="bottom"/>
          </w:tcPr>
          <w:p>
            <w:pPr>
              <w:spacing w:after="0"/>
              <w:rPr>
                <w:sz w:val="10"/>
                <w:szCs w:val="10"/>
                <w:color w:val="auto"/>
              </w:rPr>
            </w:pPr>
          </w:p>
        </w:tc>
        <w:tc>
          <w:tcPr>
            <w:tcW w:w="1040" w:type="dxa"/>
            <w:vAlign w:val="bottom"/>
          </w:tcPr>
          <w:p>
            <w:pPr>
              <w:jc w:val="right"/>
              <w:ind w:right="63"/>
              <w:spacing w:after="0" w:line="123" w:lineRule="exact"/>
              <w:rPr>
                <w:sz w:val="20"/>
                <w:szCs w:val="20"/>
                <w:color w:val="auto"/>
              </w:rPr>
            </w:pPr>
            <w:r>
              <w:rPr>
                <w:rFonts w:ascii="Arial" w:cs="Arial" w:eastAsia="Arial" w:hAnsi="Arial"/>
                <w:sz w:val="11"/>
                <w:szCs w:val="11"/>
                <w:b w:val="1"/>
                <w:bCs w:val="1"/>
                <w:color w:val="auto"/>
              </w:rPr>
              <w:t>Introduced</w:t>
            </w:r>
          </w:p>
        </w:tc>
        <w:tc>
          <w:tcPr>
            <w:tcW w:w="220" w:type="dxa"/>
            <w:vAlign w:val="bottom"/>
          </w:tcPr>
          <w:p>
            <w:pPr>
              <w:spacing w:after="0"/>
              <w:rPr>
                <w:sz w:val="10"/>
                <w:szCs w:val="10"/>
                <w:color w:val="auto"/>
              </w:rPr>
            </w:pPr>
          </w:p>
        </w:tc>
        <w:tc>
          <w:tcPr>
            <w:tcW w:w="96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Reflected in</w:t>
            </w:r>
          </w:p>
        </w:tc>
        <w:tc>
          <w:tcPr>
            <w:tcW w:w="0" w:type="dxa"/>
            <w:vAlign w:val="bottom"/>
          </w:tcPr>
          <w:p>
            <w:pPr>
              <w:spacing w:after="0"/>
              <w:rPr>
                <w:sz w:val="1"/>
                <w:szCs w:val="1"/>
                <w:color w:val="auto"/>
              </w:rPr>
            </w:pPr>
          </w:p>
        </w:tc>
      </w:tr>
      <w:tr>
        <w:trPr>
          <w:trHeight w:val="123"/>
        </w:trPr>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rPr>
              <w:t>Year</w:t>
            </w:r>
          </w:p>
        </w:tc>
        <w:tc>
          <w:tcPr>
            <w:tcW w:w="128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NEO Names</w:t>
            </w:r>
          </w:p>
        </w:tc>
        <w:tc>
          <w:tcPr>
            <w:tcW w:w="260" w:type="dxa"/>
            <w:vAlign w:val="bottom"/>
          </w:tcPr>
          <w:p>
            <w:pPr>
              <w:spacing w:after="0"/>
              <w:rPr>
                <w:sz w:val="10"/>
                <w:szCs w:val="10"/>
                <w:color w:val="auto"/>
              </w:rPr>
            </w:pPr>
          </w:p>
        </w:tc>
        <w:tc>
          <w:tcPr>
            <w:tcW w:w="102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Compensation</w:t>
            </w:r>
          </w:p>
        </w:tc>
        <w:tc>
          <w:tcPr>
            <w:tcW w:w="240" w:type="dxa"/>
            <w:vAlign w:val="bottom"/>
          </w:tcPr>
          <w:p>
            <w:pPr>
              <w:spacing w:after="0"/>
              <w:rPr>
                <w:sz w:val="10"/>
                <w:szCs w:val="10"/>
                <w:color w:val="auto"/>
              </w:rPr>
            </w:pPr>
          </w:p>
        </w:tc>
        <w:tc>
          <w:tcPr>
            <w:tcW w:w="1040" w:type="dxa"/>
            <w:vAlign w:val="bottom"/>
          </w:tcPr>
          <w:p>
            <w:pPr>
              <w:jc w:val="right"/>
              <w:ind w:right="83"/>
              <w:spacing w:after="0" w:line="123" w:lineRule="exact"/>
              <w:rPr>
                <w:sz w:val="20"/>
                <w:szCs w:val="20"/>
                <w:color w:val="auto"/>
              </w:rPr>
            </w:pPr>
            <w:r>
              <w:rPr>
                <w:rFonts w:ascii="Arial" w:cs="Arial" w:eastAsia="Arial" w:hAnsi="Arial"/>
                <w:sz w:val="11"/>
                <w:szCs w:val="11"/>
                <w:b w:val="1"/>
                <w:bCs w:val="1"/>
                <w:color w:val="auto"/>
              </w:rPr>
              <w:t>for the</w:t>
            </w:r>
          </w:p>
        </w:tc>
        <w:tc>
          <w:tcPr>
            <w:tcW w:w="200" w:type="dxa"/>
            <w:vAlign w:val="bottom"/>
          </w:tcPr>
          <w:p>
            <w:pPr>
              <w:spacing w:after="0"/>
              <w:rPr>
                <w:sz w:val="10"/>
                <w:szCs w:val="10"/>
                <w:color w:val="auto"/>
              </w:rPr>
            </w:pPr>
          </w:p>
        </w:tc>
        <w:tc>
          <w:tcPr>
            <w:tcW w:w="1020" w:type="dxa"/>
            <w:vAlign w:val="bottom"/>
          </w:tcPr>
          <w:p>
            <w:pPr>
              <w:jc w:val="right"/>
              <w:ind w:right="63"/>
              <w:spacing w:after="0" w:line="123" w:lineRule="exact"/>
              <w:rPr>
                <w:sz w:val="20"/>
                <w:szCs w:val="20"/>
                <w:color w:val="auto"/>
              </w:rPr>
            </w:pPr>
            <w:r>
              <w:rPr>
                <w:rFonts w:ascii="Arial" w:cs="Arial" w:eastAsia="Arial" w:hAnsi="Arial"/>
                <w:sz w:val="11"/>
                <w:szCs w:val="11"/>
                <w:b w:val="1"/>
                <w:bCs w:val="1"/>
                <w:color w:val="auto"/>
              </w:rPr>
              <w:t>to the</w:t>
            </w:r>
          </w:p>
        </w:tc>
        <w:tc>
          <w:tcPr>
            <w:tcW w:w="220" w:type="dxa"/>
            <w:vAlign w:val="bottom"/>
          </w:tcPr>
          <w:p>
            <w:pPr>
              <w:spacing w:after="0"/>
              <w:rPr>
                <w:sz w:val="10"/>
                <w:szCs w:val="10"/>
                <w:color w:val="auto"/>
              </w:rPr>
            </w:pPr>
          </w:p>
        </w:tc>
        <w:tc>
          <w:tcPr>
            <w:tcW w:w="1040" w:type="dxa"/>
            <w:vAlign w:val="bottom"/>
          </w:tcPr>
          <w:p>
            <w:pPr>
              <w:jc w:val="right"/>
              <w:ind w:right="63"/>
              <w:spacing w:after="0" w:line="123" w:lineRule="exact"/>
              <w:rPr>
                <w:sz w:val="20"/>
                <w:szCs w:val="20"/>
                <w:color w:val="auto"/>
              </w:rPr>
            </w:pPr>
            <w:r>
              <w:rPr>
                <w:rFonts w:ascii="Arial" w:cs="Arial" w:eastAsia="Arial" w:hAnsi="Arial"/>
                <w:sz w:val="11"/>
                <w:szCs w:val="11"/>
                <w:b w:val="1"/>
                <w:bCs w:val="1"/>
                <w:color w:val="auto"/>
              </w:rPr>
              <w:t>During the</w:t>
            </w:r>
          </w:p>
        </w:tc>
        <w:tc>
          <w:tcPr>
            <w:tcW w:w="220" w:type="dxa"/>
            <w:vAlign w:val="bottom"/>
          </w:tcPr>
          <w:p>
            <w:pPr>
              <w:spacing w:after="0"/>
              <w:rPr>
                <w:sz w:val="10"/>
                <w:szCs w:val="10"/>
                <w:color w:val="auto"/>
              </w:rPr>
            </w:pPr>
          </w:p>
        </w:tc>
        <w:tc>
          <w:tcPr>
            <w:tcW w:w="96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Compensation</w:t>
            </w:r>
          </w:p>
        </w:tc>
        <w:tc>
          <w:tcPr>
            <w:tcW w:w="0" w:type="dxa"/>
            <w:vAlign w:val="bottom"/>
          </w:tcPr>
          <w:p>
            <w:pPr>
              <w:spacing w:after="0"/>
              <w:rPr>
                <w:sz w:val="1"/>
                <w:szCs w:val="1"/>
                <w:color w:val="auto"/>
              </w:rPr>
            </w:pPr>
          </w:p>
        </w:tc>
      </w:tr>
      <w:tr>
        <w:trPr>
          <w:trHeight w:val="141"/>
        </w:trPr>
        <w:tc>
          <w:tcPr>
            <w:tcW w:w="560" w:type="dxa"/>
            <w:vAlign w:val="bottom"/>
            <w:tcBorders>
              <w:bottom w:val="single" w:sz="8" w:color="auto"/>
            </w:tcBorders>
            <w:vMerge w:val="continue"/>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Table</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Applicable Year</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Applicable Year</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Applicable Year</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Actually Paid</w:t>
            </w:r>
          </w:p>
        </w:tc>
        <w:tc>
          <w:tcPr>
            <w:tcW w:w="0" w:type="dxa"/>
            <w:vAlign w:val="bottom"/>
          </w:tcPr>
          <w:p>
            <w:pPr>
              <w:spacing w:after="0"/>
              <w:rPr>
                <w:sz w:val="1"/>
                <w:szCs w:val="1"/>
                <w:color w:val="auto"/>
              </w:rPr>
            </w:pPr>
          </w:p>
        </w:tc>
      </w:tr>
      <w:tr>
        <w:trPr>
          <w:trHeight w:val="115"/>
        </w:trPr>
        <w:tc>
          <w:tcPr>
            <w:tcW w:w="560" w:type="dxa"/>
            <w:vAlign w:val="bottom"/>
            <w:shd w:val="clear" w:color="auto" w:fill="D9D9D9"/>
          </w:tcPr>
          <w:p>
            <w:pPr>
              <w:spacing w:after="0" w:line="115" w:lineRule="exact"/>
              <w:rPr>
                <w:sz w:val="20"/>
                <w:szCs w:val="20"/>
                <w:color w:val="auto"/>
              </w:rPr>
            </w:pPr>
            <w:r>
              <w:rPr>
                <w:rFonts w:ascii="Arial" w:cs="Arial" w:eastAsia="Arial" w:hAnsi="Arial"/>
                <w:sz w:val="11"/>
                <w:szCs w:val="11"/>
                <w:color w:val="auto"/>
              </w:rPr>
              <w:t>2025</w:t>
            </w:r>
          </w:p>
        </w:tc>
        <w:tc>
          <w:tcPr>
            <w:tcW w:w="1280" w:type="dxa"/>
            <w:vAlign w:val="bottom"/>
            <w:shd w:val="clear" w:color="auto" w:fill="D9D9D9"/>
          </w:tcPr>
          <w:p>
            <w:pPr>
              <w:ind w:left="320"/>
              <w:spacing w:after="0" w:line="115" w:lineRule="exact"/>
              <w:rPr>
                <w:sz w:val="20"/>
                <w:szCs w:val="20"/>
                <w:color w:val="auto"/>
              </w:rPr>
            </w:pPr>
            <w:r>
              <w:rPr>
                <w:rFonts w:ascii="Arial" w:cs="Arial" w:eastAsia="Arial" w:hAnsi="Arial"/>
                <w:sz w:val="11"/>
                <w:szCs w:val="11"/>
                <w:color w:val="auto"/>
              </w:rPr>
              <w:t>See footnote (c)</w:t>
            </w:r>
          </w:p>
        </w:tc>
        <w:tc>
          <w:tcPr>
            <w:tcW w:w="26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w:t>
            </w:r>
          </w:p>
        </w:tc>
        <w:tc>
          <w:tcPr>
            <w:tcW w:w="1020" w:type="dxa"/>
            <w:vAlign w:val="bottom"/>
            <w:shd w:val="clear" w:color="auto" w:fill="D9D9D9"/>
          </w:tcPr>
          <w:p>
            <w:pPr>
              <w:jc w:val="right"/>
              <w:ind w:right="43"/>
              <w:spacing w:after="0" w:line="115" w:lineRule="exact"/>
              <w:rPr>
                <w:sz w:val="20"/>
                <w:szCs w:val="20"/>
                <w:color w:val="auto"/>
              </w:rPr>
            </w:pPr>
            <w:r>
              <w:rPr>
                <w:rFonts w:ascii="Arial" w:cs="Arial" w:eastAsia="Arial" w:hAnsi="Arial"/>
                <w:sz w:val="11"/>
                <w:szCs w:val="11"/>
                <w:color w:val="auto"/>
              </w:rPr>
              <w:t>1,853,071</w:t>
            </w:r>
          </w:p>
        </w:tc>
        <w:tc>
          <w:tcPr>
            <w:tcW w:w="24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w:t>
            </w:r>
          </w:p>
        </w:tc>
        <w:tc>
          <w:tcPr>
            <w:tcW w:w="1040" w:type="dxa"/>
            <w:vAlign w:val="bottom"/>
            <w:shd w:val="clear" w:color="auto" w:fill="D9D9D9"/>
          </w:tcPr>
          <w:p>
            <w:pPr>
              <w:jc w:val="right"/>
              <w:ind w:right="43"/>
              <w:spacing w:after="0" w:line="115" w:lineRule="exact"/>
              <w:rPr>
                <w:sz w:val="20"/>
                <w:szCs w:val="20"/>
                <w:color w:val="auto"/>
              </w:rPr>
            </w:pPr>
            <w:r>
              <w:rPr>
                <w:rFonts w:ascii="Arial" w:cs="Arial" w:eastAsia="Arial" w:hAnsi="Arial"/>
                <w:sz w:val="11"/>
                <w:szCs w:val="11"/>
                <w:color w:val="auto"/>
              </w:rPr>
              <w:t>(1,853,071)</w:t>
            </w:r>
          </w:p>
        </w:tc>
        <w:tc>
          <w:tcPr>
            <w:tcW w:w="20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w:t>
            </w:r>
          </w:p>
        </w:tc>
        <w:tc>
          <w:tcPr>
            <w:tcW w:w="1020" w:type="dxa"/>
            <w:vAlign w:val="bottom"/>
            <w:shd w:val="clear" w:color="auto" w:fill="D9D9D9"/>
          </w:tcPr>
          <w:p>
            <w:pPr>
              <w:jc w:val="right"/>
              <w:ind w:right="63"/>
              <w:spacing w:after="0" w:line="115" w:lineRule="exact"/>
              <w:rPr>
                <w:sz w:val="20"/>
                <w:szCs w:val="20"/>
                <w:color w:val="auto"/>
              </w:rPr>
            </w:pPr>
            <w:r>
              <w:rPr>
                <w:rFonts w:ascii="Arial" w:cs="Arial" w:eastAsia="Arial" w:hAnsi="Arial"/>
                <w:sz w:val="11"/>
                <w:szCs w:val="11"/>
                <w:color w:val="auto"/>
              </w:rPr>
              <w:t>359,361</w:t>
            </w:r>
          </w:p>
        </w:tc>
        <w:tc>
          <w:tcPr>
            <w:tcW w:w="22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w:t>
            </w:r>
          </w:p>
        </w:tc>
        <w:tc>
          <w:tcPr>
            <w:tcW w:w="1040" w:type="dxa"/>
            <w:vAlign w:val="bottom"/>
            <w:shd w:val="clear" w:color="auto" w:fill="D9D9D9"/>
          </w:tcPr>
          <w:p>
            <w:pPr>
              <w:jc w:val="right"/>
              <w:ind w:right="63"/>
              <w:spacing w:after="0" w:line="115" w:lineRule="exact"/>
              <w:rPr>
                <w:sz w:val="20"/>
                <w:szCs w:val="20"/>
                <w:color w:val="auto"/>
              </w:rPr>
            </w:pPr>
            <w:r>
              <w:rPr>
                <w:rFonts w:ascii="Arial" w:cs="Arial" w:eastAsia="Arial" w:hAnsi="Arial"/>
                <w:sz w:val="11"/>
                <w:szCs w:val="11"/>
                <w:color w:val="auto"/>
              </w:rPr>
              <w:t>N/A</w:t>
            </w:r>
          </w:p>
        </w:tc>
        <w:tc>
          <w:tcPr>
            <w:tcW w:w="220" w:type="dxa"/>
            <w:vAlign w:val="bottom"/>
            <w:shd w:val="clear" w:color="auto" w:fill="D9D9D9"/>
          </w:tcPr>
          <w:p>
            <w:pPr>
              <w:jc w:val="right"/>
              <w:ind w:right="3"/>
              <w:spacing w:after="0" w:line="115" w:lineRule="exact"/>
              <w:rPr>
                <w:sz w:val="20"/>
                <w:szCs w:val="20"/>
                <w:color w:val="auto"/>
              </w:rPr>
            </w:pPr>
            <w:r>
              <w:rPr>
                <w:rFonts w:ascii="Arial" w:cs="Arial" w:eastAsia="Arial" w:hAnsi="Arial"/>
                <w:sz w:val="11"/>
                <w:szCs w:val="11"/>
                <w:color w:val="auto"/>
              </w:rPr>
              <w:t>$</w:t>
            </w:r>
          </w:p>
        </w:tc>
        <w:tc>
          <w:tcPr>
            <w:tcW w:w="960" w:type="dxa"/>
            <w:vAlign w:val="bottom"/>
            <w:shd w:val="clear" w:color="auto" w:fill="D9D9D9"/>
          </w:tcPr>
          <w:p>
            <w:pPr>
              <w:jc w:val="right"/>
              <w:spacing w:after="0" w:line="115" w:lineRule="exact"/>
              <w:rPr>
                <w:sz w:val="20"/>
                <w:szCs w:val="20"/>
                <w:color w:val="auto"/>
              </w:rPr>
            </w:pPr>
            <w:r>
              <w:rPr>
                <w:rFonts w:ascii="Arial" w:cs="Arial" w:eastAsia="Arial" w:hAnsi="Arial"/>
                <w:sz w:val="11"/>
                <w:szCs w:val="11"/>
                <w:color w:val="auto"/>
              </w:rPr>
              <w:t>359,361</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ind w:left="589" w:right="80" w:hanging="589"/>
        <w:spacing w:after="0" w:line="262" w:lineRule="auto"/>
        <w:tabs>
          <w:tab w:leader="none" w:pos="589" w:val="left"/>
        </w:tabs>
        <w:numPr>
          <w:ilvl w:val="0"/>
          <w:numId w:val="95"/>
        </w:numPr>
        <w:rPr>
          <w:rFonts w:ascii="Arial" w:cs="Arial" w:eastAsia="Arial" w:hAnsi="Arial"/>
          <w:sz w:val="16"/>
          <w:szCs w:val="16"/>
          <w:color w:val="auto"/>
        </w:rPr>
      </w:pPr>
      <w:r>
        <w:rPr>
          <w:rFonts w:ascii="Arial" w:cs="Arial" w:eastAsia="Arial" w:hAnsi="Arial"/>
          <w:sz w:val="16"/>
          <w:szCs w:val="16"/>
          <w:color w:val="auto"/>
        </w:rPr>
        <w:t>Cumulative TSR is calculated by dividing the sum of the cumulative amount of dividends for the measurement period, assuming dividend reinvestment, and the difference between AbbVie’s share price at the end and the beginning of the measurement period by AbbVie's share price at the beginning of the measurement period.</w:t>
      </w:r>
    </w:p>
    <w:p>
      <w:pPr>
        <w:spacing w:after="0" w:line="136" w:lineRule="exact"/>
        <w:rPr>
          <w:rFonts w:ascii="Arial" w:cs="Arial" w:eastAsia="Arial" w:hAnsi="Arial"/>
          <w:sz w:val="16"/>
          <w:szCs w:val="16"/>
          <w:color w:val="auto"/>
        </w:rPr>
      </w:pPr>
    </w:p>
    <w:p>
      <w:pPr>
        <w:ind w:left="589" w:hanging="589"/>
        <w:spacing w:after="0" w:line="262" w:lineRule="auto"/>
        <w:tabs>
          <w:tab w:leader="none" w:pos="589"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Represents the weighted peer group TSR, weighted according to the respective companies’ stock market capitalization at the beginning of each period for which a return is indicated. The peer group used for this purpose is the NYSE Arca Pharmaceutical Index, our peer group used for purposes of Item 201(e) of Regulation S-K.</w:t>
      </w:r>
    </w:p>
    <w:p>
      <w:pPr>
        <w:spacing w:after="0" w:line="136" w:lineRule="exact"/>
        <w:rPr>
          <w:rFonts w:ascii="Arial" w:cs="Arial" w:eastAsia="Arial" w:hAnsi="Arial"/>
          <w:sz w:val="16"/>
          <w:szCs w:val="16"/>
          <w:color w:val="auto"/>
        </w:rPr>
      </w:pPr>
    </w:p>
    <w:p>
      <w:pPr>
        <w:ind w:left="589" w:hanging="589"/>
        <w:spacing w:after="0" w:line="247" w:lineRule="auto"/>
        <w:tabs>
          <w:tab w:leader="none" w:pos="589" w:val="left"/>
        </w:tabs>
        <w:numPr>
          <w:ilvl w:val="0"/>
          <w:numId w:val="95"/>
        </w:numPr>
        <w:rPr>
          <w:rFonts w:ascii="Arial" w:cs="Arial" w:eastAsia="Arial" w:hAnsi="Arial"/>
          <w:sz w:val="16"/>
          <w:szCs w:val="16"/>
          <w:color w:val="auto"/>
        </w:rPr>
      </w:pPr>
      <w:r>
        <w:rPr>
          <w:rFonts w:ascii="Arial" w:cs="Arial" w:eastAsia="Arial" w:hAnsi="Arial"/>
          <w:sz w:val="16"/>
          <w:szCs w:val="16"/>
          <w:color w:val="auto"/>
        </w:rPr>
        <w:t>As required by Item 402(v) of Regulation S-K, AbbVie has determined that adjusted diluted EPS is the Company Selected Measure, as it is the most important financial performance measure (that is not otherwise required to be disclosed in the table) used to link compensation actually paid to AbbVie’s NEOs to company performance for the most recently completed fiscal year. Adjusted diluted EPS is a non-GAAP measure that represents diluted earnings per share adjusted to exclude certain specified items, as described in Appendix B. Adjusted diluted EPS includes an unfavorable impact related to acquired IPR&amp;D and milestone expenses of $2.76 in 2025, $1.52 in 2024, $0.42 in 2023, $0.39 in 2022, and $0.90 in 2021.</w:t>
      </w:r>
    </w:p>
    <w:p>
      <w:pPr>
        <w:spacing w:after="0" w:line="200" w:lineRule="exact"/>
        <w:rPr>
          <w:sz w:val="20"/>
          <w:szCs w:val="20"/>
          <w:color w:val="auto"/>
        </w:rPr>
      </w:pPr>
    </w:p>
    <w:p>
      <w:pPr>
        <w:spacing w:after="0" w:line="339"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64</w:t>
      </w:r>
      <w:r>
        <w:rPr>
          <w:sz w:val="20"/>
          <w:szCs w:val="20"/>
          <w:color w:val="auto"/>
        </w:rPr>
        <w:tab/>
      </w:r>
      <w:r>
        <w:rPr>
          <w:sz w:val="1"/>
          <w:szCs w:val="1"/>
          <w:color w:val="auto"/>
        </w:rPr>
        <w:drawing>
          <wp:inline distT="0" distB="0" distL="0" distR="0">
            <wp:extent cx="797560" cy="14859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158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09"/>
          </w:cols>
          <w:pgMar w:left="1311" w:top="480" w:right="137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Comparative Analysis of the Pay versus Performance Table</w:t>
      </w:r>
    </w:p>
    <w:p>
      <w:pPr>
        <w:spacing w:after="0" w:line="9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AbbVie’s compensation program is designed to attract and retain executives whose talents and contributions sustain long-term growth by aligning their interests with the drivers of stockholder returns and supporting their achievement of AbbVie’s primary business goals. AbbVie considers several performance measures to ensure executives are incentivized to accomplish these objectives, many of which are not presented in the pay versus performance table. The charts and descriptions below explain the relationship between the columns presented in the pay versus performance table.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AbbVie TSR versus Peer Group TSR</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graph below shows AbbVie’s cumulative TSR over the five-year period ending with December 31, 2025 as compared to the NYSE Arca Pharmaceutical Index. AbbVie’s cumulative TSR outperformed our peer group during the five years presented in the table. Additionally, AbbVie is committed to a robust return of capital to stockholders with an increase of 204% in its quarterly dividend since 2015 as part of a balanced and disciplined capital allocation program, contributing to our strong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102235</wp:posOffset>
            </wp:positionV>
            <wp:extent cx="4502150" cy="26104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502150" cy="2610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797560" cy="148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“Compensation Actually Paid” to TSR</w:t>
      </w:r>
    </w:p>
    <w:p>
      <w:pPr>
        <w:spacing w:after="0" w:line="99"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The chart below demonstrates that the “compensation actually paid” amounts shown for Mr. Michael (for 2024-2025) and Mr. Gonzalez (for 2021 -2024) and average “compensation actually paid” to the other NEOs (see footnote (c) to the pay versus performance table) is aligned with AbbVie’s cumulative TSR over the five years presented in the table. The alignment of compensation actually paid with AbbVie’s cumulative TSR over the period presented reflects that a significant portion of the compensation actually paid to Mr. Michael and Mr. Gonzalez, as applicable, and to the other NEOs is comprised of equity awards. Moreover, AbbVie’s executive compensation philosophy and design is fundamentally based on a commitment to align pay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106680</wp:posOffset>
            </wp:positionV>
            <wp:extent cx="4502150" cy="23291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502150" cy="232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“Compensation Actually Paid” to Net Income</w:t>
      </w:r>
    </w:p>
    <w:p>
      <w:pPr>
        <w:spacing w:after="0" w:line="9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AbbVie’s net income was approximately $11.5 billion in 2021, $11.8 billion in 2022, $4.9 billion in 2023, $4.3 billion in 2024, and $4.2 billion in 2025. Mr. Michael’s “compensation actually paid” was approximately $33 million in 2024 and $ 57 million in 2025. Mr. Gonzalez’s “compensation actually paid” was approximately $66 million in 2021, $67 million in 2022, $35 million in 2023 and $68 million in 2024. The average “compensation actually paid” to AbbVie’s other NEOs (see footnote (c) to the pay versus performance table) was approximately $24 million in 2021, $20 million in 2022, $12 million in 2023, $20 million in 2024, and $24 million in 2025.</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“Compensation Actually Paid” to Company-Selected Measure (Adjusted Diluted EPS)</w:t>
      </w:r>
    </w:p>
    <w:p>
      <w:pPr>
        <w:spacing w:after="0" w:line="99"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AbbVie’s annualized adjusted diluted EPS was $11.83 in 2021, $13.77 in 2022, $ 11.11 in 2023, $10.12 in 2024, and $10.00 in 2025. Mr. Michael’s “compensation actually paid” was approximately $33 million in 2024 and $57 million in 2025. Mr. Gonzalez’s “compensation actually paid” was approximately $66 million in 2021, $67 million in 2022, $35 million in 2023, and $68 million in 2024, and the average “compensation actually paid” to AbbVie’s other NEOs (see footnote (c) to pay versus performance table) was approximately $24 million in 2021, $20 million in 2022, $12 million in 2023, $20 million in 2024, and $24 million in 2025. While AbbVie uses numerous financial and non-financial performance measures for the purpose of evaluating performance for our compensation programs, we have determined that adjusted diluted EPS is the financial performance measure that, in AbbVie’s assessment, represents the most important performance measure (that is not otherwise required to be disclosed in the table) used to link compensation actually paid to NEOs, for the most recently completed fiscal year, to AbbVie’s performance. AbbVie places significant emphasis on achieving positive EPS outcomes because it reflects strong operating dynamics in the underlying business, which is imperative for sustained long-term growth.</w:t>
      </w:r>
    </w:p>
    <w:p>
      <w:pPr>
        <w:spacing w:after="0" w:line="200" w:lineRule="exact"/>
        <w:rPr>
          <w:sz w:val="20"/>
          <w:szCs w:val="20"/>
          <w:color w:val="auto"/>
        </w:rPr>
      </w:pPr>
    </w:p>
    <w:p>
      <w:pPr>
        <w:spacing w:after="0" w:line="337"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66</w:t>
      </w:r>
      <w:r>
        <w:rPr>
          <w:sz w:val="20"/>
          <w:szCs w:val="20"/>
          <w:color w:val="auto"/>
        </w:rPr>
        <w:tab/>
      </w:r>
      <w:r>
        <w:rPr>
          <w:sz w:val="1"/>
          <w:szCs w:val="1"/>
          <w:color w:val="auto"/>
        </w:rPr>
        <w:drawing>
          <wp:inline distT="0" distB="0" distL="0" distR="0">
            <wp:extent cx="797560" cy="14859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234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40"/>
          </w:cols>
          <w:pgMar w:left="1320" w:top="480" w:right="1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Most Important Performance Measures</w:t>
      </w:r>
    </w:p>
    <w:p>
      <w:pPr>
        <w:spacing w:after="0" w:line="99"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The performance measures that AbbVie uses in our executive compensation program are selected based on the objective of incentivizing NEOs to achieve long-term, sustainable growth in stockholder value. As required by Item 402(v) of Regulation S-K, we have identified the following financial performance measures as being the most important in linking compensation actually paid to executives to AbbVie’s performance.</w:t>
      </w:r>
    </w:p>
    <w:p>
      <w:pPr>
        <w:spacing w:after="0" w:line="107"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Adjusted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-113665</wp:posOffset>
            </wp:positionV>
            <wp:extent cx="2938780" cy="1250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938780" cy="12509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6"/>
          <w:szCs w:val="16"/>
          <w:color w:val="auto"/>
        </w:rPr>
        <w:t>Relative Return on Invested Capital</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Adjusted Return on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-115570</wp:posOffset>
            </wp:positionV>
            <wp:extent cx="2938780" cy="1174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938780" cy="11747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6"/>
          <w:szCs w:val="16"/>
          <w:color w:val="auto"/>
        </w:rPr>
        <w:t>Non-GAAP Income Before Taxes</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-115570</wp:posOffset>
            </wp:positionV>
            <wp:extent cx="2938780" cy="1174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938780" cy="11747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6"/>
          <w:szCs w:val="16"/>
          <w:color w:val="auto"/>
        </w:rPr>
        <w:t>Platform Revenue</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-115570</wp:posOffset>
            </wp:positionV>
            <wp:extent cx="2938780" cy="1250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938780" cy="12509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30"/>
          <w:szCs w:val="30"/>
          <w:color w:val="auto"/>
        </w:rPr>
        <w:t>Potential Payments upon Termination or Change in Control</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 – GENERALLY</w:t>
      </w:r>
    </w:p>
    <w:p>
      <w:pPr>
        <w:spacing w:after="0" w:line="136"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In accordance with AbbVie’s longstanding practice, the company has not entered into employment agreements with its NEOs. NEOs do not have any rights or entitlements to any cash termination or severance payments or equity vesting acceleration outside of the change in control context and subsequent termination of an NEO (double trigger), as discussed in more detail below.</w:t>
      </w:r>
    </w:p>
    <w:p>
      <w:pPr>
        <w:spacing w:after="0" w:line="34"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The following summarizes the payments that the NEOs would have received if their employment had terminated on December 31, 2025. Earnings would have continued to be paid for the NEO’s Performance Incentive Plan and Supplemental Savings Plan grantor trusts, as applicable, until the trust assets were fully distributed. The amount of these payments would depend on the trust earnings and fees and the period over which the trust assets were distributed. Based on current earnings rates, if the trust assets were distributed over a 10-year period, the eligible NEOs would receive the following average annual earnings payments over such 10-year period: Mr. Michael, $1,120,589; Mr. Reents, $1,014,234; Mr. Stewart, $1,714,914; and Dr. Saleki-Gerhardt, $1,770,549. In addition, the following one-time deposits would have been made under the AbbVie Supplemental Pension Plan grantor trust for each of the following eligible NEOs, respectively: Mr. Michael, $7,253,931; Mr. Reents, $1,455,800; Mr. Stewart, $1,847,863; and Dr. Saleki-Gerhardt, $0. As of December 31, 2025, Mr. Michael, Mr. Reents, Mr. Stewart, Dr. Saleki-Gerhardt, and Dr. Thakkar were eligible to retire, and therefore were eligible to receive the pension benefits previously described.</w:t>
      </w:r>
    </w:p>
    <w:p>
      <w:pPr>
        <w:spacing w:after="0" w:line="23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If the termination of employment had been due to disability, then the respective NEO also would have received, in addition to AbbVie’s standard disability benefits, a monthly long-term disability benefit in the following amount: Mr. Michael, $260,000; Mr. Reents, $117,500; Mr. Stewart, $147,500; Dr. Saleki-Gerhardt, $ 110,000; and Dr. Thakkar, $117,500. This long-term disability benefit would continue for up to 24 months following termination of employment. It ends if the NEO retires, recovers, dies or ceases to meet eligibility criteria.</w:t>
      </w:r>
    </w:p>
    <w:p>
      <w:pPr>
        <w:spacing w:after="0" w:line="4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If the NEO’s employment had terminated due to death or disability, their unvested stock options, performance-vested restricted stock unit awards and performance shares would have vested on December 31, 2025 with values as set forth below in the subsection of this proxy statement captioned “Equity Awards.”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CHANGE IN CONTROL</w:t>
      </w:r>
    </w:p>
    <w:p>
      <w:pPr>
        <w:spacing w:after="0" w:line="136"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AbbVie has entered into change in control agreements with its NEOs. Each change in control agreement continues in effect until December 31, 2027, and can be renewed for successive five-year terms upon notice prior to the expiration date. If notice of non-renewal is given, the agreement will expire on the later of the scheduled expiration date and the one-year anniversary of the date of such notice. If no notice is given, the agreement will expire on the one-year anniversary of the scheduled expiration date. Each agreement also automatically extends for two years following any change in control (see below) that occurs while the agreement is in effect. As discussed in more detail below, AbbVie’s internal policies and individual change in control agreements with its NEOs prohibit a cash lump sum payment in excess of 2.99 times an NEO’s annual salary and annual incentive (“bonus”) award, unless stockholders ratify an exception.</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797560" cy="148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70" w:name="page71"/>
    <w:bookmarkEnd w:id="70"/>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9"/>
        <w:spacing w:after="0" w:line="243" w:lineRule="auto"/>
        <w:rPr>
          <w:sz w:val="20"/>
          <w:szCs w:val="20"/>
          <w:color w:val="auto"/>
        </w:rPr>
      </w:pPr>
      <w:r>
        <w:rPr>
          <w:rFonts w:ascii="Arial" w:cs="Arial" w:eastAsia="Arial" w:hAnsi="Arial"/>
          <w:sz w:val="16"/>
          <w:szCs w:val="16"/>
          <w:color w:val="auto"/>
        </w:rPr>
        <w:t>The agreements provide that if the employee is terminated other than for cause or permanent disability or if the employee elects to terminate employment for good reason (see below) within two years following a change in control, they are entitled to receive a lump sum payment equal to 2.99 their annual salary and bonus award (assuming for this purpose that all target performance goals have been achieved or, if higher, based on the average bonus for the last three years), plus any unpaid bonus owing for any completed performance period and the pro rata bonus for any current bonus period (based on the highest of the bonus assuming achievement of target performance, the average bonus for the past three years or, in the case of the unpaid bonus for any completed performance period, the actual bonus earned). If the employee is terminated other than for cause or permanent disability during a potential change in control (see below), they are entitled to receive a lump sum payment of the annual salary and bonus payments described above, except that the amount of the bonus to which the employee is entitled will be based on the actual achievement of the applicable performance goals. If the potential change in control becomes a “change in control event” (within the meaning of Internal Revenue Code Section 409A), the employee will be entitled to receive the difference between the bonus amounts the employee received upon termination during the potential change in control and the bonus amounts that would have been received had such amounts instead been based on the higher of the employee’s target bonus or the average bonus paid to the employee in the preceding three years. Bonus payments include payments made under the Performance Incentive Plan.</w:t>
      </w:r>
    </w:p>
    <w:p>
      <w:pPr>
        <w:spacing w:after="0" w:line="172" w:lineRule="exact"/>
        <w:rPr>
          <w:sz w:val="20"/>
          <w:szCs w:val="20"/>
          <w:color w:val="auto"/>
        </w:rPr>
      </w:pPr>
    </w:p>
    <w:p>
      <w:pPr>
        <w:ind w:left="9" w:right="160"/>
        <w:spacing w:after="0" w:line="247" w:lineRule="auto"/>
        <w:rPr>
          <w:sz w:val="20"/>
          <w:szCs w:val="20"/>
          <w:color w:val="auto"/>
        </w:rPr>
      </w:pPr>
      <w:r>
        <w:rPr>
          <w:rFonts w:ascii="Arial" w:cs="Arial" w:eastAsia="Arial" w:hAnsi="Arial"/>
          <w:sz w:val="16"/>
          <w:szCs w:val="16"/>
          <w:color w:val="auto"/>
        </w:rPr>
        <w:t>The employee also will receive up to two years of additional employee benefits (including welfare benefits, outplacement services and tax and financial counseling) and the value of three more years of pension accruals under the Supplemental Pension Plan. If change in control-related payments and benefits become subject to the excise tax imposed under Internal Revenue Code Section 4999, payments under the agreement will be reduced to prevent application of the excise tax if such a reduction would leave the employee in a better after-tax position than if the payments were not reduced and the tax applied. The agreements also limit the conduct for which awards under AbbVie’s incentive stock programs can be forfeited and generally permit options to remain exercisable for the remainder of their term.</w:t>
      </w:r>
    </w:p>
    <w:p>
      <w:pPr>
        <w:spacing w:after="0" w:line="164" w:lineRule="exact"/>
        <w:rPr>
          <w:sz w:val="20"/>
          <w:szCs w:val="20"/>
          <w:color w:val="auto"/>
        </w:rPr>
      </w:pPr>
    </w:p>
    <w:p>
      <w:pPr>
        <w:ind w:left="9" w:right="40"/>
        <w:spacing w:after="0" w:line="246" w:lineRule="auto"/>
        <w:rPr>
          <w:sz w:val="20"/>
          <w:szCs w:val="20"/>
          <w:color w:val="auto"/>
        </w:rPr>
      </w:pPr>
      <w:r>
        <w:rPr>
          <w:rFonts w:ascii="Arial" w:cs="Arial" w:eastAsia="Arial" w:hAnsi="Arial"/>
          <w:sz w:val="16"/>
          <w:szCs w:val="16"/>
          <w:color w:val="auto"/>
        </w:rPr>
        <w:t>For purposes of the agreements, the term “change in control” includes the following events: any person becoming the beneficial owner of AbbVie securities representing 20 percent or more of the outstanding voting power (not including an acquisition directly from AbbVie and its affiliates); a change in the majority of the members of the Board of Directors whose appointment was approved by a vote of at least two-thirds of the incumbent directors; and the consummation of certain mergers or similar corporate transactions involving AbbVie. A “potential change in control” under the agreements includes, among other things, AbbVie’s entry into an agreement that would result in a change in control. Finally, the term “good reason” includes: a significant adverse change in the employee’s position, duties, or authority; the company’s failure to pay the employee’s compensation or a reduction in the employee’s base pay or benefits; or the relocation of the company’s principal executive offices to a location that is more than 35 miles from the location of the offices at the time of the change in control.</w:t>
      </w:r>
    </w:p>
    <w:p>
      <w:pPr>
        <w:spacing w:after="0" w:line="137" w:lineRule="exact"/>
        <w:rPr>
          <w:sz w:val="20"/>
          <w:szCs w:val="20"/>
          <w:color w:val="auto"/>
        </w:rPr>
      </w:pPr>
    </w:p>
    <w:p>
      <w:pPr>
        <w:ind w:left="9" w:right="540"/>
        <w:spacing w:after="0" w:line="262" w:lineRule="auto"/>
        <w:rPr>
          <w:sz w:val="20"/>
          <w:szCs w:val="20"/>
          <w:color w:val="auto"/>
        </w:rPr>
      </w:pPr>
      <w:r>
        <w:rPr>
          <w:rFonts w:ascii="Arial" w:cs="Arial" w:eastAsia="Arial" w:hAnsi="Arial"/>
          <w:sz w:val="16"/>
          <w:szCs w:val="16"/>
          <w:color w:val="auto"/>
        </w:rPr>
        <w:t>If a change in control had occurred on December 31, 2025, immediately followed by one of the covered circumstances described above, Mr. Michael, Mr. Reents, Mr. Stewart, Dr. Saleki-Gerhardt, and Dr. Thakkar would have been entitled to receive the following payments and benefits under the change in control agreements:</w:t>
      </w:r>
    </w:p>
    <w:p>
      <w:pPr>
        <w:spacing w:after="0" w:line="136" w:lineRule="exact"/>
        <w:rPr>
          <w:sz w:val="20"/>
          <w:szCs w:val="20"/>
          <w:color w:val="auto"/>
        </w:rPr>
      </w:pPr>
    </w:p>
    <w:p>
      <w:pPr>
        <w:ind w:left="289" w:right="420" w:hanging="289"/>
        <w:spacing w:after="0" w:line="250" w:lineRule="auto"/>
        <w:tabs>
          <w:tab w:leader="none" w:pos="289" w:val="left"/>
        </w:tabs>
        <w:numPr>
          <w:ilvl w:val="0"/>
          <w:numId w:val="96"/>
        </w:numPr>
        <w:rPr>
          <w:rFonts w:ascii="Times New Roman" w:cs="Times New Roman" w:eastAsia="Times New Roman" w:hAnsi="Times New Roman"/>
          <w:sz w:val="16"/>
          <w:szCs w:val="16"/>
          <w:color w:val="071D49"/>
        </w:rPr>
      </w:pPr>
      <w:r>
        <w:rPr>
          <w:rFonts w:ascii="Arial" w:cs="Arial" w:eastAsia="Arial" w:hAnsi="Arial"/>
          <w:sz w:val="16"/>
          <w:szCs w:val="16"/>
          <w:color w:val="auto"/>
        </w:rPr>
        <w:t>Mr. Michael: cash termination payments—$15,149,956; additional Supplemental Pension Plan benefits—$11,180,056; welfare and fringe benefits—$100,344.</w:t>
      </w:r>
    </w:p>
    <w:p>
      <w:pPr>
        <w:spacing w:after="0" w:line="1" w:lineRule="exact"/>
        <w:rPr>
          <w:rFonts w:ascii="Times New Roman" w:cs="Times New Roman" w:eastAsia="Times New Roman" w:hAnsi="Times New Roman"/>
          <w:sz w:val="16"/>
          <w:szCs w:val="16"/>
          <w:color w:val="071D49"/>
        </w:rPr>
      </w:pPr>
    </w:p>
    <w:p>
      <w:pPr>
        <w:ind w:left="289" w:right="60" w:hanging="289"/>
        <w:spacing w:after="0"/>
        <w:tabs>
          <w:tab w:leader="none" w:pos="289" w:val="left"/>
        </w:tabs>
        <w:numPr>
          <w:ilvl w:val="0"/>
          <w:numId w:val="96"/>
        </w:numPr>
        <w:rPr>
          <w:rFonts w:ascii="Times New Roman" w:cs="Times New Roman" w:eastAsia="Times New Roman" w:hAnsi="Times New Roman"/>
          <w:sz w:val="16"/>
          <w:szCs w:val="16"/>
          <w:color w:val="071D49"/>
        </w:rPr>
      </w:pPr>
      <w:r>
        <w:rPr>
          <w:rFonts w:ascii="Arial" w:cs="Arial" w:eastAsia="Arial" w:hAnsi="Arial"/>
          <w:sz w:val="16"/>
          <w:szCs w:val="16"/>
          <w:color w:val="auto"/>
        </w:rPr>
        <w:t>Mr. Reents: cash termination payments—$8,869,337; additional Supplemental Pension Plan benefits—$4,998,371; welfare and fringe benefits—$79,500.</w:t>
      </w:r>
    </w:p>
    <w:p>
      <w:pPr>
        <w:ind w:left="289" w:right="520" w:hanging="289"/>
        <w:spacing w:after="0"/>
        <w:tabs>
          <w:tab w:leader="none" w:pos="289" w:val="left"/>
        </w:tabs>
        <w:numPr>
          <w:ilvl w:val="0"/>
          <w:numId w:val="96"/>
        </w:numPr>
        <w:rPr>
          <w:rFonts w:ascii="Times New Roman" w:cs="Times New Roman" w:eastAsia="Times New Roman" w:hAnsi="Times New Roman"/>
          <w:sz w:val="16"/>
          <w:szCs w:val="16"/>
          <w:color w:val="071D49"/>
        </w:rPr>
      </w:pPr>
      <w:r>
        <w:rPr>
          <w:rFonts w:ascii="Arial" w:cs="Arial" w:eastAsia="Arial" w:hAnsi="Arial"/>
          <w:sz w:val="16"/>
          <w:szCs w:val="16"/>
          <w:color w:val="auto"/>
        </w:rPr>
        <w:t>Mr. Stewart: cash termination payments—$11,020,724; additional Supplemental Pension Plan benefits—$4,983,424; welfare and fringe benefits—$98,928.</w:t>
      </w:r>
    </w:p>
    <w:p>
      <w:pPr>
        <w:ind w:left="289" w:right="20" w:hanging="289"/>
        <w:spacing w:after="0"/>
        <w:tabs>
          <w:tab w:leader="none" w:pos="289" w:val="left"/>
        </w:tabs>
        <w:numPr>
          <w:ilvl w:val="0"/>
          <w:numId w:val="96"/>
        </w:numPr>
        <w:rPr>
          <w:rFonts w:ascii="Times New Roman" w:cs="Times New Roman" w:eastAsia="Times New Roman" w:hAnsi="Times New Roman"/>
          <w:sz w:val="16"/>
          <w:szCs w:val="16"/>
          <w:color w:val="071D49"/>
        </w:rPr>
      </w:pPr>
      <w:r>
        <w:rPr>
          <w:rFonts w:ascii="Arial" w:cs="Arial" w:eastAsia="Arial" w:hAnsi="Arial"/>
          <w:sz w:val="16"/>
          <w:szCs w:val="16"/>
          <w:color w:val="auto"/>
        </w:rPr>
        <w:t>Dr. Saleki-Gerhardt: cash termination payments—$8,543,382; additional Supplemental Pension Plan benefits—$2,066,415; welfare and fringe benefits—$75,299.</w:t>
      </w:r>
    </w:p>
    <w:p>
      <w:pPr>
        <w:ind w:left="289" w:right="580" w:hanging="289"/>
        <w:spacing w:after="0" w:line="261" w:lineRule="auto"/>
        <w:tabs>
          <w:tab w:leader="none" w:pos="289" w:val="left"/>
        </w:tabs>
        <w:numPr>
          <w:ilvl w:val="0"/>
          <w:numId w:val="96"/>
        </w:numPr>
        <w:rPr>
          <w:rFonts w:ascii="Times New Roman" w:cs="Times New Roman" w:eastAsia="Times New Roman" w:hAnsi="Times New Roman"/>
          <w:sz w:val="16"/>
          <w:szCs w:val="16"/>
          <w:color w:val="071D49"/>
        </w:rPr>
      </w:pPr>
      <w:r>
        <w:rPr>
          <w:rFonts w:ascii="Arial" w:cs="Arial" w:eastAsia="Arial" w:hAnsi="Arial"/>
          <w:sz w:val="16"/>
          <w:szCs w:val="16"/>
          <w:color w:val="auto"/>
        </w:rPr>
        <w:t>Dr. Thakkar: cash termination payments—$7,534,800; additional Supplemental Pension Plan benefits—$9,165,146; welfare and fringe benefits—$78,094.</w:t>
      </w:r>
    </w:p>
    <w:p>
      <w:pPr>
        <w:spacing w:after="0" w:line="137" w:lineRule="exact"/>
        <w:rPr>
          <w:sz w:val="20"/>
          <w:szCs w:val="20"/>
          <w:color w:val="auto"/>
        </w:rPr>
      </w:pPr>
    </w:p>
    <w:p>
      <w:pPr>
        <w:ind w:left="9" w:right="200"/>
        <w:spacing w:after="0" w:line="283" w:lineRule="auto"/>
        <w:rPr>
          <w:sz w:val="20"/>
          <w:szCs w:val="20"/>
          <w:color w:val="auto"/>
        </w:rPr>
      </w:pPr>
      <w:r>
        <w:rPr>
          <w:rFonts w:ascii="Arial" w:cs="Arial" w:eastAsia="Arial" w:hAnsi="Arial"/>
          <w:sz w:val="16"/>
          <w:szCs w:val="16"/>
          <w:color w:val="auto"/>
        </w:rPr>
        <w:t>Because the termination date is assumed to occur at the end of the 2025 performance period, the cash termination payments include an amount reflecting the excess, if any, of (a) the bonus entitlement under the</w:t>
      </w:r>
    </w:p>
    <w:p>
      <w:pPr>
        <w:spacing w:after="0" w:line="323"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68</w:t>
      </w:r>
      <w:r>
        <w:rPr>
          <w:sz w:val="20"/>
          <w:szCs w:val="20"/>
          <w:color w:val="auto"/>
        </w:rPr>
        <w:tab/>
      </w:r>
      <w:r>
        <w:rPr>
          <w:sz w:val="1"/>
          <w:szCs w:val="1"/>
          <w:color w:val="auto"/>
        </w:rPr>
        <w:drawing>
          <wp:inline distT="0" distB="0" distL="0" distR="0">
            <wp:extent cx="797560" cy="14859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234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71" w:name="page72"/>
    <w:bookmarkEnd w:id="71"/>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6969"/>
        <w:spacing w:after="0"/>
        <w:rPr>
          <w:sz w:val="20"/>
          <w:szCs w:val="20"/>
          <w:color w:val="auto"/>
        </w:rPr>
      </w:pPr>
      <w:r>
        <w:rPr>
          <w:rFonts w:ascii="Arial" w:cs="Arial" w:eastAsia="Arial" w:hAnsi="Arial"/>
          <w:sz w:val="16"/>
          <w:szCs w:val="16"/>
          <w:color w:val="808080"/>
        </w:rPr>
        <w:t>EXECUTIVE COMPENSATION</w:t>
      </w:r>
    </w:p>
    <w:p>
      <w:pPr>
        <w:spacing w:after="0" w:line="185" w:lineRule="exact"/>
        <w:rPr>
          <w:sz w:val="20"/>
          <w:szCs w:val="20"/>
          <w:color w:val="auto"/>
        </w:rPr>
      </w:pPr>
    </w:p>
    <w:p>
      <w:pPr>
        <w:ind w:left="9" w:right="200"/>
        <w:spacing w:after="0" w:line="262" w:lineRule="auto"/>
        <w:rPr>
          <w:sz w:val="20"/>
          <w:szCs w:val="20"/>
          <w:color w:val="auto"/>
        </w:rPr>
      </w:pPr>
      <w:r>
        <w:rPr>
          <w:rFonts w:ascii="Arial" w:cs="Arial" w:eastAsia="Arial" w:hAnsi="Arial"/>
          <w:sz w:val="16"/>
          <w:szCs w:val="16"/>
          <w:color w:val="auto"/>
        </w:rPr>
        <w:t>change in control agreements, which would be based on the higher of target performance and the average bonus for the past three years, over (b) the actual bonus earned by the NEO for the 2025 performance period, as shown in the Summary Compensation Table in the column captioned “Non-Equity Incentive Plan Compensation.”</w:t>
      </w:r>
    </w:p>
    <w:p>
      <w:pPr>
        <w:spacing w:after="0" w:line="124"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EQUITY AWARDS</w:t>
      </w:r>
    </w:p>
    <w:p>
      <w:pPr>
        <w:spacing w:after="0" w:line="173" w:lineRule="exact"/>
        <w:rPr>
          <w:sz w:val="20"/>
          <w:szCs w:val="20"/>
          <w:color w:val="auto"/>
        </w:rPr>
      </w:pPr>
    </w:p>
    <w:p>
      <w:pPr>
        <w:ind w:left="9" w:right="620"/>
        <w:spacing w:after="0" w:line="283" w:lineRule="auto"/>
        <w:rPr>
          <w:sz w:val="20"/>
          <w:szCs w:val="20"/>
          <w:color w:val="auto"/>
        </w:rPr>
      </w:pPr>
      <w:r>
        <w:rPr>
          <w:rFonts w:ascii="Arial" w:cs="Arial" w:eastAsia="Arial" w:hAnsi="Arial"/>
          <w:sz w:val="16"/>
          <w:szCs w:val="16"/>
          <w:color w:val="auto"/>
        </w:rPr>
        <w:t>The AbbVie Amended and Restated 2013 Incentive Stock Program was approved by AbbVie’s stockholders and covers approximately 18,000 participants, including a broad group of management and professional staff.</w:t>
      </w:r>
    </w:p>
    <w:p>
      <w:pPr>
        <w:spacing w:after="0" w:line="132" w:lineRule="exact"/>
        <w:rPr>
          <w:sz w:val="20"/>
          <w:szCs w:val="20"/>
          <w:color w:val="auto"/>
        </w:rPr>
      </w:pPr>
    </w:p>
    <w:p>
      <w:pPr>
        <w:ind w:left="9" w:right="40"/>
        <w:spacing w:after="0" w:line="247" w:lineRule="auto"/>
        <w:rPr>
          <w:sz w:val="20"/>
          <w:szCs w:val="20"/>
          <w:color w:val="auto"/>
        </w:rPr>
      </w:pPr>
      <w:r>
        <w:rPr>
          <w:rFonts w:ascii="Arial" w:cs="Arial" w:eastAsia="Arial" w:hAnsi="Arial"/>
          <w:sz w:val="16"/>
          <w:szCs w:val="16"/>
          <w:color w:val="auto"/>
        </w:rPr>
        <w:t>The NEO award agreements under the AbbVie Amended and Restated 2013 Incentive Stock Program provide that the award may be assumed, converted or replaced on an equivalent basis by the surviving company upon a change in control. If the surviving company does not do so, the vesting of the awards is accelerated. If the surviving company does assume, convert or replace the awards on an equivalent basis, then accelerated vesting of the awards is limited to circumstances in which, during the period from six months before through two years after a change in control, the grantee’s employment is terminated without cause or the grantee resigns for good reason. The terms “cause” and “good reason” have the same definitions as in the change in control agreements.</w:t>
      </w:r>
    </w:p>
    <w:p>
      <w:pPr>
        <w:spacing w:after="0" w:line="164" w:lineRule="exact"/>
        <w:rPr>
          <w:sz w:val="20"/>
          <w:szCs w:val="20"/>
          <w:color w:val="auto"/>
        </w:rPr>
      </w:pPr>
    </w:p>
    <w:p>
      <w:pPr>
        <w:jc w:val="both"/>
        <w:ind w:left="9" w:right="100"/>
        <w:spacing w:after="0" w:line="262" w:lineRule="auto"/>
        <w:rPr>
          <w:sz w:val="20"/>
          <w:szCs w:val="20"/>
          <w:color w:val="auto"/>
        </w:rPr>
      </w:pPr>
      <w:r>
        <w:rPr>
          <w:rFonts w:ascii="Arial" w:cs="Arial" w:eastAsia="Arial" w:hAnsi="Arial"/>
          <w:sz w:val="16"/>
          <w:szCs w:val="16"/>
          <w:color w:val="auto"/>
        </w:rPr>
        <w:t>If a change in control had occurred on December 31, 2025 and the surviving company did not assume, convert or replace any of the awards, or the surviving company did so and the NEO’s employment had terminated without cause or they had resigned for good reason, as described above, then the unvested equity awards of the NEOs would have vested as follows:</w:t>
      </w:r>
    </w:p>
    <w:p>
      <w:pPr>
        <w:spacing w:after="0" w:line="148" w:lineRule="exact"/>
        <w:rPr>
          <w:sz w:val="20"/>
          <w:szCs w:val="20"/>
          <w:color w:val="auto"/>
        </w:rPr>
      </w:pPr>
    </w:p>
    <w:p>
      <w:pPr>
        <w:jc w:val="both"/>
        <w:ind w:left="289" w:right="80" w:hanging="289"/>
        <w:spacing w:after="0" w:line="247" w:lineRule="auto"/>
        <w:tabs>
          <w:tab w:leader="none" w:pos="289" w:val="left"/>
        </w:tabs>
        <w:numPr>
          <w:ilvl w:val="0"/>
          <w:numId w:val="97"/>
        </w:numPr>
        <w:rPr>
          <w:rFonts w:ascii="Times New Roman" w:cs="Times New Roman" w:eastAsia="Times New Roman" w:hAnsi="Times New Roman"/>
          <w:sz w:val="16"/>
          <w:szCs w:val="16"/>
          <w:color w:val="071D49"/>
        </w:rPr>
      </w:pPr>
      <w:r>
        <w:rPr>
          <w:rFonts w:ascii="Arial" w:cs="Arial" w:eastAsia="Arial" w:hAnsi="Arial"/>
          <w:sz w:val="16"/>
          <w:szCs w:val="16"/>
          <w:color w:val="auto"/>
        </w:rPr>
        <w:t>Mr. Michael would have vested in (i) 138,450 unvested AbbVie stock options with a value of $6,291,757, (ii) 77,954 AbbVie performance-vested restricted stock units with a value of $18,555,871, and (iii) 167,672 AbbVie performance shares with a value of $40,030,468.</w:t>
      </w:r>
    </w:p>
    <w:p>
      <w:pPr>
        <w:spacing w:after="0" w:line="1" w:lineRule="exact"/>
        <w:rPr>
          <w:rFonts w:ascii="Times New Roman" w:cs="Times New Roman" w:eastAsia="Times New Roman" w:hAnsi="Times New Roman"/>
          <w:sz w:val="16"/>
          <w:szCs w:val="16"/>
          <w:color w:val="071D49"/>
        </w:rPr>
      </w:pPr>
    </w:p>
    <w:p>
      <w:pPr>
        <w:ind w:left="289" w:right="220" w:hanging="289"/>
        <w:spacing w:after="0"/>
        <w:tabs>
          <w:tab w:leader="none" w:pos="289" w:val="left"/>
        </w:tabs>
        <w:numPr>
          <w:ilvl w:val="0"/>
          <w:numId w:val="97"/>
        </w:numPr>
        <w:rPr>
          <w:rFonts w:ascii="Times New Roman" w:cs="Times New Roman" w:eastAsia="Times New Roman" w:hAnsi="Times New Roman"/>
          <w:sz w:val="16"/>
          <w:szCs w:val="16"/>
          <w:color w:val="071D49"/>
        </w:rPr>
      </w:pPr>
      <w:r>
        <w:rPr>
          <w:rFonts w:ascii="Arial" w:cs="Arial" w:eastAsia="Arial" w:hAnsi="Arial"/>
          <w:sz w:val="16"/>
          <w:szCs w:val="16"/>
          <w:color w:val="auto"/>
        </w:rPr>
        <w:t>Mr. Reents would have vested in (i) 59,609 unvested AbbVie stock options with a value of $2,979,857, (ii) 34,837 AbbVie performance-vested restricted stock units with a value of $8,337,598, and (iii) 79,718 AbbVie performance shares with a value of $19,139,370.</w:t>
      </w:r>
    </w:p>
    <w:p>
      <w:pPr>
        <w:spacing w:after="0" w:line="1" w:lineRule="exact"/>
        <w:rPr>
          <w:rFonts w:ascii="Times New Roman" w:cs="Times New Roman" w:eastAsia="Times New Roman" w:hAnsi="Times New Roman"/>
          <w:sz w:val="16"/>
          <w:szCs w:val="16"/>
          <w:color w:val="071D49"/>
        </w:rPr>
      </w:pPr>
    </w:p>
    <w:p>
      <w:pPr>
        <w:ind w:left="289" w:right="180" w:hanging="289"/>
        <w:spacing w:after="0"/>
        <w:tabs>
          <w:tab w:leader="none" w:pos="289" w:val="left"/>
        </w:tabs>
        <w:numPr>
          <w:ilvl w:val="0"/>
          <w:numId w:val="97"/>
        </w:numPr>
        <w:rPr>
          <w:rFonts w:ascii="Times New Roman" w:cs="Times New Roman" w:eastAsia="Times New Roman" w:hAnsi="Times New Roman"/>
          <w:sz w:val="16"/>
          <w:szCs w:val="16"/>
          <w:color w:val="071D49"/>
        </w:rPr>
      </w:pPr>
      <w:r>
        <w:rPr>
          <w:rFonts w:ascii="Arial" w:cs="Arial" w:eastAsia="Arial" w:hAnsi="Arial"/>
          <w:sz w:val="16"/>
          <w:szCs w:val="16"/>
          <w:color w:val="auto"/>
        </w:rPr>
        <w:t>Mr. Stewart would have vested in (i) 71,613 unvested AbbVie stock options with a value of $3,515,673, (ii) 41,389 AbbVie performance-vested restricted stock units with a value of $9,894,480, and (iii) 93,787 AbbVie performance shares with a value of $22,489,330.</w:t>
      </w:r>
    </w:p>
    <w:p>
      <w:pPr>
        <w:spacing w:after="0" w:line="1" w:lineRule="exact"/>
        <w:rPr>
          <w:rFonts w:ascii="Times New Roman" w:cs="Times New Roman" w:eastAsia="Times New Roman" w:hAnsi="Times New Roman"/>
          <w:sz w:val="16"/>
          <w:szCs w:val="16"/>
          <w:color w:val="071D49"/>
        </w:rPr>
      </w:pPr>
    </w:p>
    <w:p>
      <w:pPr>
        <w:jc w:val="both"/>
        <w:ind w:left="289" w:right="180" w:hanging="289"/>
        <w:spacing w:after="0"/>
        <w:tabs>
          <w:tab w:leader="none" w:pos="289" w:val="left"/>
        </w:tabs>
        <w:numPr>
          <w:ilvl w:val="0"/>
          <w:numId w:val="97"/>
        </w:numPr>
        <w:rPr>
          <w:rFonts w:ascii="Times New Roman" w:cs="Times New Roman" w:eastAsia="Times New Roman" w:hAnsi="Times New Roman"/>
          <w:sz w:val="16"/>
          <w:szCs w:val="16"/>
          <w:color w:val="071D49"/>
        </w:rPr>
      </w:pPr>
      <w:r>
        <w:rPr>
          <w:rFonts w:ascii="Arial" w:cs="Arial" w:eastAsia="Arial" w:hAnsi="Arial"/>
          <w:sz w:val="16"/>
          <w:szCs w:val="16"/>
          <w:color w:val="auto"/>
        </w:rPr>
        <w:t>Dr. Saleki-Gerhardt would have vested in (i) 52,194 unvested AbbVie stock options with a value of $2,534,093, (ii) 29,943 AbbVie performance-vested restricted stock units with a value of $7,153,094, and (iii) 67,460 AbbVie performance shares with a value of $16,163,290.</w:t>
      </w:r>
    </w:p>
    <w:p>
      <w:pPr>
        <w:spacing w:after="0" w:line="1" w:lineRule="exact"/>
        <w:rPr>
          <w:rFonts w:ascii="Times New Roman" w:cs="Times New Roman" w:eastAsia="Times New Roman" w:hAnsi="Times New Roman"/>
          <w:sz w:val="16"/>
          <w:szCs w:val="16"/>
          <w:color w:val="071D49"/>
        </w:rPr>
      </w:pPr>
    </w:p>
    <w:p>
      <w:pPr>
        <w:ind w:left="289" w:right="160" w:hanging="289"/>
        <w:spacing w:after="0" w:line="251" w:lineRule="auto"/>
        <w:tabs>
          <w:tab w:leader="none" w:pos="289" w:val="left"/>
        </w:tabs>
        <w:numPr>
          <w:ilvl w:val="0"/>
          <w:numId w:val="97"/>
        </w:numPr>
        <w:rPr>
          <w:rFonts w:ascii="Times New Roman" w:cs="Times New Roman" w:eastAsia="Times New Roman" w:hAnsi="Times New Roman"/>
          <w:sz w:val="16"/>
          <w:szCs w:val="16"/>
          <w:color w:val="071D49"/>
        </w:rPr>
      </w:pPr>
      <w:r>
        <w:rPr>
          <w:rFonts w:ascii="Arial" w:cs="Arial" w:eastAsia="Arial" w:hAnsi="Arial"/>
          <w:sz w:val="16"/>
          <w:szCs w:val="16"/>
          <w:color w:val="auto"/>
        </w:rPr>
        <w:t>Dr. Thakkar would have vested in (i) 36,945 unvested AbbVie stock options with a value of $1,595,625, (ii) 20,431 AbbVie performance-vested restricted stock units with a value of $4,849,587, and (iii) 42,457 AbbVie performance shares with a value of $10,104,025.</w:t>
      </w:r>
    </w:p>
    <w:p>
      <w:pPr>
        <w:spacing w:after="0" w:line="145" w:lineRule="exact"/>
        <w:rPr>
          <w:sz w:val="20"/>
          <w:szCs w:val="20"/>
          <w:color w:val="auto"/>
        </w:rPr>
      </w:pPr>
    </w:p>
    <w:p>
      <w:pPr>
        <w:ind w:left="9" w:right="20"/>
        <w:spacing w:after="0" w:line="247" w:lineRule="auto"/>
        <w:rPr>
          <w:sz w:val="20"/>
          <w:szCs w:val="20"/>
          <w:color w:val="auto"/>
        </w:rPr>
      </w:pPr>
      <w:r>
        <w:rPr>
          <w:rFonts w:ascii="Arial" w:cs="Arial" w:eastAsia="Arial" w:hAnsi="Arial"/>
          <w:sz w:val="16"/>
          <w:szCs w:val="16"/>
          <w:color w:val="auto"/>
        </w:rPr>
        <w:t>The value of stock options shown is based on the excess of the closing price of one share of AbbVie common stock on December 31, 2025 over the exercise price of such options, multiplied by the number of unvested stock options held by the NEO. The value of performance-based restricted stock units and performance shares shown is determined by multiplying the number of units or shares (at target level) that would vest as of December 31, 2025 in accordance with the applicable equity award agreement terms and the closing price of one share of AbbVie common stock on December 31, 2025. The value of performance-based restricted stock units and performance shares also includes the value of accrued dividends as of December 31, 2025, which would be paid at vesting.</w:t>
      </w:r>
    </w:p>
    <w:p>
      <w:pPr>
        <w:spacing w:after="0" w:line="353"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-492125</wp:posOffset>
            </wp:positionV>
            <wp:extent cx="797560" cy="148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right="200"/>
        <w:spacing w:after="0" w:line="292" w:lineRule="auto"/>
        <w:rPr>
          <w:sz w:val="20"/>
          <w:szCs w:val="20"/>
          <w:color w:val="auto"/>
        </w:rPr>
      </w:pPr>
      <w:r>
        <w:rPr>
          <w:rFonts w:ascii="Arial" w:cs="Arial" w:eastAsia="Arial" w:hAnsi="Arial"/>
          <w:sz w:val="32"/>
          <w:szCs w:val="32"/>
          <w:color w:val="071D49"/>
        </w:rPr>
        <w:t>RATIFICATION OF ERNST &amp; YOUNG LLP AS ABBVIE’S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5878195" cy="158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78195" cy="1587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93980</wp:posOffset>
            </wp:positionV>
            <wp:extent cx="5893435" cy="11334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93435" cy="1133475"/>
                    </a:xfrm>
                    <a:prstGeom prst="rect">
                      <a:avLst/>
                    </a:prstGeom>
                    <a:noFill/>
                  </pic:spPr>
                </pic:pic>
              </a:graphicData>
            </a:graphic>
          </wp:anchor>
        </w:drawing>
      </w:r>
    </w:p>
    <w:p>
      <w:pPr>
        <w:sectPr>
          <w:pgSz w:w="11900" w:h="16838" w:orient="portrait"/>
          <w:cols w:equalWidth="0" w:num="1">
            <w:col w:w="9240"/>
          </w:cols>
          <w:pgMar w:left="1320" w:top="48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40"/>
        <w:spacing w:after="0" w:line="287" w:lineRule="auto"/>
        <w:rPr>
          <w:sz w:val="20"/>
          <w:szCs w:val="20"/>
          <w:color w:val="auto"/>
        </w:rPr>
      </w:pPr>
      <w:r>
        <w:rPr>
          <w:rFonts w:ascii="Arial" w:cs="Arial" w:eastAsia="Arial" w:hAnsi="Arial"/>
          <w:sz w:val="22"/>
          <w:szCs w:val="22"/>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i w:val="1"/>
          <w:iCs w:val="1"/>
          <w:color w:val="auto"/>
        </w:rPr>
        <w:t>You are being asked to ratify the appointment of Ernst &amp; Young LLP to perform independent audit services for the fiscal year ending December 31, 2026. Ernst &amp; Young LLP has served as our independent auditor since 2013. The Board and the audit committee believe it is in the best interests of the company and its stockholders to retain Ernst &amp; Young LLP as the company’s independent auditor.</w:t>
      </w:r>
    </w:p>
    <w:p>
      <w:pPr>
        <w:spacing w:after="0" w:line="61" w:lineRule="exact"/>
        <w:rPr>
          <w:sz w:val="20"/>
          <w:szCs w:val="20"/>
          <w:color w:val="auto"/>
        </w:rPr>
      </w:pPr>
    </w:p>
    <w:p>
      <w:pPr>
        <w:ind w:right="740"/>
        <w:spacing w:after="0" w:line="267" w:lineRule="auto"/>
        <w:rPr>
          <w:sz w:val="20"/>
          <w:szCs w:val="20"/>
          <w:color w:val="auto"/>
        </w:rPr>
      </w:pPr>
      <w:r>
        <w:rPr>
          <w:rFonts w:ascii="Arial" w:cs="Arial" w:eastAsia="Arial" w:hAnsi="Arial"/>
          <w:sz w:val="16"/>
          <w:szCs w:val="16"/>
          <w:b w:val="1"/>
          <w:bCs w:val="1"/>
          <w:i w:val="1"/>
          <w:iCs w:val="1"/>
          <w:color w:val="auto"/>
        </w:rPr>
        <w:t xml:space="preserve">The Board of Directors therefore recommends you vote </w:t>
      </w:r>
      <w:r>
        <w:rPr>
          <w:rFonts w:ascii="Arial" w:cs="Arial" w:eastAsia="Arial" w:hAnsi="Arial"/>
          <w:sz w:val="16"/>
          <w:szCs w:val="16"/>
          <w:b w:val="1"/>
          <w:bCs w:val="1"/>
          <w:color w:val="auto"/>
        </w:rPr>
        <w:t>“FOR”</w:t>
      </w:r>
      <w:r>
        <w:rPr>
          <w:rFonts w:ascii="Arial" w:cs="Arial" w:eastAsia="Arial" w:hAnsi="Arial"/>
          <w:sz w:val="16"/>
          <w:szCs w:val="16"/>
          <w:b w:val="1"/>
          <w:bCs w:val="1"/>
          <w:i w:val="1"/>
          <w:iCs w:val="1"/>
          <w:color w:val="auto"/>
        </w:rPr>
        <w:t xml:space="preserve"> ratification of the appointment of Ernst &amp; Young LLP as AbbVie’s independent registered public accounting firm for 2026.</w:t>
      </w:r>
    </w:p>
    <w:p>
      <w:pPr>
        <w:spacing w:after="0" w:line="200" w:lineRule="exact"/>
        <w:rPr>
          <w:sz w:val="20"/>
          <w:szCs w:val="20"/>
          <w:color w:val="auto"/>
        </w:rPr>
      </w:pPr>
    </w:p>
    <w:p>
      <w:pPr>
        <w:sectPr>
          <w:pgSz w:w="11900" w:h="16838" w:orient="portrait"/>
          <w:cols w:equalWidth="0" w:num="2">
            <w:col w:w="1980" w:space="280"/>
            <w:col w:w="6980"/>
          </w:cols>
          <w:pgMar w:left="1320" w:top="480" w:right="1339" w:bottom="1440" w:gutter="0" w:footer="0" w:header="0"/>
          <w:type w:val="continuous"/>
        </w:sectPr>
      </w:pPr>
    </w:p>
    <w:p>
      <w:pPr>
        <w:spacing w:after="0" w:line="48"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audit committee of the Board of Directors is directly responsible for the appointment, fees, retention and oversight of the independent registered public accounting firm retained to audit the company’s financial statements. On October 14, 2025, the audit committee appointed Ernst &amp; Young LLP (the independent auditor) to perform independent audit services for the fiscal year ending December 31, 2026. Ernst &amp; Young LLP has served as our independent auditor since 2013. In conjunction with the periodic mandated rotation of the audit firm’s lead engagement partner, the chair of the audit committee would be involved in the selection of a new lead engagement partner. Further, the audit committee will periodically consider whether there should be a regular rotation of the independent auditor.</w:t>
      </w:r>
    </w:p>
    <w:p>
      <w:pPr>
        <w:spacing w:after="0" w:line="16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Although the audit committee has sole authority to appoint the independent auditor, it would like to know the opinion of the stockholders regarding its appointment of Ernst &amp; Young LLP for 2026. For this reason, stockholders are being asked to ratify this appointment. If the stockholders do not ratify the appointment of Ernst &amp; Young LLP for 2026, the audit committee will take that fact into consideration, but may, nevertheless, continue to retain Ernst &amp; Young LLP. The audit committee and the Board believe that the continued retention of Ernst &amp; Young LLP to serve as the company’s independent auditor is in the best interests of the company and its stockholders.</w:t>
      </w:r>
    </w:p>
    <w:p>
      <w:pPr>
        <w:spacing w:after="0" w:line="160"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Representatives of Ernst &amp; Young LLP are expected to attend the Annual Meeting and will be given the opportunity to make a statement if they desire to do so. They will also be available to respond to appropriate questions.</w:t>
      </w:r>
    </w:p>
    <w:p>
      <w:pPr>
        <w:spacing w:after="0" w:line="200" w:lineRule="exact"/>
        <w:rPr>
          <w:sz w:val="20"/>
          <w:szCs w:val="20"/>
          <w:color w:val="auto"/>
        </w:rPr>
      </w:pPr>
    </w:p>
    <w:p>
      <w:pPr>
        <w:spacing w:after="0" w:line="307"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70</w:t>
      </w:r>
      <w:r>
        <w:rPr>
          <w:sz w:val="20"/>
          <w:szCs w:val="20"/>
          <w:color w:val="auto"/>
        </w:rPr>
        <w:tab/>
      </w:r>
      <w:r>
        <w:rPr>
          <w:sz w:val="1"/>
          <w:szCs w:val="1"/>
          <w:color w:val="auto"/>
        </w:rPr>
        <w:drawing>
          <wp:inline distT="0" distB="0" distL="0" distR="0">
            <wp:extent cx="797560" cy="14859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234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40"/>
          </w:cols>
          <w:pgMar w:left="1320" w:top="480" w:right="1339" w:bottom="1440" w:gutter="0" w:footer="0" w:header="0"/>
          <w:type w:val="continuous"/>
        </w:sectPr>
      </w:pPr>
    </w:p>
    <w:bookmarkStart w:id="73" w:name="page74"/>
    <w:bookmarkEnd w:id="73"/>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9"/>
        <w:spacing w:after="0"/>
        <w:rPr>
          <w:sz w:val="20"/>
          <w:szCs w:val="20"/>
          <w:color w:val="auto"/>
        </w:rPr>
      </w:pPr>
      <w:r>
        <w:rPr>
          <w:rFonts w:ascii="Arial" w:cs="Arial" w:eastAsia="Arial" w:hAnsi="Arial"/>
          <w:sz w:val="33"/>
          <w:szCs w:val="33"/>
          <w:color w:val="071D49"/>
        </w:rPr>
        <w:t>AUDIT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5878195"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pacing w:after="0" w:line="224"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071D49"/>
        </w:rPr>
        <w:t>Audit Fees and Non-Audit Fees</w:t>
      </w:r>
    </w:p>
    <w:p>
      <w:pPr>
        <w:spacing w:after="0" w:line="198" w:lineRule="exact"/>
        <w:rPr>
          <w:sz w:val="20"/>
          <w:szCs w:val="20"/>
          <w:color w:val="auto"/>
        </w:rPr>
      </w:pPr>
    </w:p>
    <w:p>
      <w:pPr>
        <w:ind w:left="9" w:right="100"/>
        <w:spacing w:after="0" w:line="262" w:lineRule="auto"/>
        <w:rPr>
          <w:sz w:val="20"/>
          <w:szCs w:val="20"/>
          <w:color w:val="auto"/>
        </w:rPr>
      </w:pPr>
      <w:r>
        <w:rPr>
          <w:rFonts w:ascii="Arial" w:cs="Arial" w:eastAsia="Arial" w:hAnsi="Arial"/>
          <w:sz w:val="16"/>
          <w:szCs w:val="16"/>
          <w:color w:val="auto"/>
        </w:rPr>
        <w:t>The following table presents fees for professional audit services rendered to AbbVie by Ernst &amp; Young LLP for the years ended December 31, 2025 and December 31, 2024, and fees for other services rendered to AbbVie by Ernst &amp; Young LLP for those periods.</w:t>
      </w:r>
    </w:p>
    <w:p>
      <w:pPr>
        <w:spacing w:after="0" w:line="168" w:lineRule="exact"/>
        <w:rPr>
          <w:sz w:val="20"/>
          <w:szCs w:val="20"/>
          <w:color w:val="auto"/>
        </w:rPr>
      </w:pPr>
    </w:p>
    <w:tbl>
      <w:tblPr>
        <w:tblLayout w:type="fixed"/>
        <w:tblInd w:w="9"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3"/>
                <w:szCs w:val="13"/>
                <w:b w:val="1"/>
                <w:bCs w:val="1"/>
                <w:color w:val="071D49"/>
              </w:rPr>
              <w:t>2025</w:t>
            </w:r>
          </w:p>
        </w:tc>
        <w:tc>
          <w:tcPr>
            <w:tcW w:w="4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071D49"/>
              </w:rPr>
              <w:t>2024</w:t>
            </w:r>
          </w:p>
        </w:tc>
      </w:tr>
      <w:tr>
        <w:trPr>
          <w:trHeight w:val="155"/>
        </w:trPr>
        <w:tc>
          <w:tcPr>
            <w:tcW w:w="2300" w:type="dxa"/>
            <w:vAlign w:val="bottom"/>
            <w:tcBorders>
              <w:bottom w:val="single" w:sz="8" w:color="071D49"/>
            </w:tcBorders>
          </w:tcPr>
          <w:p>
            <w:pPr>
              <w:spacing w:after="0"/>
              <w:rPr>
                <w:sz w:val="13"/>
                <w:szCs w:val="13"/>
                <w:color w:val="auto"/>
              </w:rPr>
            </w:pPr>
          </w:p>
        </w:tc>
        <w:tc>
          <w:tcPr>
            <w:tcW w:w="4680" w:type="dxa"/>
            <w:vAlign w:val="bottom"/>
            <w:tcBorders>
              <w:bottom w:val="single" w:sz="8" w:color="071D49"/>
            </w:tcBorders>
          </w:tcPr>
          <w:p>
            <w:pPr>
              <w:ind w:left="4560"/>
              <w:spacing w:after="0"/>
              <w:rPr>
                <w:sz w:val="20"/>
                <w:szCs w:val="20"/>
                <w:color w:val="auto"/>
              </w:rPr>
            </w:pPr>
            <w:r>
              <w:rPr>
                <w:rFonts w:ascii="Arial" w:cs="Arial" w:eastAsia="Arial" w:hAnsi="Arial"/>
                <w:sz w:val="13"/>
                <w:szCs w:val="13"/>
                <w:b w:val="1"/>
                <w:bCs w:val="1"/>
                <w:color w:val="071D49"/>
              </w:rPr>
              <w:t>​​​</w:t>
            </w:r>
          </w:p>
        </w:tc>
        <w:tc>
          <w:tcPr>
            <w:tcW w:w="240" w:type="dxa"/>
            <w:vAlign w:val="bottom"/>
            <w:tcBorders>
              <w:bottom w:val="single" w:sz="8" w:color="071D49"/>
            </w:tcBorders>
          </w:tcPr>
          <w:p>
            <w:pPr>
              <w:spacing w:after="0"/>
              <w:rPr>
                <w:sz w:val="13"/>
                <w:szCs w:val="13"/>
                <w:color w:val="auto"/>
              </w:rPr>
            </w:pPr>
          </w:p>
        </w:tc>
        <w:tc>
          <w:tcPr>
            <w:tcW w:w="820" w:type="dxa"/>
            <w:vAlign w:val="bottom"/>
            <w:tcBorders>
              <w:bottom w:val="single" w:sz="8" w:color="071D49"/>
            </w:tcBorders>
          </w:tcPr>
          <w:p>
            <w:pPr>
              <w:jc w:val="right"/>
              <w:ind w:right="3"/>
              <w:spacing w:after="0"/>
              <w:rPr>
                <w:sz w:val="20"/>
                <w:szCs w:val="20"/>
                <w:color w:val="auto"/>
              </w:rPr>
            </w:pPr>
            <w:r>
              <w:rPr>
                <w:rFonts w:ascii="Arial" w:cs="Arial" w:eastAsia="Arial" w:hAnsi="Arial"/>
                <w:sz w:val="13"/>
                <w:szCs w:val="13"/>
                <w:b w:val="1"/>
                <w:bCs w:val="1"/>
                <w:color w:val="071D49"/>
              </w:rPr>
              <w:t>(millions)</w:t>
            </w:r>
          </w:p>
        </w:tc>
        <w:tc>
          <w:tcPr>
            <w:tcW w:w="420" w:type="dxa"/>
            <w:vAlign w:val="bottom"/>
            <w:tcBorders>
              <w:bottom w:val="single" w:sz="8" w:color="071D49"/>
            </w:tcBorders>
          </w:tcPr>
          <w:p>
            <w:pPr>
              <w:jc w:val="right"/>
              <w:ind w:right="183"/>
              <w:spacing w:after="0"/>
              <w:rPr>
                <w:sz w:val="20"/>
                <w:szCs w:val="20"/>
                <w:color w:val="auto"/>
              </w:rPr>
            </w:pPr>
            <w:r>
              <w:rPr>
                <w:rFonts w:ascii="Arial" w:cs="Arial" w:eastAsia="Arial" w:hAnsi="Arial"/>
                <w:sz w:val="13"/>
                <w:szCs w:val="13"/>
                <w:b w:val="1"/>
                <w:bCs w:val="1"/>
                <w:color w:val="071D49"/>
              </w:rPr>
              <w:t>​​​</w:t>
            </w:r>
          </w:p>
        </w:tc>
        <w:tc>
          <w:tcPr>
            <w:tcW w:w="80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071D49"/>
              </w:rPr>
              <w:t>(millions)</w:t>
            </w:r>
          </w:p>
        </w:tc>
      </w:tr>
      <w:tr>
        <w:trPr>
          <w:trHeight w:val="177"/>
        </w:trPr>
        <w:tc>
          <w:tcPr>
            <w:tcW w:w="6980" w:type="dxa"/>
            <w:vAlign w:val="bottom"/>
            <w:gridSpan w:val="2"/>
            <w:shd w:val="clear" w:color="auto" w:fill="D9D9D9"/>
          </w:tcPr>
          <w:p>
            <w:pPr>
              <w:spacing w:after="0" w:line="177" w:lineRule="exact"/>
              <w:rPr>
                <w:sz w:val="20"/>
                <w:szCs w:val="20"/>
                <w:color w:val="auto"/>
              </w:rPr>
            </w:pPr>
            <w:r>
              <w:rPr>
                <w:rFonts w:ascii="Arial" w:cs="Arial" w:eastAsia="Arial" w:hAnsi="Arial"/>
                <w:sz w:val="14"/>
                <w:szCs w:val="14"/>
                <w:color w:val="auto"/>
              </w:rPr>
              <w:t>Audit fees:</w:t>
            </w:r>
            <w:r>
              <w:rPr>
                <w:rFonts w:ascii="Arial" w:cs="Arial" w:eastAsia="Arial" w:hAnsi="Arial"/>
                <w:sz w:val="20"/>
                <w:szCs w:val="20"/>
                <w:color w:val="auto"/>
                <w:vertAlign w:val="superscript"/>
              </w:rPr>
              <w:t>(1)</w:t>
            </w:r>
          </w:p>
        </w:tc>
        <w:tc>
          <w:tcPr>
            <w:tcW w:w="240" w:type="dxa"/>
            <w:vAlign w:val="bottom"/>
            <w:shd w:val="clear" w:color="auto" w:fill="D9D9D9"/>
          </w:tcPr>
          <w:p>
            <w:pPr>
              <w:jc w:val="right"/>
              <w:ind w:right="58"/>
              <w:spacing w:after="0" w:line="177"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D9D9D9"/>
          </w:tcPr>
          <w:p>
            <w:pPr>
              <w:jc w:val="right"/>
              <w:spacing w:after="0" w:line="177" w:lineRule="exact"/>
              <w:rPr>
                <w:sz w:val="20"/>
                <w:szCs w:val="20"/>
                <w:color w:val="auto"/>
              </w:rPr>
            </w:pPr>
            <w:r>
              <w:rPr>
                <w:rFonts w:ascii="Arial" w:cs="Arial" w:eastAsia="Arial" w:hAnsi="Arial"/>
                <w:sz w:val="16"/>
                <w:szCs w:val="16"/>
                <w:color w:val="auto"/>
              </w:rPr>
              <w:t>20.4</w:t>
            </w:r>
          </w:p>
        </w:tc>
        <w:tc>
          <w:tcPr>
            <w:tcW w:w="420" w:type="dxa"/>
            <w:vAlign w:val="bottom"/>
            <w:shd w:val="clear" w:color="auto" w:fill="D9D9D9"/>
          </w:tcPr>
          <w:p>
            <w:pPr>
              <w:jc w:val="right"/>
              <w:ind w:right="83"/>
              <w:spacing w:after="0" w:line="177" w:lineRule="exact"/>
              <w:rPr>
                <w:sz w:val="20"/>
                <w:szCs w:val="20"/>
                <w:color w:val="auto"/>
              </w:rPr>
            </w:pPr>
            <w:r>
              <w:rPr>
                <w:rFonts w:ascii="Arial" w:cs="Arial" w:eastAsia="Arial" w:hAnsi="Arial"/>
                <w:sz w:val="16"/>
                <w:szCs w:val="16"/>
                <w:color w:val="auto"/>
              </w:rPr>
              <w:t>$</w:t>
            </w:r>
          </w:p>
        </w:tc>
        <w:tc>
          <w:tcPr>
            <w:tcW w:w="800" w:type="dxa"/>
            <w:vAlign w:val="bottom"/>
            <w:shd w:val="clear" w:color="auto" w:fill="D9D9D9"/>
          </w:tcPr>
          <w:p>
            <w:pPr>
              <w:jc w:val="right"/>
              <w:spacing w:after="0" w:line="177" w:lineRule="exact"/>
              <w:rPr>
                <w:sz w:val="20"/>
                <w:szCs w:val="20"/>
                <w:color w:val="auto"/>
              </w:rPr>
            </w:pPr>
            <w:r>
              <w:rPr>
                <w:rFonts w:ascii="Arial" w:cs="Arial" w:eastAsia="Arial" w:hAnsi="Arial"/>
                <w:sz w:val="16"/>
                <w:szCs w:val="16"/>
                <w:color w:val="auto"/>
              </w:rPr>
              <w:t>20.6</w:t>
            </w:r>
          </w:p>
        </w:tc>
      </w:tr>
      <w:tr>
        <w:trPr>
          <w:trHeight w:val="185"/>
        </w:trPr>
        <w:tc>
          <w:tcPr>
            <w:tcW w:w="6980" w:type="dxa"/>
            <w:vAlign w:val="bottom"/>
            <w:gridSpan w:val="2"/>
          </w:tcPr>
          <w:p>
            <w:pPr>
              <w:spacing w:after="0" w:line="185" w:lineRule="exact"/>
              <w:rPr>
                <w:sz w:val="20"/>
                <w:szCs w:val="20"/>
                <w:color w:val="auto"/>
              </w:rPr>
            </w:pPr>
            <w:r>
              <w:rPr>
                <w:rFonts w:ascii="Arial" w:cs="Arial" w:eastAsia="Arial" w:hAnsi="Arial"/>
                <w:sz w:val="15"/>
                <w:szCs w:val="15"/>
                <w:color w:val="auto"/>
              </w:rPr>
              <w:t>Audit related fees:</w:t>
            </w:r>
            <w:r>
              <w:rPr>
                <w:rFonts w:ascii="Arial" w:cs="Arial" w:eastAsia="Arial" w:hAnsi="Arial"/>
                <w:sz w:val="21"/>
                <w:szCs w:val="21"/>
                <w:color w:val="auto"/>
                <w:vertAlign w:val="superscript"/>
              </w:rPr>
              <w:t>(2)</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185"/>
        </w:trPr>
        <w:tc>
          <w:tcPr>
            <w:tcW w:w="6980" w:type="dxa"/>
            <w:vAlign w:val="bottom"/>
            <w:gridSpan w:val="2"/>
            <w:shd w:val="clear" w:color="auto" w:fill="D9D9D9"/>
          </w:tcPr>
          <w:p>
            <w:pPr>
              <w:spacing w:after="0" w:line="185" w:lineRule="exact"/>
              <w:rPr>
                <w:sz w:val="20"/>
                <w:szCs w:val="20"/>
                <w:color w:val="auto"/>
              </w:rPr>
            </w:pPr>
            <w:r>
              <w:rPr>
                <w:rFonts w:ascii="Arial" w:cs="Arial" w:eastAsia="Arial" w:hAnsi="Arial"/>
                <w:sz w:val="15"/>
                <w:szCs w:val="15"/>
                <w:color w:val="auto"/>
              </w:rPr>
              <w:t>Tax fees:</w:t>
            </w:r>
            <w:r>
              <w:rPr>
                <w:rFonts w:ascii="Arial" w:cs="Arial" w:eastAsia="Arial" w:hAnsi="Arial"/>
                <w:sz w:val="21"/>
                <w:szCs w:val="21"/>
                <w:color w:val="auto"/>
                <w:vertAlign w:val="superscript"/>
              </w:rPr>
              <w:t>(3)</w:t>
            </w:r>
          </w:p>
        </w:tc>
        <w:tc>
          <w:tcPr>
            <w:tcW w:w="240" w:type="dxa"/>
            <w:vAlign w:val="bottom"/>
            <w:shd w:val="clear" w:color="auto" w:fill="D9D9D9"/>
          </w:tcPr>
          <w:p>
            <w:pPr>
              <w:spacing w:after="0"/>
              <w:rPr>
                <w:sz w:val="16"/>
                <w:szCs w:val="16"/>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4.4</w:t>
            </w:r>
          </w:p>
        </w:tc>
        <w:tc>
          <w:tcPr>
            <w:tcW w:w="420" w:type="dxa"/>
            <w:vAlign w:val="bottom"/>
            <w:shd w:val="clear" w:color="auto" w:fill="D9D9D9"/>
          </w:tcPr>
          <w:p>
            <w:pPr>
              <w:spacing w:after="0"/>
              <w:rPr>
                <w:sz w:val="16"/>
                <w:szCs w:val="16"/>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4.2</w:t>
            </w:r>
          </w:p>
        </w:tc>
      </w:tr>
      <w:tr>
        <w:trPr>
          <w:trHeight w:val="185"/>
        </w:trPr>
        <w:tc>
          <w:tcPr>
            <w:tcW w:w="6980" w:type="dxa"/>
            <w:vAlign w:val="bottom"/>
            <w:gridSpan w:val="2"/>
          </w:tcPr>
          <w:p>
            <w:pPr>
              <w:spacing w:after="0"/>
              <w:rPr>
                <w:sz w:val="20"/>
                <w:szCs w:val="20"/>
                <w:color w:val="auto"/>
              </w:rPr>
            </w:pPr>
            <w:r>
              <w:rPr>
                <w:rFonts w:ascii="Arial" w:cs="Arial" w:eastAsia="Arial" w:hAnsi="Arial"/>
                <w:sz w:val="16"/>
                <w:szCs w:val="16"/>
                <w:color w:val="auto"/>
              </w:rPr>
              <w:t>Other fees: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w:t>
            </w: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185"/>
        </w:trPr>
        <w:tc>
          <w:tcPr>
            <w:tcW w:w="6980" w:type="dxa"/>
            <w:vAlign w:val="bottom"/>
            <w:gridSpan w:val="2"/>
            <w:shd w:val="clear" w:color="auto" w:fill="D9D9D9"/>
          </w:tcPr>
          <w:p>
            <w:pPr>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D9D9D9"/>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25.8</w:t>
            </w:r>
          </w:p>
        </w:tc>
        <w:tc>
          <w:tcPr>
            <w:tcW w:w="420" w:type="dxa"/>
            <w:vAlign w:val="bottom"/>
            <w:shd w:val="clear" w:color="auto" w:fill="D9D9D9"/>
          </w:tcPr>
          <w:p>
            <w:pPr>
              <w:jc w:val="right"/>
              <w:ind w:right="83"/>
              <w:spacing w:after="0"/>
              <w:rPr>
                <w:sz w:val="20"/>
                <w:szCs w:val="20"/>
                <w:color w:val="auto"/>
              </w:rPr>
            </w:pPr>
            <w:r>
              <w:rPr>
                <w:rFonts w:ascii="Arial" w:cs="Arial" w:eastAsia="Arial" w:hAnsi="Arial"/>
                <w:sz w:val="16"/>
                <w:szCs w:val="16"/>
                <w:color w:val="auto"/>
              </w:rPr>
              <w:t>$</w:t>
            </w:r>
          </w:p>
        </w:tc>
        <w:tc>
          <w:tcPr>
            <w:tcW w:w="8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25.5</w:t>
            </w:r>
          </w:p>
        </w:tc>
      </w:tr>
      <w:tr>
        <w:trPr>
          <w:trHeight w:val="103"/>
        </w:trPr>
        <w:tc>
          <w:tcPr>
            <w:tcW w:w="230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57" w:lineRule="exact"/>
        <w:rPr>
          <w:sz w:val="20"/>
          <w:szCs w:val="20"/>
          <w:color w:val="auto"/>
        </w:rPr>
      </w:pPr>
    </w:p>
    <w:p>
      <w:pPr>
        <w:ind w:left="289" w:right="320" w:hanging="289"/>
        <w:spacing w:after="0" w:line="251" w:lineRule="auto"/>
        <w:tabs>
          <w:tab w:leader="none" w:pos="289" w:val="left"/>
        </w:tabs>
        <w:numPr>
          <w:ilvl w:val="0"/>
          <w:numId w:val="98"/>
        </w:numPr>
        <w:rPr>
          <w:rFonts w:ascii="Arial" w:cs="Arial" w:eastAsia="Arial" w:hAnsi="Arial"/>
          <w:sz w:val="16"/>
          <w:szCs w:val="16"/>
          <w:color w:val="auto"/>
        </w:rPr>
      </w:pPr>
      <w:r>
        <w:rPr>
          <w:rFonts w:ascii="Arial" w:cs="Arial" w:eastAsia="Arial" w:hAnsi="Arial"/>
          <w:sz w:val="16"/>
          <w:szCs w:val="16"/>
          <w:color w:val="auto"/>
        </w:rPr>
        <w:t>Ernst &amp; Young LLP billed or will bill AbbVie for professional services rendered for the audit of AbbVie’s annual financial statements, the review of AbbVie’s financial statements included in AbbVie’s quarterly reports, the audits of AbbVie’s internal control over financial reporting, statutory and subsidiary audits required internationally, the review of documents filed with the Securities and Exchange Commission, comfort letters, consents and certain accounting consultations in connection with the audits.</w:t>
      </w:r>
    </w:p>
    <w:p>
      <w:pPr>
        <w:spacing w:after="0" w:line="158" w:lineRule="exact"/>
        <w:rPr>
          <w:rFonts w:ascii="Arial" w:cs="Arial" w:eastAsia="Arial" w:hAnsi="Arial"/>
          <w:sz w:val="16"/>
          <w:szCs w:val="16"/>
          <w:color w:val="auto"/>
        </w:rPr>
      </w:pPr>
    </w:p>
    <w:p>
      <w:pPr>
        <w:ind w:left="289" w:right="560" w:hanging="289"/>
        <w:spacing w:after="0" w:line="262" w:lineRule="auto"/>
        <w:tabs>
          <w:tab w:leader="none" w:pos="289" w:val="left"/>
        </w:tabs>
        <w:numPr>
          <w:ilvl w:val="0"/>
          <w:numId w:val="98"/>
        </w:numPr>
        <w:rPr>
          <w:rFonts w:ascii="Arial" w:cs="Arial" w:eastAsia="Arial" w:hAnsi="Arial"/>
          <w:sz w:val="16"/>
          <w:szCs w:val="16"/>
          <w:color w:val="auto"/>
        </w:rPr>
      </w:pPr>
      <w:r>
        <w:rPr>
          <w:rFonts w:ascii="Arial" w:cs="Arial" w:eastAsia="Arial" w:hAnsi="Arial"/>
          <w:sz w:val="16"/>
          <w:szCs w:val="16"/>
          <w:color w:val="auto"/>
        </w:rPr>
        <w:t>Audit related fees include audits of certain employee benefit plan financial statements, accounting consultations in connection with proposed or pending transactions, and other audit or agreed upon procedures required by statute or regulation not classified as audit fees.</w:t>
      </w:r>
    </w:p>
    <w:p>
      <w:pPr>
        <w:spacing w:after="0" w:line="148" w:lineRule="exact"/>
        <w:rPr>
          <w:rFonts w:ascii="Arial" w:cs="Arial" w:eastAsia="Arial" w:hAnsi="Arial"/>
          <w:sz w:val="16"/>
          <w:szCs w:val="16"/>
          <w:color w:val="auto"/>
        </w:rPr>
      </w:pPr>
    </w:p>
    <w:p>
      <w:pPr>
        <w:ind w:left="289" w:hanging="289"/>
        <w:spacing w:after="0"/>
        <w:tabs>
          <w:tab w:leader="none" w:pos="289" w:val="left"/>
        </w:tabs>
        <w:numPr>
          <w:ilvl w:val="0"/>
          <w:numId w:val="98"/>
        </w:numPr>
        <w:rPr>
          <w:rFonts w:ascii="Arial" w:cs="Arial" w:eastAsia="Arial" w:hAnsi="Arial"/>
          <w:sz w:val="16"/>
          <w:szCs w:val="16"/>
          <w:color w:val="auto"/>
        </w:rPr>
      </w:pPr>
      <w:r>
        <w:rPr>
          <w:rFonts w:ascii="Arial" w:cs="Arial" w:eastAsia="Arial" w:hAnsi="Arial"/>
          <w:sz w:val="16"/>
          <w:szCs w:val="16"/>
          <w:color w:val="auto"/>
        </w:rPr>
        <w:t>Tax fees consist principally of professional services for corporate tax compliance and tax advisory services.</w:t>
      </w:r>
    </w:p>
    <w:p>
      <w:pPr>
        <w:spacing w:after="0" w:line="188" w:lineRule="exact"/>
        <w:rPr>
          <w:sz w:val="20"/>
          <w:szCs w:val="20"/>
          <w:color w:val="auto"/>
        </w:rPr>
      </w:pPr>
    </w:p>
    <w:p>
      <w:pPr>
        <w:ind w:left="9" w:right="640"/>
        <w:spacing w:after="0" w:line="273" w:lineRule="auto"/>
        <w:rPr>
          <w:sz w:val="20"/>
          <w:szCs w:val="20"/>
          <w:color w:val="auto"/>
        </w:rPr>
      </w:pPr>
      <w:r>
        <w:rPr>
          <w:rFonts w:ascii="Arial" w:cs="Arial" w:eastAsia="Arial" w:hAnsi="Arial"/>
          <w:sz w:val="20"/>
          <w:szCs w:val="20"/>
          <w:b w:val="1"/>
          <w:bCs w:val="1"/>
          <w:color w:val="071D49"/>
        </w:rPr>
        <w:t>Policy on Audit Committee Pre-Approval of Audit and Permissible Non-Audit Services of the Independent Registered Public Accounting Firm</w:t>
      </w:r>
    </w:p>
    <w:p>
      <w:pPr>
        <w:spacing w:after="0" w:line="126" w:lineRule="exact"/>
        <w:rPr>
          <w:sz w:val="20"/>
          <w:szCs w:val="20"/>
          <w:color w:val="auto"/>
        </w:rPr>
      </w:pPr>
    </w:p>
    <w:p>
      <w:pPr>
        <w:ind w:left="9" w:right="520"/>
        <w:spacing w:after="0" w:line="283" w:lineRule="auto"/>
        <w:rPr>
          <w:sz w:val="20"/>
          <w:szCs w:val="20"/>
          <w:color w:val="auto"/>
        </w:rPr>
      </w:pPr>
      <w:r>
        <w:rPr>
          <w:rFonts w:ascii="Arial" w:cs="Arial" w:eastAsia="Arial" w:hAnsi="Arial"/>
          <w:sz w:val="16"/>
          <w:szCs w:val="16"/>
          <w:color w:val="auto"/>
        </w:rPr>
        <w:t>The audit committee has established policies and procedures to pre-approve all audit and permissible non-audit services performed by the independent registered public accounting firm (the independent auditor) and its related affiliates.</w:t>
      </w:r>
    </w:p>
    <w:p>
      <w:pPr>
        <w:spacing w:after="0" w:line="132" w:lineRule="exact"/>
        <w:rPr>
          <w:sz w:val="20"/>
          <w:szCs w:val="20"/>
          <w:color w:val="auto"/>
        </w:rPr>
      </w:pPr>
    </w:p>
    <w:p>
      <w:pPr>
        <w:ind w:left="9" w:right="100"/>
        <w:spacing w:after="0" w:line="262" w:lineRule="auto"/>
        <w:rPr>
          <w:sz w:val="20"/>
          <w:szCs w:val="20"/>
          <w:color w:val="auto"/>
        </w:rPr>
      </w:pPr>
      <w:r>
        <w:rPr>
          <w:rFonts w:ascii="Arial" w:cs="Arial" w:eastAsia="Arial" w:hAnsi="Arial"/>
          <w:sz w:val="16"/>
          <w:szCs w:val="16"/>
          <w:color w:val="auto"/>
        </w:rPr>
        <w:t>Prior to engagement of the independent auditor for the next year’s audit, management will submit a schedule of all proposed permissible services expected to be rendered during that year for each of four categories of services to the audit committee for approval.</w:t>
      </w:r>
    </w:p>
    <w:p>
      <w:pPr>
        <w:spacing w:after="0" w:line="148" w:lineRule="exact"/>
        <w:rPr>
          <w:sz w:val="20"/>
          <w:szCs w:val="20"/>
          <w:color w:val="auto"/>
        </w:rPr>
      </w:pPr>
    </w:p>
    <w:p>
      <w:pPr>
        <w:ind w:left="9" w:right="180"/>
        <w:spacing w:after="0" w:line="251" w:lineRule="auto"/>
        <w:rPr>
          <w:sz w:val="20"/>
          <w:szCs w:val="20"/>
          <w:color w:val="auto"/>
        </w:rPr>
      </w:pPr>
      <w:r>
        <w:rPr>
          <w:rFonts w:ascii="Arial" w:cs="Arial" w:eastAsia="Arial" w:hAnsi="Arial"/>
          <w:sz w:val="16"/>
          <w:szCs w:val="16"/>
          <w:color w:val="auto"/>
        </w:rPr>
        <w:t>Prior to engagement, the audit committee pre-approves these services by category of service. The fees are budgeted and the audit committee requires the independent auditor and management to report actual fees versus the budget periodically by category of service. During the year, circumstances may arise when it may become necessary to engage the independent auditor for additional services not contemplated in the original pre-approval. In those instances, the audit committee requires specific pre-approval before engaging the independent auditor.</w:t>
      </w:r>
    </w:p>
    <w:p>
      <w:pPr>
        <w:spacing w:after="0" w:line="158" w:lineRule="exact"/>
        <w:rPr>
          <w:sz w:val="20"/>
          <w:szCs w:val="20"/>
          <w:color w:val="auto"/>
        </w:rPr>
      </w:pPr>
    </w:p>
    <w:p>
      <w:pPr>
        <w:ind w:left="9" w:right="120"/>
        <w:spacing w:after="0" w:line="283" w:lineRule="auto"/>
        <w:rPr>
          <w:sz w:val="20"/>
          <w:szCs w:val="20"/>
          <w:color w:val="auto"/>
        </w:rPr>
      </w:pPr>
      <w:r>
        <w:rPr>
          <w:rFonts w:ascii="Arial" w:cs="Arial" w:eastAsia="Arial" w:hAnsi="Arial"/>
          <w:sz w:val="16"/>
          <w:szCs w:val="16"/>
          <w:color w:val="auto"/>
        </w:rPr>
        <w:t>The audit committee may delegate pre-approval authority to one or more of its members. The member to whom such authority is delegated must report any pre-approval decisions to the audit committee at its next scheduled meeting.</w:t>
      </w:r>
    </w:p>
    <w:p>
      <w:pPr>
        <w:spacing w:after="0" w:line="200" w:lineRule="exact"/>
        <w:rPr>
          <w:sz w:val="20"/>
          <w:szCs w:val="20"/>
          <w:color w:val="auto"/>
        </w:rPr>
      </w:pPr>
    </w:p>
    <w:p>
      <w:pPr>
        <w:spacing w:after="0" w:line="318"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-499745</wp:posOffset>
            </wp:positionV>
            <wp:extent cx="797560" cy="148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AUDIT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30"/>
          <w:szCs w:val="30"/>
          <w:color w:val="auto"/>
        </w:rPr>
        <w:t>Audit Committee Report</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The audit committee is comprised of six non-employee members of the Board of Directors. Each audit committee member meets the independence requirements of the New York Stock Exchange and Rule 10A-3 of the Exchange Act. The committee operates under a written charter adopted by the Board of Directors. Consistent with the responsibilities set forth in its charter, the audit committee assists the Board of Directors in its oversight of AbbVie’s accounting, auditing and financial reporting practices.</w:t>
      </w:r>
    </w:p>
    <w:p>
      <w:pPr>
        <w:spacing w:after="0" w:line="34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audit committee has reviewed and discussed the audited financial statements contained in the 2025 Annual Report on Form 10-K with AbbVie’s management and its independent registered public accounting firm (the independent auditor). Management is responsible for the preparation and integrity of AbbVie’s consolidated financial statements. The independent auditor is responsible for performing an audit of the consolidated financial statements and expressing an opinion on the conformity of those financial statements with accounting principles generally accepted in the United States of America. The audit committee reviews these processes on behalf of the Board of Directors. Periodically, during the year, the audit committee reviewed and discussed with AbbVie’s management, internal auditors, and independent auditor the effectiveness of AbbVie’s internal control over financial reporting and the overall quality of AbbVie’s financial reporting.</w:t>
      </w:r>
    </w:p>
    <w:p>
      <w:pPr>
        <w:spacing w:after="0" w:line="16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audit committee has discussed with the independent auditor the matters required to be discussed by the applicable requirements of the Public Company Accounting Oversight Board (PCAOB) and the Securities and Exchange Commission. In addition, the audit committee has received the written disclosures and the letter from the independent auditor regarding its independence required by the applicable requirements of the PCAOB, and has discussed with the independent auditor the firm’s independence. The audit committee has also considered whether the provision of non-audit services is compatible with maintaining the independence of the independent auditor and concluded the independent auditor’s independence has not been impaired.</w:t>
      </w:r>
    </w:p>
    <w:p>
      <w:pPr>
        <w:spacing w:after="0" w:line="164"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of Directors that the audited financial statements be included in AbbVie’s Annual Report on Form 10-K for the year ended December 31, 2025, filed with the Securities and Exchange Commission.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 Committee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F. Waddell, Chair, R. Austin, W. Burnside, T. Falk, M. Meyer, E. Rapp</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72</w:t>
      </w:r>
      <w:r>
        <w:rPr>
          <w:sz w:val="20"/>
          <w:szCs w:val="20"/>
          <w:color w:val="auto"/>
        </w:rPr>
        <w:tab/>
      </w:r>
      <w:r>
        <w:rPr>
          <w:sz w:val="1"/>
          <w:szCs w:val="1"/>
          <w:color w:val="auto"/>
        </w:rPr>
        <w:drawing>
          <wp:inline distT="0" distB="0" distL="0" distR="0">
            <wp:extent cx="797560" cy="14859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158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00"/>
          </w:cols>
          <w:pgMar w:left="1320" w:top="480" w:right="137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right="640"/>
        <w:spacing w:after="0" w:line="276" w:lineRule="auto"/>
        <w:rPr>
          <w:sz w:val="20"/>
          <w:szCs w:val="20"/>
          <w:color w:val="auto"/>
        </w:rPr>
      </w:pPr>
      <w:r>
        <w:rPr>
          <w:rFonts w:ascii="Arial" w:cs="Arial" w:eastAsia="Arial" w:hAnsi="Arial"/>
          <w:sz w:val="33"/>
          <w:szCs w:val="33"/>
          <w:color w:val="071D49"/>
        </w:rPr>
        <w:t>SAY ON PAY—ADVISORY VOTE ON THE APPROVAL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5878195" cy="158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78195" cy="1587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107950</wp:posOffset>
            </wp:positionV>
            <wp:extent cx="5893435" cy="11334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93435" cy="1133475"/>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140"/>
        <w:spacing w:after="0" w:line="277" w:lineRule="auto"/>
        <w:rPr>
          <w:sz w:val="20"/>
          <w:szCs w:val="20"/>
          <w:color w:val="auto"/>
        </w:rPr>
      </w:pPr>
      <w:r>
        <w:rPr>
          <w:rFonts w:ascii="Arial" w:cs="Arial" w:eastAsia="Arial" w:hAnsi="Arial"/>
          <w:sz w:val="22"/>
          <w:szCs w:val="22"/>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i w:val="1"/>
          <w:iCs w:val="1"/>
          <w:color w:val="auto"/>
        </w:rPr>
        <w:t>You are being asked to approve the compensation of AbbVie’s named executive officers described in the “Executive Compensation” section of this proxy statement. This vote is non-binding. The Board will take the results into account when making future compensation decisions.</w:t>
      </w:r>
    </w:p>
    <w:p>
      <w:pPr>
        <w:spacing w:after="0" w:line="5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b w:val="1"/>
          <w:bCs w:val="1"/>
          <w:i w:val="1"/>
          <w:iCs w:val="1"/>
          <w:color w:val="auto"/>
        </w:rPr>
        <w:t xml:space="preserve">The compensation committee has thoroughly reviewed the company’s compensation program and has determined that the pay decisions for the named executive officers are appropriate given the company’s performance, the executives’ contributions, and our stockholders’ interests. The Board of Directors therefore recommends you vote </w:t>
      </w:r>
      <w:r>
        <w:rPr>
          <w:rFonts w:ascii="Arial" w:cs="Arial" w:eastAsia="Arial" w:hAnsi="Arial"/>
          <w:sz w:val="16"/>
          <w:szCs w:val="16"/>
          <w:b w:val="1"/>
          <w:bCs w:val="1"/>
          <w:color w:val="auto"/>
        </w:rPr>
        <w:t>“FOR”</w:t>
      </w:r>
      <w:r>
        <w:rPr>
          <w:rFonts w:ascii="Arial" w:cs="Arial" w:eastAsia="Arial" w:hAnsi="Arial"/>
          <w:sz w:val="16"/>
          <w:szCs w:val="16"/>
          <w:b w:val="1"/>
          <w:bCs w:val="1"/>
          <w:i w:val="1"/>
          <w:iCs w:val="1"/>
          <w:color w:val="auto"/>
        </w:rPr>
        <w:t xml:space="preserve"> the approval of the named executive officers’ compensation.</w:t>
      </w:r>
    </w:p>
    <w:p>
      <w:pPr>
        <w:spacing w:after="0" w:line="200" w:lineRule="exact"/>
        <w:rPr>
          <w:sz w:val="20"/>
          <w:szCs w:val="20"/>
          <w:color w:val="auto"/>
        </w:rPr>
      </w:pPr>
    </w:p>
    <w:p>
      <w:pPr>
        <w:sectPr>
          <w:pgSz w:w="11900" w:h="16838" w:orient="portrait"/>
          <w:cols w:equalWidth="0" w:num="2">
            <w:col w:w="1640" w:space="380"/>
            <w:col w:w="7240"/>
          </w:cols>
          <w:pgMar w:left="1320" w:top="480" w:right="1319" w:bottom="1440" w:gutter="0" w:footer="0" w:header="0"/>
          <w:type w:val="continuous"/>
        </w:sectPr>
      </w:pPr>
    </w:p>
    <w:p>
      <w:pPr>
        <w:spacing w:after="0" w:line="59"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As required by Section 14A of the Exchange Act, stockholders are being asked to approve the compensation of AbbVie’s named executive officers, as disclosed under Securities and Exchange Commission rules, including the Compensation Discussion and Analysis, the compensation tables and related material included in this proxy statement. The independent compensation committee of the Board of Directors, with the counsel of its independent compensation consultant, has thoroughly examined AbbVie’s programs, the company’s performance related to our industry and peer group, and market factors. The committee has determined that the specific pay decisions for the named executive officers are appropriate given the company’s performance, the executives’ contributions, and our stockholders’ interests. We currently ask our stockholders to vote on executive compensation on an annual basis.</w:t>
      </w:r>
    </w:p>
    <w:p>
      <w:pPr>
        <w:spacing w:after="0" w:line="165"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While this vote is advisory and non-binding, the Board of Directors and the compensation committee value the opinion of the stockholders and will review the voting results and take them into account when future compensation decisions are made.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797560" cy="148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type w:val="continuous"/>
        </w:sectPr>
      </w:pPr>
    </w:p>
    <w:bookmarkStart w:id="76" w:name="page77"/>
    <w:bookmarkEnd w:id="76"/>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9" w:right="2640"/>
        <w:spacing w:after="0" w:line="276" w:lineRule="auto"/>
        <w:rPr>
          <w:sz w:val="20"/>
          <w:szCs w:val="20"/>
          <w:color w:val="auto"/>
        </w:rPr>
      </w:pPr>
      <w:r>
        <w:rPr>
          <w:rFonts w:ascii="Arial" w:cs="Arial" w:eastAsia="Arial" w:hAnsi="Arial"/>
          <w:sz w:val="33"/>
          <w:szCs w:val="33"/>
          <w:color w:val="071D49"/>
        </w:rPr>
        <w:t>MANAGEMENT PROPOSAL TO ELIMINATE SUPERMAJORITY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5893435" cy="15005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93435" cy="1500505"/>
                    </a:xfrm>
                    <a:prstGeom prst="rect">
                      <a:avLst/>
                    </a:prstGeom>
                    <a:noFill/>
                  </pic:spPr>
                </pic:pic>
              </a:graphicData>
            </a:graphic>
          </wp:anchor>
        </w:drawing>
      </w:r>
    </w:p>
    <w:p>
      <w:pPr>
        <w:sectPr>
          <w:pgSz w:w="11900" w:h="16838" w:orient="portrait"/>
          <w:cols w:equalWidth="0" w:num="1">
            <w:col w:w="9229"/>
          </w:cols>
          <w:pgMar w:left="1311" w:top="48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49"/>
        <w:spacing w:after="0" w:line="287" w:lineRule="auto"/>
        <w:rPr>
          <w:sz w:val="20"/>
          <w:szCs w:val="20"/>
          <w:color w:val="auto"/>
        </w:rPr>
      </w:pPr>
      <w:r>
        <w:rPr>
          <w:rFonts w:ascii="Arial" w:cs="Arial" w:eastAsia="Arial" w:hAnsi="Arial"/>
          <w:sz w:val="22"/>
          <w:szCs w:val="22"/>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i w:val="1"/>
          <w:iCs w:val="1"/>
          <w:color w:val="auto"/>
        </w:rPr>
        <w:t xml:space="preserve">You are being asked to amend and restate the Certificate of Incorporation to remove the supermajority voting requirement. Currently, certain amendments to the company’s Certificate of Incorporation or By-Laws require the affirmative vote of at least 80 percent of the outstanding shares. The proposed amendment will allow for a regular majority to pass such amendments in the future. </w:t>
      </w:r>
      <w:r>
        <w:rPr>
          <w:rFonts w:ascii="Arial" w:cs="Arial" w:eastAsia="Arial" w:hAnsi="Arial"/>
          <w:sz w:val="16"/>
          <w:szCs w:val="16"/>
          <w:i w:val="1"/>
          <w:iCs w:val="1"/>
          <w:u w:val="single" w:color="auto"/>
          <w:color w:val="auto"/>
        </w:rPr>
        <w:t>If this management proposal passes, management will submit a proposal at the next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stockholder meeting to declassify the Board into a single class with annual elections. This subsequent management proposal would be subject to the new regular majority vote threshold.</w:t>
      </w:r>
    </w:p>
    <w:p>
      <w:pPr>
        <w:spacing w:after="0" w:line="64"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b w:val="1"/>
          <w:bCs w:val="1"/>
          <w:i w:val="1"/>
          <w:iCs w:val="1"/>
          <w:color w:val="auto"/>
        </w:rPr>
        <w:t xml:space="preserve">The Board of Directors therefore recommends you vote </w:t>
      </w:r>
      <w:r>
        <w:rPr>
          <w:rFonts w:ascii="Arial" w:cs="Arial" w:eastAsia="Arial" w:hAnsi="Arial"/>
          <w:sz w:val="16"/>
          <w:szCs w:val="16"/>
          <w:b w:val="1"/>
          <w:bCs w:val="1"/>
          <w:color w:val="auto"/>
        </w:rPr>
        <w:t>“FOR”</w:t>
      </w:r>
      <w:r>
        <w:rPr>
          <w:rFonts w:ascii="Arial" w:cs="Arial" w:eastAsia="Arial" w:hAnsi="Arial"/>
          <w:sz w:val="16"/>
          <w:szCs w:val="16"/>
          <w:b w:val="1"/>
          <w:bCs w:val="1"/>
          <w:i w:val="1"/>
          <w:iCs w:val="1"/>
          <w:color w:val="auto"/>
        </w:rPr>
        <w:t xml:space="preserve"> the management proposal to amend and restate the Certificate of Incorporation to eliminate supermajority voting.</w:t>
      </w:r>
    </w:p>
    <w:p>
      <w:pPr>
        <w:spacing w:after="0" w:line="200" w:lineRule="exact"/>
        <w:rPr>
          <w:sz w:val="20"/>
          <w:szCs w:val="20"/>
          <w:color w:val="auto"/>
        </w:rPr>
      </w:pPr>
    </w:p>
    <w:p>
      <w:pPr>
        <w:sectPr>
          <w:pgSz w:w="11900" w:h="16838" w:orient="portrait"/>
          <w:cols w:equalWidth="0" w:num="2">
            <w:col w:w="1989" w:space="200"/>
            <w:col w:w="7040"/>
          </w:cols>
          <w:pgMar w:left="1311" w:top="480" w:right="1359" w:bottom="1440" w:gutter="0" w:footer="0" w:header="0"/>
          <w:type w:val="continuous"/>
        </w:sectPr>
      </w:pPr>
    </w:p>
    <w:p>
      <w:pPr>
        <w:spacing w:after="0" w:line="226" w:lineRule="exact"/>
        <w:rPr>
          <w:sz w:val="20"/>
          <w:szCs w:val="20"/>
          <w:color w:val="auto"/>
        </w:rPr>
      </w:pPr>
    </w:p>
    <w:p>
      <w:pPr>
        <w:ind w:left="9" w:right="120"/>
        <w:spacing w:after="0" w:line="254" w:lineRule="auto"/>
        <w:rPr>
          <w:sz w:val="20"/>
          <w:szCs w:val="20"/>
          <w:color w:val="auto"/>
        </w:rPr>
      </w:pPr>
      <w:r>
        <w:rPr>
          <w:rFonts w:ascii="Arial" w:cs="Arial" w:eastAsia="Arial" w:hAnsi="Arial"/>
          <w:sz w:val="16"/>
          <w:szCs w:val="16"/>
          <w:color w:val="auto"/>
        </w:rPr>
        <w:t>Currently, AbbVie’s Amended and Restated Certificate of Incorporation (the “Certificate of Incorporation”) provides that certain amendments to the Certificate of Incorporation or AbbVie’s Amended and Restated By-Laws (the “By-Laws”) require the affirmative vote of shares representing no less than 80 percent of AbbVie’s outstanding shares of stock entitled to vote generally in the election of directors. We refer to these provisions listed below as the “Supermajority Voting Requirement.”</w:t>
      </w:r>
    </w:p>
    <w:p>
      <w:pPr>
        <w:spacing w:after="0" w:line="157" w:lineRule="exact"/>
        <w:rPr>
          <w:sz w:val="20"/>
          <w:szCs w:val="20"/>
          <w:color w:val="auto"/>
        </w:rPr>
      </w:pPr>
    </w:p>
    <w:p>
      <w:pPr>
        <w:ind w:left="9" w:right="40"/>
        <w:spacing w:after="0" w:line="254" w:lineRule="auto"/>
        <w:rPr>
          <w:sz w:val="20"/>
          <w:szCs w:val="20"/>
          <w:color w:val="auto"/>
        </w:rPr>
      </w:pPr>
      <w:r>
        <w:rPr>
          <w:rFonts w:ascii="Arial" w:cs="Arial" w:eastAsia="Arial" w:hAnsi="Arial"/>
          <w:sz w:val="16"/>
          <w:szCs w:val="16"/>
          <w:color w:val="auto"/>
        </w:rPr>
        <w:t>Specifically, Article VIII of the Certificate of Incorporation provides that any stockholder-approved alteration, amendment, or repeal of any of the By-Law provisions listed below, or the adoption of any stockholder-approved By-Law provision inconsistent with those By-Law provisions, must be approved pursuant to the Supermajority Voting Requirement. The By-Law provisions covered by the Supermajority Voting Requirement are in regards to:</w:t>
      </w:r>
    </w:p>
    <w:p>
      <w:pPr>
        <w:spacing w:after="0" w:line="157" w:lineRule="exact"/>
        <w:rPr>
          <w:sz w:val="20"/>
          <w:szCs w:val="20"/>
          <w:color w:val="auto"/>
        </w:rPr>
      </w:pPr>
    </w:p>
    <w:p>
      <w:pPr>
        <w:ind w:left="289" w:hanging="289"/>
        <w:spacing w:after="0"/>
        <w:tabs>
          <w:tab w:leader="none" w:pos="289" w:val="left"/>
        </w:tabs>
        <w:numPr>
          <w:ilvl w:val="0"/>
          <w:numId w:val="99"/>
        </w:numPr>
        <w:rPr>
          <w:rFonts w:ascii="Times New Roman" w:cs="Times New Roman" w:eastAsia="Times New Roman" w:hAnsi="Times New Roman"/>
          <w:sz w:val="16"/>
          <w:szCs w:val="16"/>
          <w:color w:val="071D49"/>
        </w:rPr>
      </w:pPr>
      <w:r>
        <w:rPr>
          <w:rFonts w:ascii="Arial" w:cs="Arial" w:eastAsia="Arial" w:hAnsi="Arial"/>
          <w:sz w:val="16"/>
          <w:szCs w:val="16"/>
          <w:color w:val="auto"/>
        </w:rPr>
        <w:t>special meetings of stockholders and written consents by stockholders (Article II, Sections 2.2 and 2.12, respectively);</w:t>
      </w:r>
    </w:p>
    <w:p>
      <w:pPr>
        <w:spacing w:after="0" w:line="28" w:lineRule="exact"/>
        <w:rPr>
          <w:rFonts w:ascii="Times New Roman" w:cs="Times New Roman" w:eastAsia="Times New Roman" w:hAnsi="Times New Roman"/>
          <w:sz w:val="16"/>
          <w:szCs w:val="16"/>
          <w:color w:val="071D49"/>
        </w:rPr>
      </w:pPr>
    </w:p>
    <w:p>
      <w:pPr>
        <w:ind w:left="289" w:right="200" w:hanging="289"/>
        <w:spacing w:after="0"/>
        <w:tabs>
          <w:tab w:leader="none" w:pos="289" w:val="left"/>
        </w:tabs>
        <w:numPr>
          <w:ilvl w:val="0"/>
          <w:numId w:val="99"/>
        </w:numPr>
        <w:rPr>
          <w:rFonts w:ascii="Times New Roman" w:cs="Times New Roman" w:eastAsia="Times New Roman" w:hAnsi="Times New Roman"/>
          <w:sz w:val="16"/>
          <w:szCs w:val="16"/>
          <w:color w:val="071D49"/>
        </w:rPr>
      </w:pPr>
      <w:r>
        <w:rPr>
          <w:rFonts w:ascii="Arial" w:cs="Arial" w:eastAsia="Arial" w:hAnsi="Arial"/>
          <w:sz w:val="16"/>
          <w:szCs w:val="16"/>
          <w:color w:val="auto"/>
        </w:rPr>
        <w:t>board size and tenure, classes of directors, board vacancies, and director removal (Article III, Sections 3.2, 3.3, 3.10 and 3.11, respectively);</w:t>
      </w:r>
    </w:p>
    <w:p>
      <w:pPr>
        <w:ind w:left="289" w:hanging="289"/>
        <w:spacing w:after="0"/>
        <w:tabs>
          <w:tab w:leader="none" w:pos="289" w:val="left"/>
        </w:tabs>
        <w:numPr>
          <w:ilvl w:val="0"/>
          <w:numId w:val="99"/>
        </w:numPr>
        <w:rPr>
          <w:rFonts w:ascii="Times New Roman" w:cs="Times New Roman" w:eastAsia="Times New Roman" w:hAnsi="Times New Roman"/>
          <w:sz w:val="16"/>
          <w:szCs w:val="16"/>
          <w:color w:val="071D49"/>
        </w:rPr>
      </w:pPr>
      <w:r>
        <w:rPr>
          <w:rFonts w:ascii="Arial" w:cs="Arial" w:eastAsia="Arial" w:hAnsi="Arial"/>
          <w:sz w:val="16"/>
          <w:szCs w:val="16"/>
          <w:color w:val="auto"/>
        </w:rPr>
        <w:t>indemnification of directors and officers (Article VII); and</w:t>
      </w:r>
    </w:p>
    <w:p>
      <w:pPr>
        <w:spacing w:after="0" w:line="12" w:lineRule="exact"/>
        <w:rPr>
          <w:rFonts w:ascii="Times New Roman" w:cs="Times New Roman" w:eastAsia="Times New Roman" w:hAnsi="Times New Roman"/>
          <w:sz w:val="16"/>
          <w:szCs w:val="16"/>
          <w:color w:val="071D49"/>
        </w:rPr>
      </w:pPr>
    </w:p>
    <w:p>
      <w:pPr>
        <w:ind w:left="289" w:hanging="289"/>
        <w:spacing w:after="0"/>
        <w:tabs>
          <w:tab w:leader="none" w:pos="289" w:val="left"/>
        </w:tabs>
        <w:numPr>
          <w:ilvl w:val="0"/>
          <w:numId w:val="99"/>
        </w:numPr>
        <w:rPr>
          <w:rFonts w:ascii="Times New Roman" w:cs="Times New Roman" w:eastAsia="Times New Roman" w:hAnsi="Times New Roman"/>
          <w:sz w:val="16"/>
          <w:szCs w:val="16"/>
          <w:color w:val="071D49"/>
        </w:rPr>
      </w:pPr>
      <w:r>
        <w:rPr>
          <w:rFonts w:ascii="Arial" w:cs="Arial" w:eastAsia="Arial" w:hAnsi="Arial"/>
          <w:sz w:val="16"/>
          <w:szCs w:val="16"/>
          <w:color w:val="auto"/>
        </w:rPr>
        <w:t>amendments to the By-Laws (Article X).</w:t>
      </w:r>
    </w:p>
    <w:p>
      <w:pPr>
        <w:spacing w:after="0" w:line="193" w:lineRule="exact"/>
        <w:rPr>
          <w:sz w:val="20"/>
          <w:szCs w:val="20"/>
          <w:color w:val="auto"/>
        </w:rPr>
      </w:pPr>
    </w:p>
    <w:p>
      <w:pPr>
        <w:ind w:left="9" w:right="140"/>
        <w:spacing w:after="0" w:line="254" w:lineRule="auto"/>
        <w:rPr>
          <w:sz w:val="20"/>
          <w:szCs w:val="20"/>
          <w:color w:val="auto"/>
        </w:rPr>
      </w:pPr>
      <w:r>
        <w:rPr>
          <w:rFonts w:ascii="Arial" w:cs="Arial" w:eastAsia="Arial" w:hAnsi="Arial"/>
          <w:sz w:val="16"/>
          <w:szCs w:val="16"/>
          <w:color w:val="auto"/>
        </w:rPr>
        <w:t>Article XI of the Certificate of Incorporation provides that any alteration, amendment, or repeal of any of the provisions of the Certificate of Incorporation listed below, or the adoption of any provision inconsistent with those provisions, must be approved pursuant to the Supermajority Voting Requirement. The provisions covered by the Supermajority Voting Requirement are in regards to:</w:t>
      </w:r>
    </w:p>
    <w:p>
      <w:pPr>
        <w:spacing w:after="0" w:line="157" w:lineRule="exact"/>
        <w:rPr>
          <w:sz w:val="20"/>
          <w:szCs w:val="20"/>
          <w:color w:val="auto"/>
        </w:rPr>
      </w:pPr>
    </w:p>
    <w:p>
      <w:pPr>
        <w:ind w:left="289" w:hanging="289"/>
        <w:spacing w:after="0"/>
        <w:tabs>
          <w:tab w:leader="none" w:pos="289" w:val="left"/>
        </w:tabs>
        <w:numPr>
          <w:ilvl w:val="0"/>
          <w:numId w:val="100"/>
        </w:numPr>
        <w:rPr>
          <w:rFonts w:ascii="Times New Roman" w:cs="Times New Roman" w:eastAsia="Times New Roman" w:hAnsi="Times New Roman"/>
          <w:sz w:val="16"/>
          <w:szCs w:val="16"/>
          <w:color w:val="071D49"/>
        </w:rPr>
      </w:pPr>
      <w:r>
        <w:rPr>
          <w:rFonts w:ascii="Arial" w:cs="Arial" w:eastAsia="Arial" w:hAnsi="Arial"/>
          <w:sz w:val="16"/>
          <w:szCs w:val="16"/>
          <w:color w:val="auto"/>
        </w:rPr>
        <w:t>board size, classes of directors, board vacancies, and director removal (Article VI, Sections 1, 2, 3 and 4, respectively); and</w:t>
      </w:r>
    </w:p>
    <w:p>
      <w:pPr>
        <w:spacing w:after="0" w:line="28" w:lineRule="exact"/>
        <w:rPr>
          <w:rFonts w:ascii="Times New Roman" w:cs="Times New Roman" w:eastAsia="Times New Roman" w:hAnsi="Times New Roman"/>
          <w:sz w:val="16"/>
          <w:szCs w:val="16"/>
          <w:color w:val="071D49"/>
        </w:rPr>
      </w:pPr>
    </w:p>
    <w:p>
      <w:pPr>
        <w:ind w:left="289" w:hanging="289"/>
        <w:spacing w:after="0"/>
        <w:tabs>
          <w:tab w:leader="none" w:pos="289" w:val="left"/>
        </w:tabs>
        <w:numPr>
          <w:ilvl w:val="0"/>
          <w:numId w:val="100"/>
        </w:numPr>
        <w:rPr>
          <w:rFonts w:ascii="Times New Roman" w:cs="Times New Roman" w:eastAsia="Times New Roman" w:hAnsi="Times New Roman"/>
          <w:sz w:val="16"/>
          <w:szCs w:val="16"/>
          <w:color w:val="071D49"/>
        </w:rPr>
      </w:pPr>
      <w:r>
        <w:rPr>
          <w:rFonts w:ascii="Arial" w:cs="Arial" w:eastAsia="Arial" w:hAnsi="Arial"/>
          <w:sz w:val="16"/>
          <w:szCs w:val="16"/>
          <w:color w:val="auto"/>
        </w:rPr>
        <w:t>written consents by stockholders and special meetings of stockholders (Article VII, Sections 1 and 2, respectively).</w:t>
      </w:r>
    </w:p>
    <w:p>
      <w:pPr>
        <w:spacing w:after="0" w:line="193" w:lineRule="exact"/>
        <w:rPr>
          <w:sz w:val="20"/>
          <w:szCs w:val="20"/>
          <w:color w:val="auto"/>
        </w:rPr>
      </w:pPr>
    </w:p>
    <w:p>
      <w:pPr>
        <w:ind w:left="9" w:right="20"/>
        <w:spacing w:after="0" w:line="249" w:lineRule="auto"/>
        <w:rPr>
          <w:sz w:val="20"/>
          <w:szCs w:val="20"/>
          <w:color w:val="auto"/>
        </w:rPr>
      </w:pPr>
      <w:r>
        <w:rPr>
          <w:rFonts w:ascii="Arial" w:cs="Arial" w:eastAsia="Arial" w:hAnsi="Arial"/>
          <w:sz w:val="16"/>
          <w:szCs w:val="16"/>
          <w:color w:val="auto"/>
        </w:rPr>
        <w:t>After reviewing the advantages and disadvantages of the Supermajority Voting Requirement at this time, the Board approved, and recommends that stockholders approve, the amendment and restatement of Articles VIII and XI of the Certificate of Incorporation to remove the Supermajority Voting Requirement contained therein. If approved, future stockholder-approved amendments to the By-Law and Certificate of Incorporation provisions listed above will not be subject to the Supermajority Voting Requirement and will instead require the affirmative vote of a majority of AbbVie’s outstanding shares of stock entitled to vote generally in the election of directors.</w:t>
      </w:r>
    </w:p>
    <w:p>
      <w:pPr>
        <w:spacing w:after="0" w:line="200" w:lineRule="exact"/>
        <w:rPr>
          <w:sz w:val="20"/>
          <w:szCs w:val="20"/>
          <w:color w:val="auto"/>
        </w:rPr>
      </w:pPr>
    </w:p>
    <w:p>
      <w:pPr>
        <w:spacing w:after="0" w:line="347"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74</w:t>
      </w:r>
      <w:r>
        <w:rPr>
          <w:sz w:val="20"/>
          <w:szCs w:val="20"/>
          <w:color w:val="auto"/>
        </w:rPr>
        <w:tab/>
      </w:r>
      <w:r>
        <w:rPr>
          <w:sz w:val="1"/>
          <w:szCs w:val="1"/>
          <w:color w:val="auto"/>
        </w:rPr>
        <w:drawing>
          <wp:inline distT="0" distB="0" distL="0" distR="0">
            <wp:extent cx="797560" cy="14859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234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29"/>
          </w:cols>
          <w:pgMar w:left="1311" w:top="480" w:right="135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6"/>
          <w:szCs w:val="16"/>
          <w:u w:val="single" w:color="auto"/>
          <w:color w:val="0000EE"/>
        </w:rPr>
        <w:t>Table of Contents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MANAGEMENT PROPOSAL TO ELIMINATE</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SUPERMAJORITY VOTING</w:t>
      </w:r>
    </w:p>
    <w:p>
      <w:pPr>
        <w:spacing w:after="0" w:line="169"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 xml:space="preserve">The proposed Certificate of Amendment to the Certificate of Incorporation is attached to this proxy statement as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which the company would file promptly following the 2026 Annual Meeting if our stockholders approve the amendment. The affirmative vote of the holders of 80 percent of the outstanding shares of stock entitled to vote generally in the election of directors on the Record Date is required to approve this proposal pursuant to the Certificate of Incorporation. The Board has approved certain conforming changes to the company’s By-Laws, contingent on the effectiveness of the proposed amendment to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-492125</wp:posOffset>
            </wp:positionV>
            <wp:extent cx="797560" cy="148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78" w:name="page79"/>
    <w:bookmarkEnd w:id="78"/>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365" w:lineRule="exact"/>
        <w:rPr>
          <w:sz w:val="20"/>
          <w:szCs w:val="20"/>
          <w:color w:val="auto"/>
        </w:rPr>
      </w:pPr>
    </w:p>
    <w:p>
      <w:pPr>
        <w:ind w:left="9"/>
        <w:spacing w:after="0"/>
        <w:rPr>
          <w:sz w:val="20"/>
          <w:szCs w:val="20"/>
          <w:color w:val="auto"/>
        </w:rPr>
      </w:pPr>
      <w:r>
        <w:rPr>
          <w:rFonts w:ascii="Arial" w:cs="Arial" w:eastAsia="Arial" w:hAnsi="Arial"/>
          <w:sz w:val="32"/>
          <w:szCs w:val="32"/>
          <w:color w:val="071D49"/>
        </w:rPr>
        <w:t>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5878195" cy="158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78195" cy="158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178435</wp:posOffset>
            </wp:positionV>
            <wp:extent cx="5893435" cy="11176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93435" cy="1117600"/>
                    </a:xfrm>
                    <a:prstGeom prst="rect">
                      <a:avLst/>
                    </a:prstGeom>
                    <a:noFill/>
                  </pic:spPr>
                </pic:pic>
              </a:graphicData>
            </a:graphic>
          </wp:anchor>
        </w:drawing>
      </w:r>
    </w:p>
    <w:p>
      <w:pPr>
        <w:sectPr>
          <w:pgSz w:w="11900" w:h="16838" w:orient="portrait"/>
          <w:cols w:equalWidth="0" w:num="1">
            <w:col w:w="9229"/>
          </w:cols>
          <w:pgMar w:left="1311" w:top="48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9"/>
        <w:spacing w:after="0" w:line="287" w:lineRule="auto"/>
        <w:rPr>
          <w:sz w:val="20"/>
          <w:szCs w:val="20"/>
          <w:color w:val="auto"/>
        </w:rPr>
      </w:pPr>
      <w:r>
        <w:rPr>
          <w:rFonts w:ascii="Arial" w:cs="Arial" w:eastAsia="Arial" w:hAnsi="Arial"/>
          <w:sz w:val="22"/>
          <w:szCs w:val="22"/>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i w:val="1"/>
          <w:iCs w:val="1"/>
          <w:color w:val="auto"/>
        </w:rPr>
        <w:t>One stockholder proposal will be voted upon at the Annual Meeting if properly presented by or on behalf of the proponent. The address and share ownership information of the proponent is available upon request. The proposed resolution and the statement made in support thereof, as well as the Board of Directors’ statement in opposition to this proposal, is presented on the following pages. The proposal may contain assertions about AbbVie or other statements that we believe are incorrect.</w:t>
      </w:r>
    </w:p>
    <w:p>
      <w:pPr>
        <w:spacing w:after="0" w:line="64"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b w:val="1"/>
          <w:bCs w:val="1"/>
          <w:i w:val="1"/>
          <w:iCs w:val="1"/>
          <w:color w:val="auto"/>
        </w:rPr>
        <w:t xml:space="preserve">The Board of Directors recommends you vote </w:t>
      </w:r>
      <w:r>
        <w:rPr>
          <w:rFonts w:ascii="Arial" w:cs="Arial" w:eastAsia="Arial" w:hAnsi="Arial"/>
          <w:sz w:val="16"/>
          <w:szCs w:val="16"/>
          <w:b w:val="1"/>
          <w:bCs w:val="1"/>
          <w:color w:val="auto"/>
        </w:rPr>
        <w:t>“AGAINST”</w:t>
      </w:r>
      <w:r>
        <w:rPr>
          <w:rFonts w:ascii="Arial" w:cs="Arial" w:eastAsia="Arial" w:hAnsi="Arial"/>
          <w:sz w:val="16"/>
          <w:szCs w:val="16"/>
          <w:b w:val="1"/>
          <w:bCs w:val="1"/>
          <w:i w:val="1"/>
          <w:iCs w:val="1"/>
          <w:color w:val="auto"/>
        </w:rPr>
        <w:t xml:space="preserve"> the proposal for the reasons set forth following the proposal.</w:t>
      </w:r>
    </w:p>
    <w:p>
      <w:pPr>
        <w:spacing w:after="0" w:line="158" w:lineRule="exact"/>
        <w:rPr>
          <w:sz w:val="20"/>
          <w:szCs w:val="20"/>
          <w:color w:val="auto"/>
        </w:rPr>
      </w:pPr>
    </w:p>
    <w:p>
      <w:pPr>
        <w:sectPr>
          <w:pgSz w:w="11900" w:h="16838" w:orient="portrait"/>
          <w:cols w:equalWidth="0" w:num="2">
            <w:col w:w="1989" w:space="200"/>
            <w:col w:w="7040"/>
          </w:cols>
          <w:pgMar w:left="1311" w:top="480" w:right="1359" w:bottom="1440" w:gutter="0" w:footer="0" w:header="0"/>
          <w:type w:val="continuous"/>
        </w:sectPr>
      </w:pPr>
    </w:p>
    <w:p>
      <w:pPr>
        <w:ind w:left="9"/>
        <w:spacing w:after="0"/>
        <w:rPr>
          <w:sz w:val="20"/>
          <w:szCs w:val="20"/>
          <w:color w:val="auto"/>
        </w:rPr>
      </w:pPr>
      <w:r>
        <w:rPr>
          <w:rFonts w:ascii="Arial" w:cs="Arial" w:eastAsia="Arial" w:hAnsi="Arial"/>
          <w:sz w:val="30"/>
          <w:szCs w:val="30"/>
          <w:color w:val="808080"/>
        </w:rPr>
        <w:t>Stockholder Proposal on Independent Board Chair</w:t>
      </w:r>
    </w:p>
    <w:p>
      <w:pPr>
        <w:spacing w:after="0" w:line="204" w:lineRule="exact"/>
        <w:rPr>
          <w:sz w:val="20"/>
          <w:szCs w:val="20"/>
          <w:color w:val="auto"/>
        </w:rPr>
      </w:pPr>
    </w:p>
    <w:p>
      <w:pPr>
        <w:jc w:val="both"/>
        <w:ind w:left="9" w:right="420"/>
        <w:spacing w:after="0" w:line="262" w:lineRule="auto"/>
        <w:rPr>
          <w:sz w:val="20"/>
          <w:szCs w:val="20"/>
          <w:color w:val="auto"/>
        </w:rPr>
      </w:pPr>
      <w:r>
        <w:rPr>
          <w:rFonts w:ascii="Arial" w:cs="Arial" w:eastAsia="Arial" w:hAnsi="Arial"/>
          <w:sz w:val="16"/>
          <w:szCs w:val="16"/>
          <w:color w:val="auto"/>
        </w:rPr>
        <w:t>Mercy Investment Services, Inc. and co-filers Miller/Howard Investments, Inc. (on behalf of Owen Harvey), CommonSpirit Health, Dana Investment Advisors, and Providence St. Joseph Health have notified AbbVie that they intend to present the following proposal at the Annual Meeting and that they own the requisite number of AbbVie shares.</w:t>
      </w:r>
    </w:p>
    <w:p>
      <w:pPr>
        <w:spacing w:after="0" w:line="148" w:lineRule="exact"/>
        <w:rPr>
          <w:sz w:val="20"/>
          <w:szCs w:val="20"/>
          <w:color w:val="auto"/>
        </w:rPr>
      </w:pPr>
    </w:p>
    <w:p>
      <w:pPr>
        <w:ind w:left="29" w:right="60"/>
        <w:spacing w:after="0" w:line="249"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the Board of Directors adopt as policy, and amend the bylaws as necessary, to require</w:t>
      </w:r>
      <w:r>
        <w:rPr>
          <w:rFonts w:ascii="Arial" w:cs="Arial" w:eastAsia="Arial" w:hAnsi="Arial"/>
          <w:sz w:val="16"/>
          <w:szCs w:val="16"/>
          <w:b w:val="1"/>
          <w:bCs w:val="1"/>
          <w:color w:val="auto"/>
        </w:rPr>
        <w:t xml:space="preserve"> </w:t>
      </w:r>
      <w:r>
        <w:rPr>
          <w:rFonts w:ascii="Arial" w:cs="Arial" w:eastAsia="Arial" w:hAnsi="Arial"/>
          <w:sz w:val="16"/>
          <w:szCs w:val="16"/>
          <w:color w:val="auto"/>
        </w:rPr>
        <w:t>henceforth that the Chair of the Board of Directors, whenever possible, be an independent member of the Board. This independence policy shall apply prospectively so as not to violate any contractual obligations.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 This policy would be phased in for the next chief executive officer (CEO) transition.</w:t>
      </w:r>
    </w:p>
    <w:p>
      <w:pPr>
        <w:spacing w:after="0" w:line="110" w:lineRule="exact"/>
        <w:rPr>
          <w:sz w:val="20"/>
          <w:szCs w:val="20"/>
          <w:color w:val="auto"/>
        </w:rPr>
      </w:pPr>
    </w:p>
    <w:p>
      <w:pPr>
        <w:ind w:left="29"/>
        <w:spacing w:after="0"/>
        <w:rPr>
          <w:sz w:val="20"/>
          <w:szCs w:val="20"/>
          <w:color w:val="auto"/>
        </w:rPr>
      </w:pPr>
      <w:r>
        <w:rPr>
          <w:rFonts w:ascii="Arial" w:cs="Arial" w:eastAsia="Arial" w:hAnsi="Arial"/>
          <w:sz w:val="16"/>
          <w:szCs w:val="16"/>
          <w:b w:val="1"/>
          <w:bCs w:val="1"/>
          <w:color w:val="auto"/>
        </w:rPr>
        <w:t>WHEREAS:</w:t>
      </w:r>
    </w:p>
    <w:p>
      <w:pPr>
        <w:spacing w:after="0" w:line="148" w:lineRule="exact"/>
        <w:rPr>
          <w:sz w:val="20"/>
          <w:szCs w:val="20"/>
          <w:color w:val="auto"/>
        </w:rPr>
      </w:pPr>
    </w:p>
    <w:p>
      <w:pPr>
        <w:ind w:left="29"/>
        <w:spacing w:after="0"/>
        <w:rPr>
          <w:sz w:val="20"/>
          <w:szCs w:val="20"/>
          <w:color w:val="auto"/>
        </w:rPr>
      </w:pPr>
      <w:r>
        <w:rPr>
          <w:rFonts w:ascii="Arial" w:cs="Arial" w:eastAsia="Arial" w:hAnsi="Arial"/>
          <w:sz w:val="16"/>
          <w:szCs w:val="16"/>
          <w:color w:val="auto"/>
        </w:rPr>
        <w:t>We believe:</w:t>
      </w:r>
    </w:p>
    <w:p>
      <w:pPr>
        <w:spacing w:after="0" w:line="148" w:lineRule="exact"/>
        <w:rPr>
          <w:sz w:val="20"/>
          <w:szCs w:val="20"/>
          <w:color w:val="auto"/>
        </w:rPr>
      </w:pPr>
    </w:p>
    <w:p>
      <w:pPr>
        <w:ind w:left="289" w:hanging="289"/>
        <w:spacing w:after="0"/>
        <w:tabs>
          <w:tab w:leader="none" w:pos="289" w:val="left"/>
        </w:tabs>
        <w:numPr>
          <w:ilvl w:val="0"/>
          <w:numId w:val="101"/>
        </w:numPr>
        <w:rPr>
          <w:rFonts w:ascii="Times New Roman" w:cs="Times New Roman" w:eastAsia="Times New Roman" w:hAnsi="Times New Roman"/>
          <w:sz w:val="16"/>
          <w:szCs w:val="16"/>
          <w:color w:val="auto"/>
        </w:rPr>
      </w:pPr>
      <w:r>
        <w:rPr>
          <w:rFonts w:ascii="Arial" w:cs="Arial" w:eastAsia="Arial" w:hAnsi="Arial"/>
          <w:sz w:val="16"/>
          <w:szCs w:val="16"/>
          <w:color w:val="auto"/>
        </w:rPr>
        <w:t>The role of the CEO and management is to run the company.</w:t>
      </w:r>
    </w:p>
    <w:p>
      <w:pPr>
        <w:spacing w:after="0" w:line="110" w:lineRule="exact"/>
        <w:rPr>
          <w:rFonts w:ascii="Times New Roman" w:cs="Times New Roman" w:eastAsia="Times New Roman" w:hAnsi="Times New Roman"/>
          <w:sz w:val="16"/>
          <w:szCs w:val="16"/>
          <w:color w:val="auto"/>
        </w:rPr>
      </w:pPr>
    </w:p>
    <w:p>
      <w:pPr>
        <w:ind w:left="289" w:hanging="289"/>
        <w:spacing w:after="0"/>
        <w:tabs>
          <w:tab w:leader="none" w:pos="289" w:val="left"/>
        </w:tabs>
        <w:numPr>
          <w:ilvl w:val="0"/>
          <w:numId w:val="101"/>
        </w:numPr>
        <w:rPr>
          <w:rFonts w:ascii="Times New Roman" w:cs="Times New Roman" w:eastAsia="Times New Roman" w:hAnsi="Times New Roman"/>
          <w:sz w:val="16"/>
          <w:szCs w:val="16"/>
          <w:color w:val="auto"/>
        </w:rPr>
      </w:pPr>
      <w:r>
        <w:rPr>
          <w:rFonts w:ascii="Arial" w:cs="Arial" w:eastAsia="Arial" w:hAnsi="Arial"/>
          <w:sz w:val="16"/>
          <w:szCs w:val="16"/>
          <w:color w:val="auto"/>
        </w:rPr>
        <w:t>The role of the Board of Directors is to provide independent oversight of management and the CEO.</w:t>
      </w:r>
    </w:p>
    <w:p>
      <w:pPr>
        <w:spacing w:after="0" w:line="110" w:lineRule="exact"/>
        <w:rPr>
          <w:rFonts w:ascii="Times New Roman" w:cs="Times New Roman" w:eastAsia="Times New Roman" w:hAnsi="Times New Roman"/>
          <w:sz w:val="16"/>
          <w:szCs w:val="16"/>
          <w:color w:val="auto"/>
        </w:rPr>
      </w:pPr>
    </w:p>
    <w:p>
      <w:pPr>
        <w:ind w:left="289" w:hanging="289"/>
        <w:spacing w:after="0"/>
        <w:tabs>
          <w:tab w:leader="none" w:pos="289" w:val="left"/>
        </w:tabs>
        <w:numPr>
          <w:ilvl w:val="0"/>
          <w:numId w:val="101"/>
        </w:numPr>
        <w:rPr>
          <w:rFonts w:ascii="Times New Roman" w:cs="Times New Roman" w:eastAsia="Times New Roman" w:hAnsi="Times New Roman"/>
          <w:sz w:val="16"/>
          <w:szCs w:val="16"/>
          <w:color w:val="auto"/>
        </w:rPr>
      </w:pPr>
      <w:r>
        <w:rPr>
          <w:rFonts w:ascii="Arial" w:cs="Arial" w:eastAsia="Arial" w:hAnsi="Arial"/>
          <w:sz w:val="16"/>
          <w:szCs w:val="16"/>
          <w:color w:val="auto"/>
        </w:rPr>
        <w:t>There is a potential conflict of interest for a CEO to have a non-independent director act as Chair.</w:t>
      </w:r>
    </w:p>
    <w:p>
      <w:pPr>
        <w:spacing w:after="0" w:line="111" w:lineRule="exact"/>
        <w:rPr>
          <w:sz w:val="20"/>
          <w:szCs w:val="20"/>
          <w:color w:val="auto"/>
        </w:rPr>
      </w:pPr>
    </w:p>
    <w:p>
      <w:pPr>
        <w:ind w:left="29" w:right="280"/>
        <w:spacing w:after="0" w:line="262" w:lineRule="auto"/>
        <w:rPr>
          <w:sz w:val="20"/>
          <w:szCs w:val="20"/>
          <w:color w:val="auto"/>
        </w:rPr>
      </w:pPr>
      <w:r>
        <w:rPr>
          <w:rFonts w:ascii="Arial" w:cs="Arial" w:eastAsia="Arial" w:hAnsi="Arial"/>
          <w:sz w:val="16"/>
          <w:szCs w:val="16"/>
          <w:color w:val="auto"/>
        </w:rPr>
        <w:t>In our view, shareholders are best served by an independent Board Chair who can provide a balance of power between the CEO and the Board. Taking this step is in the long-term interests of shareholders and will promote effective oversight of management.</w:t>
      </w:r>
    </w:p>
    <w:p>
      <w:pPr>
        <w:spacing w:after="0" w:line="91" w:lineRule="exact"/>
        <w:rPr>
          <w:sz w:val="20"/>
          <w:szCs w:val="20"/>
          <w:color w:val="auto"/>
        </w:rPr>
      </w:pPr>
    </w:p>
    <w:p>
      <w:pPr>
        <w:ind w:left="29" w:right="320"/>
        <w:spacing w:after="0" w:line="213" w:lineRule="auto"/>
        <w:rPr>
          <w:sz w:val="20"/>
          <w:szCs w:val="20"/>
          <w:color w:val="auto"/>
        </w:rPr>
      </w:pPr>
      <w:r>
        <w:rPr>
          <w:rFonts w:ascii="Arial" w:cs="Arial" w:eastAsia="Arial" w:hAnsi="Arial"/>
          <w:sz w:val="16"/>
          <w:szCs w:val="16"/>
          <w:color w:val="auto"/>
        </w:rPr>
        <w:t>As of 2024, approximately 40%</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of S&amp;P 500 firms had an independent chair. ISS reported in September 2025 that 81%</w:t>
      </w:r>
      <w:r>
        <w:rPr>
          <w:rFonts w:ascii="Arial" w:cs="Arial" w:eastAsia="Arial" w:hAnsi="Arial"/>
          <w:sz w:val="24"/>
          <w:szCs w:val="24"/>
          <w:color w:val="auto"/>
          <w:vertAlign w:val="superscript"/>
        </w:rPr>
        <w:t>2</w:t>
      </w:r>
      <w:r>
        <w:rPr>
          <w:rFonts w:ascii="Arial" w:cs="Arial" w:eastAsia="Arial" w:hAnsi="Arial"/>
          <w:sz w:val="16"/>
          <w:szCs w:val="16"/>
          <w:color w:val="auto"/>
        </w:rPr>
        <w:t xml:space="preserve"> of investors responding to its policy survey indicated that an independent chair is their preferred model.</w:t>
      </w:r>
    </w:p>
    <w:p>
      <w:pPr>
        <w:spacing w:after="0" w:line="117" w:lineRule="exact"/>
        <w:rPr>
          <w:sz w:val="20"/>
          <w:szCs w:val="20"/>
          <w:color w:val="auto"/>
        </w:rPr>
      </w:pPr>
    </w:p>
    <w:p>
      <w:pPr>
        <w:jc w:val="both"/>
        <w:ind w:left="29" w:right="140"/>
        <w:spacing w:after="0" w:line="262" w:lineRule="auto"/>
        <w:rPr>
          <w:sz w:val="20"/>
          <w:szCs w:val="20"/>
          <w:color w:val="auto"/>
        </w:rPr>
      </w:pPr>
      <w:r>
        <w:rPr>
          <w:rFonts w:ascii="Arial" w:cs="Arial" w:eastAsia="Arial" w:hAnsi="Arial"/>
          <w:sz w:val="16"/>
          <w:szCs w:val="16"/>
          <w:color w:val="auto"/>
        </w:rPr>
        <w:t>Pharmaceutical companies are particularly in need of effective and unconflicted oversight because of the industry’s high legal and regulatory risks related to product safety and the industry’s commercial practices. AbbVie is not immune to litigation and regulatory attention.</w:t>
      </w:r>
    </w:p>
    <w:p>
      <w:pPr>
        <w:spacing w:after="0" w:line="99" w:lineRule="exact"/>
        <w:rPr>
          <w:sz w:val="20"/>
          <w:szCs w:val="20"/>
          <w:color w:val="auto"/>
        </w:rPr>
      </w:pPr>
    </w:p>
    <w:p>
      <w:pPr>
        <w:ind w:left="9" w:hanging="9"/>
        <w:spacing w:after="0" w:line="265" w:lineRule="auto"/>
        <w:tabs>
          <w:tab w:leader="none" w:pos="305"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In February of 2023, the Pharmaceutical Accountability Foundation sued AbbVie on the grounds that it had abused its dominant market position to make excessive profits, violating Dutch competition law and human rights principles. The case was dismissed on standing grounds in July 2025.</w:t>
      </w:r>
      <w:r>
        <w:rPr>
          <w:rFonts w:ascii="Arial" w:cs="Arial" w:eastAsia="Arial" w:hAnsi="Arial"/>
          <w:sz w:val="24"/>
          <w:szCs w:val="24"/>
          <w:color w:val="auto"/>
          <w:vertAlign w:val="superscript"/>
        </w:rPr>
        <w:t>3</w:t>
      </w:r>
    </w:p>
    <w:p>
      <w:pPr>
        <w:spacing w:after="0" w:line="2" w:lineRule="exact"/>
        <w:rPr>
          <w:rFonts w:ascii="Times New Roman" w:cs="Times New Roman" w:eastAsia="Times New Roman" w:hAnsi="Times New Roman"/>
          <w:sz w:val="16"/>
          <w:szCs w:val="16"/>
          <w:color w:val="auto"/>
        </w:rPr>
      </w:pPr>
    </w:p>
    <w:p>
      <w:pPr>
        <w:ind w:left="9" w:right="100" w:hanging="9"/>
        <w:spacing w:after="0" w:line="269" w:lineRule="auto"/>
        <w:tabs>
          <w:tab w:leader="none" w:pos="305"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Conversely, just this summer the United States Court of Appeals for the Fifth Circuit affirmed a Mississippi court’s decision to deny AbbVie’s request for a preliminary injunction against enforcement of a state law protecting 340B pricing for contract pharmacy arrangements</w:t>
      </w:r>
      <w:r>
        <w:rPr>
          <w:rFonts w:ascii="Arial" w:cs="Arial" w:eastAsia="Arial" w:hAnsi="Arial"/>
          <w:sz w:val="24"/>
          <w:szCs w:val="24"/>
          <w:color w:val="auto"/>
          <w:vertAlign w:val="superscript"/>
        </w:rPr>
        <w:t>4</w:t>
      </w:r>
      <w:r>
        <w:rPr>
          <w:rFonts w:ascii="Arial" w:cs="Arial" w:eastAsia="Arial" w:hAnsi="Arial"/>
          <w:sz w:val="16"/>
          <w:szCs w:val="16"/>
          <w:color w:val="auto"/>
        </w:rPr>
        <w:t>.</w:t>
      </w:r>
    </w:p>
    <w:p>
      <w:pPr>
        <w:spacing w:after="0" w:line="379"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76</w:t>
      </w:r>
      <w:r>
        <w:rPr>
          <w:sz w:val="20"/>
          <w:szCs w:val="20"/>
          <w:color w:val="auto"/>
        </w:rPr>
        <w:tab/>
      </w:r>
      <w:r>
        <w:rPr>
          <w:sz w:val="1"/>
          <w:szCs w:val="1"/>
          <w:color w:val="auto"/>
        </w:rPr>
        <w:drawing>
          <wp:inline distT="0" distB="0" distL="0" distR="0">
            <wp:extent cx="797560" cy="14859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29"/>
          </w:cols>
          <w:pgMar w:left="1311" w:top="480" w:right="1359" w:bottom="1440" w:gutter="0" w:footer="0" w:header="0"/>
          <w:type w:val="continuous"/>
        </w:sectPr>
      </w:pPr>
    </w:p>
    <w:bookmarkStart w:id="79" w:name="page80"/>
    <w:bookmarkEnd w:id="79"/>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7069"/>
        <w:spacing w:after="0"/>
        <w:rPr>
          <w:sz w:val="20"/>
          <w:szCs w:val="20"/>
          <w:color w:val="auto"/>
        </w:rPr>
      </w:pPr>
      <w:r>
        <w:rPr>
          <w:rFonts w:ascii="Arial" w:cs="Arial" w:eastAsia="Arial" w:hAnsi="Arial"/>
          <w:sz w:val="16"/>
          <w:szCs w:val="16"/>
          <w:color w:val="808080"/>
        </w:rPr>
        <w:t>STOCKHOLDER PROPOSAL</w:t>
      </w:r>
    </w:p>
    <w:p>
      <w:pPr>
        <w:spacing w:after="0" w:line="185" w:lineRule="exact"/>
        <w:rPr>
          <w:sz w:val="20"/>
          <w:szCs w:val="20"/>
          <w:color w:val="auto"/>
        </w:rPr>
      </w:pPr>
    </w:p>
    <w:p>
      <w:pPr>
        <w:ind w:left="9" w:right="20" w:hanging="9"/>
        <w:spacing w:after="0" w:line="275" w:lineRule="auto"/>
        <w:tabs>
          <w:tab w:leader="none" w:pos="305" w:val="left"/>
        </w:tabs>
        <w:numPr>
          <w:ilvl w:val="0"/>
          <w:numId w:val="103"/>
        </w:numPr>
        <w:rPr>
          <w:rFonts w:ascii="Times New Roman" w:cs="Times New Roman" w:eastAsia="Times New Roman" w:hAnsi="Times New Roman"/>
          <w:sz w:val="16"/>
          <w:szCs w:val="16"/>
          <w:color w:val="auto"/>
        </w:rPr>
      </w:pPr>
      <w:r>
        <w:rPr>
          <w:rFonts w:ascii="Arial" w:cs="Arial" w:eastAsia="Arial" w:hAnsi="Arial"/>
          <w:sz w:val="16"/>
          <w:szCs w:val="16"/>
          <w:color w:val="auto"/>
        </w:rPr>
        <w:t>In 2023, the courts settled a several years long dispute over Androgel. While the $448 million judgment was overturned, the ruling remained intact that Abbott violated antitrust law in suing Perrigo to delay its generic</w:t>
      </w:r>
      <w:r>
        <w:rPr>
          <w:rFonts w:ascii="Arial" w:cs="Arial" w:eastAsia="Arial" w:hAnsi="Arial"/>
          <w:sz w:val="24"/>
          <w:szCs w:val="24"/>
          <w:color w:val="auto"/>
          <w:vertAlign w:val="superscript"/>
        </w:rPr>
        <w:t>5</w:t>
      </w:r>
      <w:r>
        <w:rPr>
          <w:rFonts w:ascii="Arial" w:cs="Arial" w:eastAsia="Arial" w:hAnsi="Arial"/>
          <w:sz w:val="16"/>
          <w:szCs w:val="16"/>
          <w:color w:val="auto"/>
        </w:rPr>
        <w:t>.</w:t>
      </w:r>
    </w:p>
    <w:p>
      <w:pPr>
        <w:spacing w:after="0" w:line="1" w:lineRule="exact"/>
        <w:rPr>
          <w:sz w:val="20"/>
          <w:szCs w:val="20"/>
          <w:color w:val="auto"/>
        </w:rPr>
      </w:pPr>
    </w:p>
    <w:p>
      <w:pPr>
        <w:ind w:left="9" w:right="40"/>
        <w:spacing w:after="0" w:line="283" w:lineRule="auto"/>
        <w:rPr>
          <w:sz w:val="20"/>
          <w:szCs w:val="20"/>
          <w:color w:val="auto"/>
        </w:rPr>
      </w:pPr>
      <w:r>
        <w:rPr>
          <w:rFonts w:ascii="Arial" w:cs="Arial" w:eastAsia="Arial" w:hAnsi="Arial"/>
          <w:sz w:val="16"/>
          <w:szCs w:val="16"/>
          <w:color w:val="auto"/>
        </w:rPr>
        <w:t>The risk of lawsuits, sustained public controversy and regulatory intervention, whether ultimately found to be justified or not, are strong arguments for the need for continuous, effective and unconflicted board oversight of corporate management.</w:t>
      </w:r>
    </w:p>
    <w:p>
      <w:pPr>
        <w:spacing w:after="0" w:line="83" w:lineRule="exact"/>
        <w:rPr>
          <w:sz w:val="20"/>
          <w:szCs w:val="20"/>
          <w:color w:val="auto"/>
        </w:rPr>
      </w:pPr>
    </w:p>
    <w:p>
      <w:pPr>
        <w:ind w:left="9"/>
        <w:spacing w:after="0" w:line="283" w:lineRule="auto"/>
        <w:rPr>
          <w:sz w:val="20"/>
          <w:szCs w:val="20"/>
          <w:color w:val="auto"/>
        </w:rPr>
      </w:pPr>
      <w:r>
        <w:rPr>
          <w:rFonts w:ascii="Arial" w:cs="Arial" w:eastAsia="Arial" w:hAnsi="Arial"/>
          <w:sz w:val="16"/>
          <w:szCs w:val="16"/>
          <w:color w:val="auto"/>
        </w:rPr>
        <w:t>In order to ensure that our Board can provide rigorous oversight for our Company with greater independence and accountability, we urge a vote FOR this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146939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69390" cy="7620"/>
                    </a:xfrm>
                    <a:prstGeom prst="rect">
                      <a:avLst/>
                    </a:prstGeom>
                    <a:noFill/>
                  </pic:spPr>
                </pic:pic>
              </a:graphicData>
            </a:graphic>
          </wp:anchor>
        </w:drawing>
      </w:r>
    </w:p>
    <w:p>
      <w:pPr>
        <w:spacing w:after="0" w:line="210" w:lineRule="exact"/>
        <w:rPr>
          <w:sz w:val="20"/>
          <w:szCs w:val="20"/>
          <w:color w:val="auto"/>
        </w:rPr>
      </w:pPr>
    </w:p>
    <w:p>
      <w:pPr>
        <w:ind w:left="109" w:hanging="109"/>
        <w:spacing w:after="0"/>
        <w:tabs>
          <w:tab w:leader="none" w:pos="109" w:val="left"/>
        </w:tabs>
        <w:numPr>
          <w:ilvl w:val="0"/>
          <w:numId w:val="104"/>
        </w:numPr>
        <w:rPr>
          <w:rFonts w:ascii="Arial" w:cs="Arial" w:eastAsia="Arial" w:hAnsi="Arial"/>
          <w:sz w:val="25"/>
          <w:szCs w:val="25"/>
          <w:color w:val="auto"/>
          <w:vertAlign w:val="superscript"/>
        </w:rPr>
      </w:pPr>
      <w:r>
        <w:rPr>
          <w:rFonts w:ascii="Arial" w:cs="Arial" w:eastAsia="Arial" w:hAnsi="Arial"/>
          <w:sz w:val="16"/>
          <w:szCs w:val="16"/>
          <w:color w:val="auto"/>
        </w:rPr>
        <w:t>https://www.conference-board.org/publications/Board-Practices-and-Composition-2024-Edition</w:t>
      </w:r>
    </w:p>
    <w:p>
      <w:pPr>
        <w:ind w:left="9"/>
        <w:spacing w:after="0" w:line="183" w:lineRule="auto"/>
        <w:rPr>
          <w:rFonts w:ascii="Arial" w:cs="Arial" w:eastAsia="Arial" w:hAnsi="Arial"/>
          <w:sz w:val="25"/>
          <w:szCs w:val="25"/>
          <w:color w:val="auto"/>
          <w:vertAlign w:val="superscript"/>
        </w:rPr>
      </w:pPr>
      <w:r>
        <w:rPr>
          <w:rFonts w:ascii="Arial" w:cs="Arial" w:eastAsia="Arial" w:hAnsi="Arial"/>
          <w:sz w:val="21"/>
          <w:szCs w:val="21"/>
          <w:color w:val="auto"/>
          <w:vertAlign w:val="superscript"/>
        </w:rPr>
        <w:t>2</w:t>
      </w:r>
      <w:r>
        <w:rPr>
          <w:rFonts w:ascii="Arial" w:cs="Arial" w:eastAsia="Arial" w:hAnsi="Arial"/>
          <w:sz w:val="15"/>
          <w:szCs w:val="15"/>
          <w:color w:val="auto"/>
        </w:rPr>
        <w:t xml:space="preserve"> https://www.issgovernance.com/file/policy/active/policy-survey-summary-2025.pdf</w:t>
      </w:r>
    </w:p>
    <w:p>
      <w:pPr>
        <w:ind w:left="9" w:right="320"/>
        <w:spacing w:after="0" w:line="192" w:lineRule="auto"/>
        <w:rPr>
          <w:rFonts w:ascii="Arial" w:cs="Arial" w:eastAsia="Arial" w:hAnsi="Arial"/>
          <w:sz w:val="25"/>
          <w:szCs w:val="25"/>
          <w:color w:val="auto"/>
          <w:vertAlign w:val="superscript"/>
        </w:rPr>
      </w:pPr>
      <w:r>
        <w:rPr>
          <w:rFonts w:ascii="Arial" w:cs="Arial" w:eastAsia="Arial" w:hAnsi="Arial"/>
          <w:sz w:val="24"/>
          <w:szCs w:val="24"/>
          <w:color w:val="auto"/>
          <w:vertAlign w:val="superscript"/>
        </w:rPr>
        <w:t>3</w:t>
      </w:r>
      <w:r>
        <w:rPr>
          <w:rFonts w:ascii="Arial" w:cs="Arial" w:eastAsia="Arial" w:hAnsi="Arial"/>
          <w:sz w:val="16"/>
          <w:szCs w:val="16"/>
          <w:color w:val="auto"/>
        </w:rPr>
        <w:t xml:space="preserve"> https://www.pharmaceuticalaccountability.org/2025/07/09/amsterdam-court-gives-no-substantive-ruling-in-pharmaceutical-accountability-foundation-abbvie-excessive-pricing-case-on-humira/</w:t>
      </w:r>
    </w:p>
    <w:p>
      <w:pPr>
        <w:spacing w:after="0" w:line="1" w:lineRule="exact"/>
        <w:rPr>
          <w:rFonts w:ascii="Arial" w:cs="Arial" w:eastAsia="Arial" w:hAnsi="Arial"/>
          <w:sz w:val="25"/>
          <w:szCs w:val="25"/>
          <w:color w:val="auto"/>
          <w:vertAlign w:val="superscript"/>
        </w:rPr>
      </w:pPr>
    </w:p>
    <w:p>
      <w:pPr>
        <w:ind w:left="9"/>
        <w:spacing w:after="0" w:line="183" w:lineRule="auto"/>
        <w:rPr>
          <w:rFonts w:ascii="Arial" w:cs="Arial" w:eastAsia="Arial" w:hAnsi="Arial"/>
          <w:sz w:val="25"/>
          <w:szCs w:val="25"/>
          <w:color w:val="auto"/>
          <w:vertAlign w:val="superscript"/>
        </w:rPr>
      </w:pPr>
      <w:r>
        <w:rPr>
          <w:rFonts w:ascii="Arial" w:cs="Arial" w:eastAsia="Arial" w:hAnsi="Arial"/>
          <w:sz w:val="21"/>
          <w:szCs w:val="21"/>
          <w:color w:val="auto"/>
          <w:vertAlign w:val="superscript"/>
        </w:rPr>
        <w:t>4</w:t>
      </w:r>
      <w:r>
        <w:rPr>
          <w:rFonts w:ascii="Arial" w:cs="Arial" w:eastAsia="Arial" w:hAnsi="Arial"/>
          <w:sz w:val="15"/>
          <w:szCs w:val="15"/>
          <w:color w:val="auto"/>
        </w:rPr>
        <w:t xml:space="preserve"> https://www.aha.org/news/headline/2025-07-14-missouri-district-court-rules-favor-states-340b-law</w:t>
      </w:r>
    </w:p>
    <w:p>
      <w:pPr>
        <w:ind w:left="9" w:right="280"/>
        <w:spacing w:after="0" w:line="200" w:lineRule="auto"/>
        <w:rPr>
          <w:rFonts w:ascii="Arial" w:cs="Arial" w:eastAsia="Arial" w:hAnsi="Arial"/>
          <w:sz w:val="25"/>
          <w:szCs w:val="25"/>
          <w:color w:val="auto"/>
          <w:vertAlign w:val="superscript"/>
        </w:rPr>
      </w:pPr>
      <w:r>
        <w:rPr>
          <w:rFonts w:ascii="Arial" w:cs="Arial" w:eastAsia="Arial" w:hAnsi="Arial"/>
          <w:sz w:val="24"/>
          <w:szCs w:val="24"/>
          <w:color w:val="auto"/>
          <w:vertAlign w:val="superscript"/>
        </w:rPr>
        <w:t>5</w:t>
      </w:r>
      <w:r>
        <w:rPr>
          <w:rFonts w:ascii="Arial" w:cs="Arial" w:eastAsia="Arial" w:hAnsi="Arial"/>
          <w:sz w:val="16"/>
          <w:szCs w:val="16"/>
          <w:color w:val="auto"/>
        </w:rPr>
        <w:t xml:space="preserve"> https://www.reuters.com/legal/litigation/column-heres-what-abbvie-doesnt-want-you-know-about-its-sham-androgel-patent-2023-07-25/</w:t>
      </w:r>
    </w:p>
    <w:p>
      <w:pPr>
        <w:spacing w:after="0" w:line="307" w:lineRule="exact"/>
        <w:rPr>
          <w:sz w:val="20"/>
          <w:szCs w:val="20"/>
          <w:color w:val="auto"/>
        </w:rPr>
      </w:pPr>
    </w:p>
    <w:p>
      <w:pPr>
        <w:ind w:left="9" w:right="1200"/>
        <w:spacing w:after="0" w:line="270" w:lineRule="auto"/>
        <w:rPr>
          <w:sz w:val="20"/>
          <w:szCs w:val="20"/>
          <w:color w:val="auto"/>
        </w:rPr>
      </w:pPr>
      <w:r>
        <w:rPr>
          <w:rFonts w:ascii="Arial" w:cs="Arial" w:eastAsia="Arial" w:hAnsi="Arial"/>
          <w:sz w:val="30"/>
          <w:szCs w:val="30"/>
          <w:color w:val="071D49"/>
        </w:rPr>
        <w:t>Board of Directors Statement in Opposition to the Stockholder Proposal on Independent Board Chair</w:t>
      </w:r>
    </w:p>
    <w:p>
      <w:pPr>
        <w:spacing w:after="0" w:line="118" w:lineRule="exact"/>
        <w:rPr>
          <w:sz w:val="20"/>
          <w:szCs w:val="20"/>
          <w:color w:val="auto"/>
        </w:rPr>
      </w:pPr>
    </w:p>
    <w:p>
      <w:pPr>
        <w:ind w:left="9"/>
        <w:spacing w:after="0"/>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198" w:lineRule="exact"/>
        <w:rPr>
          <w:sz w:val="20"/>
          <w:szCs w:val="20"/>
          <w:color w:val="auto"/>
        </w:rPr>
      </w:pPr>
    </w:p>
    <w:p>
      <w:pPr>
        <w:ind w:left="9"/>
        <w:spacing w:after="0" w:line="252" w:lineRule="auto"/>
        <w:rPr>
          <w:sz w:val="20"/>
          <w:szCs w:val="20"/>
          <w:color w:val="auto"/>
        </w:rPr>
      </w:pPr>
      <w:r>
        <w:rPr>
          <w:rFonts w:ascii="Arial" w:cs="Arial" w:eastAsia="Arial" w:hAnsi="Arial"/>
          <w:sz w:val="16"/>
          <w:szCs w:val="16"/>
          <w:color w:val="auto"/>
        </w:rPr>
        <w:t>AbbVie’s Board of Directors (the “Board”) believes that it is in the best interests of the company and its stockholders to maintain the flexibility to determine the ideal board leadership structure at any given time. This proposal would dramatically hamstring the Board by mandating a leadership structure that may not be optimal for the company or its stockholders. Such a mandate suggests that there is only one optimal leadership structure, which is not supported by empirical evidence or prevailing governance trends.</w:t>
      </w:r>
    </w:p>
    <w:p>
      <w:pPr>
        <w:spacing w:after="0" w:line="335" w:lineRule="exact"/>
        <w:rPr>
          <w:sz w:val="20"/>
          <w:szCs w:val="20"/>
          <w:color w:val="auto"/>
        </w:rPr>
      </w:pPr>
    </w:p>
    <w:p>
      <w:pPr>
        <w:ind w:left="9" w:right="100"/>
        <w:spacing w:after="0" w:line="251" w:lineRule="auto"/>
        <w:rPr>
          <w:sz w:val="20"/>
          <w:szCs w:val="20"/>
          <w:color w:val="auto"/>
        </w:rPr>
      </w:pPr>
      <w:r>
        <w:rPr>
          <w:rFonts w:ascii="Arial" w:cs="Arial" w:eastAsia="Arial" w:hAnsi="Arial"/>
          <w:sz w:val="16"/>
          <w:szCs w:val="16"/>
          <w:color w:val="auto"/>
        </w:rPr>
        <w:t>As discussed elsewhere in this proxy statement, AbbVie’s Board has determined that the current leadership structure, in which the offices of chairman of the board and CEO are held by one individual with a Board appointed lead independent director, ensures the appropriate level of oversight, independence, and responsibility is applied to all Board decisions, and is in the best interests of AbbVie and its stockholders. The Board regularly reviews its leadership structure and effectiveness. In determining its present leadership structure, the board weighed numerous factors, such as:</w:t>
      </w:r>
    </w:p>
    <w:p>
      <w:pPr>
        <w:spacing w:after="0" w:line="146" w:lineRule="exact"/>
        <w:rPr>
          <w:sz w:val="20"/>
          <w:szCs w:val="20"/>
          <w:color w:val="auto"/>
        </w:rPr>
      </w:pPr>
    </w:p>
    <w:p>
      <w:pPr>
        <w:ind w:left="609" w:right="140" w:hanging="289"/>
        <w:spacing w:after="0" w:line="250" w:lineRule="auto"/>
        <w:tabs>
          <w:tab w:leader="none" w:pos="609" w:val="left"/>
        </w:tabs>
        <w:numPr>
          <w:ilvl w:val="0"/>
          <w:numId w:val="105"/>
        </w:numPr>
        <w:rPr>
          <w:rFonts w:ascii="Times New Roman" w:cs="Times New Roman" w:eastAsia="Times New Roman" w:hAnsi="Times New Roman"/>
          <w:sz w:val="16"/>
          <w:szCs w:val="16"/>
          <w:color w:val="auto"/>
        </w:rPr>
      </w:pPr>
      <w:r>
        <w:rPr>
          <w:rFonts w:ascii="Arial" w:cs="Arial" w:eastAsia="Arial" w:hAnsi="Arial"/>
          <w:sz w:val="16"/>
          <w:szCs w:val="16"/>
          <w:color w:val="auto"/>
        </w:rPr>
        <w:t>The qualifications of the lead independent director and performance in the role, including stockholder votes in favor of re-election</w:t>
      </w:r>
    </w:p>
    <w:p>
      <w:pPr>
        <w:spacing w:after="0" w:line="1" w:lineRule="exact"/>
        <w:rPr>
          <w:rFonts w:ascii="Times New Roman" w:cs="Times New Roman" w:eastAsia="Times New Roman" w:hAnsi="Times New Roman"/>
          <w:sz w:val="16"/>
          <w:szCs w:val="16"/>
          <w:color w:val="auto"/>
        </w:rPr>
      </w:pPr>
    </w:p>
    <w:p>
      <w:pPr>
        <w:ind w:left="609" w:hanging="289"/>
        <w:spacing w:after="0"/>
        <w:tabs>
          <w:tab w:leader="none" w:pos="609" w:val="left"/>
        </w:tabs>
        <w:numPr>
          <w:ilvl w:val="0"/>
          <w:numId w:val="105"/>
        </w:numPr>
        <w:rPr>
          <w:rFonts w:ascii="Times New Roman" w:cs="Times New Roman" w:eastAsia="Times New Roman" w:hAnsi="Times New Roman"/>
          <w:sz w:val="16"/>
          <w:szCs w:val="16"/>
          <w:color w:val="auto"/>
        </w:rPr>
      </w:pPr>
      <w:r>
        <w:rPr>
          <w:rFonts w:ascii="Arial" w:cs="Arial" w:eastAsia="Arial" w:hAnsi="Arial"/>
          <w:sz w:val="16"/>
          <w:szCs w:val="16"/>
          <w:color w:val="auto"/>
        </w:rPr>
        <w:t>The historical performance of the company under this leadership structure</w:t>
      </w:r>
    </w:p>
    <w:p>
      <w:pPr>
        <w:spacing w:after="0" w:line="12" w:lineRule="exact"/>
        <w:rPr>
          <w:rFonts w:ascii="Times New Roman" w:cs="Times New Roman" w:eastAsia="Times New Roman" w:hAnsi="Times New Roman"/>
          <w:sz w:val="16"/>
          <w:szCs w:val="16"/>
          <w:color w:val="auto"/>
        </w:rPr>
      </w:pPr>
    </w:p>
    <w:p>
      <w:pPr>
        <w:ind w:left="609" w:hanging="289"/>
        <w:spacing w:after="0"/>
        <w:tabs>
          <w:tab w:leader="none" w:pos="609" w:val="left"/>
        </w:tabs>
        <w:numPr>
          <w:ilvl w:val="0"/>
          <w:numId w:val="105"/>
        </w:numPr>
        <w:rPr>
          <w:rFonts w:ascii="Times New Roman" w:cs="Times New Roman" w:eastAsia="Times New Roman" w:hAnsi="Times New Roman"/>
          <w:sz w:val="16"/>
          <w:szCs w:val="16"/>
          <w:color w:val="auto"/>
        </w:rPr>
      </w:pPr>
      <w:r>
        <w:rPr>
          <w:rFonts w:ascii="Arial" w:cs="Arial" w:eastAsia="Arial" w:hAnsi="Arial"/>
          <w:sz w:val="16"/>
          <w:szCs w:val="16"/>
          <w:color w:val="auto"/>
        </w:rPr>
        <w:t>The performance and evaluation of Mr. Michael in his roles as CEO and Chair</w:t>
      </w:r>
    </w:p>
    <w:p>
      <w:pPr>
        <w:spacing w:after="0" w:line="12" w:lineRule="exact"/>
        <w:rPr>
          <w:rFonts w:ascii="Times New Roman" w:cs="Times New Roman" w:eastAsia="Times New Roman" w:hAnsi="Times New Roman"/>
          <w:sz w:val="16"/>
          <w:szCs w:val="16"/>
          <w:color w:val="auto"/>
        </w:rPr>
      </w:pPr>
    </w:p>
    <w:p>
      <w:pPr>
        <w:ind w:left="609" w:hanging="289"/>
        <w:spacing w:after="0"/>
        <w:tabs>
          <w:tab w:leader="none" w:pos="609" w:val="left"/>
        </w:tabs>
        <w:numPr>
          <w:ilvl w:val="0"/>
          <w:numId w:val="105"/>
        </w:numPr>
        <w:rPr>
          <w:rFonts w:ascii="Times New Roman" w:cs="Times New Roman" w:eastAsia="Times New Roman" w:hAnsi="Times New Roman"/>
          <w:sz w:val="16"/>
          <w:szCs w:val="16"/>
          <w:color w:val="auto"/>
        </w:rPr>
      </w:pPr>
      <w:r>
        <w:rPr>
          <w:rFonts w:ascii="Arial" w:cs="Arial" w:eastAsia="Arial" w:hAnsi="Arial"/>
          <w:sz w:val="16"/>
          <w:szCs w:val="16"/>
          <w:color w:val="auto"/>
        </w:rPr>
        <w:t>Investor feedback on this topic</w:t>
      </w:r>
    </w:p>
    <w:p>
      <w:pPr>
        <w:spacing w:after="0" w:line="12" w:lineRule="exact"/>
        <w:rPr>
          <w:rFonts w:ascii="Times New Roman" w:cs="Times New Roman" w:eastAsia="Times New Roman" w:hAnsi="Times New Roman"/>
          <w:sz w:val="16"/>
          <w:szCs w:val="16"/>
          <w:color w:val="auto"/>
        </w:rPr>
      </w:pPr>
    </w:p>
    <w:p>
      <w:pPr>
        <w:ind w:left="609" w:hanging="289"/>
        <w:spacing w:after="0"/>
        <w:tabs>
          <w:tab w:leader="none" w:pos="609" w:val="left"/>
        </w:tabs>
        <w:numPr>
          <w:ilvl w:val="0"/>
          <w:numId w:val="105"/>
        </w:numPr>
        <w:rPr>
          <w:rFonts w:ascii="Times New Roman" w:cs="Times New Roman" w:eastAsia="Times New Roman" w:hAnsi="Times New Roman"/>
          <w:sz w:val="16"/>
          <w:szCs w:val="16"/>
          <w:color w:val="auto"/>
        </w:rPr>
      </w:pPr>
      <w:r>
        <w:rPr>
          <w:rFonts w:ascii="Arial" w:cs="Arial" w:eastAsia="Arial" w:hAnsi="Arial"/>
          <w:sz w:val="16"/>
          <w:szCs w:val="16"/>
          <w:color w:val="auto"/>
        </w:rPr>
        <w:t>Other Board leadership and independence considerations</w:t>
      </w:r>
    </w:p>
    <w:p>
      <w:pPr>
        <w:spacing w:after="0" w:line="12" w:lineRule="exact"/>
        <w:rPr>
          <w:rFonts w:ascii="Times New Roman" w:cs="Times New Roman" w:eastAsia="Times New Roman" w:hAnsi="Times New Roman"/>
          <w:sz w:val="16"/>
          <w:szCs w:val="16"/>
          <w:color w:val="auto"/>
        </w:rPr>
      </w:pPr>
    </w:p>
    <w:p>
      <w:pPr>
        <w:ind w:left="609" w:hanging="289"/>
        <w:spacing w:after="0"/>
        <w:tabs>
          <w:tab w:leader="none" w:pos="609" w:val="left"/>
        </w:tabs>
        <w:numPr>
          <w:ilvl w:val="0"/>
          <w:numId w:val="105"/>
        </w:numPr>
        <w:rPr>
          <w:rFonts w:ascii="Times New Roman" w:cs="Times New Roman" w:eastAsia="Times New Roman" w:hAnsi="Times New Roman"/>
          <w:sz w:val="16"/>
          <w:szCs w:val="16"/>
          <w:color w:val="auto"/>
        </w:rPr>
      </w:pPr>
      <w:r>
        <w:rPr>
          <w:rFonts w:ascii="Arial" w:cs="Arial" w:eastAsia="Arial" w:hAnsi="Arial"/>
          <w:sz w:val="16"/>
          <w:szCs w:val="16"/>
          <w:color w:val="auto"/>
        </w:rPr>
        <w:t>Practices at peer companies and trends across the S&amp;P 500</w:t>
      </w:r>
    </w:p>
    <w:p>
      <w:pPr>
        <w:spacing w:after="0" w:line="181" w:lineRule="exact"/>
        <w:rPr>
          <w:sz w:val="20"/>
          <w:szCs w:val="20"/>
          <w:color w:val="auto"/>
        </w:rPr>
      </w:pPr>
    </w:p>
    <w:p>
      <w:pPr>
        <w:ind w:left="9" w:right="20"/>
        <w:spacing w:after="0" w:line="249" w:lineRule="auto"/>
        <w:rPr>
          <w:sz w:val="20"/>
          <w:szCs w:val="20"/>
          <w:color w:val="auto"/>
        </w:rPr>
      </w:pPr>
      <w:r>
        <w:rPr>
          <w:rFonts w:ascii="Arial" w:cs="Arial" w:eastAsia="Arial" w:hAnsi="Arial"/>
          <w:sz w:val="16"/>
          <w:szCs w:val="16"/>
          <w:color w:val="auto"/>
        </w:rPr>
        <w:t>The lead independent director plays an important role in promoting independent leadership on the Board. The responsibilities of the lead independent director are explained on page 19 of this proxy statement. The lead independent director is chosen annually by and from the independent members of the Board. In addition, each member of the Board except for Mr. Michael is independent. All members of our audit, compensation, nominations and governance, and public policy and sustainability committees are independent. Our independent directors meet regularly in executive session, which is presided over by the lead independent director.</w:t>
      </w:r>
    </w:p>
    <w:p>
      <w:pPr>
        <w:spacing w:after="0" w:line="200" w:lineRule="exact"/>
        <w:rPr>
          <w:sz w:val="20"/>
          <w:szCs w:val="20"/>
          <w:color w:val="auto"/>
        </w:rPr>
      </w:pPr>
    </w:p>
    <w:p>
      <w:pPr>
        <w:spacing w:after="0" w:line="333"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-499745</wp:posOffset>
            </wp:positionV>
            <wp:extent cx="797560" cy="148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STOCKHOLDER PROPOSAL</w:t>
      </w:r>
    </w:p>
    <w:p>
      <w:pPr>
        <w:spacing w:after="0" w:line="18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Board’s ability to determine the optimal leadership structure has contributed to AbbVie’s track record of strong performance. AbbVie’s CEO and chair role has been combined since its inception in 2013 except for the one-year period after Mr. Gonzalez retired as CEO on July 1, 2024, when Mr. Michael was CEO and Mr. Gonzalez was named Executive Chairman. With this leadership structure over the past decade, AbbVie increased its market capitalization by $309 billion, raised its quarterly dividend by 204%, and delivered a total stockholder return of 485%.</w:t>
      </w:r>
    </w:p>
    <w:p>
      <w:pPr>
        <w:spacing w:after="0" w:line="146"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Despite this effective oversight and success, the proponent believes that only an independent chair provides effective oversight of management. Evidence suggests otherwise. As of 2025, approximately 58% of S&amp;P 500 boards have chosen a combined CEO/chair or otherwise non-independent chair.</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The mix of combined CEO/chairs, non-independent chairs, and independent chairs suggests that boards acknowledge that different leadership structures are appropriate depending on the company and its circumstances. Furthermore, the proponent indicates that investors prefer the independent chair model. For the 2025 proxy season, however, all of the 28 stockholder proposals related to requiring an independent chair failed and only averaged approximately 30% support.</w:t>
      </w:r>
      <w:r>
        <w:rPr>
          <w:rFonts w:ascii="Arial" w:cs="Arial" w:eastAsia="Arial" w:hAnsi="Arial"/>
          <w:sz w:val="24"/>
          <w:szCs w:val="24"/>
          <w:color w:val="auto"/>
          <w:vertAlign w:val="superscript"/>
        </w:rPr>
        <w:t>2</w:t>
      </w:r>
    </w:p>
    <w:p>
      <w:pPr>
        <w:spacing w:after="0" w:line="54"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In summary, the proposal would unnecessarily restrict the Board’s flexibility, regardless of circumstances, to appoint the individual they think is the most appropriate person to serve as chair, even with a balanced, strong lead independent director structure. These undue restrictions on the Board, considering AbbVie’s robust independent oversight mechanisms, are not in the best interests of stockholders and not in alignment with prevailing governance trends and investor sentiment.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of Directors recommends that you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146939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69390" cy="7620"/>
                    </a:xfrm>
                    <a:prstGeom prst="rect">
                      <a:avLst/>
                    </a:prstGeom>
                    <a:noFill/>
                  </pic:spPr>
                </pic:pic>
              </a:graphicData>
            </a:graphic>
          </wp:anchor>
        </w:drawing>
      </w:r>
    </w:p>
    <w:p>
      <w:pPr>
        <w:spacing w:after="0" w:line="79" w:lineRule="exact"/>
        <w:rPr>
          <w:sz w:val="20"/>
          <w:szCs w:val="20"/>
          <w:color w:val="auto"/>
        </w:rPr>
      </w:pPr>
    </w:p>
    <w:p>
      <w:pPr>
        <w:ind w:left="120" w:hanging="106"/>
        <w:spacing w:after="0"/>
        <w:tabs>
          <w:tab w:leader="none" w:pos="120" w:val="left"/>
        </w:tabs>
        <w:numPr>
          <w:ilvl w:val="0"/>
          <w:numId w:val="106"/>
        </w:numPr>
        <w:rPr>
          <w:rFonts w:ascii="Arial" w:cs="Arial" w:eastAsia="Arial" w:hAnsi="Arial"/>
          <w:sz w:val="25"/>
          <w:szCs w:val="25"/>
          <w:color w:val="auto"/>
          <w:vertAlign w:val="superscript"/>
        </w:rPr>
      </w:pPr>
      <w:r>
        <w:rPr>
          <w:rFonts w:ascii="Arial" w:cs="Arial" w:eastAsia="Arial" w:hAnsi="Arial"/>
          <w:sz w:val="16"/>
          <w:szCs w:val="16"/>
          <w:color w:val="auto"/>
        </w:rPr>
        <w:t>https://www.spencerstuart.com/-/media/2025/10/ssbi2025/2025-us-board-index.pdf</w:t>
      </w:r>
    </w:p>
    <w:p>
      <w:pPr>
        <w:ind w:left="20" w:right="1180" w:hanging="6"/>
        <w:spacing w:after="0" w:line="202" w:lineRule="auto"/>
        <w:tabs>
          <w:tab w:leader="none" w:pos="134" w:val="left"/>
        </w:tabs>
        <w:numPr>
          <w:ilvl w:val="0"/>
          <w:numId w:val="107"/>
        </w:numPr>
        <w:rPr>
          <w:rFonts w:ascii="Arial" w:cs="Arial" w:eastAsia="Arial" w:hAnsi="Arial"/>
          <w:sz w:val="25"/>
          <w:szCs w:val="25"/>
          <w:color w:val="auto"/>
          <w:vertAlign w:val="superscript"/>
        </w:rPr>
      </w:pPr>
      <w:r>
        <w:rPr>
          <w:rFonts w:ascii="Arial" w:cs="Arial" w:eastAsia="Arial" w:hAnsi="Arial"/>
          <w:sz w:val="16"/>
          <w:szCs w:val="16"/>
          <w:color w:val="auto"/>
        </w:rPr>
        <w:t>https://corpgov.law.harvard.edu/2025/07/22/proxy-season-highlights-shareholder-and-management-proposals/#:~:text=Proposals%20requesting%20the%20appointment%20of,(none%20passing)%20in%202024</w:t>
      </w:r>
    </w:p>
    <w:p>
      <w:pPr>
        <w:spacing w:after="0" w:line="200" w:lineRule="exact"/>
        <w:rPr>
          <w:sz w:val="20"/>
          <w:szCs w:val="20"/>
          <w:color w:val="auto"/>
        </w:rPr>
      </w:pPr>
    </w:p>
    <w:p>
      <w:pPr>
        <w:spacing w:after="0" w:line="341"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78</w:t>
      </w:r>
      <w:r>
        <w:rPr>
          <w:sz w:val="20"/>
          <w:szCs w:val="20"/>
          <w:color w:val="auto"/>
        </w:rPr>
        <w:tab/>
      </w:r>
      <w:r>
        <w:rPr>
          <w:sz w:val="1"/>
          <w:szCs w:val="1"/>
          <w:color w:val="auto"/>
        </w:rPr>
        <w:drawing>
          <wp:inline distT="0" distB="0" distL="0" distR="0">
            <wp:extent cx="797560" cy="14859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158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40"/>
          </w:cols>
          <w:pgMar w:left="1320" w:top="480" w:right="1339" w:bottom="1440" w:gutter="0" w:footer="0" w:header="0"/>
        </w:sectPr>
      </w:pPr>
    </w:p>
    <w:bookmarkStart w:id="81" w:name="page82"/>
    <w:bookmarkEnd w:id="81"/>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9"/>
        <w:spacing w:after="0"/>
        <w:rPr>
          <w:sz w:val="20"/>
          <w:szCs w:val="20"/>
          <w:color w:val="auto"/>
        </w:rPr>
      </w:pPr>
      <w:r>
        <w:rPr>
          <w:rFonts w:ascii="Arial" w:cs="Arial" w:eastAsia="Arial" w:hAnsi="Arial"/>
          <w:sz w:val="33"/>
          <w:szCs w:val="33"/>
          <w:color w:val="071D49"/>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878195" cy="158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pacing w:after="0" w:line="221"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Corporate Governance Materials</w:t>
      </w:r>
    </w:p>
    <w:p>
      <w:pPr>
        <w:spacing w:after="0" w:line="198" w:lineRule="exact"/>
        <w:rPr>
          <w:sz w:val="20"/>
          <w:szCs w:val="20"/>
          <w:color w:val="auto"/>
        </w:rPr>
      </w:pPr>
    </w:p>
    <w:p>
      <w:pPr>
        <w:ind w:left="9" w:right="40"/>
        <w:spacing w:after="0" w:line="247" w:lineRule="auto"/>
        <w:rPr>
          <w:sz w:val="20"/>
          <w:szCs w:val="20"/>
          <w:color w:val="auto"/>
        </w:rPr>
      </w:pPr>
      <w:r>
        <w:rPr>
          <w:rFonts w:ascii="Arial" w:cs="Arial" w:eastAsia="Arial" w:hAnsi="Arial"/>
          <w:sz w:val="16"/>
          <w:szCs w:val="16"/>
          <w:color w:val="auto"/>
        </w:rPr>
        <w:t xml:space="preserve">AbbVie’s corporate governance guidelines with the outline of directorship qualifications; director independence guidelines; code of business conduct; and audit committee, compensation committee, nominations and governance committee, and public policy and sustainability committee charters are all available in the governance section of AbbVie’s investor relations website at </w:t>
      </w:r>
      <w:r>
        <w:rPr>
          <w:rFonts w:ascii="Arial" w:cs="Arial" w:eastAsia="Arial" w:hAnsi="Arial"/>
          <w:sz w:val="16"/>
          <w:szCs w:val="16"/>
          <w:i w:val="1"/>
          <w:iCs w:val="1"/>
          <w:color w:val="auto"/>
        </w:rPr>
        <w:t>www.abbvieinvestor.com</w:t>
      </w:r>
      <w:r>
        <w:rPr>
          <w:rFonts w:ascii="Arial" w:cs="Arial" w:eastAsia="Arial" w:hAnsi="Arial"/>
          <w:sz w:val="16"/>
          <w:szCs w:val="16"/>
          <w:color w:val="auto"/>
        </w:rPr>
        <w:t>. We are providing our website address in this proxy statement solely for the information of investors.</w:t>
      </w:r>
      <w:r>
        <w:rPr>
          <w:rFonts w:ascii="Arial" w:cs="Arial" w:eastAsia="Arial" w:hAnsi="Arial"/>
          <w:sz w:val="16"/>
          <w:szCs w:val="16"/>
          <w:i w:val="1"/>
          <w:iCs w:val="1"/>
          <w:color w:val="auto"/>
        </w:rPr>
        <w:t xml:space="preserve"> </w:t>
      </w:r>
      <w:r>
        <w:rPr>
          <w:rFonts w:ascii="Arial" w:cs="Arial" w:eastAsia="Arial" w:hAnsi="Arial"/>
          <w:sz w:val="16"/>
          <w:szCs w:val="16"/>
          <w:color w:val="auto"/>
        </w:rPr>
        <w:t>We do not intend the address to be an active link or to otherwise incorporate the contents of the website, including any materials that are noted in this proxy statement as being posted on the website, into this proxy statement or into any of our other filings with the Securities and Exchange Commission.</w:t>
      </w:r>
    </w:p>
    <w:p>
      <w:pPr>
        <w:spacing w:after="0" w:line="152"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Procedures for Approval of Related Person Transactions</w:t>
      </w:r>
    </w:p>
    <w:p>
      <w:pPr>
        <w:spacing w:after="0" w:line="198" w:lineRule="exact"/>
        <w:rPr>
          <w:sz w:val="20"/>
          <w:szCs w:val="20"/>
          <w:color w:val="auto"/>
        </w:rPr>
      </w:pPr>
    </w:p>
    <w:p>
      <w:pPr>
        <w:ind w:left="9" w:right="300"/>
        <w:spacing w:after="0" w:line="251" w:lineRule="auto"/>
        <w:rPr>
          <w:sz w:val="20"/>
          <w:szCs w:val="20"/>
          <w:color w:val="auto"/>
        </w:rPr>
      </w:pPr>
      <w:r>
        <w:rPr>
          <w:rFonts w:ascii="Arial" w:cs="Arial" w:eastAsia="Arial" w:hAnsi="Arial"/>
          <w:sz w:val="16"/>
          <w:szCs w:val="16"/>
          <w:color w:val="auto"/>
        </w:rPr>
        <w:t>It is AbbVie’s policy that the nominations and governance committee conduct a reasonable prior review and approve or disapprove of all transactions in which AbbVie participates and in which any related person has a direct or indirect material interest if such transaction involves or is expected to involve payments of $120,000 or more in the aggregate per fiscal year. Related person transactions requiring review by the nominations and governance committee pursuant to this policy are identified in:</w:t>
      </w:r>
    </w:p>
    <w:p>
      <w:pPr>
        <w:spacing w:after="0" w:line="158" w:lineRule="exact"/>
        <w:rPr>
          <w:sz w:val="20"/>
          <w:szCs w:val="20"/>
          <w:color w:val="auto"/>
        </w:rPr>
      </w:pPr>
    </w:p>
    <w:p>
      <w:pPr>
        <w:ind w:left="289" w:hanging="289"/>
        <w:spacing w:after="0"/>
        <w:tabs>
          <w:tab w:leader="none" w:pos="289" w:val="left"/>
        </w:tabs>
        <w:numPr>
          <w:ilvl w:val="0"/>
          <w:numId w:val="108"/>
        </w:numPr>
        <w:rPr>
          <w:rFonts w:ascii="Times New Roman" w:cs="Times New Roman" w:eastAsia="Times New Roman" w:hAnsi="Times New Roman"/>
          <w:sz w:val="16"/>
          <w:szCs w:val="16"/>
          <w:color w:val="071D49"/>
        </w:rPr>
      </w:pPr>
      <w:r>
        <w:rPr>
          <w:rFonts w:ascii="Arial" w:cs="Arial" w:eastAsia="Arial" w:hAnsi="Arial"/>
          <w:sz w:val="16"/>
          <w:szCs w:val="16"/>
          <w:color w:val="auto"/>
        </w:rPr>
        <w:t>questionnaires annually distributed to AbbVie’s directors and executive officers;</w:t>
      </w:r>
    </w:p>
    <w:p>
      <w:pPr>
        <w:spacing w:after="0" w:line="28" w:lineRule="exact"/>
        <w:rPr>
          <w:rFonts w:ascii="Times New Roman" w:cs="Times New Roman" w:eastAsia="Times New Roman" w:hAnsi="Times New Roman"/>
          <w:sz w:val="16"/>
          <w:szCs w:val="16"/>
          <w:color w:val="071D49"/>
        </w:rPr>
      </w:pPr>
    </w:p>
    <w:p>
      <w:pPr>
        <w:ind w:left="289" w:right="220" w:hanging="289"/>
        <w:spacing w:after="0"/>
        <w:tabs>
          <w:tab w:leader="none" w:pos="289" w:val="left"/>
        </w:tabs>
        <w:numPr>
          <w:ilvl w:val="0"/>
          <w:numId w:val="108"/>
        </w:numPr>
        <w:rPr>
          <w:rFonts w:ascii="Times New Roman" w:cs="Times New Roman" w:eastAsia="Times New Roman" w:hAnsi="Times New Roman"/>
          <w:sz w:val="16"/>
          <w:szCs w:val="16"/>
          <w:color w:val="071D49"/>
        </w:rPr>
      </w:pPr>
      <w:r>
        <w:rPr>
          <w:rFonts w:ascii="Arial" w:cs="Arial" w:eastAsia="Arial" w:hAnsi="Arial"/>
          <w:sz w:val="16"/>
          <w:szCs w:val="16"/>
          <w:color w:val="auto"/>
        </w:rPr>
        <w:t>certifications submitted annually by AbbVie executive officers related to their compliance with AbbVie’s Code of Business Conduct; or</w:t>
      </w:r>
    </w:p>
    <w:p>
      <w:pPr>
        <w:ind w:left="289" w:hanging="289"/>
        <w:spacing w:after="0"/>
        <w:tabs>
          <w:tab w:leader="none" w:pos="289" w:val="left"/>
        </w:tabs>
        <w:numPr>
          <w:ilvl w:val="0"/>
          <w:numId w:val="108"/>
        </w:numPr>
        <w:rPr>
          <w:rFonts w:ascii="Times New Roman" w:cs="Times New Roman" w:eastAsia="Times New Roman" w:hAnsi="Times New Roman"/>
          <w:sz w:val="16"/>
          <w:szCs w:val="16"/>
          <w:color w:val="071D49"/>
        </w:rPr>
      </w:pPr>
      <w:r>
        <w:rPr>
          <w:rFonts w:ascii="Arial" w:cs="Arial" w:eastAsia="Arial" w:hAnsi="Arial"/>
          <w:sz w:val="16"/>
          <w:szCs w:val="16"/>
          <w:color w:val="auto"/>
        </w:rPr>
        <w:t>communications made directly by the related person to the chief financial officer or general counsel.</w:t>
      </w:r>
    </w:p>
    <w:p>
      <w:pPr>
        <w:spacing w:after="0" w:line="193" w:lineRule="exact"/>
        <w:rPr>
          <w:sz w:val="20"/>
          <w:szCs w:val="20"/>
          <w:color w:val="auto"/>
        </w:rPr>
      </w:pPr>
    </w:p>
    <w:p>
      <w:pPr>
        <w:ind w:left="9" w:right="120"/>
        <w:spacing w:after="0" w:line="283" w:lineRule="auto"/>
        <w:rPr>
          <w:sz w:val="20"/>
          <w:szCs w:val="20"/>
          <w:color w:val="auto"/>
        </w:rPr>
      </w:pPr>
      <w:r>
        <w:rPr>
          <w:rFonts w:ascii="Arial" w:cs="Arial" w:eastAsia="Arial" w:hAnsi="Arial"/>
          <w:sz w:val="16"/>
          <w:szCs w:val="16"/>
          <w:color w:val="auto"/>
        </w:rPr>
        <w:t>In determining whether to approve or disapprove a related person transaction, the nominations and governance committee will consider the following items, among others:</w:t>
      </w:r>
    </w:p>
    <w:p>
      <w:pPr>
        <w:spacing w:after="0" w:line="132" w:lineRule="exact"/>
        <w:rPr>
          <w:sz w:val="20"/>
          <w:szCs w:val="20"/>
          <w:color w:val="auto"/>
        </w:rPr>
      </w:pPr>
    </w:p>
    <w:p>
      <w:pPr>
        <w:ind w:left="289" w:hanging="289"/>
        <w:spacing w:after="0"/>
        <w:tabs>
          <w:tab w:leader="none" w:pos="289" w:val="left"/>
        </w:tabs>
        <w:numPr>
          <w:ilvl w:val="0"/>
          <w:numId w:val="109"/>
        </w:numPr>
        <w:rPr>
          <w:rFonts w:ascii="Times New Roman" w:cs="Times New Roman" w:eastAsia="Times New Roman" w:hAnsi="Times New Roman"/>
          <w:sz w:val="16"/>
          <w:szCs w:val="16"/>
          <w:color w:val="071D49"/>
        </w:rPr>
      </w:pPr>
      <w:r>
        <w:rPr>
          <w:rFonts w:ascii="Arial" w:cs="Arial" w:eastAsia="Arial" w:hAnsi="Arial"/>
          <w:sz w:val="16"/>
          <w:szCs w:val="16"/>
          <w:color w:val="auto"/>
        </w:rPr>
        <w:t>the related person’s relationship to AbbVie and interest in the transaction;</w:t>
      </w:r>
    </w:p>
    <w:p>
      <w:pPr>
        <w:spacing w:after="0" w:line="28" w:lineRule="exact"/>
        <w:rPr>
          <w:rFonts w:ascii="Times New Roman" w:cs="Times New Roman" w:eastAsia="Times New Roman" w:hAnsi="Times New Roman"/>
          <w:sz w:val="16"/>
          <w:szCs w:val="16"/>
          <w:color w:val="071D49"/>
        </w:rPr>
      </w:pPr>
    </w:p>
    <w:p>
      <w:pPr>
        <w:ind w:left="289" w:right="180" w:hanging="289"/>
        <w:spacing w:after="0"/>
        <w:tabs>
          <w:tab w:leader="none" w:pos="289" w:val="left"/>
        </w:tabs>
        <w:numPr>
          <w:ilvl w:val="0"/>
          <w:numId w:val="109"/>
        </w:numPr>
        <w:rPr>
          <w:rFonts w:ascii="Times New Roman" w:cs="Times New Roman" w:eastAsia="Times New Roman" w:hAnsi="Times New Roman"/>
          <w:sz w:val="16"/>
          <w:szCs w:val="16"/>
          <w:color w:val="071D49"/>
        </w:rPr>
      </w:pPr>
      <w:r>
        <w:rPr>
          <w:rFonts w:ascii="Arial" w:cs="Arial" w:eastAsia="Arial" w:hAnsi="Arial"/>
          <w:sz w:val="16"/>
          <w:szCs w:val="16"/>
          <w:color w:val="auto"/>
        </w:rPr>
        <w:t>the material facts of the transaction, including the aggregate value of such transaction or, in the case of indebtedness, the amount of principal involved;</w:t>
      </w:r>
    </w:p>
    <w:p>
      <w:pPr>
        <w:ind w:left="289" w:hanging="289"/>
        <w:spacing w:after="0"/>
        <w:tabs>
          <w:tab w:leader="none" w:pos="289" w:val="left"/>
        </w:tabs>
        <w:numPr>
          <w:ilvl w:val="0"/>
          <w:numId w:val="109"/>
        </w:numPr>
        <w:rPr>
          <w:rFonts w:ascii="Times New Roman" w:cs="Times New Roman" w:eastAsia="Times New Roman" w:hAnsi="Times New Roman"/>
          <w:sz w:val="16"/>
          <w:szCs w:val="16"/>
          <w:color w:val="071D49"/>
        </w:rPr>
      </w:pPr>
      <w:r>
        <w:rPr>
          <w:rFonts w:ascii="Arial" w:cs="Arial" w:eastAsia="Arial" w:hAnsi="Arial"/>
          <w:sz w:val="16"/>
          <w:szCs w:val="16"/>
          <w:color w:val="auto"/>
        </w:rPr>
        <w:t>the benefits to AbbVie of the transaction;</w:t>
      </w:r>
    </w:p>
    <w:p>
      <w:pPr>
        <w:spacing w:after="0" w:line="12" w:lineRule="exact"/>
        <w:rPr>
          <w:rFonts w:ascii="Times New Roman" w:cs="Times New Roman" w:eastAsia="Times New Roman" w:hAnsi="Times New Roman"/>
          <w:sz w:val="16"/>
          <w:szCs w:val="16"/>
          <w:color w:val="071D49"/>
        </w:rPr>
      </w:pPr>
    </w:p>
    <w:p>
      <w:pPr>
        <w:ind w:left="289" w:hanging="289"/>
        <w:spacing w:after="0"/>
        <w:tabs>
          <w:tab w:leader="none" w:pos="289" w:val="left"/>
        </w:tabs>
        <w:numPr>
          <w:ilvl w:val="0"/>
          <w:numId w:val="109"/>
        </w:numPr>
        <w:rPr>
          <w:rFonts w:ascii="Times New Roman" w:cs="Times New Roman" w:eastAsia="Times New Roman" w:hAnsi="Times New Roman"/>
          <w:sz w:val="16"/>
          <w:szCs w:val="16"/>
          <w:color w:val="071D49"/>
        </w:rPr>
      </w:pPr>
      <w:r>
        <w:rPr>
          <w:rFonts w:ascii="Arial" w:cs="Arial" w:eastAsia="Arial" w:hAnsi="Arial"/>
          <w:sz w:val="16"/>
          <w:szCs w:val="16"/>
          <w:color w:val="auto"/>
        </w:rPr>
        <w:t>if applicable, the availability of other sources of comparable products or services;</w:t>
      </w:r>
    </w:p>
    <w:p>
      <w:pPr>
        <w:spacing w:after="0" w:line="12" w:lineRule="exact"/>
        <w:rPr>
          <w:rFonts w:ascii="Times New Roman" w:cs="Times New Roman" w:eastAsia="Times New Roman" w:hAnsi="Times New Roman"/>
          <w:sz w:val="16"/>
          <w:szCs w:val="16"/>
          <w:color w:val="071D49"/>
        </w:rPr>
      </w:pPr>
    </w:p>
    <w:p>
      <w:pPr>
        <w:ind w:left="289" w:right="60" w:hanging="289"/>
        <w:spacing w:after="0"/>
        <w:tabs>
          <w:tab w:leader="none" w:pos="289" w:val="left"/>
        </w:tabs>
        <w:numPr>
          <w:ilvl w:val="0"/>
          <w:numId w:val="109"/>
        </w:numPr>
        <w:rPr>
          <w:rFonts w:ascii="Times New Roman" w:cs="Times New Roman" w:eastAsia="Times New Roman" w:hAnsi="Times New Roman"/>
          <w:sz w:val="16"/>
          <w:szCs w:val="16"/>
          <w:color w:val="071D49"/>
        </w:rPr>
      </w:pPr>
      <w:r>
        <w:rPr>
          <w:rFonts w:ascii="Arial" w:cs="Arial" w:eastAsia="Arial" w:hAnsi="Arial"/>
          <w:sz w:val="16"/>
          <w:szCs w:val="16"/>
          <w:color w:val="auto"/>
        </w:rPr>
        <w:t>an assessment of whether the transaction is on terms that are comparable to the terms available to an unrelated third party or to employees generally;</w:t>
      </w:r>
    </w:p>
    <w:p>
      <w:pPr>
        <w:ind w:left="289" w:hanging="289"/>
        <w:spacing w:after="0"/>
        <w:tabs>
          <w:tab w:leader="none" w:pos="289" w:val="left"/>
        </w:tabs>
        <w:numPr>
          <w:ilvl w:val="0"/>
          <w:numId w:val="109"/>
        </w:numPr>
        <w:rPr>
          <w:rFonts w:ascii="Times New Roman" w:cs="Times New Roman" w:eastAsia="Times New Roman" w:hAnsi="Times New Roman"/>
          <w:sz w:val="16"/>
          <w:szCs w:val="16"/>
          <w:color w:val="071D49"/>
        </w:rPr>
      </w:pPr>
      <w:r>
        <w:rPr>
          <w:rFonts w:ascii="Arial" w:cs="Arial" w:eastAsia="Arial" w:hAnsi="Arial"/>
          <w:sz w:val="16"/>
          <w:szCs w:val="16"/>
          <w:color w:val="auto"/>
        </w:rPr>
        <w:t>whether a transaction has the potential to impair director independence; and</w:t>
      </w:r>
    </w:p>
    <w:p>
      <w:pPr>
        <w:spacing w:after="0" w:line="12" w:lineRule="exact"/>
        <w:rPr>
          <w:rFonts w:ascii="Times New Roman" w:cs="Times New Roman" w:eastAsia="Times New Roman" w:hAnsi="Times New Roman"/>
          <w:sz w:val="16"/>
          <w:szCs w:val="16"/>
          <w:color w:val="071D49"/>
        </w:rPr>
      </w:pPr>
    </w:p>
    <w:p>
      <w:pPr>
        <w:ind w:left="289" w:hanging="289"/>
        <w:spacing w:after="0"/>
        <w:tabs>
          <w:tab w:leader="none" w:pos="289" w:val="left"/>
        </w:tabs>
        <w:numPr>
          <w:ilvl w:val="0"/>
          <w:numId w:val="109"/>
        </w:numPr>
        <w:rPr>
          <w:rFonts w:ascii="Times New Roman" w:cs="Times New Roman" w:eastAsia="Times New Roman" w:hAnsi="Times New Roman"/>
          <w:sz w:val="16"/>
          <w:szCs w:val="16"/>
          <w:color w:val="071D49"/>
        </w:rPr>
      </w:pPr>
      <w:r>
        <w:rPr>
          <w:rFonts w:ascii="Arial" w:cs="Arial" w:eastAsia="Arial" w:hAnsi="Arial"/>
          <w:sz w:val="16"/>
          <w:szCs w:val="16"/>
          <w:color w:val="auto"/>
        </w:rPr>
        <w:t>whether the transaction constitutes a conflict of interest.</w:t>
      </w:r>
    </w:p>
    <w:p>
      <w:pPr>
        <w:spacing w:after="0" w:line="193" w:lineRule="exact"/>
        <w:rPr>
          <w:sz w:val="20"/>
          <w:szCs w:val="20"/>
          <w:color w:val="auto"/>
        </w:rPr>
      </w:pPr>
    </w:p>
    <w:p>
      <w:pPr>
        <w:ind w:left="9" w:right="160"/>
        <w:spacing w:after="0" w:line="283" w:lineRule="auto"/>
        <w:rPr>
          <w:sz w:val="20"/>
          <w:szCs w:val="20"/>
          <w:color w:val="auto"/>
        </w:rPr>
      </w:pPr>
      <w:r>
        <w:rPr>
          <w:rFonts w:ascii="Arial" w:cs="Arial" w:eastAsia="Arial" w:hAnsi="Arial"/>
          <w:sz w:val="16"/>
          <w:szCs w:val="16"/>
          <w:color w:val="auto"/>
        </w:rPr>
        <w:t xml:space="preserve">This process is included in the nominations and governance committee’s written charter, which is available on the governance section of AbbVie’s investor relations website at </w:t>
      </w:r>
      <w:r>
        <w:rPr>
          <w:rFonts w:ascii="Arial" w:cs="Arial" w:eastAsia="Arial" w:hAnsi="Arial"/>
          <w:sz w:val="16"/>
          <w:szCs w:val="16"/>
          <w:i w:val="1"/>
          <w:iCs w:val="1"/>
          <w:color w:val="auto"/>
        </w:rPr>
        <w:t>www.abbvieinvestor.com</w:t>
      </w:r>
      <w:r>
        <w:rPr>
          <w:rFonts w:ascii="Arial" w:cs="Arial" w:eastAsia="Arial" w:hAnsi="Arial"/>
          <w:sz w:val="16"/>
          <w:szCs w:val="16"/>
          <w:color w:val="auto"/>
        </w:rPr>
        <w:t>.</w:t>
      </w:r>
    </w:p>
    <w:p>
      <w:pPr>
        <w:spacing w:after="0" w:line="132" w:lineRule="exact"/>
        <w:rPr>
          <w:sz w:val="20"/>
          <w:szCs w:val="20"/>
          <w:color w:val="auto"/>
        </w:rPr>
      </w:pPr>
    </w:p>
    <w:p>
      <w:pPr>
        <w:ind w:left="9" w:right="20"/>
        <w:spacing w:after="0" w:line="246" w:lineRule="auto"/>
        <w:rPr>
          <w:sz w:val="20"/>
          <w:szCs w:val="20"/>
          <w:color w:val="auto"/>
        </w:rPr>
      </w:pPr>
      <w:r>
        <w:rPr>
          <w:rFonts w:ascii="Arial" w:cs="Arial" w:eastAsia="Arial" w:hAnsi="Arial"/>
          <w:sz w:val="16"/>
          <w:szCs w:val="16"/>
          <w:color w:val="auto"/>
        </w:rPr>
        <w:t>Nicholas Donoghoe, M.D., Executive Vice President, Chief Business and Strategy Officer, was appointed as an executive officer of AbbVie during 2023. Dr. Donoghoe’s wife, Jessica Heckmann Donoghoe, is a minority equity owner in LaserAway, a chain of aesthetics clinics. Dr. Donoghoe’s brothers-in-law Brock Heckmann, Scott Heckmann, and Todd Heckmann are also equity owners, as well as executives, at LaserAway. LaserAway purchased $17.7 million worth of AbbVie products during 2025, including Botox Cosmetic, Juvederm, and Coolsculpting. LaserAway also receives product samples for educational and other training purposes. Dr. Donoghoe does not have any visibility to or control or influence over the terms of the LaserAway transactions. LaserAway first became a customer of the Allergan group of companies before AbbVie acquired Allergan in 2020. Our nominations and governance committee, pursuant to its committee charter, has reviewed and approved the foregoing arrangement with LaserAway.</w:t>
      </w:r>
    </w:p>
    <w:p>
      <w:pPr>
        <w:spacing w:after="0" w:line="200" w:lineRule="exact"/>
        <w:rPr>
          <w:sz w:val="20"/>
          <w:szCs w:val="20"/>
          <w:color w:val="auto"/>
        </w:rPr>
      </w:pPr>
    </w:p>
    <w:p>
      <w:pPr>
        <w:spacing w:after="0" w:line="347"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-499745</wp:posOffset>
            </wp:positionV>
            <wp:extent cx="797560" cy="148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ADDITIONAL INFORMATION</w:t>
      </w:r>
    </w:p>
    <w:p>
      <w:pPr>
        <w:spacing w:after="0" w:line="18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Alexander Freyman, who is the son of Thomas Freyman, a director of the company, is an employee at AbbVie. Alexander earned $145,293.47 in total compensation in 2025. Thomas Freyman has no role in setting Alexander’s compensation, performance evaluations, or any other aspects of his employment. Alexander’s compensation is on terms that are comparable to the terms available to similarly situated employees. Our nominations and governance committee, pursuant to its committee charter, has reviewed and approved Alexander’s compensation. Thomas Freyman recused himself from this review and approval.</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Delinquent Section 16(a) Reports</w:t>
      </w:r>
    </w:p>
    <w:p>
      <w:pPr>
        <w:spacing w:after="0" w:line="161"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AbbVie believes that during 2025 its executive officers and directors timely complied with all filing requirements under Section 16(a) of the Securities Exchange Act of 1934.</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Exclusive Forum</w:t>
      </w:r>
    </w:p>
    <w:p>
      <w:pPr>
        <w:spacing w:after="0" w:line="17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AbbVie is incorporated in the state of Delaware and Delaware law governs the relationship among its directors, officers, and stockholders (also known as the internal affairs doctrine). To provide for the orderly, efficient and cost-effective resolution of Delaware-law issues affecting AbbVie, the company’s Certificate of Incorporation provides that unless the Board of Directors otherwise determines, Delaware courts are the exclusive forum for cases involving the internal affairs doctrine, derivative actions brought on behalf of the company, claims for breach of fiduciary duty, and other matters concerning Delaware statutory and common law. The provision does not apply to any other cases brought against AbbVie. There is uncertainty as to whether a court would enforce the exclusive forum provision with respect to claims under the federal securities laws. The preceding paragraph is not an exhaustive description.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161" w:lineRule="exact"/>
        <w:rPr>
          <w:sz w:val="20"/>
          <w:szCs w:val="20"/>
          <w:color w:val="auto"/>
        </w:rPr>
      </w:pPr>
    </w:p>
    <w:p>
      <w:pPr>
        <w:jc w:val="both"/>
        <w:ind w:right="300"/>
        <w:spacing w:after="0" w:line="262" w:lineRule="auto"/>
        <w:rPr>
          <w:sz w:val="20"/>
          <w:szCs w:val="20"/>
          <w:color w:val="auto"/>
        </w:rPr>
      </w:pPr>
      <w:r>
        <w:rPr>
          <w:rFonts w:ascii="Arial" w:cs="Arial" w:eastAsia="Arial" w:hAnsi="Arial"/>
          <w:sz w:val="16"/>
          <w:szCs w:val="16"/>
          <w:color w:val="auto"/>
        </w:rPr>
        <w:t>The Board of Directors knows of no other business to be transacted at the 2026 Annual Meeting of Stockholders, but if any other matters do come before the meeting, it is the intention of the persons named in the accompanying proxy to vote or act with respect to them in accordance with their best judgment.</w:t>
      </w:r>
    </w:p>
    <w:p>
      <w:pPr>
        <w:spacing w:after="0" w:line="124" w:lineRule="exact"/>
        <w:rPr>
          <w:sz w:val="20"/>
          <w:szCs w:val="20"/>
          <w:color w:val="auto"/>
        </w:rPr>
      </w:pPr>
    </w:p>
    <w:p>
      <w:pPr>
        <w:ind w:right="980"/>
        <w:spacing w:after="0" w:line="449" w:lineRule="auto"/>
        <w:rPr>
          <w:sz w:val="20"/>
          <w:szCs w:val="20"/>
          <w:color w:val="auto"/>
        </w:rPr>
      </w:pPr>
      <w:r>
        <w:rPr>
          <w:rFonts w:ascii="Arial" w:cs="Arial" w:eastAsia="Arial" w:hAnsi="Arial"/>
          <w:sz w:val="16"/>
          <w:szCs w:val="16"/>
          <w:b w:val="1"/>
          <w:bCs w:val="1"/>
          <w:color w:val="auto"/>
        </w:rPr>
        <w:t xml:space="preserve">Deadlines for Notice of Stockholder Actions to be Considered at the 2027 Annual Meeting of Stockholders </w:t>
      </w:r>
      <w:r>
        <w:rPr>
          <w:rFonts w:ascii="Arial" w:cs="Arial" w:eastAsia="Arial" w:hAnsi="Arial"/>
          <w:sz w:val="16"/>
          <w:szCs w:val="16"/>
          <w:i w:val="1"/>
          <w:iCs w:val="1"/>
          <w:color w:val="auto"/>
        </w:rPr>
        <w:t>Stockholder Proposals to be Included in AbbVie’s 2027 Proxy Statement (Rule 14a-8)</w:t>
      </w:r>
    </w:p>
    <w:p>
      <w:pPr>
        <w:spacing w:after="0" w:line="1"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Stockholders interested in submitting proposals for inclusion in our proxy materials and for presentation at the 2027 Annual Meeting may do so by following the procedures set forth in Rule 14a-8 under the Exchange Act. In general, to be eligible for inclusion in our proxy materials, Rule 14a-8 stockholder proposals must be received by AbbVie no later than November 23, 2026.</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Nominations to be Included in AbbVie’s 2027 Proxy Statement (“Proxy Access”)</w:t>
      </w:r>
    </w:p>
    <w:p>
      <w:pPr>
        <w:spacing w:after="0" w:line="196"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AbbVie adopted a proxy access By-Law provision to permit a stockholder, or a group of up to 20 stockholders, continuously owning shares of our company for at least 3 years and representing an aggregate of at least 3% of the outstanding shares of common stock, to nominate and include in our proxy materials director nominee(s) constituting up to 25% of the total number of the directors in office, provided that the stockholder(s) and the nominee(s) satisfy the requirements in our By-Laws. Notice must include certain information required by Section 2.13 of AbbVie’s By-Laws. To be timely for the 2027 Annual Meeting, this written notice must be received by AbbVie no earlier than October 24, 2026 and no later than November 23, 2026 and must include the specific information required by, and otherwise comply with the requirements of, our By-Laws.</w:t>
      </w:r>
    </w:p>
    <w:p>
      <w:pPr>
        <w:spacing w:after="0" w:line="200" w:lineRule="exact"/>
        <w:rPr>
          <w:sz w:val="20"/>
          <w:szCs w:val="20"/>
          <w:color w:val="auto"/>
        </w:rPr>
      </w:pPr>
    </w:p>
    <w:p>
      <w:pPr>
        <w:spacing w:after="0" w:line="351"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80</w:t>
      </w:r>
      <w:r>
        <w:rPr>
          <w:sz w:val="20"/>
          <w:szCs w:val="20"/>
          <w:color w:val="auto"/>
        </w:rPr>
        <w:tab/>
      </w:r>
      <w:r>
        <w:rPr>
          <w:sz w:val="1"/>
          <w:szCs w:val="1"/>
          <w:color w:val="auto"/>
        </w:rPr>
        <w:drawing>
          <wp:inline distT="0" distB="0" distL="0" distR="0">
            <wp:extent cx="797560" cy="14859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15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40"/>
          </w:cols>
          <w:pgMar w:left="1320" w:top="480" w:right="1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7080"/>
        <w:spacing w:after="0"/>
        <w:rPr>
          <w:sz w:val="20"/>
          <w:szCs w:val="20"/>
          <w:color w:val="auto"/>
        </w:rPr>
      </w:pPr>
      <w:r>
        <w:rPr>
          <w:rFonts w:ascii="Arial" w:cs="Arial" w:eastAsia="Arial" w:hAnsi="Arial"/>
          <w:sz w:val="16"/>
          <w:szCs w:val="16"/>
          <w:color w:val="808080"/>
        </w:rPr>
        <w:t>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Nominations and Stockholder Proposals for Presentation at AbbVie’s 2027 Annual Meeting</w:t>
      </w:r>
    </w:p>
    <w:p>
      <w:pPr>
        <w:spacing w:after="0" w:line="196"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Stockholders who wish to nominate one or more individuals to serve as directors or to bring a proposal of business before the 2027 Annual Meeting (other than nominations pursuant to the “proxy access” provisions of our By-Laws or a stockholder proposal in accordance with Rule 14a-8), must be a stockholder of record and must notify AbbVie and provide the information required by Sections 2.8 and 2.9, if applicable, of our By-Laws. The notice must be delivered to AbbVie no earlier than the close of business on January 8, 2027 and no later than the close of business on February 5, 2027. However, if the date of our 2027 Annual Meeting is more than 30 days before or more than 60 days after the first anniversary of the date of the 2026 Annual Meeting, then such notice must be delivered to AbbVie no earlier than the close of business on the 120th calendar day prior to the date of the 2027 Annual Meeting and not later than the close of business on the later of the 90th calendar day prior to the date of the 2027 Annual Meeting or, if the first public announcement of the date of such annual meeting is less than 100 days prior to the date of the 2027 Annual Meeting, the 10th day following the day on which we first publicly announce the date of such meeting. Any such notice must also comply with the timing, disclosure, procedural and other requirements as set forth in our By-Laws.</w:t>
      </w:r>
    </w:p>
    <w:p>
      <w:pPr>
        <w:spacing w:after="0" w:line="35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In addition to satisfying the requirements under the By-Laws described in the immediately preceding paragraph, to comply with the universal proxy rules under the Exchange Act, any stockholder who intends to solicit proxies in support of director nominees other than the Board’s nominees must provide notice that sets forth the information required by Rule 14a-19 under the Exchange Act no later than March 9, 2027. However, if the date of the 2027 Annual Meeting is more than 30 days before or after the anniversary of the date of the 2026 Annual Meeting, then such notice must be delivered by the later of (x) the 10th day following the day we first publicly announce the date of the 2027 Annual Meeting and (y) the date which is 60 days prior to the date of the 2027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Householding of Proxy Materials</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Securities and Exchange Commission has adopted rules that permit companies and intermediaries (such as brokers or banks) to satisfy the delivery requirements for proxy statements with respect to two or more security holders sharing the same address by delivering a single Notice or proxy statement addressed to those security holders. This process, which is commonly referred to as “householding,” potentially provides extra convenience for security holders and cost savings for companies.</w:t>
      </w:r>
    </w:p>
    <w:p>
      <w:pPr>
        <w:spacing w:after="0" w:line="157"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Several brokers and banks with accountholders who are AbbVie stockholders will be “householding” our proxy materials. As indicated in the notice provided by these brokers to AbbVie stockholders, a single proxy statement will be delivered to multiple stockholders sharing an address unless contrary instructions have been received from an affected stockholder. Once you have received notice from your broker that it will be “householding” communications to your address, “householding” will continue until you are notified otherwise or until you revoke your consent. If, at any time, you no longer wish to participate in “householding” and you prefer to receive a separate proxy statement, please notify your broker, or contact Broadridge Financial Solutions at 1-866-540-7095, or write to us at Investor Relations, AbbVie Inc., 1 North Waukegan Road, North Chicago, Illinois 60064. Stockholders who currently receive multiple copies of the proxy statement at their address and would like to request “householding” of their communications should contact their broker or bank.</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AbbVie filed its Annual Report on Form 10-K for the fiscal year ended December 31, 2025 with the SEC on</w:t>
      </w:r>
    </w:p>
    <w:p>
      <w:pPr>
        <w:spacing w:after="0" w:line="17"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February 20, 2026. The Annual Report on Form 10-K, including all exhibits, is also available free of charge on AbbVie’s investor relations website (</w:t>
      </w:r>
      <w:r>
        <w:rPr>
          <w:rFonts w:ascii="Arial" w:cs="Arial" w:eastAsia="Arial" w:hAnsi="Arial"/>
          <w:sz w:val="16"/>
          <w:szCs w:val="16"/>
          <w:i w:val="1"/>
          <w:iCs w:val="1"/>
          <w:color w:val="auto"/>
        </w:rPr>
        <w:t>www.abbvieinvestor.com</w:t>
      </w:r>
      <w:r>
        <w:rPr>
          <w:rFonts w:ascii="Arial" w:cs="Arial" w:eastAsia="Arial" w:hAnsi="Arial"/>
          <w:sz w:val="16"/>
          <w:szCs w:val="16"/>
          <w:color w:val="auto"/>
        </w:rPr>
        <w:t>). Paper copies of the Annual Report on Form 10-K, including the financial statements and schedules, may be obtained free of charge from AbbVie. Paper copies of exhibits to the Annual Report on Form 10-K are available, but a reasonable fee per page will be charged to the requesting stockholder. Stockholders may make requests in writing to us at Investor Relations, AbbVie Inc., 1 North Waukegan Road, North Chicago, Illinois 60064.</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-492125</wp:posOffset>
            </wp:positionV>
            <wp:extent cx="797560" cy="148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08080"/>
        </w:rPr>
        <w:t>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98"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Some statements in this proxy statement are, or may be considered, forward-looking statements for purposes of the Private Securities Litigation Reform Act of 1995. The words "believe," "expect," "anticipate," "project" and similar expressions and uses of future or conditional verbs, generally identify forward-looking statements. AbbVie cautions that these forward-looking statements are subject to risks and uncertainties that may cause actual results to differ materially from those expressed or implied in the forward-looking statements. Such risks and uncertainties include, but are not limited to,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of AbbVie's 2025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It is important that proxies be returned promptly. Stockholders are urged to vote, regardless of the number of shares of AbbVie common stock owned. Stockholders may vote by telephone, by Internet, or by mail if a printed version of the proxy card was received or requested. Stockholders who vote by telephone or the Internet do not need to return a proxy card.</w:t>
      </w:r>
    </w:p>
    <w:p>
      <w:pPr>
        <w:spacing w:after="0" w:line="148"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The Annual Meeting will be held on Friday, May 8, 2026 at 9:00 a.m. CT. This year’s Annual Meeting will be a virtual meeting of stockholders. It is important to us that our stockholders be able to engage with the company and its executives during the annual meeting. AbbVie held virtual stockholder meetings in recent years and generally received positive feedback from investors. We found that more stockholders were able to attend and our executive leadership team was able to answer more stockholder questions than in prior years, when the company held in-person meetings. A virtual meeting allows more stockholders to attend the meeting equally and without cost, from anywhere around the globe. At the 2026 virtual meeting, stockholders will be able to attend the Annual Meeting, vote, and submit questions via live webcast by visiting www.virtualshareholdermeeting.com/ABBV2026. Consistent with prior practice at our in-person meetings, we will address as many stockholder-submitted question topics as time permits. If we do not have time to address a specific question, a member of our governance team will follow-up with the stockholder(s) after the meeting. The virtual meeting website can be accessed on a computer, tablet, or phone with Internet connection. For stockholders without access to the Internet, you may listen to the Annual Meeting by telephone at 1-877-328-2502 (USA) or 1-412-317-5419 (International). AbbVie will make any required list of stockholders available during the meeting. Closed captioning will be available on the meeting platform.</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On the day of the Annual Meeting, stockholders may begin to log in to the online virtual annual meeting platform beginning at 8:45 a.m. Central Time, and the meeting will begin promptly at 9:00 a.m. Central Time. Please allow ample time for online login. If you encounter any difficulties accessing the virtual meeting or during the meeting time, please call 1-844-986-0822 (USA) or 1-303-562-9302 (International) for technical support.</w:t>
      </w:r>
    </w:p>
    <w:p>
      <w:pPr>
        <w:spacing w:after="0" w:line="157" w:lineRule="exact"/>
        <w:rPr>
          <w:sz w:val="20"/>
          <w:szCs w:val="20"/>
          <w:color w:val="auto"/>
        </w:rPr>
      </w:pPr>
    </w:p>
    <w:p>
      <w:pPr>
        <w:jc w:val="both"/>
        <w:ind w:right="120"/>
        <w:spacing w:after="0" w:line="262" w:lineRule="auto"/>
        <w:rPr>
          <w:sz w:val="20"/>
          <w:szCs w:val="20"/>
          <w:color w:val="auto"/>
        </w:rPr>
      </w:pPr>
      <w:r>
        <w:rPr>
          <w:rFonts w:ascii="Arial" w:cs="Arial" w:eastAsia="Arial" w:hAnsi="Arial"/>
          <w:sz w:val="16"/>
          <w:szCs w:val="16"/>
          <w:color w:val="auto"/>
        </w:rPr>
        <w:t>To be admitted to the Annual Meeting at www.virtualshareholdermeeting.com/ABBV2026, you must enter the control number found on your proxy card, voting instruction form or notice you received. You may vote during the Annual Meeting by following the instructions available on the meeting website during the meeting.</w:t>
      </w:r>
    </w:p>
    <w:p>
      <w:pPr>
        <w:spacing w:after="0" w:line="161"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By order of the Board of Directors.</w:t>
      </w:r>
    </w:p>
    <w:p>
      <w:pPr>
        <w:spacing w:after="0" w:line="17"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PERRY C. SIATIS</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6"/>
          <w:szCs w:val="16"/>
          <w:i w:val="1"/>
          <w:iCs w:val="1"/>
          <w:color w:val="auto"/>
        </w:rPr>
        <w:t>SECRETARY</w:t>
      </w:r>
    </w:p>
    <w:p>
      <w:pPr>
        <w:spacing w:after="0" w:line="384" w:lineRule="exact"/>
        <w:rPr>
          <w:sz w:val="20"/>
          <w:szCs w:val="20"/>
          <w:color w:val="auto"/>
        </w:rPr>
      </w:pPr>
    </w:p>
    <w:p>
      <w:pPr>
        <w:spacing w:after="0"/>
        <w:tabs>
          <w:tab w:leader="none" w:pos="332" w:val="left"/>
          <w:tab w:leader="none" w:pos="2100" w:val="left"/>
        </w:tabs>
        <w:rPr>
          <w:sz w:val="20"/>
          <w:szCs w:val="20"/>
          <w:color w:val="auto"/>
        </w:rPr>
      </w:pPr>
      <w:r>
        <w:rPr>
          <w:rFonts w:ascii="Arial" w:cs="Arial" w:eastAsia="Arial" w:hAnsi="Arial"/>
          <w:sz w:val="16"/>
          <w:szCs w:val="16"/>
          <w:color w:val="auto"/>
        </w:rPr>
        <w:t>82</w:t>
      </w:r>
      <w:r>
        <w:rPr>
          <w:sz w:val="20"/>
          <w:szCs w:val="20"/>
          <w:color w:val="auto"/>
        </w:rPr>
        <w:tab/>
      </w:r>
      <w:r>
        <w:rPr>
          <w:sz w:val="1"/>
          <w:szCs w:val="1"/>
          <w:color w:val="auto"/>
        </w:rPr>
        <w:drawing>
          <wp:inline distT="0" distB="0" distL="0" distR="0">
            <wp:extent cx="797560" cy="14859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5878195"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20"/>
          </w:cols>
          <w:pgMar w:left="1320" w:top="480" w:right="1359" w:bottom="1440" w:gutter="0" w:footer="0" w:header="0"/>
        </w:sectPr>
      </w:pPr>
    </w:p>
    <w:bookmarkStart w:id="85" w:name="page86"/>
    <w:bookmarkEnd w:id="85"/>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9"/>
        <w:spacing w:after="0"/>
        <w:rPr>
          <w:sz w:val="20"/>
          <w:szCs w:val="20"/>
          <w:color w:val="auto"/>
        </w:rPr>
      </w:pPr>
      <w:r>
        <w:rPr>
          <w:rFonts w:ascii="Arial" w:cs="Arial" w:eastAsia="Arial" w:hAnsi="Arial"/>
          <w:sz w:val="33"/>
          <w:szCs w:val="33"/>
          <w:color w:val="071D49"/>
        </w:rPr>
        <w:t>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878195"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pacing w:after="0" w:line="221"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Who Can Vote</w:t>
      </w:r>
    </w:p>
    <w:p>
      <w:pPr>
        <w:spacing w:after="0" w:line="198" w:lineRule="exact"/>
        <w:rPr>
          <w:sz w:val="20"/>
          <w:szCs w:val="20"/>
          <w:color w:val="auto"/>
        </w:rPr>
      </w:pPr>
    </w:p>
    <w:p>
      <w:pPr>
        <w:ind w:left="9" w:right="60"/>
        <w:spacing w:after="0" w:line="254" w:lineRule="auto"/>
        <w:rPr>
          <w:sz w:val="20"/>
          <w:szCs w:val="20"/>
          <w:color w:val="auto"/>
        </w:rPr>
      </w:pPr>
      <w:r>
        <w:rPr>
          <w:rFonts w:ascii="Arial" w:cs="Arial" w:eastAsia="Arial" w:hAnsi="Arial"/>
          <w:sz w:val="16"/>
          <w:szCs w:val="16"/>
          <w:color w:val="auto"/>
        </w:rPr>
        <w:t>Stockholders of record at the close of business on March 9, 2026 will be entitled to notice of and to vote during the Annual Meeting. As of March 9, 2026, AbbVie had 1,768,762,377 outstanding shares of common stock, which are AbbVie’s only outstanding voting securities. Each stockholder has one vote per share. Stockholders do not have the right to vote cumulatively in electing directors.</w:t>
      </w:r>
    </w:p>
    <w:p>
      <w:pPr>
        <w:spacing w:after="0" w:line="157"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Notice and Access</w:t>
      </w:r>
    </w:p>
    <w:p>
      <w:pPr>
        <w:spacing w:after="0" w:line="198" w:lineRule="exact"/>
        <w:rPr>
          <w:sz w:val="20"/>
          <w:szCs w:val="20"/>
          <w:color w:val="auto"/>
        </w:rPr>
      </w:pPr>
    </w:p>
    <w:p>
      <w:pPr>
        <w:ind w:left="9" w:right="120"/>
        <w:spacing w:after="0" w:line="249" w:lineRule="auto"/>
        <w:rPr>
          <w:sz w:val="20"/>
          <w:szCs w:val="20"/>
          <w:color w:val="auto"/>
        </w:rPr>
      </w:pPr>
      <w:r>
        <w:rPr>
          <w:rFonts w:ascii="Arial" w:cs="Arial" w:eastAsia="Arial" w:hAnsi="Arial"/>
          <w:sz w:val="16"/>
          <w:szCs w:val="16"/>
          <w:color w:val="auto"/>
        </w:rPr>
        <w:t>In accordance with the Securities and Exchange Commission (SEC) e-proxy rules, AbbVie mailed a Notice of Internet Availability of Proxy Materials (the “Notice”) to stockholders on or around March 23, 2026. The Notice describes the matters to be considered at the Annual Meeting and how stockholders can access the proxy materials online. It also provides instructions on how stockholders can vote their shares. If you received the Notice, you will not receive a printed version of the proxy materials unless you request one. If you would like to receive a printed version of the proxy materials, free of charge, please follow the instructions on the Notice.</w:t>
      </w:r>
    </w:p>
    <w:p>
      <w:pPr>
        <w:spacing w:after="0" w:line="160"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Voting by Proxy</w:t>
      </w:r>
    </w:p>
    <w:p>
      <w:pPr>
        <w:spacing w:after="0" w:line="198" w:lineRule="exact"/>
        <w:rPr>
          <w:sz w:val="20"/>
          <w:szCs w:val="20"/>
          <w:color w:val="auto"/>
        </w:rPr>
      </w:pPr>
    </w:p>
    <w:p>
      <w:pPr>
        <w:ind w:left="9" w:right="20"/>
        <w:spacing w:after="0" w:line="254" w:lineRule="auto"/>
        <w:rPr>
          <w:sz w:val="20"/>
          <w:szCs w:val="20"/>
          <w:color w:val="auto"/>
        </w:rPr>
      </w:pPr>
      <w:r>
        <w:rPr>
          <w:rFonts w:ascii="Arial" w:cs="Arial" w:eastAsia="Arial" w:hAnsi="Arial"/>
          <w:sz w:val="16"/>
          <w:szCs w:val="16"/>
          <w:color w:val="auto"/>
        </w:rPr>
        <w:t>AbbVie’s stockholders may vote their shares by telephone, the Internet, or during the Annual Meeting. If you vote by telephone or the Internet, you do not need to return your proxy card. The instructions for voting can be found on the Notice, on the website listed in the Notice, and, if you received one, on your proxy card. If you requested a printed version of the proxy card, you may also vote by mail.</w:t>
      </w:r>
    </w:p>
    <w:p>
      <w:pPr>
        <w:spacing w:after="0" w:line="157"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Revoking a Proxy</w:t>
      </w:r>
    </w:p>
    <w:p>
      <w:pPr>
        <w:spacing w:after="0" w:line="198" w:lineRule="exact"/>
        <w:rPr>
          <w:sz w:val="20"/>
          <w:szCs w:val="20"/>
          <w:color w:val="auto"/>
        </w:rPr>
      </w:pPr>
    </w:p>
    <w:p>
      <w:pPr>
        <w:ind w:left="9"/>
        <w:spacing w:after="0"/>
        <w:rPr>
          <w:sz w:val="20"/>
          <w:szCs w:val="20"/>
          <w:color w:val="auto"/>
        </w:rPr>
      </w:pPr>
      <w:r>
        <w:rPr>
          <w:rFonts w:ascii="Arial" w:cs="Arial" w:eastAsia="Arial" w:hAnsi="Arial"/>
          <w:sz w:val="16"/>
          <w:szCs w:val="16"/>
          <w:color w:val="auto"/>
        </w:rPr>
        <w:t>You may revoke your proxy by voting during the Annual Meeting or, at any time prior to the meeting:</w:t>
      </w:r>
    </w:p>
    <w:p>
      <w:pPr>
        <w:spacing w:after="0" w:line="161" w:lineRule="exact"/>
        <w:rPr>
          <w:sz w:val="20"/>
          <w:szCs w:val="20"/>
          <w:color w:val="auto"/>
        </w:rPr>
      </w:pPr>
    </w:p>
    <w:p>
      <w:pPr>
        <w:ind w:left="289" w:hanging="289"/>
        <w:spacing w:after="0"/>
        <w:tabs>
          <w:tab w:leader="none" w:pos="289" w:val="left"/>
        </w:tabs>
        <w:numPr>
          <w:ilvl w:val="0"/>
          <w:numId w:val="110"/>
        </w:numPr>
        <w:rPr>
          <w:rFonts w:ascii="Times New Roman" w:cs="Times New Roman" w:eastAsia="Times New Roman" w:hAnsi="Times New Roman"/>
          <w:sz w:val="16"/>
          <w:szCs w:val="16"/>
          <w:color w:val="071D49"/>
        </w:rPr>
      </w:pPr>
      <w:r>
        <w:rPr>
          <w:rFonts w:ascii="Arial" w:cs="Arial" w:eastAsia="Arial" w:hAnsi="Arial"/>
          <w:sz w:val="16"/>
          <w:szCs w:val="16"/>
          <w:color w:val="auto"/>
        </w:rPr>
        <w:t>by delivering a written notice to the secretary of AbbVie,</w:t>
      </w:r>
    </w:p>
    <w:p>
      <w:pPr>
        <w:spacing w:after="0" w:line="28" w:lineRule="exact"/>
        <w:rPr>
          <w:rFonts w:ascii="Times New Roman" w:cs="Times New Roman" w:eastAsia="Times New Roman" w:hAnsi="Times New Roman"/>
          <w:sz w:val="16"/>
          <w:szCs w:val="16"/>
          <w:color w:val="071D49"/>
        </w:rPr>
      </w:pPr>
    </w:p>
    <w:p>
      <w:pPr>
        <w:ind w:left="289" w:hanging="289"/>
        <w:spacing w:after="0"/>
        <w:tabs>
          <w:tab w:leader="none" w:pos="289" w:val="left"/>
        </w:tabs>
        <w:numPr>
          <w:ilvl w:val="0"/>
          <w:numId w:val="110"/>
        </w:numPr>
        <w:rPr>
          <w:rFonts w:ascii="Times New Roman" w:cs="Times New Roman" w:eastAsia="Times New Roman" w:hAnsi="Times New Roman"/>
          <w:sz w:val="16"/>
          <w:szCs w:val="16"/>
          <w:color w:val="071D49"/>
        </w:rPr>
      </w:pPr>
      <w:r>
        <w:rPr>
          <w:rFonts w:ascii="Arial" w:cs="Arial" w:eastAsia="Arial" w:hAnsi="Arial"/>
          <w:sz w:val="16"/>
          <w:szCs w:val="16"/>
          <w:color w:val="auto"/>
        </w:rPr>
        <w:t>by delivering an authorized proxy with a later date, or</w:t>
      </w:r>
    </w:p>
    <w:p>
      <w:pPr>
        <w:spacing w:after="0" w:line="12" w:lineRule="exact"/>
        <w:rPr>
          <w:rFonts w:ascii="Times New Roman" w:cs="Times New Roman" w:eastAsia="Times New Roman" w:hAnsi="Times New Roman"/>
          <w:sz w:val="16"/>
          <w:szCs w:val="16"/>
          <w:color w:val="071D49"/>
        </w:rPr>
      </w:pPr>
    </w:p>
    <w:p>
      <w:pPr>
        <w:ind w:left="289" w:hanging="289"/>
        <w:spacing w:after="0"/>
        <w:tabs>
          <w:tab w:leader="none" w:pos="289" w:val="left"/>
        </w:tabs>
        <w:numPr>
          <w:ilvl w:val="0"/>
          <w:numId w:val="110"/>
        </w:numPr>
        <w:rPr>
          <w:rFonts w:ascii="Times New Roman" w:cs="Times New Roman" w:eastAsia="Times New Roman" w:hAnsi="Times New Roman"/>
          <w:sz w:val="16"/>
          <w:szCs w:val="16"/>
          <w:color w:val="071D49"/>
        </w:rPr>
      </w:pPr>
      <w:r>
        <w:rPr>
          <w:rFonts w:ascii="Arial" w:cs="Arial" w:eastAsia="Arial" w:hAnsi="Arial"/>
          <w:sz w:val="16"/>
          <w:szCs w:val="16"/>
          <w:color w:val="auto"/>
        </w:rPr>
        <w:t>by voting by telephone or the Internet after you have given your proxy.</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Discretionary Voting Authority</w:t>
      </w:r>
    </w:p>
    <w:p>
      <w:pPr>
        <w:spacing w:after="0" w:line="198" w:lineRule="exact"/>
        <w:rPr>
          <w:sz w:val="20"/>
          <w:szCs w:val="20"/>
          <w:color w:val="auto"/>
        </w:rPr>
      </w:pPr>
    </w:p>
    <w:p>
      <w:pPr>
        <w:ind w:left="9"/>
        <w:spacing w:after="0" w:line="254" w:lineRule="auto"/>
        <w:rPr>
          <w:sz w:val="20"/>
          <w:szCs w:val="20"/>
          <w:color w:val="auto"/>
        </w:rPr>
      </w:pPr>
      <w:r>
        <w:rPr>
          <w:rFonts w:ascii="Arial" w:cs="Arial" w:eastAsia="Arial" w:hAnsi="Arial"/>
          <w:sz w:val="16"/>
          <w:szCs w:val="16"/>
          <w:color w:val="auto"/>
        </w:rPr>
        <w:t>Unless otherwise specified in accordance with the instructions on the proxy, the persons named in the proxy will vote the shares of AbbVie common stock covered by proxies they receive to elect the four nominees named in Item 1 on the proxy card. If a nominee becomes unavailable to serve, the shares will be voted for a substitute designated by the Board of Directors or for fewer than four nominees if, in the judgment of the proxy holders, such action is necessary or desirable.</w:t>
      </w:r>
    </w:p>
    <w:p>
      <w:pPr>
        <w:spacing w:after="0" w:line="157" w:lineRule="exact"/>
        <w:rPr>
          <w:sz w:val="20"/>
          <w:szCs w:val="20"/>
          <w:color w:val="auto"/>
        </w:rPr>
      </w:pPr>
    </w:p>
    <w:p>
      <w:pPr>
        <w:ind w:left="9" w:right="20"/>
        <w:spacing w:after="0" w:line="251" w:lineRule="auto"/>
        <w:rPr>
          <w:sz w:val="20"/>
          <w:szCs w:val="20"/>
          <w:color w:val="auto"/>
        </w:rPr>
      </w:pPr>
      <w:r>
        <w:rPr>
          <w:rFonts w:ascii="Arial" w:cs="Arial" w:eastAsia="Arial" w:hAnsi="Arial"/>
          <w:sz w:val="16"/>
          <w:szCs w:val="16"/>
          <w:color w:val="auto"/>
        </w:rPr>
        <w:t>Where a stockholder has specified a choice for or against the proposals to be presented at the Annual Meeting or if the stockholder has chosen to abstain, the shares of AbbVie common stock represented by the proxy will be voted (or not voted) as specified. Where no choice has been specified, the proxy will be voted FOR the ratification of Ernst &amp; Young LLP as auditors, FOR the approval of executive compensation, FOR the management proposal to eliminate supermajority voting, and AGAINST the stockholder proposal.</w:t>
      </w:r>
    </w:p>
    <w:p>
      <w:pPr>
        <w:spacing w:after="0" w:line="158" w:lineRule="exact"/>
        <w:rPr>
          <w:sz w:val="20"/>
          <w:szCs w:val="20"/>
          <w:color w:val="auto"/>
        </w:rPr>
      </w:pPr>
    </w:p>
    <w:p>
      <w:pPr>
        <w:ind w:left="9" w:right="320"/>
        <w:spacing w:after="0" w:line="262" w:lineRule="auto"/>
        <w:rPr>
          <w:sz w:val="20"/>
          <w:szCs w:val="20"/>
          <w:color w:val="auto"/>
        </w:rPr>
      </w:pPr>
      <w:r>
        <w:rPr>
          <w:rFonts w:ascii="Arial" w:cs="Arial" w:eastAsia="Arial" w:hAnsi="Arial"/>
          <w:sz w:val="16"/>
          <w:szCs w:val="16"/>
          <w:color w:val="auto"/>
        </w:rPr>
        <w:t>The Board of Directors is not aware of any other issue that may properly be brought before the meeting. If other matters are properly brought before the meeting, the accompanying proxy will be voted in accordance with the judgment of the proxy holders.</w:t>
      </w:r>
    </w:p>
    <w:p>
      <w:pPr>
        <w:spacing w:after="0" w:line="200" w:lineRule="exact"/>
        <w:rPr>
          <w:sz w:val="20"/>
          <w:szCs w:val="20"/>
          <w:color w:val="auto"/>
        </w:rPr>
      </w:pPr>
    </w:p>
    <w:p>
      <w:pPr>
        <w:spacing w:after="0" w:line="309"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481"/>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-492125</wp:posOffset>
            </wp:positionV>
            <wp:extent cx="797560" cy="148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86" w:name="page87"/>
    <w:bookmarkEnd w:id="86"/>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6"/>
          <w:szCs w:val="16"/>
          <w:color w:val="808080"/>
        </w:rPr>
        <w:t>INFORMATION ABOUT THE ANNUAL MEETING</w:t>
      </w:r>
    </w:p>
    <w:p>
      <w:pPr>
        <w:spacing w:after="0" w:line="185"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Quorum</w:t>
      </w:r>
    </w:p>
    <w:p>
      <w:pPr>
        <w:spacing w:after="0" w:line="161" w:lineRule="exact"/>
        <w:rPr>
          <w:sz w:val="20"/>
          <w:szCs w:val="20"/>
          <w:color w:val="auto"/>
        </w:rPr>
      </w:pPr>
    </w:p>
    <w:p>
      <w:pPr>
        <w:ind w:left="9" w:right="60"/>
        <w:spacing w:after="0" w:line="262" w:lineRule="auto"/>
        <w:rPr>
          <w:sz w:val="20"/>
          <w:szCs w:val="20"/>
          <w:color w:val="auto"/>
        </w:rPr>
      </w:pPr>
      <w:r>
        <w:rPr>
          <w:rFonts w:ascii="Arial" w:cs="Arial" w:eastAsia="Arial" w:hAnsi="Arial"/>
          <w:sz w:val="16"/>
          <w:szCs w:val="16"/>
          <w:color w:val="auto"/>
        </w:rPr>
        <w:t>The presence of the holders of a majority of the outstanding shares entitled to vote generally in the election of directors constitutes a quorum, which is required to hold and conduct business at the Annual Meeting. Shares are counted as present at the Annual Meeting if:</w:t>
      </w:r>
    </w:p>
    <w:p>
      <w:pPr>
        <w:spacing w:after="0" w:line="111" w:lineRule="exact"/>
        <w:rPr>
          <w:sz w:val="20"/>
          <w:szCs w:val="20"/>
          <w:color w:val="auto"/>
        </w:rPr>
      </w:pPr>
    </w:p>
    <w:p>
      <w:pPr>
        <w:ind w:left="289" w:hanging="289"/>
        <w:spacing w:after="0"/>
        <w:tabs>
          <w:tab w:leader="none" w:pos="289" w:val="left"/>
        </w:tabs>
        <w:numPr>
          <w:ilvl w:val="0"/>
          <w:numId w:val="111"/>
        </w:numPr>
        <w:rPr>
          <w:rFonts w:ascii="Times New Roman" w:cs="Times New Roman" w:eastAsia="Times New Roman" w:hAnsi="Times New Roman"/>
          <w:sz w:val="16"/>
          <w:szCs w:val="16"/>
          <w:color w:val="auto"/>
        </w:rPr>
      </w:pPr>
      <w:r>
        <w:rPr>
          <w:rFonts w:ascii="Arial" w:cs="Arial" w:eastAsia="Arial" w:hAnsi="Arial"/>
          <w:sz w:val="16"/>
          <w:szCs w:val="16"/>
          <w:color w:val="auto"/>
        </w:rPr>
        <w:t>You are represented in person at the Annual Meeting; or</w:t>
      </w:r>
    </w:p>
    <w:p>
      <w:pPr>
        <w:spacing w:after="0" w:line="28" w:lineRule="exact"/>
        <w:rPr>
          <w:rFonts w:ascii="Times New Roman" w:cs="Times New Roman" w:eastAsia="Times New Roman" w:hAnsi="Times New Roman"/>
          <w:sz w:val="16"/>
          <w:szCs w:val="16"/>
          <w:color w:val="auto"/>
        </w:rPr>
      </w:pPr>
    </w:p>
    <w:p>
      <w:pPr>
        <w:ind w:left="289" w:right="240" w:hanging="289"/>
        <w:spacing w:after="0" w:line="261" w:lineRule="auto"/>
        <w:tabs>
          <w:tab w:leader="none" w:pos="289" w:val="left"/>
        </w:tabs>
        <w:numPr>
          <w:ilvl w:val="0"/>
          <w:numId w:val="111"/>
        </w:numPr>
        <w:rPr>
          <w:rFonts w:ascii="Times New Roman" w:cs="Times New Roman" w:eastAsia="Times New Roman" w:hAnsi="Times New Roman"/>
          <w:sz w:val="16"/>
          <w:szCs w:val="16"/>
          <w:color w:val="auto"/>
        </w:rPr>
      </w:pPr>
      <w:r>
        <w:rPr>
          <w:rFonts w:ascii="Arial" w:cs="Arial" w:eastAsia="Arial" w:hAnsi="Arial"/>
          <w:sz w:val="16"/>
          <w:szCs w:val="16"/>
          <w:color w:val="auto"/>
        </w:rPr>
        <w:t>Your shares are represented by a properly authorized and submitted proxy (submitted by mail, by telephone, or over the Internet)</w:t>
      </w:r>
    </w:p>
    <w:p>
      <w:pPr>
        <w:spacing w:after="0" w:line="149" w:lineRule="exact"/>
        <w:rPr>
          <w:sz w:val="20"/>
          <w:szCs w:val="20"/>
          <w:color w:val="auto"/>
        </w:rPr>
      </w:pPr>
    </w:p>
    <w:p>
      <w:pPr>
        <w:ind w:left="9"/>
        <w:spacing w:after="0" w:line="262" w:lineRule="auto"/>
        <w:rPr>
          <w:sz w:val="20"/>
          <w:szCs w:val="20"/>
          <w:color w:val="auto"/>
        </w:rPr>
      </w:pPr>
      <w:r>
        <w:rPr>
          <w:rFonts w:ascii="Arial" w:cs="Arial" w:eastAsia="Arial" w:hAnsi="Arial"/>
          <w:sz w:val="16"/>
          <w:szCs w:val="16"/>
          <w:color w:val="auto"/>
        </w:rPr>
        <w:t>Abstentions and broker non-votes will count towards shares present at the Annual Meeting for the purpose of determining a quorum. In the absence of a quorum, the Annual Meeting may be adjourned, from time to time, by the Chairman of the Board of Directors or the President, but no other business shall be transacted at such meeting.</w:t>
      </w:r>
    </w:p>
    <w:p>
      <w:pPr>
        <w:spacing w:after="0" w:line="124"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Votes Required for Each Item</w:t>
      </w:r>
    </w:p>
    <w:p>
      <w:pPr>
        <w:spacing w:after="0" w:line="161" w:lineRule="exact"/>
        <w:rPr>
          <w:sz w:val="20"/>
          <w:szCs w:val="20"/>
          <w:color w:val="auto"/>
        </w:rPr>
      </w:pPr>
    </w:p>
    <w:p>
      <w:pPr>
        <w:ind w:left="9" w:right="20" w:hanging="9"/>
        <w:spacing w:after="0" w:line="251" w:lineRule="auto"/>
        <w:tabs>
          <w:tab w:leader="none" w:pos="192" w:val="left"/>
        </w:tabs>
        <w:numPr>
          <w:ilvl w:val="0"/>
          <w:numId w:val="11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Election of Directors</w:t>
      </w:r>
      <w:r>
        <w:rPr>
          <w:rFonts w:ascii="Arial" w:cs="Arial" w:eastAsia="Arial" w:hAnsi="Arial"/>
          <w:sz w:val="16"/>
          <w:szCs w:val="16"/>
          <w:color w:val="auto"/>
        </w:rPr>
        <w:t>: In uncontested elections such as this one, the affirmative vote of a majority of the votes cast is required to elect each director. This means that the number of votes cast “FOR” a director’s election exceeds 50% of the number of votes cast with respect to that director’s election. Abstentions and broker non-votes will not be counted as a vote cast either “FOR” or “AGAINST” with respect to the director or directors indicated and therefore will have no effect on this proposal. Brokers do not have discretionary authority to vote on this proposal.</w:t>
      </w:r>
    </w:p>
    <w:p>
      <w:pPr>
        <w:spacing w:after="0" w:line="121" w:lineRule="exact"/>
        <w:rPr>
          <w:rFonts w:ascii="Arial" w:cs="Arial" w:eastAsia="Arial" w:hAnsi="Arial"/>
          <w:sz w:val="16"/>
          <w:szCs w:val="16"/>
          <w:u w:val="single" w:color="auto"/>
          <w:color w:val="auto"/>
        </w:rPr>
      </w:pPr>
    </w:p>
    <w:p>
      <w:pPr>
        <w:ind w:left="9" w:hanging="9"/>
        <w:spacing w:after="0" w:line="252" w:lineRule="auto"/>
        <w:tabs>
          <w:tab w:leader="none" w:pos="192" w:val="left"/>
        </w:tabs>
        <w:numPr>
          <w:ilvl w:val="0"/>
          <w:numId w:val="11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Ratification of Independent Auditor</w:t>
      </w:r>
      <w:r>
        <w:rPr>
          <w:rFonts w:ascii="Arial" w:cs="Arial" w:eastAsia="Arial" w:hAnsi="Arial"/>
          <w:sz w:val="16"/>
          <w:szCs w:val="16"/>
          <w:color w:val="auto"/>
        </w:rPr>
        <w:t>: The affirmative vote of a majority of shares present in person or by proxy and entitled to vote on the matter is required for the ratification of the appointment of Ernst &amp; Young LLP as AbbVie’s independent registered public accounting firm. Abstentions will be counted as votes “AGAINST” this proposal. A broker or other nominee may generally vote on routine matters such as this one, and therefore no broker non-votes are expected to exist in connection with this proposal.</w:t>
      </w:r>
    </w:p>
    <w:p>
      <w:pPr>
        <w:spacing w:after="0" w:line="322" w:lineRule="exact"/>
        <w:rPr>
          <w:rFonts w:ascii="Arial" w:cs="Arial" w:eastAsia="Arial" w:hAnsi="Arial"/>
          <w:sz w:val="16"/>
          <w:szCs w:val="16"/>
          <w:u w:val="single" w:color="auto"/>
          <w:color w:val="auto"/>
        </w:rPr>
      </w:pPr>
    </w:p>
    <w:p>
      <w:pPr>
        <w:ind w:left="9" w:right="120" w:hanging="9"/>
        <w:spacing w:after="0" w:line="251" w:lineRule="auto"/>
        <w:tabs>
          <w:tab w:leader="none" w:pos="192" w:val="left"/>
        </w:tabs>
        <w:numPr>
          <w:ilvl w:val="0"/>
          <w:numId w:val="11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Say on Pay: Advisory Vote on Executive Compensation</w:t>
      </w:r>
      <w:r>
        <w:rPr>
          <w:rFonts w:ascii="Arial" w:cs="Arial" w:eastAsia="Arial" w:hAnsi="Arial"/>
          <w:sz w:val="16"/>
          <w:szCs w:val="16"/>
          <w:color w:val="auto"/>
        </w:rPr>
        <w:t>: The affirmative vote of a majority of shares present in person or by proxy and entitled to vote on the matter is required for the approval of the advisory vote to approve the compensation of AbbVie’s named executive officers. Because your vote is advisory, it will not be binding upon AbbVie’s Board of Directors. Abstentions will be counted as votes “AGAINST” this proposal and broker non-votes will have no effect on this proposal. Brokers do not have discretionary authority to vote on this proposal.</w:t>
      </w:r>
    </w:p>
    <w:p>
      <w:pPr>
        <w:spacing w:after="0" w:line="121" w:lineRule="exact"/>
        <w:rPr>
          <w:rFonts w:ascii="Arial" w:cs="Arial" w:eastAsia="Arial" w:hAnsi="Arial"/>
          <w:sz w:val="16"/>
          <w:szCs w:val="16"/>
          <w:u w:val="single" w:color="auto"/>
          <w:color w:val="auto"/>
        </w:rPr>
      </w:pPr>
    </w:p>
    <w:p>
      <w:pPr>
        <w:ind w:left="9" w:right="20" w:hanging="9"/>
        <w:spacing w:after="0" w:line="251" w:lineRule="auto"/>
        <w:tabs>
          <w:tab w:leader="none" w:pos="192" w:val="left"/>
        </w:tabs>
        <w:numPr>
          <w:ilvl w:val="0"/>
          <w:numId w:val="11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Management Proposal to Eliminate Supermajority Voting</w:t>
      </w:r>
      <w:r>
        <w:rPr>
          <w:rFonts w:ascii="Arial" w:cs="Arial" w:eastAsia="Arial" w:hAnsi="Arial"/>
          <w:sz w:val="16"/>
          <w:szCs w:val="16"/>
          <w:color w:val="auto"/>
        </w:rPr>
        <w:t>: The affirmative vote of shares representing not less than eighty percent (80%) of the outstanding shares of capital stock of AbbVie entitled to vote generally in the election of directors is required for the approval of the management proposal to eliminate supermajority voting pursuant to Article XI of AbbVie’s Amended and Restated Certificate of Incorporation. Abstentions and broker non-votes will be counted as votes “AGAINST” this proposal. Brokers do not have discretionary authority to vote on this proposal.</w:t>
      </w:r>
    </w:p>
    <w:p>
      <w:pPr>
        <w:spacing w:after="0" w:line="121" w:lineRule="exact"/>
        <w:rPr>
          <w:rFonts w:ascii="Arial" w:cs="Arial" w:eastAsia="Arial" w:hAnsi="Arial"/>
          <w:sz w:val="16"/>
          <w:szCs w:val="16"/>
          <w:u w:val="single" w:color="auto"/>
          <w:color w:val="auto"/>
        </w:rPr>
      </w:pPr>
    </w:p>
    <w:p>
      <w:pPr>
        <w:jc w:val="both"/>
        <w:ind w:left="9" w:right="60" w:hanging="9"/>
        <w:spacing w:after="0" w:line="254" w:lineRule="auto"/>
        <w:tabs>
          <w:tab w:leader="none" w:pos="192" w:val="left"/>
        </w:tabs>
        <w:numPr>
          <w:ilvl w:val="0"/>
          <w:numId w:val="11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Stockholder Proposal</w:t>
      </w:r>
      <w:r>
        <w:rPr>
          <w:rFonts w:ascii="Arial" w:cs="Arial" w:eastAsia="Arial" w:hAnsi="Arial"/>
          <w:sz w:val="16"/>
          <w:szCs w:val="16"/>
          <w:color w:val="auto"/>
        </w:rPr>
        <w:t>: The affirmative vote of a majority of shares present in person or by proxy and entitled to vote on the matter is required for the approval of the stockholder proposal presented at the meeting. Abstentions will be counted as votes “AGAINST” this proposal and broker non-votes will have no effect on this proposal. Brokers do not have discretionary authority to vote on this proposal.</w:t>
      </w:r>
    </w:p>
    <w:p>
      <w:pPr>
        <w:spacing w:after="0" w:line="132"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Inspectors of Election</w:t>
      </w:r>
    </w:p>
    <w:p>
      <w:pPr>
        <w:spacing w:after="0" w:line="198" w:lineRule="exact"/>
        <w:rPr>
          <w:sz w:val="20"/>
          <w:szCs w:val="20"/>
          <w:color w:val="auto"/>
        </w:rPr>
      </w:pPr>
    </w:p>
    <w:p>
      <w:pPr>
        <w:ind w:left="9" w:right="640"/>
        <w:spacing w:after="0" w:line="283" w:lineRule="auto"/>
        <w:rPr>
          <w:sz w:val="20"/>
          <w:szCs w:val="20"/>
          <w:color w:val="auto"/>
        </w:rPr>
      </w:pPr>
      <w:r>
        <w:rPr>
          <w:rFonts w:ascii="Arial" w:cs="Arial" w:eastAsia="Arial" w:hAnsi="Arial"/>
          <w:sz w:val="16"/>
          <w:szCs w:val="16"/>
          <w:color w:val="auto"/>
        </w:rPr>
        <w:t>The inspectors of election and the tabulators of all proxies, ballots, and voting tabulations that identify stockholders are independent and are not AbbVie employees.</w:t>
      </w:r>
    </w:p>
    <w:p>
      <w:pPr>
        <w:spacing w:after="0" w:line="200" w:lineRule="exact"/>
        <w:rPr>
          <w:sz w:val="20"/>
          <w:szCs w:val="20"/>
          <w:color w:val="auto"/>
        </w:rPr>
      </w:pPr>
    </w:p>
    <w:p>
      <w:pPr>
        <w:spacing w:after="0" w:line="320" w:lineRule="exact"/>
        <w:rPr>
          <w:sz w:val="20"/>
          <w:szCs w:val="20"/>
          <w:color w:val="auto"/>
        </w:rPr>
      </w:pPr>
    </w:p>
    <w:p>
      <w:pPr>
        <w:ind w:left="9"/>
        <w:spacing w:after="0"/>
        <w:tabs>
          <w:tab w:leader="none" w:pos="341" w:val="left"/>
          <w:tab w:leader="none" w:pos="2109" w:val="left"/>
        </w:tabs>
        <w:rPr>
          <w:sz w:val="20"/>
          <w:szCs w:val="20"/>
          <w:color w:val="auto"/>
        </w:rPr>
      </w:pPr>
      <w:r>
        <w:rPr>
          <w:rFonts w:ascii="Arial" w:cs="Arial" w:eastAsia="Arial" w:hAnsi="Arial"/>
          <w:sz w:val="16"/>
          <w:szCs w:val="16"/>
          <w:color w:val="auto"/>
        </w:rPr>
        <w:t>84</w:t>
      </w:r>
      <w:r>
        <w:rPr>
          <w:sz w:val="20"/>
          <w:szCs w:val="20"/>
          <w:color w:val="auto"/>
        </w:rPr>
        <w:tab/>
      </w:r>
      <w:r>
        <w:rPr>
          <w:sz w:val="1"/>
          <w:szCs w:val="1"/>
          <w:color w:val="auto"/>
        </w:rPr>
        <w:drawing>
          <wp:inline distT="0" distB="0" distL="0" distR="0">
            <wp:extent cx="797560" cy="14859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5878195" cy="158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78195" cy="15875"/>
                    </a:xfrm>
                    <a:prstGeom prst="rect">
                      <a:avLst/>
                    </a:prstGeom>
                    <a:noFill/>
                  </pic:spPr>
                </pic:pic>
              </a:graphicData>
            </a:graphic>
          </wp:anchor>
        </w:drawing>
      </w:r>
    </w:p>
    <w:p>
      <w:pPr>
        <w:sectPr>
          <w:pgSz w:w="11900" w:h="16838" w:orient="portrait"/>
          <w:cols w:equalWidth="0" w:num="1">
            <w:col w:w="9229"/>
          </w:cols>
          <w:pgMar w:left="1311" w:top="480" w:right="1359" w:bottom="1440" w:gutter="0" w:footer="0" w:header="0"/>
        </w:sectPr>
      </w:pPr>
    </w:p>
    <w:bookmarkStart w:id="87" w:name="page88"/>
    <w:bookmarkEnd w:id="87"/>
    <w:p>
      <w:pPr>
        <w:spacing w:after="0"/>
        <w:rPr>
          <w:sz w:val="20"/>
          <w:szCs w:val="20"/>
          <w:color w:val="auto"/>
        </w:rPr>
      </w:pPr>
      <w:r>
        <w:rPr>
          <w:rFonts w:ascii="Arial" w:cs="Arial" w:eastAsia="Arial" w:hAnsi="Arial"/>
          <w:sz w:val="16"/>
          <w:szCs w:val="16"/>
          <w:u w:val="single" w:color="auto"/>
          <w:color w:val="0000EE"/>
        </w:rPr>
        <w:t>Table of Contents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INFORMATION ABOUT THE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Soliciting Proxies</w:t>
      </w:r>
    </w:p>
    <w:p>
      <w:pPr>
        <w:spacing w:after="0" w:line="198" w:lineRule="exact"/>
        <w:rPr>
          <w:sz w:val="20"/>
          <w:szCs w:val="20"/>
          <w:color w:val="auto"/>
        </w:rPr>
      </w:pPr>
    </w:p>
    <w:p>
      <w:pPr>
        <w:jc w:val="both"/>
        <w:ind w:right="100"/>
        <w:spacing w:after="0" w:line="262" w:lineRule="auto"/>
        <w:rPr>
          <w:sz w:val="20"/>
          <w:szCs w:val="20"/>
          <w:color w:val="auto"/>
        </w:rPr>
      </w:pPr>
      <w:r>
        <w:rPr>
          <w:rFonts w:ascii="Arial" w:cs="Arial" w:eastAsia="Arial" w:hAnsi="Arial"/>
          <w:sz w:val="16"/>
          <w:szCs w:val="16"/>
          <w:color w:val="auto"/>
        </w:rPr>
        <w:t>AbbVie will bear the cost of making solicitations from its stockholders and will reimburse banks and brokerage firms for out-of-pocket expenses incurred in connection with this solicitation. Proxies may be solicited by mail, telephone, Internet, or in person by directors, officers, or employees of AbbVie and its subsidiaries.</w:t>
      </w:r>
    </w:p>
    <w:p>
      <w:pPr>
        <w:spacing w:after="0" w:line="148" w:lineRule="exact"/>
        <w:rPr>
          <w:sz w:val="20"/>
          <w:szCs w:val="20"/>
          <w:color w:val="auto"/>
        </w:rPr>
      </w:pPr>
    </w:p>
    <w:p>
      <w:pPr>
        <w:ind w:right="960"/>
        <w:spacing w:after="0" w:line="283" w:lineRule="auto"/>
        <w:rPr>
          <w:sz w:val="20"/>
          <w:szCs w:val="20"/>
          <w:color w:val="auto"/>
        </w:rPr>
      </w:pPr>
      <w:r>
        <w:rPr>
          <w:rFonts w:ascii="Arial" w:cs="Arial" w:eastAsia="Arial" w:hAnsi="Arial"/>
          <w:sz w:val="16"/>
          <w:szCs w:val="16"/>
          <w:color w:val="auto"/>
        </w:rPr>
        <w:t>AbbVie has retained Alliance Advisors LLC to aid in the solicitation of proxies, at an estimated cost of $25,000 plus reimbursement for reasonable out-of-pocket expenses.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AbbVie Savings Plan</w:t>
      </w:r>
    </w:p>
    <w:p>
      <w:pPr>
        <w:spacing w:after="0" w:line="198"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Participants in the AbbVie Savings Plan will receive voting instructions for their shares of AbbVie common stock held in the AbbVie Savings Plan Trust. Broadridge Financial Solutions, Inc. will solicit the voting instructions from participants and, with respect to those shares of AbbVie common stock for which voting instructions are received, provide a voting tally to Empower Trust Company (the trustee of the AbbVie Savings Plan Trust) to vote the shares as directed by participants. The AbbVie Retirement Plans Investment Committee may use its own discretion with respect to those shares of AbbVie common stock for which no voting instructions are received.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240" w:type="dxa"/>
            <w:vAlign w:val="bottom"/>
          </w:tcPr>
          <w:p>
            <w:pPr>
              <w:ind w:left="548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493"/>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797560" cy="148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88" w:name="page89"/>
    <w:bookmarkEnd w:id="88"/>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ind w:left="8429"/>
        <w:spacing w:after="0"/>
        <w:rPr>
          <w:sz w:val="20"/>
          <w:szCs w:val="20"/>
          <w:color w:val="auto"/>
        </w:rPr>
      </w:pPr>
      <w:r>
        <w:rPr>
          <w:rFonts w:ascii="Arial" w:cs="Arial" w:eastAsia="Arial" w:hAnsi="Arial"/>
          <w:sz w:val="16"/>
          <w:szCs w:val="16"/>
          <w:color w:val="FFFFFF"/>
          <w:shd w:val="clear" w:color="auto" w:fill="454968"/>
        </w:rPr>
        <w:t>Appendix A</w:t>
      </w:r>
    </w:p>
    <w:p>
      <w:pPr>
        <w:spacing w:after="0" w:line="111" w:lineRule="exact"/>
        <w:rPr>
          <w:sz w:val="20"/>
          <w:szCs w:val="20"/>
          <w:color w:val="auto"/>
        </w:rPr>
      </w:pPr>
    </w:p>
    <w:p>
      <w:pPr>
        <w:ind w:left="409"/>
        <w:spacing w:after="0"/>
        <w:rPr>
          <w:sz w:val="20"/>
          <w:szCs w:val="20"/>
          <w:color w:val="auto"/>
        </w:rPr>
      </w:pPr>
      <w:r>
        <w:rPr>
          <w:rFonts w:ascii="Arial" w:cs="Arial" w:eastAsia="Arial" w:hAnsi="Arial"/>
          <w:sz w:val="16"/>
          <w:szCs w:val="16"/>
          <w:b w:val="1"/>
          <w:bCs w:val="1"/>
          <w:color w:val="auto"/>
        </w:rPr>
        <w:t>Proposed Certificate of Amendment to the Amended and Restated Certificate of Incorporation of AbbVie Inc.</w:t>
      </w:r>
    </w:p>
    <w:p>
      <w:pPr>
        <w:spacing w:after="0" w:line="124" w:lineRule="exact"/>
        <w:rPr>
          <w:sz w:val="20"/>
          <w:szCs w:val="20"/>
          <w:color w:val="auto"/>
        </w:rPr>
      </w:pPr>
    </w:p>
    <w:p>
      <w:pPr>
        <w:ind w:left="589"/>
        <w:spacing w:after="0"/>
        <w:rPr>
          <w:sz w:val="20"/>
          <w:szCs w:val="20"/>
          <w:color w:val="auto"/>
        </w:rPr>
      </w:pPr>
      <w:r>
        <w:rPr>
          <w:rFonts w:ascii="Arial" w:cs="Arial" w:eastAsia="Arial" w:hAnsi="Arial"/>
          <w:sz w:val="16"/>
          <w:szCs w:val="16"/>
          <w:color w:val="auto"/>
        </w:rPr>
        <w:t>The text of the proposed amendment is marked to reflect the proposed changes.</w:t>
      </w:r>
    </w:p>
    <w:p>
      <w:pPr>
        <w:spacing w:after="0" w:line="111" w:lineRule="exact"/>
        <w:rPr>
          <w:sz w:val="20"/>
          <w:szCs w:val="20"/>
          <w:color w:val="auto"/>
        </w:rPr>
      </w:pPr>
    </w:p>
    <w:p>
      <w:pPr>
        <w:ind w:left="589"/>
        <w:spacing w:after="0"/>
        <w:rPr>
          <w:sz w:val="20"/>
          <w:szCs w:val="20"/>
          <w:color w:val="auto"/>
        </w:rPr>
      </w:pPr>
      <w:r>
        <w:rPr>
          <w:rFonts w:ascii="Arial" w:cs="Arial" w:eastAsia="Arial" w:hAnsi="Arial"/>
          <w:sz w:val="16"/>
          <w:szCs w:val="16"/>
          <w:color w:val="auto"/>
        </w:rPr>
        <w:t>AbbVie Inc., a corporation organized and existing under and by virtue of the General Corporation Law of the State of</w:t>
      </w:r>
    </w:p>
    <w:p>
      <w:pPr>
        <w:spacing w:after="0" w:line="17" w:lineRule="exact"/>
        <w:rPr>
          <w:sz w:val="20"/>
          <w:szCs w:val="20"/>
          <w:color w:val="auto"/>
        </w:rPr>
      </w:pPr>
    </w:p>
    <w:p>
      <w:pPr>
        <w:ind w:left="9"/>
        <w:spacing w:after="0"/>
        <w:rPr>
          <w:sz w:val="20"/>
          <w:szCs w:val="20"/>
          <w:color w:val="auto"/>
        </w:rPr>
      </w:pPr>
      <w:r>
        <w:rPr>
          <w:rFonts w:ascii="Arial" w:cs="Arial" w:eastAsia="Arial" w:hAnsi="Arial"/>
          <w:sz w:val="16"/>
          <w:szCs w:val="16"/>
          <w:color w:val="auto"/>
        </w:rPr>
        <w:t>Delaware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w:t>
      </w:r>
    </w:p>
    <w:p>
      <w:pPr>
        <w:spacing w:after="0" w:line="120" w:lineRule="exact"/>
        <w:rPr>
          <w:sz w:val="20"/>
          <w:szCs w:val="20"/>
          <w:color w:val="auto"/>
        </w:rPr>
      </w:pPr>
    </w:p>
    <w:p>
      <w:pPr>
        <w:ind w:left="9"/>
        <w:spacing w:after="0"/>
        <w:rPr>
          <w:sz w:val="20"/>
          <w:szCs w:val="20"/>
          <w:color w:val="auto"/>
        </w:rPr>
      </w:pPr>
      <w:r>
        <w:rPr>
          <w:rFonts w:ascii="Arial" w:cs="Arial" w:eastAsia="Arial" w:hAnsi="Arial"/>
          <w:sz w:val="16"/>
          <w:szCs w:val="16"/>
          <w:color w:val="auto"/>
        </w:rPr>
        <w:t>1. Articles VIII and XI of AbbVie’s Amended and Restated Certificate of Incorporation are amended to read as follows:</w:t>
      </w:r>
    </w:p>
    <w:p>
      <w:pPr>
        <w:spacing w:after="0" w:line="111" w:lineRule="exact"/>
        <w:rPr>
          <w:sz w:val="20"/>
          <w:szCs w:val="20"/>
          <w:color w:val="auto"/>
        </w:rPr>
      </w:pPr>
    </w:p>
    <w:p>
      <w:pPr>
        <w:jc w:val="center"/>
        <w:ind w:right="-8"/>
        <w:spacing w:after="0"/>
        <w:rPr>
          <w:sz w:val="20"/>
          <w:szCs w:val="20"/>
          <w:color w:val="auto"/>
        </w:rPr>
      </w:pPr>
      <w:r>
        <w:rPr>
          <w:rFonts w:ascii="Arial" w:cs="Arial" w:eastAsia="Arial" w:hAnsi="Arial"/>
          <w:sz w:val="16"/>
          <w:szCs w:val="16"/>
          <w:b w:val="1"/>
          <w:bCs w:val="1"/>
          <w:color w:val="auto"/>
        </w:rPr>
        <w:t>ARTICLE VIII</w:t>
      </w:r>
    </w:p>
    <w:p>
      <w:pPr>
        <w:spacing w:after="0" w:line="17" w:lineRule="exact"/>
        <w:rPr>
          <w:sz w:val="20"/>
          <w:szCs w:val="20"/>
          <w:color w:val="auto"/>
        </w:rPr>
      </w:pPr>
    </w:p>
    <w:p>
      <w:pPr>
        <w:jc w:val="center"/>
        <w:ind w:right="-8"/>
        <w:spacing w:after="0"/>
        <w:rPr>
          <w:sz w:val="20"/>
          <w:szCs w:val="20"/>
          <w:color w:val="auto"/>
        </w:rPr>
      </w:pPr>
      <w:r>
        <w:rPr>
          <w:rFonts w:ascii="Arial" w:cs="Arial" w:eastAsia="Arial" w:hAnsi="Arial"/>
          <w:sz w:val="16"/>
          <w:szCs w:val="16"/>
          <w:b w:val="1"/>
          <w:bCs w:val="1"/>
          <w:color w:val="auto"/>
        </w:rPr>
        <w:t>AMENDMENTS TO BY-LAWS</w:t>
      </w:r>
    </w:p>
    <w:p>
      <w:pPr>
        <w:spacing w:after="0" w:line="95" w:lineRule="exact"/>
        <w:rPr>
          <w:sz w:val="20"/>
          <w:szCs w:val="20"/>
          <w:color w:val="auto"/>
        </w:rPr>
      </w:pPr>
    </w:p>
    <w:p>
      <w:pPr>
        <w:ind w:left="9" w:right="20" w:firstLine="591"/>
        <w:spacing w:after="0" w:line="244" w:lineRule="auto"/>
        <w:rPr>
          <w:sz w:val="20"/>
          <w:szCs w:val="20"/>
          <w:color w:val="auto"/>
        </w:rPr>
      </w:pPr>
      <w:r>
        <w:rPr>
          <w:rFonts w:ascii="Arial" w:cs="Arial" w:eastAsia="Arial" w:hAnsi="Arial"/>
          <w:sz w:val="16"/>
          <w:szCs w:val="16"/>
          <w:color w:val="auto"/>
        </w:rPr>
        <w:t>In furtherance and not in limitation of the powers conferred by the laws of the State of Delaware, the By-laws of the Corporation (the “</w:t>
      </w:r>
      <w:r>
        <w:rPr>
          <w:rFonts w:ascii="Arial" w:cs="Arial" w:eastAsia="Arial" w:hAnsi="Arial"/>
          <w:sz w:val="16"/>
          <w:szCs w:val="16"/>
          <w:u w:val="single" w:color="auto"/>
          <w:color w:val="auto"/>
        </w:rPr>
        <w:t>By-laws</w:t>
      </w:r>
      <w:r>
        <w:rPr>
          <w:rFonts w:ascii="Arial" w:cs="Arial" w:eastAsia="Arial" w:hAnsi="Arial"/>
          <w:sz w:val="16"/>
          <w:szCs w:val="16"/>
          <w:color w:val="auto"/>
        </w:rPr>
        <w:t xml:space="preserve">”) may be altered, amended or repealed, in whole or in part, and new By-laws may be adopted, (i) by the affirmative vote of shares representing a majority of the outstanding shares of capital stock of the Corporation entitled to vote generally in the election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color w:val="auto"/>
          <w:strike w:val="1"/>
        </w:rPr>
        <w:t>that any proposed alteration, amendment or repeal of, or the</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adoption of any By-law inconsistent with, Sections 2.2, 2.12, 3.2, 3.3, 3.10 or 3.11, Article VII or Article X of the By-laws (in each case, as in effect on the date hereof), or the alteration, amendment or repeal of, or the adoption of any provision inconsistent with this sentence, may only be made by the affirmative vote of shares representing not less than eighty percent (80%) of the outstanding shares of capital stock of the Corporation entitled to vote generally in the election of directors; and </w:t>
      </w:r>
      <w:r>
        <w:rPr>
          <w:rFonts w:ascii="Arial" w:cs="Arial" w:eastAsia="Arial" w:hAnsi="Arial"/>
          <w:sz w:val="16"/>
          <w:szCs w:val="16"/>
          <w:u w:val="single" w:color="auto"/>
          <w:color w:val="auto"/>
          <w:strike w:val="1"/>
        </w:rPr>
        <w:t>provided</w:t>
      </w:r>
      <w:r>
        <w:rPr>
          <w:rFonts w:ascii="Arial" w:cs="Arial" w:eastAsia="Arial" w:hAnsi="Arial"/>
          <w:sz w:val="16"/>
          <w:szCs w:val="16"/>
          <w:color w:val="auto"/>
          <w:strike w:val="1"/>
        </w:rPr>
        <w:t xml:space="preserve"> further, however, that in the case of any such stockholder action at a meeting of stockholders, notice of the proposed alteration, amendment, repeal or adoption of the new By-law or By-laws must be contained in the notice of such meeting, or (ii) by action of the Board of Directors of the Corporation; </w:t>
      </w:r>
      <w:r>
        <w:rPr>
          <w:rFonts w:ascii="Arial" w:cs="Arial" w:eastAsia="Arial" w:hAnsi="Arial"/>
          <w:sz w:val="16"/>
          <w:szCs w:val="16"/>
          <w:u w:val="single" w:color="auto"/>
          <w:color w:val="auto"/>
          <w:strike w:val="1"/>
        </w:rPr>
        <w:t>provided</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however</w:t>
      </w:r>
      <w:r>
        <w:rPr>
          <w:rFonts w:ascii="Arial" w:cs="Arial" w:eastAsia="Arial" w:hAnsi="Arial"/>
          <w:sz w:val="16"/>
          <w:szCs w:val="16"/>
          <w:color w:val="auto"/>
          <w:strike w:val="1"/>
        </w:rPr>
        <w:t>, that the case of any such action at a meeting of the Board of Directors, notice of the proposed alteration, amendment, repeal or adoption of the new By-law or By-laws must be given not less than two days prior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5524500</wp:posOffset>
            </wp:positionH>
            <wp:positionV relativeFrom="paragraph">
              <wp:posOffset>-610235</wp:posOffset>
            </wp:positionV>
            <wp:extent cx="30099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00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-493395</wp:posOffset>
            </wp:positionV>
            <wp:extent cx="39370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93700" cy="7620"/>
                    </a:xfrm>
                    <a:prstGeom prst="rect">
                      <a:avLst/>
                    </a:prstGeom>
                    <a:noFill/>
                  </pic:spPr>
                </pic:pic>
              </a:graphicData>
            </a:graphic>
          </wp:anchor>
        </w:drawing>
      </w:r>
    </w:p>
    <w:p>
      <w:pPr>
        <w:spacing w:after="0" w:line="72" w:lineRule="exact"/>
        <w:rPr>
          <w:sz w:val="20"/>
          <w:szCs w:val="20"/>
          <w:color w:val="auto"/>
        </w:rPr>
      </w:pPr>
    </w:p>
    <w:p>
      <w:pPr>
        <w:ind w:left="4489"/>
        <w:spacing w:after="0"/>
        <w:rPr>
          <w:sz w:val="20"/>
          <w:szCs w:val="20"/>
          <w:color w:val="auto"/>
        </w:rPr>
      </w:pPr>
      <w:r>
        <w:rPr>
          <w:rFonts w:ascii="Arial" w:cs="Arial" w:eastAsia="Arial" w:hAnsi="Arial"/>
          <w:sz w:val="16"/>
          <w:szCs w:val="16"/>
          <w:color w:val="auto"/>
        </w:rPr>
        <w:t>* * *</w:t>
      </w:r>
    </w:p>
    <w:p>
      <w:pPr>
        <w:spacing w:after="0" w:line="111" w:lineRule="exact"/>
        <w:rPr>
          <w:sz w:val="20"/>
          <w:szCs w:val="20"/>
          <w:color w:val="auto"/>
        </w:rPr>
      </w:pPr>
    </w:p>
    <w:p>
      <w:pPr>
        <w:ind w:left="4169"/>
        <w:spacing w:after="0"/>
        <w:rPr>
          <w:sz w:val="20"/>
          <w:szCs w:val="20"/>
          <w:color w:val="auto"/>
        </w:rPr>
      </w:pPr>
      <w:r>
        <w:rPr>
          <w:rFonts w:ascii="Arial" w:cs="Arial" w:eastAsia="Arial" w:hAnsi="Arial"/>
          <w:sz w:val="16"/>
          <w:szCs w:val="16"/>
          <w:b w:val="1"/>
          <w:bCs w:val="1"/>
          <w:color w:val="auto"/>
        </w:rPr>
        <w:t>ARTICLE XI</w:t>
      </w:r>
    </w:p>
    <w:p>
      <w:pPr>
        <w:spacing w:after="0" w:line="17" w:lineRule="exact"/>
        <w:rPr>
          <w:sz w:val="20"/>
          <w:szCs w:val="20"/>
          <w:color w:val="auto"/>
        </w:rPr>
      </w:pPr>
    </w:p>
    <w:p>
      <w:pPr>
        <w:jc w:val="center"/>
        <w:ind w:right="-8"/>
        <w:spacing w:after="0"/>
        <w:rPr>
          <w:sz w:val="20"/>
          <w:szCs w:val="20"/>
          <w:color w:val="auto"/>
        </w:rPr>
      </w:pPr>
      <w:r>
        <w:rPr>
          <w:rFonts w:ascii="Arial" w:cs="Arial" w:eastAsia="Arial" w:hAnsi="Arial"/>
          <w:sz w:val="16"/>
          <w:szCs w:val="16"/>
          <w:b w:val="1"/>
          <w:bCs w:val="1"/>
          <w:color w:val="auto"/>
        </w:rPr>
        <w:t>AMENDMENTS</w:t>
      </w:r>
    </w:p>
    <w:p>
      <w:pPr>
        <w:spacing w:after="0" w:line="95" w:lineRule="exact"/>
        <w:rPr>
          <w:sz w:val="20"/>
          <w:szCs w:val="20"/>
          <w:color w:val="auto"/>
        </w:rPr>
      </w:pPr>
    </w:p>
    <w:p>
      <w:pPr>
        <w:ind w:left="9" w:right="40" w:firstLine="591"/>
        <w:spacing w:after="0" w:line="245" w:lineRule="auto"/>
        <w:rPr>
          <w:sz w:val="20"/>
          <w:szCs w:val="20"/>
          <w:color w:val="auto"/>
        </w:rPr>
      </w:pPr>
      <w:r>
        <w:rPr>
          <w:rFonts w:ascii="Arial" w:cs="Arial" w:eastAsia="Arial" w:hAnsi="Arial"/>
          <w:sz w:val="16"/>
          <w:szCs w:val="16"/>
          <w:u w:val="single" w:color="auto"/>
          <w:color w:val="auto"/>
        </w:rPr>
        <w:t>The Corporation reserves the right to amend, alter or repeal any provision contained in this Amended and Restated Certificate of Incorporation, in the manner now or hereafter prescribed by statute, and all rights conferred upon stockholders herein are subject to this reservation</w:t>
      </w:r>
      <w:r>
        <w:rPr>
          <w:rFonts w:ascii="Arial" w:cs="Arial" w:eastAsia="Arial" w:hAnsi="Arial"/>
          <w:sz w:val="16"/>
          <w:szCs w:val="16"/>
          <w:color w:val="auto"/>
        </w:rPr>
        <w:t xml:space="preserve">. </w:t>
      </w:r>
      <w:r>
        <w:rPr>
          <w:rFonts w:ascii="Arial" w:cs="Arial" w:eastAsia="Arial" w:hAnsi="Arial"/>
          <w:sz w:val="16"/>
          <w:szCs w:val="16"/>
          <w:color w:val="auto"/>
          <w:strike w:val="1"/>
        </w:rPr>
        <w:t>In furtherance and not in limitation of the powers conferred by the laws of the State of</w:t>
      </w:r>
      <w:r>
        <w:rPr>
          <w:rFonts w:ascii="Arial" w:cs="Arial" w:eastAsia="Arial" w:hAnsi="Arial"/>
          <w:sz w:val="16"/>
          <w:szCs w:val="16"/>
          <w:color w:val="auto"/>
        </w:rPr>
        <w:t xml:space="preserve"> </w:t>
      </w:r>
      <w:r>
        <w:rPr>
          <w:rFonts w:ascii="Arial" w:cs="Arial" w:eastAsia="Arial" w:hAnsi="Arial"/>
          <w:sz w:val="16"/>
          <w:szCs w:val="16"/>
          <w:color w:val="auto"/>
          <w:strike w:val="1"/>
        </w:rPr>
        <w:t>Delaware as they presently exist or may hereafter be amended, subject to any limitations contained elsewhere in this Amended and Restated Certificate of Incorporation, the Corporation may from time to time adopt, amend or repeal any provisions of this Amended and Restated Certificate of Incorporation; provided, however, that any proposed alteration, amendment or repeal of, or the adoption of any provision inconsistent with, Article VI and Article VII of this Amended and Restated Certificate of Incorporation (in each case, as in effect on the date hereof), or the alteration, amendment or repeal of, or the adoption of any provision inconsistent with this sentence, may only be made by the affirmative vote of shares representing not less than eighty percent (80%) of the outstanding shares of capital stock of the Corporation entitled to vote generally in the election of directors.</w:t>
      </w:r>
    </w:p>
    <w:p>
      <w:pPr>
        <w:spacing w:after="0" w:line="91" w:lineRule="exact"/>
        <w:rPr>
          <w:sz w:val="20"/>
          <w:szCs w:val="20"/>
          <w:color w:val="auto"/>
        </w:rPr>
      </w:pPr>
    </w:p>
    <w:p>
      <w:pPr>
        <w:ind w:left="9" w:right="60" w:hanging="9"/>
        <w:spacing w:after="0" w:line="283" w:lineRule="auto"/>
        <w:tabs>
          <w:tab w:leader="none" w:pos="23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foregoing amendment to the Amended and Restated Certificate of Incorporation of the Corporation was duly adopted in accordance with the provisions of Section 242 of the Delaware General Corporation Law.</w:t>
      </w:r>
    </w:p>
    <w:p>
      <w:pPr>
        <w:spacing w:after="0" w:line="46"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Corporation has caused this Certificate of Amendment to the Amended and Restated Certificate</w:t>
      </w:r>
    </w:p>
    <w:p>
      <w:pPr>
        <w:spacing w:after="0" w:line="17" w:lineRule="exact"/>
        <w:rPr>
          <w:sz w:val="20"/>
          <w:szCs w:val="20"/>
          <w:color w:val="auto"/>
        </w:rPr>
      </w:pPr>
    </w:p>
    <w:p>
      <w:pPr>
        <w:ind w:left="9"/>
        <w:spacing w:after="0"/>
        <w:tabs>
          <w:tab w:leader="none" w:pos="6369" w:val="left"/>
          <w:tab w:leader="none" w:pos="7269" w:val="left"/>
        </w:tabs>
        <w:rPr>
          <w:sz w:val="20"/>
          <w:szCs w:val="20"/>
          <w:color w:val="auto"/>
        </w:rPr>
      </w:pPr>
      <w:r>
        <w:rPr>
          <w:rFonts w:ascii="Arial" w:cs="Arial" w:eastAsia="Arial" w:hAnsi="Arial"/>
          <w:sz w:val="16"/>
          <w:szCs w:val="16"/>
          <w:color w:val="auto"/>
        </w:rPr>
        <w:t>of Incorporation to be executed by the undersigned officer, duly authorized, as of the</w:t>
      </w:r>
      <w:r>
        <w:rPr>
          <w:sz w:val="20"/>
          <w:szCs w:val="20"/>
          <w:color w:val="auto"/>
        </w:rPr>
        <w:tab/>
      </w:r>
      <w:r>
        <w:rPr>
          <w:rFonts w:ascii="Arial" w:cs="Arial" w:eastAsia="Arial" w:hAnsi="Arial"/>
          <w:sz w:val="16"/>
          <w:szCs w:val="16"/>
          <w:color w:val="auto"/>
        </w:rPr>
        <w:t>day of</w:t>
      </w:r>
      <w:r>
        <w:rPr>
          <w:sz w:val="20"/>
          <w:szCs w:val="20"/>
          <w:color w:val="auto"/>
        </w:rPr>
        <w:tab/>
      </w:r>
      <w:r>
        <w:rPr>
          <w:rFonts w:ascii="Arial" w:cs="Arial" w:eastAsia="Arial" w:hAnsi="Arial"/>
          <w:sz w:val="15"/>
          <w:szCs w:val="15"/>
          <w:color w:val="auto"/>
        </w:rPr>
        <w:t>2026.</w:t>
      </w:r>
    </w:p>
    <w:p>
      <w:pPr>
        <w:spacing w:after="0" w:line="132" w:lineRule="exact"/>
        <w:rPr>
          <w:sz w:val="20"/>
          <w:szCs w:val="20"/>
          <w:color w:val="auto"/>
        </w:rPr>
      </w:pPr>
    </w:p>
    <w:p>
      <w:pPr>
        <w:ind w:left="4709"/>
        <w:spacing w:after="0"/>
        <w:rPr>
          <w:sz w:val="20"/>
          <w:szCs w:val="20"/>
          <w:color w:val="auto"/>
        </w:rPr>
      </w:pPr>
      <w:r>
        <w:rPr>
          <w:rFonts w:ascii="Arial" w:cs="Arial" w:eastAsia="Arial" w:hAnsi="Arial"/>
          <w:sz w:val="16"/>
          <w:szCs w:val="16"/>
          <w:b w:val="1"/>
          <w:bCs w:val="1"/>
          <w:color w:val="auto"/>
        </w:rPr>
        <w:t>AbbVie Inc.</w:t>
      </w:r>
    </w:p>
    <w:p>
      <w:pPr>
        <w:spacing w:after="0" w:line="124" w:lineRule="exact"/>
        <w:rPr>
          <w:sz w:val="20"/>
          <w:szCs w:val="20"/>
          <w:color w:val="auto"/>
        </w:rPr>
      </w:pPr>
    </w:p>
    <w:p>
      <w:pPr>
        <w:ind w:left="4709"/>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10795</wp:posOffset>
            </wp:positionV>
            <wp:extent cx="252476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24760" cy="7620"/>
                    </a:xfrm>
                    <a:prstGeom prst="rect">
                      <a:avLst/>
                    </a:prstGeom>
                    <a:noFill/>
                  </pic:spPr>
                </pic:pic>
              </a:graphicData>
            </a:graphic>
          </wp:anchor>
        </w:drawing>
      </w:r>
    </w:p>
    <w:p>
      <w:pPr>
        <w:spacing w:after="0" w:line="9" w:lineRule="exact"/>
        <w:rPr>
          <w:sz w:val="20"/>
          <w:szCs w:val="20"/>
          <w:color w:val="auto"/>
        </w:rPr>
      </w:pPr>
    </w:p>
    <w:p>
      <w:pPr>
        <w:ind w:left="4709"/>
        <w:spacing w:after="0"/>
        <w:rPr>
          <w:sz w:val="20"/>
          <w:szCs w:val="20"/>
          <w:color w:val="auto"/>
        </w:rPr>
      </w:pPr>
      <w:r>
        <w:rPr>
          <w:rFonts w:ascii="Arial" w:cs="Arial" w:eastAsia="Arial" w:hAnsi="Arial"/>
          <w:sz w:val="16"/>
          <w:szCs w:val="16"/>
          <w:color w:val="auto"/>
        </w:rPr>
        <w:t>Name:</w:t>
      </w:r>
    </w:p>
    <w:p>
      <w:pPr>
        <w:spacing w:after="0" w:line="1" w:lineRule="exact"/>
        <w:rPr>
          <w:sz w:val="20"/>
          <w:szCs w:val="20"/>
          <w:color w:val="auto"/>
        </w:rPr>
      </w:pPr>
    </w:p>
    <w:p>
      <w:pPr>
        <w:ind w:left="4709"/>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357" w:lineRule="exact"/>
        <w:rPr>
          <w:sz w:val="20"/>
          <w:szCs w:val="20"/>
          <w:color w:val="auto"/>
        </w:rPr>
      </w:pPr>
    </w:p>
    <w:tbl>
      <w:tblPr>
        <w:tblLayout w:type="fixed"/>
        <w:tblInd w:w="9" w:type="dxa"/>
        <w:tblCellMar>
          <w:top w:w="0" w:type="dxa"/>
          <w:left w:w="0" w:type="dxa"/>
          <w:bottom w:w="0" w:type="dxa"/>
          <w:right w:w="0" w:type="dxa"/>
        </w:tblCellMar>
      </w:tblPr>
      <w:tr>
        <w:trPr>
          <w:trHeight w:val="323"/>
        </w:trPr>
        <w:tc>
          <w:tcPr>
            <w:tcW w:w="8160" w:type="dxa"/>
            <w:vAlign w:val="bottom"/>
          </w:tcPr>
          <w:p>
            <w:pPr>
              <w:ind w:left="542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i w:val="1"/>
                <w:iCs w:val="1"/>
                <w:color w:val="auto"/>
              </w:rPr>
              <w:t>|</w:t>
            </w:r>
          </w:p>
        </w:tc>
        <w:tc>
          <w:tcPr>
            <w:tcW w:w="1100" w:type="dxa"/>
            <w:vAlign w:val="bottom"/>
          </w:tcPr>
          <w:p>
            <w:pPr>
              <w:ind w:left="840"/>
              <w:spacing w:after="0"/>
              <w:rPr>
                <w:sz w:val="20"/>
                <w:szCs w:val="20"/>
                <w:color w:val="auto"/>
              </w:rPr>
            </w:pPr>
            <w:r>
              <w:rPr>
                <w:rFonts w:ascii="Arial" w:cs="Arial" w:eastAsia="Arial" w:hAnsi="Arial"/>
                <w:sz w:val="16"/>
                <w:szCs w:val="16"/>
                <w:color w:val="auto"/>
                <w:w w:val="96"/>
              </w:rPr>
              <w:t>A-1</w:t>
            </w:r>
          </w:p>
        </w:tc>
      </w:tr>
      <w:tr>
        <w:trPr>
          <w:trHeight w:val="493"/>
        </w:trPr>
        <w:tc>
          <w:tcPr>
            <w:tcW w:w="8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4802505</wp:posOffset>
            </wp:positionH>
            <wp:positionV relativeFrom="paragraph">
              <wp:posOffset>-499745</wp:posOffset>
            </wp:positionV>
            <wp:extent cx="797560" cy="148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89" w:name="page90"/>
    <w:bookmarkEnd w:id="89"/>
    <w:p>
      <w:pPr>
        <w:ind w:left="9"/>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6"/>
          <w:szCs w:val="16"/>
          <w:color w:val="FFFFFF"/>
          <w:shd w:val="clear" w:color="auto" w:fill="454968"/>
        </w:rPr>
        <w:t>Appendix B</w:t>
      </w:r>
    </w:p>
    <w:p>
      <w:pPr>
        <w:spacing w:after="0" w:line="296" w:lineRule="exact"/>
        <w:rPr>
          <w:sz w:val="20"/>
          <w:szCs w:val="20"/>
          <w:color w:val="auto"/>
        </w:rPr>
      </w:pPr>
    </w:p>
    <w:p>
      <w:pPr>
        <w:jc w:val="center"/>
        <w:ind w:right="-8"/>
        <w:spacing w:after="0"/>
        <w:rPr>
          <w:sz w:val="20"/>
          <w:szCs w:val="20"/>
          <w:color w:val="auto"/>
        </w:rPr>
      </w:pPr>
      <w:r>
        <w:rPr>
          <w:rFonts w:ascii="Arial" w:cs="Arial" w:eastAsia="Arial" w:hAnsi="Arial"/>
          <w:sz w:val="16"/>
          <w:szCs w:val="16"/>
          <w:b w:val="1"/>
          <w:bCs w:val="1"/>
          <w:color w:val="auto"/>
        </w:rPr>
        <w:t>AbbVie Inc.</w:t>
      </w:r>
    </w:p>
    <w:p>
      <w:pPr>
        <w:spacing w:after="0" w:line="17" w:lineRule="exact"/>
        <w:rPr>
          <w:sz w:val="20"/>
          <w:szCs w:val="20"/>
          <w:color w:val="auto"/>
        </w:rPr>
      </w:pPr>
    </w:p>
    <w:p>
      <w:pPr>
        <w:jc w:val="center"/>
        <w:ind w:right="-8"/>
        <w:spacing w:after="0"/>
        <w:rPr>
          <w:sz w:val="20"/>
          <w:szCs w:val="20"/>
          <w:color w:val="auto"/>
        </w:rPr>
      </w:pPr>
      <w:r>
        <w:rPr>
          <w:rFonts w:ascii="Arial" w:cs="Arial" w:eastAsia="Arial" w:hAnsi="Arial"/>
          <w:sz w:val="16"/>
          <w:szCs w:val="16"/>
          <w:b w:val="1"/>
          <w:bCs w:val="1"/>
          <w:color w:val="auto"/>
        </w:rPr>
        <w:t>Reconciliation of GAAP Reported to Non-GAAP Adjusted Information</w:t>
      </w:r>
    </w:p>
    <w:p>
      <w:pPr>
        <w:spacing w:after="0" w:line="1" w:lineRule="exact"/>
        <w:rPr>
          <w:sz w:val="20"/>
          <w:szCs w:val="20"/>
          <w:color w:val="auto"/>
        </w:rPr>
      </w:pPr>
    </w:p>
    <w:p>
      <w:pPr>
        <w:jc w:val="center"/>
        <w:ind w:right="-8"/>
        <w:spacing w:after="0"/>
        <w:rPr>
          <w:sz w:val="20"/>
          <w:szCs w:val="20"/>
          <w:color w:val="auto"/>
        </w:rPr>
      </w:pPr>
      <w:r>
        <w:rPr>
          <w:rFonts w:ascii="Arial" w:cs="Arial" w:eastAsia="Arial" w:hAnsi="Arial"/>
          <w:sz w:val="16"/>
          <w:szCs w:val="16"/>
          <w:b w:val="1"/>
          <w:bCs w:val="1"/>
          <w:color w:val="auto"/>
        </w:rPr>
        <w:t>Year Ended December 31, 2025</w:t>
      </w:r>
    </w:p>
    <w:p>
      <w:pPr>
        <w:spacing w:after="0" w:line="1" w:lineRule="exact"/>
        <w:rPr>
          <w:sz w:val="20"/>
          <w:szCs w:val="20"/>
          <w:color w:val="auto"/>
        </w:rPr>
      </w:pPr>
    </w:p>
    <w:p>
      <w:pPr>
        <w:jc w:val="center"/>
        <w:ind w:right="-8"/>
        <w:spacing w:after="0"/>
        <w:rPr>
          <w:sz w:val="20"/>
          <w:szCs w:val="20"/>
          <w:color w:val="auto"/>
        </w:rPr>
      </w:pPr>
      <w:r>
        <w:rPr>
          <w:rFonts w:ascii="Arial" w:cs="Arial" w:eastAsia="Arial" w:hAnsi="Arial"/>
          <w:sz w:val="16"/>
          <w:szCs w:val="16"/>
          <w:b w:val="1"/>
          <w:bCs w:val="1"/>
          <w:color w:val="auto"/>
        </w:rPr>
        <w:t>(Unaudited) (In millions, except per share data)</w:t>
      </w:r>
    </w:p>
    <w:p>
      <w:pPr>
        <w:spacing w:after="0" w:line="169"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Non-GAAP Financial Results</w:t>
      </w:r>
    </w:p>
    <w:p>
      <w:pPr>
        <w:spacing w:after="0" w:line="185" w:lineRule="exact"/>
        <w:rPr>
          <w:sz w:val="20"/>
          <w:szCs w:val="20"/>
          <w:color w:val="auto"/>
        </w:rPr>
      </w:pPr>
    </w:p>
    <w:p>
      <w:pPr>
        <w:ind w:left="9" w:right="40"/>
        <w:spacing w:after="0" w:line="247" w:lineRule="auto"/>
        <w:rPr>
          <w:sz w:val="20"/>
          <w:szCs w:val="20"/>
          <w:color w:val="auto"/>
        </w:rPr>
      </w:pPr>
      <w:r>
        <w:rPr>
          <w:rFonts w:ascii="Arial" w:cs="Arial" w:eastAsia="Arial" w:hAnsi="Arial"/>
          <w:sz w:val="16"/>
          <w:szCs w:val="16"/>
          <w:color w:val="auto"/>
        </w:rPr>
        <w:t>Financial results are presented on both a reported and a non-GAAP basis. Reported results were prepared in accordance with GAAP and include all revenues and expenses recognized during the period. Non-GAAP results adjust for certain non-cash items and for factors that are unusual or unpredictable, and exclude those costs, expenses, and other specified items.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w:t>
      </w:r>
    </w:p>
    <w:p>
      <w:pPr>
        <w:spacing w:after="0" w:line="152" w:lineRule="exact"/>
        <w:rPr>
          <w:sz w:val="20"/>
          <w:szCs w:val="20"/>
          <w:color w:val="auto"/>
        </w:rPr>
      </w:pPr>
    </w:p>
    <w:tbl>
      <w:tblPr>
        <w:tblLayout w:type="fixed"/>
        <w:tblInd w:w="9"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6"/>
                <w:szCs w:val="16"/>
                <w:color w:val="auto"/>
              </w:rPr>
              <w:t>1.</w:t>
            </w:r>
          </w:p>
        </w:tc>
        <w:tc>
          <w:tcPr>
            <w:tcW w:w="4060" w:type="dxa"/>
            <w:vAlign w:val="bottom"/>
            <w:gridSpan w:val="2"/>
          </w:tcPr>
          <w:p>
            <w:pPr>
              <w:ind w:left="220"/>
              <w:spacing w:after="0"/>
              <w:rPr>
                <w:sz w:val="20"/>
                <w:szCs w:val="20"/>
                <w:color w:val="auto"/>
              </w:rPr>
            </w:pPr>
            <w:r>
              <w:rPr>
                <w:rFonts w:ascii="Arial" w:cs="Arial" w:eastAsia="Arial" w:hAnsi="Arial"/>
                <w:sz w:val="16"/>
                <w:szCs w:val="16"/>
                <w:color w:val="auto"/>
              </w:rPr>
              <w:t>2025 Net Revenue Growth compared to 2024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0"/>
        </w:trPr>
        <w:tc>
          <w:tcPr>
            <w:tcW w:w="3520" w:type="dxa"/>
            <w:vAlign w:val="bottom"/>
            <w:tcBorders>
              <w:bottom w:val="single" w:sz="8" w:color="auto"/>
            </w:tcBorders>
            <w:gridSpan w:val="2"/>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5"/>
        </w:trPr>
        <w:tc>
          <w:tcPr>
            <w:tcW w:w="3520" w:type="dxa"/>
            <w:vAlign w:val="bottom"/>
            <w:gridSpan w:val="2"/>
            <w:shd w:val="clear" w:color="auto" w:fill="E7E7E7"/>
          </w:tcPr>
          <w:p>
            <w:pPr>
              <w:spacing w:after="0" w:line="165" w:lineRule="exact"/>
              <w:rPr>
                <w:sz w:val="20"/>
                <w:szCs w:val="20"/>
                <w:color w:val="auto"/>
              </w:rPr>
            </w:pPr>
            <w:r>
              <w:rPr>
                <w:rFonts w:ascii="Arial" w:cs="Arial" w:eastAsia="Arial" w:hAnsi="Arial"/>
                <w:sz w:val="15"/>
                <w:szCs w:val="15"/>
                <w:b w:val="1"/>
                <w:bCs w:val="1"/>
                <w:color w:val="auto"/>
              </w:rPr>
              <w:t>At actual currency rates (GAAP)</w:t>
            </w:r>
          </w:p>
        </w:tc>
        <w:tc>
          <w:tcPr>
            <w:tcW w:w="900" w:type="dxa"/>
            <w:vAlign w:val="bottom"/>
            <w:shd w:val="clear" w:color="auto" w:fill="E7E7E7"/>
          </w:tcPr>
          <w:p>
            <w:pPr>
              <w:ind w:left="120"/>
              <w:spacing w:after="0" w:line="165" w:lineRule="exact"/>
              <w:rPr>
                <w:sz w:val="20"/>
                <w:szCs w:val="20"/>
                <w:color w:val="auto"/>
              </w:rPr>
            </w:pPr>
            <w:r>
              <w:rPr>
                <w:rFonts w:ascii="Arial" w:cs="Arial" w:eastAsia="Arial" w:hAnsi="Arial"/>
                <w:sz w:val="15"/>
                <w:szCs w:val="15"/>
                <w:color w:val="auto"/>
              </w:rPr>
              <w:t>​</w:t>
            </w:r>
          </w:p>
        </w:tc>
        <w:tc>
          <w:tcPr>
            <w:tcW w:w="120" w:type="dxa"/>
            <w:vAlign w:val="bottom"/>
            <w:shd w:val="clear" w:color="auto" w:fill="E7E7E7"/>
          </w:tcPr>
          <w:p>
            <w:pPr>
              <w:spacing w:after="0"/>
              <w:rPr>
                <w:sz w:val="14"/>
                <w:szCs w:val="14"/>
                <w:color w:val="auto"/>
              </w:rPr>
            </w:pPr>
          </w:p>
        </w:tc>
        <w:tc>
          <w:tcPr>
            <w:tcW w:w="42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w w:val="99"/>
              </w:rPr>
              <w:t>8.6%</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Impact of foreign exchange</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(0.1)%</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2"/>
        </w:trPr>
        <w:tc>
          <w:tcPr>
            <w:tcW w:w="3520" w:type="dxa"/>
            <w:vAlign w:val="bottom"/>
            <w:gridSpan w:val="2"/>
            <w:shd w:val="clear" w:color="auto" w:fill="E7E7E7"/>
          </w:tcPr>
          <w:p>
            <w:pPr>
              <w:spacing w:after="0" w:line="153" w:lineRule="exact"/>
              <w:rPr>
                <w:sz w:val="20"/>
                <w:szCs w:val="20"/>
                <w:color w:val="auto"/>
              </w:rPr>
            </w:pPr>
            <w:r>
              <w:rPr>
                <w:rFonts w:ascii="Arial" w:cs="Arial" w:eastAsia="Arial" w:hAnsi="Arial"/>
                <w:sz w:val="15"/>
                <w:szCs w:val="15"/>
                <w:b w:val="1"/>
                <w:bCs w:val="1"/>
                <w:color w:val="auto"/>
              </w:rPr>
              <w:t>Operational net revenue growth at constant</w:t>
            </w:r>
          </w:p>
        </w:tc>
        <w:tc>
          <w:tcPr>
            <w:tcW w:w="900" w:type="dxa"/>
            <w:vAlign w:val="bottom"/>
            <w:shd w:val="clear" w:color="auto" w:fill="E7E7E7"/>
          </w:tcPr>
          <w:p>
            <w:pPr>
              <w:spacing w:after="0"/>
              <w:rPr>
                <w:sz w:val="13"/>
                <w:szCs w:val="13"/>
                <w:color w:val="auto"/>
              </w:rPr>
            </w:pPr>
          </w:p>
        </w:tc>
        <w:tc>
          <w:tcPr>
            <w:tcW w:w="120" w:type="dxa"/>
            <w:vAlign w:val="bottom"/>
            <w:shd w:val="clear" w:color="auto" w:fill="E7E7E7"/>
          </w:tcPr>
          <w:p>
            <w:pPr>
              <w:spacing w:after="0"/>
              <w:rPr>
                <w:sz w:val="13"/>
                <w:szCs w:val="13"/>
                <w:color w:val="auto"/>
              </w:rPr>
            </w:pPr>
          </w:p>
        </w:tc>
        <w:tc>
          <w:tcPr>
            <w:tcW w:w="420" w:type="dxa"/>
            <w:vAlign w:val="bottom"/>
            <w:shd w:val="clear" w:color="auto" w:fill="E7E7E7"/>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5"/>
        </w:trPr>
        <w:tc>
          <w:tcPr>
            <w:tcW w:w="3520" w:type="dxa"/>
            <w:vAlign w:val="bottom"/>
            <w:tcBorders>
              <w:bottom w:val="single" w:sz="8" w:color="auto"/>
            </w:tcBorders>
            <w:gridSpan w:val="2"/>
            <w:shd w:val="clear" w:color="auto" w:fill="E7E7E7"/>
          </w:tcPr>
          <w:p>
            <w:pPr>
              <w:spacing w:after="0"/>
              <w:rPr>
                <w:sz w:val="20"/>
                <w:szCs w:val="20"/>
                <w:color w:val="auto"/>
              </w:rPr>
            </w:pPr>
            <w:r>
              <w:rPr>
                <w:rFonts w:ascii="Arial" w:cs="Arial" w:eastAsia="Arial" w:hAnsi="Arial"/>
                <w:sz w:val="15"/>
                <w:szCs w:val="15"/>
                <w:b w:val="1"/>
                <w:bCs w:val="1"/>
                <w:color w:val="auto"/>
              </w:rPr>
              <w:t>currency rates (non-GAAP)</w:t>
            </w:r>
          </w:p>
        </w:tc>
        <w:tc>
          <w:tcPr>
            <w:tcW w:w="900" w:type="dxa"/>
            <w:vAlign w:val="bottom"/>
            <w:tcBorders>
              <w:bottom w:val="single" w:sz="8" w:color="auto"/>
            </w:tcBorders>
            <w:shd w:val="clear" w:color="auto" w:fill="E7E7E7"/>
          </w:tcPr>
          <w:p>
            <w:pPr>
              <w:spacing w:after="0"/>
              <w:rPr>
                <w:sz w:val="16"/>
                <w:szCs w:val="16"/>
                <w:color w:val="auto"/>
              </w:rPr>
            </w:pPr>
          </w:p>
        </w:tc>
        <w:tc>
          <w:tcPr>
            <w:tcW w:w="120" w:type="dxa"/>
            <w:vAlign w:val="bottom"/>
            <w:tcBorders>
              <w:bottom w:val="single" w:sz="8" w:color="auto"/>
            </w:tcBorders>
            <w:shd w:val="clear" w:color="auto" w:fill="E7E7E7"/>
          </w:tcPr>
          <w:p>
            <w:pPr>
              <w:spacing w:after="0"/>
              <w:rPr>
                <w:sz w:val="16"/>
                <w:szCs w:val="16"/>
                <w:color w:val="auto"/>
              </w:rPr>
            </w:pPr>
          </w:p>
        </w:tc>
        <w:tc>
          <w:tcPr>
            <w:tcW w:w="42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w w:val="99"/>
              </w:rPr>
              <w:t>8.5%</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77"/>
        </w:trPr>
        <w:tc>
          <w:tcPr>
            <w:tcW w:w="360" w:type="dxa"/>
            <w:vAlign w:val="bottom"/>
          </w:tcPr>
          <w:p>
            <w:pPr>
              <w:spacing w:after="0"/>
              <w:rPr>
                <w:sz w:val="20"/>
                <w:szCs w:val="20"/>
                <w:color w:val="auto"/>
              </w:rPr>
            </w:pPr>
            <w:r>
              <w:rPr>
                <w:rFonts w:ascii="Arial" w:cs="Arial" w:eastAsia="Arial" w:hAnsi="Arial"/>
                <w:sz w:val="16"/>
                <w:szCs w:val="16"/>
                <w:color w:val="auto"/>
              </w:rPr>
              <w:t>2.</w:t>
            </w:r>
          </w:p>
        </w:tc>
        <w:tc>
          <w:tcPr>
            <w:tcW w:w="3160" w:type="dxa"/>
            <w:vAlign w:val="bottom"/>
          </w:tcPr>
          <w:p>
            <w:pPr>
              <w:ind w:left="220"/>
              <w:spacing w:after="0"/>
              <w:rPr>
                <w:sz w:val="20"/>
                <w:szCs w:val="20"/>
                <w:color w:val="auto"/>
              </w:rPr>
            </w:pPr>
            <w:r>
              <w:rPr>
                <w:rFonts w:ascii="Arial" w:cs="Arial" w:eastAsia="Arial" w:hAnsi="Arial"/>
                <w:sz w:val="16"/>
                <w:szCs w:val="16"/>
                <w:color w:val="auto"/>
              </w:rPr>
              <w:t>Diluted Earnings Per Share since 2021</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0"/>
        </w:trPr>
        <w:tc>
          <w:tcPr>
            <w:tcW w:w="3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454968"/>
              </w:rPr>
              <w:t>​​​</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454968"/>
              </w:rPr>
              <w:t xml:space="preserve">2025 </w:t>
            </w:r>
            <w:r>
              <w:rPr>
                <w:rFonts w:ascii="Arial" w:cs="Arial" w:eastAsia="Arial" w:hAnsi="Arial"/>
                <w:sz w:val="19"/>
                <w:szCs w:val="19"/>
                <w:b w:val="1"/>
                <w:bCs w:val="1"/>
                <w:color w:val="454968"/>
                <w:vertAlign w:val="superscript"/>
              </w:rPr>
              <w:t>1</w:t>
            </w:r>
          </w:p>
        </w:tc>
        <w:tc>
          <w:tcPr>
            <w:tcW w:w="4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454968"/>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 xml:space="preserve">2024 </w:t>
            </w:r>
            <w:r>
              <w:rPr>
                <w:rFonts w:ascii="Arial" w:cs="Arial" w:eastAsia="Arial" w:hAnsi="Arial"/>
                <w:sz w:val="19"/>
                <w:szCs w:val="19"/>
                <w:b w:val="1"/>
                <w:bCs w:val="1"/>
                <w:color w:val="454968"/>
                <w:vertAlign w:val="superscript"/>
              </w:rPr>
              <w:t>2</w:t>
            </w:r>
          </w:p>
        </w:tc>
        <w:tc>
          <w:tcPr>
            <w:tcW w:w="4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454968"/>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 xml:space="preserve">2023 </w:t>
            </w:r>
            <w:r>
              <w:rPr>
                <w:rFonts w:ascii="Arial" w:cs="Arial" w:eastAsia="Arial" w:hAnsi="Arial"/>
                <w:sz w:val="19"/>
                <w:szCs w:val="19"/>
                <w:b w:val="1"/>
                <w:bCs w:val="1"/>
                <w:color w:val="454968"/>
                <w:vertAlign w:val="superscript"/>
              </w:rPr>
              <w:t>3</w:t>
            </w:r>
            <w:r>
              <w:rPr>
                <w:rFonts w:ascii="Arial" w:cs="Arial" w:eastAsia="Arial" w:hAnsi="Arial"/>
                <w:sz w:val="13"/>
                <w:szCs w:val="13"/>
                <w:b w:val="1"/>
                <w:bCs w:val="1"/>
                <w:color w:val="454968"/>
              </w:rPr>
              <w:t xml:space="preserve">  ​​​</w:t>
            </w: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 xml:space="preserve">2022 </w:t>
            </w:r>
            <w:r>
              <w:rPr>
                <w:rFonts w:ascii="Arial" w:cs="Arial" w:eastAsia="Arial" w:hAnsi="Arial"/>
                <w:sz w:val="19"/>
                <w:szCs w:val="19"/>
                <w:b w:val="1"/>
                <w:bCs w:val="1"/>
                <w:color w:val="454968"/>
                <w:vertAlign w:val="superscript"/>
              </w:rPr>
              <w:t>4</w:t>
            </w:r>
          </w:p>
        </w:tc>
        <w:tc>
          <w:tcPr>
            <w:tcW w:w="46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454968"/>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 xml:space="preserve">2021 </w:t>
            </w:r>
            <w:r>
              <w:rPr>
                <w:rFonts w:ascii="Arial" w:cs="Arial" w:eastAsia="Arial" w:hAnsi="Arial"/>
                <w:sz w:val="19"/>
                <w:szCs w:val="19"/>
                <w:b w:val="1"/>
                <w:bCs w:val="1"/>
                <w:color w:val="454968"/>
                <w:vertAlign w:val="superscript"/>
              </w:rPr>
              <w:t>5</w:t>
            </w:r>
          </w:p>
        </w:tc>
      </w:tr>
      <w:tr>
        <w:trPr>
          <w:trHeight w:val="165"/>
        </w:trPr>
        <w:tc>
          <w:tcPr>
            <w:tcW w:w="3520" w:type="dxa"/>
            <w:vAlign w:val="bottom"/>
            <w:gridSpan w:val="2"/>
            <w:shd w:val="clear" w:color="auto" w:fill="E7E7E7"/>
          </w:tcPr>
          <w:p>
            <w:pPr>
              <w:spacing w:after="0" w:line="165" w:lineRule="exact"/>
              <w:rPr>
                <w:sz w:val="20"/>
                <w:szCs w:val="20"/>
                <w:color w:val="auto"/>
              </w:rPr>
            </w:pPr>
            <w:r>
              <w:rPr>
                <w:rFonts w:ascii="Arial" w:cs="Arial" w:eastAsia="Arial" w:hAnsi="Arial"/>
                <w:sz w:val="15"/>
                <w:szCs w:val="15"/>
                <w:b w:val="1"/>
                <w:bCs w:val="1"/>
                <w:color w:val="auto"/>
              </w:rPr>
              <w:t>As reported (GAAP)</w:t>
            </w:r>
          </w:p>
        </w:tc>
        <w:tc>
          <w:tcPr>
            <w:tcW w:w="900" w:type="dxa"/>
            <w:vAlign w:val="bottom"/>
            <w:shd w:val="clear" w:color="auto" w:fill="E7E7E7"/>
          </w:tcPr>
          <w:p>
            <w:pPr>
              <w:spacing w:after="0"/>
              <w:rPr>
                <w:sz w:val="14"/>
                <w:szCs w:val="14"/>
                <w:color w:val="auto"/>
              </w:rPr>
            </w:pPr>
          </w:p>
        </w:tc>
        <w:tc>
          <w:tcPr>
            <w:tcW w:w="12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E7E7E7"/>
          </w:tcPr>
          <w:p>
            <w:pPr>
              <w:jc w:val="right"/>
              <w:ind w:right="60"/>
              <w:spacing w:after="0" w:line="165" w:lineRule="exact"/>
              <w:rPr>
                <w:sz w:val="20"/>
                <w:szCs w:val="20"/>
                <w:color w:val="auto"/>
              </w:rPr>
            </w:pPr>
            <w:r>
              <w:rPr>
                <w:rFonts w:ascii="Arial" w:cs="Arial" w:eastAsia="Arial" w:hAnsi="Arial"/>
                <w:sz w:val="15"/>
                <w:szCs w:val="15"/>
                <w:color w:val="auto"/>
              </w:rPr>
              <w:t>2.36</w:t>
            </w:r>
          </w:p>
        </w:tc>
        <w:tc>
          <w:tcPr>
            <w:tcW w:w="440" w:type="dxa"/>
            <w:vAlign w:val="bottom"/>
            <w:shd w:val="clear" w:color="auto" w:fill="E7E7E7"/>
          </w:tcPr>
          <w:p>
            <w:pPr>
              <w:jc w:val="right"/>
              <w:ind w:right="49"/>
              <w:spacing w:after="0" w:line="165" w:lineRule="exact"/>
              <w:rPr>
                <w:sz w:val="20"/>
                <w:szCs w:val="20"/>
                <w:color w:val="auto"/>
              </w:rPr>
            </w:pPr>
            <w:r>
              <w:rPr>
                <w:rFonts w:ascii="Arial" w:cs="Arial" w:eastAsia="Arial" w:hAnsi="Arial"/>
                <w:sz w:val="15"/>
                <w:szCs w:val="15"/>
                <w:color w:val="auto"/>
              </w:rPr>
              <w:t>$</w:t>
            </w:r>
          </w:p>
        </w:tc>
        <w:tc>
          <w:tcPr>
            <w:tcW w:w="56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2.39</w:t>
            </w:r>
          </w:p>
        </w:tc>
        <w:tc>
          <w:tcPr>
            <w:tcW w:w="440" w:type="dxa"/>
            <w:vAlign w:val="bottom"/>
            <w:shd w:val="clear" w:color="auto" w:fill="E7E7E7"/>
          </w:tcPr>
          <w:p>
            <w:pPr>
              <w:jc w:val="right"/>
              <w:ind w:right="49"/>
              <w:spacing w:after="0" w:line="165" w:lineRule="exact"/>
              <w:rPr>
                <w:sz w:val="20"/>
                <w:szCs w:val="20"/>
                <w:color w:val="auto"/>
              </w:rPr>
            </w:pPr>
            <w:r>
              <w:rPr>
                <w:rFonts w:ascii="Arial" w:cs="Arial" w:eastAsia="Arial" w:hAnsi="Arial"/>
                <w:sz w:val="15"/>
                <w:szCs w:val="15"/>
                <w:color w:val="auto"/>
              </w:rPr>
              <w:t>$</w:t>
            </w:r>
          </w:p>
        </w:tc>
        <w:tc>
          <w:tcPr>
            <w:tcW w:w="760" w:type="dxa"/>
            <w:vAlign w:val="bottom"/>
            <w:shd w:val="clear" w:color="auto" w:fill="E7E7E7"/>
          </w:tcPr>
          <w:p>
            <w:pPr>
              <w:jc w:val="right"/>
              <w:ind w:right="188"/>
              <w:spacing w:after="0" w:line="165" w:lineRule="exact"/>
              <w:rPr>
                <w:sz w:val="20"/>
                <w:szCs w:val="20"/>
                <w:color w:val="auto"/>
              </w:rPr>
            </w:pPr>
            <w:r>
              <w:rPr>
                <w:rFonts w:ascii="Arial" w:cs="Arial" w:eastAsia="Arial" w:hAnsi="Arial"/>
                <w:sz w:val="15"/>
                <w:szCs w:val="15"/>
                <w:color w:val="auto"/>
              </w:rPr>
              <w:t>2.72</w:t>
            </w:r>
          </w:p>
        </w:tc>
        <w:tc>
          <w:tcPr>
            <w:tcW w:w="240" w:type="dxa"/>
            <w:vAlign w:val="bottom"/>
            <w:shd w:val="clear" w:color="auto" w:fill="E7E7E7"/>
          </w:tcPr>
          <w:p>
            <w:pPr>
              <w:jc w:val="right"/>
              <w:ind w:right="46"/>
              <w:spacing w:after="0" w:line="165" w:lineRule="exact"/>
              <w:rPr>
                <w:sz w:val="20"/>
                <w:szCs w:val="20"/>
                <w:color w:val="auto"/>
              </w:rPr>
            </w:pPr>
            <w:r>
              <w:rPr>
                <w:rFonts w:ascii="Arial" w:cs="Arial" w:eastAsia="Arial" w:hAnsi="Arial"/>
                <w:sz w:val="15"/>
                <w:szCs w:val="15"/>
                <w:color w:val="auto"/>
              </w:rPr>
              <w:t>$</w:t>
            </w:r>
          </w:p>
        </w:tc>
        <w:tc>
          <w:tcPr>
            <w:tcW w:w="56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6.63</w:t>
            </w:r>
          </w:p>
        </w:tc>
        <w:tc>
          <w:tcPr>
            <w:tcW w:w="460" w:type="dxa"/>
            <w:vAlign w:val="bottom"/>
            <w:shd w:val="clear" w:color="auto" w:fill="E7E7E7"/>
          </w:tcPr>
          <w:p>
            <w:pPr>
              <w:jc w:val="right"/>
              <w:ind w:right="69"/>
              <w:spacing w:after="0" w:line="165" w:lineRule="exact"/>
              <w:rPr>
                <w:sz w:val="20"/>
                <w:szCs w:val="20"/>
                <w:color w:val="auto"/>
              </w:rPr>
            </w:pPr>
            <w:r>
              <w:rPr>
                <w:rFonts w:ascii="Arial" w:cs="Arial" w:eastAsia="Arial" w:hAnsi="Arial"/>
                <w:sz w:val="15"/>
                <w:szCs w:val="15"/>
                <w:color w:val="auto"/>
              </w:rPr>
              <w:t>$</w:t>
            </w:r>
          </w:p>
        </w:tc>
        <w:tc>
          <w:tcPr>
            <w:tcW w:w="58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6.45</w:t>
            </w:r>
          </w:p>
        </w:tc>
      </w:tr>
      <w:tr>
        <w:trPr>
          <w:trHeight w:val="172"/>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Adjusted for specified items:</w:t>
            </w: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7.64</w:t>
            </w: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7.73</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color w:val="auto"/>
              </w:rPr>
              <w:t>8.39</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7.14</w:t>
            </w: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5.38</w:t>
            </w:r>
          </w:p>
        </w:tc>
      </w:tr>
      <w:tr>
        <w:trPr>
          <w:trHeight w:val="165"/>
        </w:trPr>
        <w:tc>
          <w:tcPr>
            <w:tcW w:w="3520" w:type="dxa"/>
            <w:vAlign w:val="bottom"/>
            <w:tcBorders>
              <w:bottom w:val="single" w:sz="8" w:color="auto"/>
            </w:tcBorders>
            <w:gridSpan w:val="2"/>
            <w:shd w:val="clear" w:color="auto" w:fill="E7E7E7"/>
          </w:tcPr>
          <w:p>
            <w:pPr>
              <w:spacing w:after="0" w:line="165" w:lineRule="exact"/>
              <w:rPr>
                <w:sz w:val="20"/>
                <w:szCs w:val="20"/>
                <w:color w:val="auto"/>
              </w:rPr>
            </w:pPr>
            <w:r>
              <w:rPr>
                <w:rFonts w:ascii="Arial" w:cs="Arial" w:eastAsia="Arial" w:hAnsi="Arial"/>
                <w:sz w:val="15"/>
                <w:szCs w:val="15"/>
                <w:b w:val="1"/>
                <w:bCs w:val="1"/>
                <w:color w:val="auto"/>
              </w:rPr>
              <w:t>As adjusted (non</w:t>
            </w:r>
            <w:r>
              <w:rPr>
                <w:rFonts w:ascii="MS PGothic" w:cs="MS PGothic" w:eastAsia="MS PGothic" w:hAnsi="MS PGothic"/>
                <w:sz w:val="15"/>
                <w:szCs w:val="15"/>
                <w:color w:val="auto"/>
                <w:strike w:val="1"/>
              </w:rPr>
              <w:t>‑</w:t>
            </w:r>
            <w:r>
              <w:rPr>
                <w:rFonts w:ascii="Arial" w:cs="Arial" w:eastAsia="Arial" w:hAnsi="Arial"/>
                <w:sz w:val="15"/>
                <w:szCs w:val="15"/>
                <w:b w:val="1"/>
                <w:bCs w:val="1"/>
                <w:color w:val="auto"/>
              </w:rPr>
              <w:t>GAAP)</w:t>
            </w:r>
          </w:p>
        </w:tc>
        <w:tc>
          <w:tcPr>
            <w:tcW w:w="900" w:type="dxa"/>
            <w:vAlign w:val="bottom"/>
            <w:tcBorders>
              <w:bottom w:val="single" w:sz="8" w:color="auto"/>
            </w:tcBorders>
            <w:shd w:val="clear" w:color="auto" w:fill="E7E7E7"/>
          </w:tcPr>
          <w:p>
            <w:pPr>
              <w:spacing w:after="0"/>
              <w:rPr>
                <w:sz w:val="14"/>
                <w:szCs w:val="14"/>
                <w:color w:val="auto"/>
              </w:rPr>
            </w:pPr>
          </w:p>
        </w:tc>
        <w:tc>
          <w:tcPr>
            <w:tcW w:w="12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gridSpan w:val="2"/>
            <w:shd w:val="clear" w:color="auto" w:fill="E7E7E7"/>
          </w:tcPr>
          <w:p>
            <w:pPr>
              <w:jc w:val="right"/>
              <w:ind w:right="60"/>
              <w:spacing w:after="0" w:line="165" w:lineRule="exact"/>
              <w:rPr>
                <w:sz w:val="20"/>
                <w:szCs w:val="20"/>
                <w:color w:val="auto"/>
              </w:rPr>
            </w:pPr>
            <w:r>
              <w:rPr>
                <w:rFonts w:ascii="Arial" w:cs="Arial" w:eastAsia="Arial" w:hAnsi="Arial"/>
                <w:sz w:val="15"/>
                <w:szCs w:val="15"/>
                <w:color w:val="auto"/>
              </w:rPr>
              <w:t>10.00</w:t>
            </w:r>
          </w:p>
        </w:tc>
        <w:tc>
          <w:tcPr>
            <w:tcW w:w="440" w:type="dxa"/>
            <w:vAlign w:val="bottom"/>
            <w:tcBorders>
              <w:bottom w:val="single" w:sz="8" w:color="auto"/>
            </w:tcBorders>
            <w:shd w:val="clear" w:color="auto" w:fill="E7E7E7"/>
          </w:tcPr>
          <w:p>
            <w:pPr>
              <w:jc w:val="right"/>
              <w:ind w:right="49"/>
              <w:spacing w:after="0" w:line="165"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rPr>
              <w:t>10.12</w:t>
            </w:r>
          </w:p>
        </w:tc>
        <w:tc>
          <w:tcPr>
            <w:tcW w:w="440" w:type="dxa"/>
            <w:vAlign w:val="bottom"/>
            <w:tcBorders>
              <w:bottom w:val="single" w:sz="8" w:color="auto"/>
            </w:tcBorders>
            <w:shd w:val="clear" w:color="auto" w:fill="E7E7E7"/>
          </w:tcPr>
          <w:p>
            <w:pPr>
              <w:jc w:val="right"/>
              <w:ind w:right="49"/>
              <w:spacing w:after="0" w:line="165"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E7E7E7"/>
          </w:tcPr>
          <w:p>
            <w:pPr>
              <w:jc w:val="right"/>
              <w:ind w:right="188"/>
              <w:spacing w:after="0" w:line="165" w:lineRule="exact"/>
              <w:rPr>
                <w:sz w:val="20"/>
                <w:szCs w:val="20"/>
                <w:color w:val="auto"/>
              </w:rPr>
            </w:pPr>
            <w:r>
              <w:rPr>
                <w:rFonts w:ascii="Arial" w:cs="Arial" w:eastAsia="Arial" w:hAnsi="Arial"/>
                <w:sz w:val="15"/>
                <w:szCs w:val="15"/>
                <w:color w:val="auto"/>
              </w:rPr>
              <w:t>11.11</w:t>
            </w:r>
          </w:p>
        </w:tc>
        <w:tc>
          <w:tcPr>
            <w:tcW w:w="240" w:type="dxa"/>
            <w:vAlign w:val="bottom"/>
            <w:tcBorders>
              <w:bottom w:val="single" w:sz="8" w:color="auto"/>
            </w:tcBorders>
            <w:shd w:val="clear" w:color="auto" w:fill="E7E7E7"/>
          </w:tcPr>
          <w:p>
            <w:pPr>
              <w:jc w:val="right"/>
              <w:ind w:right="46"/>
              <w:spacing w:after="0" w:line="165"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rPr>
              <w:t>13.77</w:t>
            </w:r>
          </w:p>
        </w:tc>
        <w:tc>
          <w:tcPr>
            <w:tcW w:w="460" w:type="dxa"/>
            <w:vAlign w:val="bottom"/>
            <w:tcBorders>
              <w:bottom w:val="single" w:sz="8" w:color="auto"/>
            </w:tcBorders>
            <w:shd w:val="clear" w:color="auto" w:fill="E7E7E7"/>
          </w:tcPr>
          <w:p>
            <w:pPr>
              <w:jc w:val="right"/>
              <w:ind w:right="69"/>
              <w:spacing w:after="0" w:line="165"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rPr>
              <w:t>11.83</w:t>
            </w:r>
          </w:p>
        </w:tc>
      </w:tr>
    </w:tbl>
    <w:p>
      <w:pPr>
        <w:spacing w:after="0" w:line="189" w:lineRule="exact"/>
        <w:rPr>
          <w:sz w:val="20"/>
          <w:szCs w:val="20"/>
          <w:color w:val="auto"/>
        </w:rPr>
      </w:pPr>
    </w:p>
    <w:p>
      <w:pPr>
        <w:ind w:left="9" w:right="320" w:hanging="9"/>
        <w:spacing w:after="0" w:line="194" w:lineRule="auto"/>
        <w:tabs>
          <w:tab w:leader="none" w:pos="100" w:val="left"/>
        </w:tabs>
        <w:numPr>
          <w:ilvl w:val="0"/>
          <w:numId w:val="114"/>
        </w:numPr>
        <w:rPr>
          <w:rFonts w:ascii="Arial" w:cs="Arial" w:eastAsia="Arial" w:hAnsi="Arial"/>
          <w:sz w:val="20"/>
          <w:szCs w:val="20"/>
          <w:color w:val="auto"/>
          <w:vertAlign w:val="superscript"/>
        </w:rPr>
      </w:pPr>
      <w:r>
        <w:rPr>
          <w:rFonts w:ascii="Arial" w:cs="Arial" w:eastAsia="Arial" w:hAnsi="Arial"/>
          <w:sz w:val="13"/>
          <w:szCs w:val="13"/>
          <w:color w:val="auto"/>
        </w:rPr>
        <w:t>2025 specified items – Intangible asset amortization - $3.50, change in fair value of contingent consideration - $3.56, intangible asset impairment - $0.39, acquisition and integration costs - $0.15, and other - $0.04.</w:t>
      </w:r>
    </w:p>
    <w:p>
      <w:pPr>
        <w:ind w:left="9" w:right="320"/>
        <w:spacing w:after="0" w:line="192" w:lineRule="auto"/>
        <w:rPr>
          <w:rFonts w:ascii="Arial" w:cs="Arial" w:eastAsia="Arial" w:hAnsi="Arial"/>
          <w:sz w:val="20"/>
          <w:szCs w:val="20"/>
          <w:color w:val="auto"/>
          <w:vertAlign w:val="superscript"/>
        </w:rPr>
      </w:pPr>
      <w:r>
        <w:rPr>
          <w:rFonts w:ascii="Arial" w:cs="Arial" w:eastAsia="Arial" w:hAnsi="Arial"/>
          <w:sz w:val="19"/>
          <w:szCs w:val="19"/>
          <w:color w:val="auto"/>
          <w:vertAlign w:val="superscript"/>
        </w:rPr>
        <w:t>2</w:t>
      </w:r>
      <w:r>
        <w:rPr>
          <w:rFonts w:ascii="Arial" w:cs="Arial" w:eastAsia="Arial" w:hAnsi="Arial"/>
          <w:sz w:val="13"/>
          <w:szCs w:val="13"/>
          <w:color w:val="auto"/>
        </w:rPr>
        <w:t xml:space="preserve"> 2024 specified items – Intangible asset amortization - $3.63, change in fair value of contingent consideration - $2.07, intangible asset impairment - $1.98, acquisition related costs - $0.55, litigation matters - $0.41, income tax items - ($1.02), and other - $0.11.</w:t>
      </w:r>
    </w:p>
    <w:p>
      <w:pPr>
        <w:spacing w:after="0" w:line="1" w:lineRule="exact"/>
        <w:rPr>
          <w:rFonts w:ascii="Arial" w:cs="Arial" w:eastAsia="Arial" w:hAnsi="Arial"/>
          <w:sz w:val="20"/>
          <w:szCs w:val="20"/>
          <w:color w:val="auto"/>
          <w:vertAlign w:val="superscript"/>
        </w:rPr>
      </w:pPr>
    </w:p>
    <w:p>
      <w:pPr>
        <w:ind w:left="9" w:right="320"/>
        <w:spacing w:after="0" w:line="192" w:lineRule="auto"/>
        <w:rPr>
          <w:rFonts w:ascii="Arial" w:cs="Arial" w:eastAsia="Arial" w:hAnsi="Arial"/>
          <w:sz w:val="20"/>
          <w:szCs w:val="20"/>
          <w:color w:val="auto"/>
          <w:vertAlign w:val="superscript"/>
        </w:rPr>
      </w:pPr>
      <w:r>
        <w:rPr>
          <w:rFonts w:ascii="Arial" w:cs="Arial" w:eastAsia="Arial" w:hAnsi="Arial"/>
          <w:sz w:val="19"/>
          <w:szCs w:val="19"/>
          <w:color w:val="auto"/>
          <w:vertAlign w:val="superscript"/>
        </w:rPr>
        <w:t>3</w:t>
      </w:r>
      <w:r>
        <w:rPr>
          <w:rFonts w:ascii="Arial" w:cs="Arial" w:eastAsia="Arial" w:hAnsi="Arial"/>
          <w:sz w:val="13"/>
          <w:szCs w:val="13"/>
          <w:color w:val="auto"/>
        </w:rPr>
        <w:t xml:space="preserve"> 2023 specified items – Intangible asset amortization - $3.76, change in fair value of contingent consideration - $2.81, intangible asset impairment - $1.96, litigation matters - ($0.22), acquisition related costs - $0.07, and other - $0.01.</w:t>
      </w:r>
    </w:p>
    <w:p>
      <w:pPr>
        <w:spacing w:after="0" w:line="1" w:lineRule="exact"/>
        <w:rPr>
          <w:rFonts w:ascii="Arial" w:cs="Arial" w:eastAsia="Arial" w:hAnsi="Arial"/>
          <w:sz w:val="20"/>
          <w:szCs w:val="20"/>
          <w:color w:val="auto"/>
          <w:vertAlign w:val="superscript"/>
        </w:rPr>
      </w:pPr>
    </w:p>
    <w:p>
      <w:pPr>
        <w:ind w:left="9"/>
        <w:spacing w:after="0" w:line="181" w:lineRule="auto"/>
        <w:rPr>
          <w:rFonts w:ascii="Arial" w:cs="Arial" w:eastAsia="Arial" w:hAnsi="Arial"/>
          <w:sz w:val="20"/>
          <w:szCs w:val="20"/>
          <w:color w:val="auto"/>
          <w:vertAlign w:val="superscript"/>
        </w:rPr>
      </w:pPr>
      <w:r>
        <w:rPr>
          <w:rFonts w:ascii="Arial" w:cs="Arial" w:eastAsia="Arial" w:hAnsi="Arial"/>
          <w:sz w:val="17"/>
          <w:szCs w:val="17"/>
          <w:color w:val="auto"/>
          <w:vertAlign w:val="superscript"/>
        </w:rPr>
        <w:t>4</w:t>
      </w:r>
      <w:r>
        <w:rPr>
          <w:rFonts w:ascii="Arial" w:cs="Arial" w:eastAsia="Arial" w:hAnsi="Arial"/>
          <w:sz w:val="12"/>
          <w:szCs w:val="12"/>
          <w:color w:val="auto"/>
        </w:rPr>
        <w:t xml:space="preserve"> 2022 specified items – Intangible asset amortization - $3.61, change in fair value of contingent consideration - $1.55, litigation matters - $1.13, acquisition</w:t>
      </w:r>
    </w:p>
    <w:p>
      <w:pPr>
        <w:ind w:left="9"/>
        <w:spacing w:after="0" w:line="206" w:lineRule="auto"/>
        <w:tabs>
          <w:tab w:leader="none" w:pos="7169" w:val="left"/>
        </w:tabs>
        <w:rPr>
          <w:sz w:val="20"/>
          <w:szCs w:val="20"/>
          <w:color w:val="auto"/>
        </w:rPr>
      </w:pPr>
      <w:r>
        <w:rPr>
          <w:rFonts w:ascii="Arial" w:cs="Arial" w:eastAsia="Arial" w:hAnsi="Arial"/>
          <w:sz w:val="13"/>
          <w:szCs w:val="13"/>
          <w:color w:val="auto"/>
        </w:rPr>
        <w:t>related costs - $0.43, intangible asset impairment - $0.34, income tax items - ($0.18), Pylera divestiture - ($0.07), and</w:t>
      </w:r>
      <w:r>
        <w:rPr>
          <w:sz w:val="20"/>
          <w:szCs w:val="20"/>
          <w:color w:val="auto"/>
        </w:rPr>
        <w:tab/>
      </w:r>
      <w:r>
        <w:rPr>
          <w:rFonts w:ascii="Arial" w:cs="Arial" w:eastAsia="Arial" w:hAnsi="Arial"/>
          <w:sz w:val="13"/>
          <w:szCs w:val="13"/>
          <w:color w:val="auto"/>
        </w:rPr>
        <w:t>other - $0.33.</w:t>
      </w:r>
    </w:p>
    <w:p>
      <w:pPr>
        <w:spacing w:after="0" w:line="8" w:lineRule="exact"/>
        <w:rPr>
          <w:sz w:val="20"/>
          <w:szCs w:val="20"/>
          <w:color w:val="auto"/>
        </w:rPr>
      </w:pPr>
    </w:p>
    <w:p>
      <w:pPr>
        <w:ind w:left="9" w:right="300" w:hanging="9"/>
        <w:spacing w:after="0" w:line="202" w:lineRule="auto"/>
        <w:tabs>
          <w:tab w:leader="none" w:pos="100" w:val="left"/>
        </w:tabs>
        <w:numPr>
          <w:ilvl w:val="0"/>
          <w:numId w:val="115"/>
        </w:numPr>
        <w:rPr>
          <w:rFonts w:ascii="Arial" w:cs="Arial" w:eastAsia="Arial" w:hAnsi="Arial"/>
          <w:sz w:val="20"/>
          <w:szCs w:val="20"/>
          <w:color w:val="auto"/>
          <w:vertAlign w:val="superscript"/>
        </w:rPr>
      </w:pPr>
      <w:r>
        <w:rPr>
          <w:rFonts w:ascii="Arial" w:cs="Arial" w:eastAsia="Arial" w:hAnsi="Arial"/>
          <w:sz w:val="13"/>
          <w:szCs w:val="13"/>
          <w:color w:val="auto"/>
        </w:rPr>
        <w:t>2021 specified items – Intangible asset amortization - $3.60, change in fair value of contingent consideration - $1.50, litigation matters - $0.14, acquisition related costs - $0.12, income tax items - ($0.15), and other - $0.17.</w:t>
      </w:r>
    </w:p>
    <w:p>
      <w:pPr>
        <w:spacing w:after="0" w:line="152" w:lineRule="exact"/>
        <w:rPr>
          <w:sz w:val="20"/>
          <w:szCs w:val="20"/>
          <w:color w:val="auto"/>
        </w:rPr>
      </w:pPr>
    </w:p>
    <w:p>
      <w:pPr>
        <w:ind w:left="589" w:hanging="589"/>
        <w:spacing w:after="0"/>
        <w:tabs>
          <w:tab w:leader="none" w:pos="58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R&amp;D Expense since 2013 Inception</w:t>
      </w:r>
    </w:p>
    <w:p>
      <w:pPr>
        <w:spacing w:after="0" w:line="33" w:lineRule="exact"/>
        <w:rPr>
          <w:sz w:val="20"/>
          <w:szCs w:val="20"/>
          <w:color w:val="auto"/>
        </w:rPr>
      </w:pPr>
    </w:p>
    <w:tbl>
      <w:tblPr>
        <w:tblLayout w:type="fixed"/>
        <w:tblInd w:w="9" w:type="dxa"/>
        <w:tblCellMar>
          <w:top w:w="0" w:type="dxa"/>
          <w:left w:w="0" w:type="dxa"/>
          <w:bottom w:w="0" w:type="dxa"/>
          <w:right w:w="0" w:type="dxa"/>
        </w:tblCellMar>
      </w:tblPr>
      <w:tr>
        <w:trPr>
          <w:trHeight w:val="179"/>
        </w:trPr>
        <w:tc>
          <w:tcPr>
            <w:tcW w:w="2480" w:type="dxa"/>
            <w:vAlign w:val="bottom"/>
          </w:tcPr>
          <w:p>
            <w:pPr>
              <w:ind w:left="2340"/>
              <w:spacing w:after="0"/>
              <w:rPr>
                <w:sz w:val="20"/>
                <w:szCs w:val="20"/>
                <w:color w:val="auto"/>
              </w:rPr>
            </w:pPr>
            <w:r>
              <w:rPr>
                <w:rFonts w:ascii="Arial" w:cs="Arial" w:eastAsia="Arial" w:hAnsi="Arial"/>
                <w:sz w:val="13"/>
                <w:szCs w:val="13"/>
                <w:b w:val="1"/>
                <w:bCs w:val="1"/>
                <w:color w:val="454968"/>
              </w:rPr>
              <w:t>​​​</w:t>
            </w:r>
          </w:p>
        </w:tc>
        <w:tc>
          <w:tcPr>
            <w:tcW w:w="240" w:type="dxa"/>
            <w:vAlign w:val="bottom"/>
          </w:tcPr>
          <w:p>
            <w:pPr>
              <w:spacing w:after="0"/>
              <w:rPr>
                <w:sz w:val="15"/>
                <w:szCs w:val="15"/>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3"/>
                <w:szCs w:val="13"/>
                <w:b w:val="1"/>
                <w:bCs w:val="1"/>
                <w:color w:val="454968"/>
              </w:rPr>
              <w:t>2025</w:t>
            </w:r>
          </w:p>
        </w:tc>
        <w:tc>
          <w:tcPr>
            <w:tcW w:w="420" w:type="dxa"/>
            <w:vAlign w:val="bottom"/>
          </w:tcPr>
          <w:p>
            <w:pPr>
              <w:jc w:val="right"/>
              <w:ind w:right="189"/>
              <w:spacing w:after="0"/>
              <w:rPr>
                <w:sz w:val="20"/>
                <w:szCs w:val="20"/>
                <w:color w:val="auto"/>
              </w:rPr>
            </w:pPr>
            <w:r>
              <w:rPr>
                <w:rFonts w:ascii="Arial" w:cs="Arial" w:eastAsia="Arial" w:hAnsi="Arial"/>
                <w:sz w:val="13"/>
                <w:szCs w:val="13"/>
                <w:b w:val="1"/>
                <w:bCs w:val="1"/>
                <w:color w:val="454968"/>
              </w:rPr>
              <w:t>​​​</w:t>
            </w:r>
          </w:p>
        </w:tc>
        <w:tc>
          <w:tcPr>
            <w:tcW w:w="760" w:type="dxa"/>
            <w:vAlign w:val="bottom"/>
            <w:vMerge w:val="restart"/>
          </w:tcPr>
          <w:p>
            <w:pPr>
              <w:jc w:val="right"/>
              <w:ind w:right="288"/>
              <w:spacing w:after="0"/>
              <w:rPr>
                <w:sz w:val="20"/>
                <w:szCs w:val="20"/>
                <w:color w:val="auto"/>
              </w:rPr>
            </w:pPr>
            <w:r>
              <w:rPr>
                <w:rFonts w:ascii="Arial" w:cs="Arial" w:eastAsia="Arial" w:hAnsi="Arial"/>
                <w:sz w:val="13"/>
                <w:szCs w:val="13"/>
                <w:b w:val="1"/>
                <w:bCs w:val="1"/>
                <w:color w:val="454968"/>
              </w:rPr>
              <w:t>2024</w:t>
            </w:r>
          </w:p>
        </w:tc>
        <w:tc>
          <w:tcPr>
            <w:tcW w:w="420" w:type="dxa"/>
            <w:vAlign w:val="bottom"/>
          </w:tcPr>
          <w:p>
            <w:pPr>
              <w:jc w:val="right"/>
              <w:ind w:right="209"/>
              <w:spacing w:after="0"/>
              <w:rPr>
                <w:sz w:val="20"/>
                <w:szCs w:val="20"/>
                <w:color w:val="auto"/>
              </w:rPr>
            </w:pPr>
            <w:r>
              <w:rPr>
                <w:rFonts w:ascii="Arial" w:cs="Arial" w:eastAsia="Arial" w:hAnsi="Arial"/>
                <w:sz w:val="13"/>
                <w:szCs w:val="13"/>
                <w:b w:val="1"/>
                <w:bCs w:val="1"/>
                <w:color w:val="454968"/>
              </w:rPr>
              <w:t>​​​</w:t>
            </w:r>
          </w:p>
        </w:tc>
        <w:tc>
          <w:tcPr>
            <w:tcW w:w="760" w:type="dxa"/>
            <w:vAlign w:val="bottom"/>
            <w:vMerge w:val="restart"/>
          </w:tcPr>
          <w:p>
            <w:pPr>
              <w:jc w:val="right"/>
              <w:ind w:right="288"/>
              <w:spacing w:after="0"/>
              <w:rPr>
                <w:sz w:val="20"/>
                <w:szCs w:val="20"/>
                <w:color w:val="auto"/>
              </w:rPr>
            </w:pPr>
            <w:r>
              <w:rPr>
                <w:rFonts w:ascii="Arial" w:cs="Arial" w:eastAsia="Arial" w:hAnsi="Arial"/>
                <w:sz w:val="13"/>
                <w:szCs w:val="13"/>
                <w:b w:val="1"/>
                <w:bCs w:val="1"/>
                <w:color w:val="454968"/>
              </w:rPr>
              <w:t>2023</w:t>
            </w:r>
          </w:p>
        </w:tc>
        <w:tc>
          <w:tcPr>
            <w:tcW w:w="320" w:type="dxa"/>
            <w:vAlign w:val="bottom"/>
          </w:tcPr>
          <w:p>
            <w:pPr>
              <w:jc w:val="right"/>
              <w:ind w:right="109"/>
              <w:spacing w:after="0"/>
              <w:rPr>
                <w:sz w:val="20"/>
                <w:szCs w:val="20"/>
                <w:color w:val="auto"/>
              </w:rPr>
            </w:pPr>
            <w:r>
              <w:rPr>
                <w:rFonts w:ascii="Arial" w:cs="Arial" w:eastAsia="Arial" w:hAnsi="Arial"/>
                <w:sz w:val="13"/>
                <w:szCs w:val="13"/>
                <w:b w:val="1"/>
                <w:bCs w:val="1"/>
                <w:color w:val="454968"/>
              </w:rPr>
              <w:t>​​​</w:t>
            </w:r>
          </w:p>
        </w:tc>
        <w:tc>
          <w:tcPr>
            <w:tcW w:w="8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454968"/>
              </w:rPr>
              <w:t>2013 - 2022</w:t>
            </w:r>
          </w:p>
        </w:tc>
        <w:tc>
          <w:tcPr>
            <w:tcW w:w="420" w:type="dxa"/>
            <w:vAlign w:val="bottom"/>
          </w:tcPr>
          <w:p>
            <w:pPr>
              <w:jc w:val="right"/>
              <w:ind w:right="209"/>
              <w:spacing w:after="0"/>
              <w:rPr>
                <w:sz w:val="20"/>
                <w:szCs w:val="20"/>
                <w:color w:val="auto"/>
              </w:rPr>
            </w:pPr>
            <w:r>
              <w:rPr>
                <w:rFonts w:ascii="Arial" w:cs="Arial" w:eastAsia="Arial" w:hAnsi="Arial"/>
                <w:sz w:val="13"/>
                <w:szCs w:val="13"/>
                <w:b w:val="1"/>
                <w:bCs w:val="1"/>
                <w:color w:val="454968"/>
              </w:rPr>
              <w:t>​​​</w:t>
            </w:r>
          </w:p>
        </w:tc>
        <w:tc>
          <w:tcPr>
            <w:tcW w:w="740" w:type="dxa"/>
            <w:vAlign w:val="bottom"/>
            <w:vMerge w:val="restart"/>
          </w:tcPr>
          <w:p>
            <w:pPr>
              <w:jc w:val="right"/>
              <w:ind w:right="248"/>
              <w:spacing w:after="0"/>
              <w:rPr>
                <w:sz w:val="20"/>
                <w:szCs w:val="20"/>
                <w:color w:val="auto"/>
              </w:rPr>
            </w:pPr>
            <w:r>
              <w:rPr>
                <w:rFonts w:ascii="Arial" w:cs="Arial" w:eastAsia="Arial" w:hAnsi="Arial"/>
                <w:sz w:val="13"/>
                <w:szCs w:val="13"/>
                <w:b w:val="1"/>
                <w:bCs w:val="1"/>
                <w:color w:val="454968"/>
              </w:rPr>
              <w:t>Total</w:t>
            </w:r>
          </w:p>
        </w:tc>
        <w:tc>
          <w:tcPr>
            <w:tcW w:w="0" w:type="dxa"/>
            <w:vAlign w:val="bottom"/>
          </w:tcPr>
          <w:p>
            <w:pPr>
              <w:spacing w:after="0"/>
              <w:rPr>
                <w:sz w:val="1"/>
                <w:szCs w:val="1"/>
                <w:color w:val="auto"/>
              </w:rPr>
            </w:pPr>
          </w:p>
        </w:tc>
      </w:tr>
      <w:tr>
        <w:trPr>
          <w:trHeight w:val="114"/>
        </w:trPr>
        <w:tc>
          <w:tcPr>
            <w:tcW w:w="24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480" w:type="dxa"/>
            <w:vAlign w:val="bottom"/>
            <w:shd w:val="clear" w:color="auto" w:fill="E7E7E7"/>
          </w:tcPr>
          <w:p>
            <w:pPr>
              <w:spacing w:after="0" w:line="165" w:lineRule="exact"/>
              <w:rPr>
                <w:sz w:val="20"/>
                <w:szCs w:val="20"/>
                <w:color w:val="auto"/>
              </w:rPr>
            </w:pPr>
            <w:r>
              <w:rPr>
                <w:rFonts w:ascii="Arial" w:cs="Arial" w:eastAsia="Arial" w:hAnsi="Arial"/>
                <w:sz w:val="15"/>
                <w:szCs w:val="15"/>
                <w:b w:val="1"/>
                <w:bCs w:val="1"/>
                <w:color w:val="auto"/>
              </w:rPr>
              <w:t>As reported (GAAP)</w:t>
            </w:r>
          </w:p>
        </w:tc>
        <w:tc>
          <w:tcPr>
            <w:tcW w:w="240" w:type="dxa"/>
            <w:vAlign w:val="bottom"/>
            <w:shd w:val="clear" w:color="auto" w:fill="E7E7E7"/>
          </w:tcPr>
          <w:p>
            <w:pPr>
              <w:jc w:val="right"/>
              <w:ind w:right="46"/>
              <w:spacing w:after="0" w:line="165" w:lineRule="exact"/>
              <w:rPr>
                <w:sz w:val="20"/>
                <w:szCs w:val="20"/>
                <w:color w:val="auto"/>
              </w:rPr>
            </w:pPr>
            <w:r>
              <w:rPr>
                <w:rFonts w:ascii="Arial" w:cs="Arial" w:eastAsia="Arial" w:hAnsi="Arial"/>
                <w:sz w:val="15"/>
                <w:szCs w:val="15"/>
                <w:color w:val="auto"/>
              </w:rPr>
              <w:t>$</w:t>
            </w:r>
          </w:p>
        </w:tc>
        <w:tc>
          <w:tcPr>
            <w:tcW w:w="760" w:type="dxa"/>
            <w:vAlign w:val="bottom"/>
            <w:shd w:val="clear" w:color="auto" w:fill="E7E7E7"/>
          </w:tcPr>
          <w:p>
            <w:pPr>
              <w:jc w:val="right"/>
              <w:ind w:right="8"/>
              <w:spacing w:after="0" w:line="165" w:lineRule="exact"/>
              <w:rPr>
                <w:sz w:val="20"/>
                <w:szCs w:val="20"/>
                <w:color w:val="auto"/>
              </w:rPr>
            </w:pPr>
            <w:r>
              <w:rPr>
                <w:rFonts w:ascii="Arial" w:cs="Arial" w:eastAsia="Arial" w:hAnsi="Arial"/>
                <w:sz w:val="15"/>
                <w:szCs w:val="15"/>
                <w:color w:val="auto"/>
              </w:rPr>
              <w:t>9,096</w:t>
            </w:r>
          </w:p>
        </w:tc>
        <w:tc>
          <w:tcPr>
            <w:tcW w:w="420" w:type="dxa"/>
            <w:vAlign w:val="bottom"/>
            <w:shd w:val="clear" w:color="auto" w:fill="E7E7E7"/>
          </w:tcPr>
          <w:p>
            <w:pPr>
              <w:jc w:val="right"/>
              <w:ind w:right="29"/>
              <w:spacing w:after="0" w:line="165" w:lineRule="exact"/>
              <w:rPr>
                <w:sz w:val="20"/>
                <w:szCs w:val="20"/>
                <w:color w:val="auto"/>
              </w:rPr>
            </w:pPr>
            <w:r>
              <w:rPr>
                <w:rFonts w:ascii="Arial" w:cs="Arial" w:eastAsia="Arial" w:hAnsi="Arial"/>
                <w:sz w:val="15"/>
                <w:szCs w:val="15"/>
                <w:color w:val="auto"/>
              </w:rPr>
              <w:t>$</w:t>
            </w:r>
          </w:p>
        </w:tc>
        <w:tc>
          <w:tcPr>
            <w:tcW w:w="760" w:type="dxa"/>
            <w:vAlign w:val="bottom"/>
            <w:shd w:val="clear" w:color="auto" w:fill="E7E7E7"/>
          </w:tcPr>
          <w:p>
            <w:pPr>
              <w:jc w:val="right"/>
              <w:ind w:right="8"/>
              <w:spacing w:after="0" w:line="165" w:lineRule="exact"/>
              <w:rPr>
                <w:sz w:val="20"/>
                <w:szCs w:val="20"/>
                <w:color w:val="auto"/>
              </w:rPr>
            </w:pPr>
            <w:r>
              <w:rPr>
                <w:rFonts w:ascii="Arial" w:cs="Arial" w:eastAsia="Arial" w:hAnsi="Arial"/>
                <w:sz w:val="15"/>
                <w:szCs w:val="15"/>
                <w:color w:val="auto"/>
              </w:rPr>
              <w:t>12,791</w:t>
            </w:r>
          </w:p>
        </w:tc>
        <w:tc>
          <w:tcPr>
            <w:tcW w:w="420" w:type="dxa"/>
            <w:vAlign w:val="bottom"/>
            <w:shd w:val="clear" w:color="auto" w:fill="E7E7E7"/>
          </w:tcPr>
          <w:p>
            <w:pPr>
              <w:jc w:val="right"/>
              <w:ind w:right="49"/>
              <w:spacing w:after="0" w:line="165" w:lineRule="exact"/>
              <w:rPr>
                <w:sz w:val="20"/>
                <w:szCs w:val="20"/>
                <w:color w:val="auto"/>
              </w:rPr>
            </w:pPr>
            <w:r>
              <w:rPr>
                <w:rFonts w:ascii="Arial" w:cs="Arial" w:eastAsia="Arial" w:hAnsi="Arial"/>
                <w:sz w:val="15"/>
                <w:szCs w:val="15"/>
                <w:color w:val="auto"/>
              </w:rPr>
              <w:t>$</w:t>
            </w:r>
          </w:p>
        </w:tc>
        <w:tc>
          <w:tcPr>
            <w:tcW w:w="760" w:type="dxa"/>
            <w:vAlign w:val="bottom"/>
            <w:shd w:val="clear" w:color="auto" w:fill="E7E7E7"/>
          </w:tcPr>
          <w:p>
            <w:pPr>
              <w:jc w:val="right"/>
              <w:ind w:right="8"/>
              <w:spacing w:after="0" w:line="165" w:lineRule="exact"/>
              <w:rPr>
                <w:sz w:val="20"/>
                <w:szCs w:val="20"/>
                <w:color w:val="auto"/>
              </w:rPr>
            </w:pPr>
            <w:r>
              <w:rPr>
                <w:rFonts w:ascii="Arial" w:cs="Arial" w:eastAsia="Arial" w:hAnsi="Arial"/>
                <w:sz w:val="15"/>
                <w:szCs w:val="15"/>
                <w:color w:val="auto"/>
              </w:rPr>
              <w:t>7,675</w:t>
            </w:r>
          </w:p>
        </w:tc>
        <w:tc>
          <w:tcPr>
            <w:tcW w:w="32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w:t>
            </w:r>
          </w:p>
        </w:tc>
        <w:tc>
          <w:tcPr>
            <w:tcW w:w="860" w:type="dxa"/>
            <w:vAlign w:val="bottom"/>
            <w:shd w:val="clear" w:color="auto" w:fill="E7E7E7"/>
          </w:tcPr>
          <w:p>
            <w:pPr>
              <w:jc w:val="right"/>
              <w:ind w:right="8"/>
              <w:spacing w:after="0" w:line="165" w:lineRule="exact"/>
              <w:rPr>
                <w:sz w:val="20"/>
                <w:szCs w:val="20"/>
                <w:color w:val="auto"/>
              </w:rPr>
            </w:pPr>
            <w:r>
              <w:rPr>
                <w:rFonts w:ascii="Arial" w:cs="Arial" w:eastAsia="Arial" w:hAnsi="Arial"/>
                <w:sz w:val="15"/>
                <w:szCs w:val="15"/>
                <w:color w:val="auto"/>
              </w:rPr>
              <w:t>55,741</w:t>
            </w:r>
          </w:p>
        </w:tc>
        <w:tc>
          <w:tcPr>
            <w:tcW w:w="420" w:type="dxa"/>
            <w:vAlign w:val="bottom"/>
            <w:shd w:val="clear" w:color="auto" w:fill="E7E7E7"/>
          </w:tcPr>
          <w:p>
            <w:pPr>
              <w:jc w:val="right"/>
              <w:ind w:right="49"/>
              <w:spacing w:after="0" w:line="165" w:lineRule="exact"/>
              <w:rPr>
                <w:sz w:val="20"/>
                <w:szCs w:val="20"/>
                <w:color w:val="auto"/>
              </w:rPr>
            </w:pPr>
            <w:r>
              <w:rPr>
                <w:rFonts w:ascii="Arial" w:cs="Arial" w:eastAsia="Arial" w:hAnsi="Arial"/>
                <w:sz w:val="15"/>
                <w:szCs w:val="15"/>
                <w:color w:val="auto"/>
              </w:rPr>
              <w:t>$</w:t>
            </w:r>
          </w:p>
        </w:tc>
        <w:tc>
          <w:tcPr>
            <w:tcW w:w="74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85,303</w:t>
            </w:r>
          </w:p>
        </w:tc>
        <w:tc>
          <w:tcPr>
            <w:tcW w:w="0" w:type="dxa"/>
            <w:vAlign w:val="bottom"/>
          </w:tcPr>
          <w:p>
            <w:pPr>
              <w:spacing w:after="0"/>
              <w:rPr>
                <w:sz w:val="1"/>
                <w:szCs w:val="1"/>
                <w:color w:val="auto"/>
              </w:rPr>
            </w:pPr>
          </w:p>
        </w:tc>
      </w:tr>
      <w:tr>
        <w:trPr>
          <w:trHeight w:val="172"/>
        </w:trPr>
        <w:tc>
          <w:tcPr>
            <w:tcW w:w="2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Adjusted for specified items:</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w:t>
            </w: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(4,735)</w:t>
            </w: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(646)</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(8,151)</w:t>
            </w: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(13,643)</w:t>
            </w:r>
          </w:p>
        </w:tc>
        <w:tc>
          <w:tcPr>
            <w:tcW w:w="0" w:type="dxa"/>
            <w:vAlign w:val="bottom"/>
          </w:tcPr>
          <w:p>
            <w:pPr>
              <w:spacing w:after="0"/>
              <w:rPr>
                <w:sz w:val="1"/>
                <w:szCs w:val="1"/>
                <w:color w:val="auto"/>
              </w:rPr>
            </w:pPr>
          </w:p>
        </w:tc>
      </w:tr>
      <w:tr>
        <w:trPr>
          <w:trHeight w:val="165"/>
        </w:trPr>
        <w:tc>
          <w:tcPr>
            <w:tcW w:w="2480" w:type="dxa"/>
            <w:vAlign w:val="bottom"/>
            <w:tcBorders>
              <w:bottom w:val="single" w:sz="8" w:color="auto"/>
            </w:tcBorders>
            <w:shd w:val="clear" w:color="auto" w:fill="E7E7E7"/>
          </w:tcPr>
          <w:p>
            <w:pPr>
              <w:spacing w:after="0" w:line="165" w:lineRule="exact"/>
              <w:rPr>
                <w:sz w:val="20"/>
                <w:szCs w:val="20"/>
                <w:color w:val="auto"/>
              </w:rPr>
            </w:pPr>
            <w:r>
              <w:rPr>
                <w:rFonts w:ascii="Arial" w:cs="Arial" w:eastAsia="Arial" w:hAnsi="Arial"/>
                <w:sz w:val="15"/>
                <w:szCs w:val="15"/>
                <w:b w:val="1"/>
                <w:bCs w:val="1"/>
                <w:color w:val="auto"/>
              </w:rPr>
              <w:t>As adjusted (non</w:t>
            </w:r>
            <w:r>
              <w:rPr>
                <w:rFonts w:ascii="MS PGothic" w:cs="MS PGothic" w:eastAsia="MS PGothic" w:hAnsi="MS PGothic"/>
                <w:sz w:val="15"/>
                <w:szCs w:val="15"/>
                <w:color w:val="auto"/>
                <w:strike w:val="1"/>
              </w:rPr>
              <w:t>‑</w:t>
            </w:r>
            <w:r>
              <w:rPr>
                <w:rFonts w:ascii="Arial" w:cs="Arial" w:eastAsia="Arial" w:hAnsi="Arial"/>
                <w:sz w:val="15"/>
                <w:szCs w:val="15"/>
                <w:b w:val="1"/>
                <w:bCs w:val="1"/>
                <w:color w:val="auto"/>
              </w:rPr>
              <w:t>GAAP)</w:t>
            </w:r>
          </w:p>
        </w:tc>
        <w:tc>
          <w:tcPr>
            <w:tcW w:w="240" w:type="dxa"/>
            <w:vAlign w:val="bottom"/>
            <w:tcBorders>
              <w:bottom w:val="single" w:sz="8" w:color="auto"/>
            </w:tcBorders>
            <w:shd w:val="clear" w:color="auto" w:fill="E7E7E7"/>
          </w:tcPr>
          <w:p>
            <w:pPr>
              <w:jc w:val="right"/>
              <w:ind w:right="46"/>
              <w:spacing w:after="0" w:line="165"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E7E7E7"/>
          </w:tcPr>
          <w:p>
            <w:pPr>
              <w:jc w:val="right"/>
              <w:ind w:right="8"/>
              <w:spacing w:after="0" w:line="165" w:lineRule="exact"/>
              <w:rPr>
                <w:sz w:val="20"/>
                <w:szCs w:val="20"/>
                <w:color w:val="auto"/>
              </w:rPr>
            </w:pPr>
            <w:r>
              <w:rPr>
                <w:rFonts w:ascii="Arial" w:cs="Arial" w:eastAsia="Arial" w:hAnsi="Arial"/>
                <w:sz w:val="15"/>
                <w:szCs w:val="15"/>
                <w:color w:val="auto"/>
              </w:rPr>
              <w:t>8,985</w:t>
            </w:r>
          </w:p>
        </w:tc>
        <w:tc>
          <w:tcPr>
            <w:tcW w:w="420" w:type="dxa"/>
            <w:vAlign w:val="bottom"/>
            <w:tcBorders>
              <w:bottom w:val="single" w:sz="8" w:color="auto"/>
            </w:tcBorders>
            <w:shd w:val="clear" w:color="auto" w:fill="E7E7E7"/>
          </w:tcPr>
          <w:p>
            <w:pPr>
              <w:jc w:val="right"/>
              <w:ind w:right="29"/>
              <w:spacing w:after="0" w:line="165"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E7E7E7"/>
          </w:tcPr>
          <w:p>
            <w:pPr>
              <w:jc w:val="right"/>
              <w:ind w:right="8"/>
              <w:spacing w:after="0" w:line="165" w:lineRule="exact"/>
              <w:rPr>
                <w:sz w:val="20"/>
                <w:szCs w:val="20"/>
                <w:color w:val="auto"/>
              </w:rPr>
            </w:pPr>
            <w:r>
              <w:rPr>
                <w:rFonts w:ascii="Arial" w:cs="Arial" w:eastAsia="Arial" w:hAnsi="Arial"/>
                <w:sz w:val="15"/>
                <w:szCs w:val="15"/>
                <w:color w:val="auto"/>
              </w:rPr>
              <w:t>8,056</w:t>
            </w:r>
          </w:p>
        </w:tc>
        <w:tc>
          <w:tcPr>
            <w:tcW w:w="420" w:type="dxa"/>
            <w:vAlign w:val="bottom"/>
            <w:tcBorders>
              <w:bottom w:val="single" w:sz="8" w:color="auto"/>
            </w:tcBorders>
            <w:shd w:val="clear" w:color="auto" w:fill="E7E7E7"/>
          </w:tcPr>
          <w:p>
            <w:pPr>
              <w:jc w:val="right"/>
              <w:ind w:right="49"/>
              <w:spacing w:after="0" w:line="165"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E7E7E7"/>
          </w:tcPr>
          <w:p>
            <w:pPr>
              <w:jc w:val="right"/>
              <w:ind w:right="8"/>
              <w:spacing w:after="0" w:line="165" w:lineRule="exact"/>
              <w:rPr>
                <w:sz w:val="20"/>
                <w:szCs w:val="20"/>
                <w:color w:val="auto"/>
              </w:rPr>
            </w:pPr>
            <w:r>
              <w:rPr>
                <w:rFonts w:ascii="Arial" w:cs="Arial" w:eastAsia="Arial" w:hAnsi="Arial"/>
                <w:sz w:val="15"/>
                <w:szCs w:val="15"/>
                <w:color w:val="auto"/>
              </w:rPr>
              <w:t>7,029</w:t>
            </w:r>
          </w:p>
        </w:tc>
        <w:tc>
          <w:tcPr>
            <w:tcW w:w="32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E7E7E7"/>
          </w:tcPr>
          <w:p>
            <w:pPr>
              <w:jc w:val="right"/>
              <w:ind w:right="8"/>
              <w:spacing w:after="0" w:line="165" w:lineRule="exact"/>
              <w:rPr>
                <w:sz w:val="20"/>
                <w:szCs w:val="20"/>
                <w:color w:val="auto"/>
              </w:rPr>
            </w:pPr>
            <w:r>
              <w:rPr>
                <w:rFonts w:ascii="Arial" w:cs="Arial" w:eastAsia="Arial" w:hAnsi="Arial"/>
                <w:sz w:val="15"/>
                <w:szCs w:val="15"/>
                <w:color w:val="auto"/>
              </w:rPr>
              <w:t>47,590</w:t>
            </w:r>
          </w:p>
        </w:tc>
        <w:tc>
          <w:tcPr>
            <w:tcW w:w="420" w:type="dxa"/>
            <w:vAlign w:val="bottom"/>
            <w:tcBorders>
              <w:bottom w:val="single" w:sz="8" w:color="auto"/>
            </w:tcBorders>
            <w:shd w:val="clear" w:color="auto" w:fill="E7E7E7"/>
          </w:tcPr>
          <w:p>
            <w:pPr>
              <w:jc w:val="right"/>
              <w:ind w:right="49"/>
              <w:spacing w:after="0" w:line="165"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rPr>
              <w:t>71,660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9" w:type="dxa"/>
        <w:tblCellMar>
          <w:top w:w="0" w:type="dxa"/>
          <w:left w:w="0" w:type="dxa"/>
          <w:bottom w:w="0" w:type="dxa"/>
          <w:right w:w="0" w:type="dxa"/>
        </w:tblCellMar>
      </w:tblPr>
      <w:tr>
        <w:trPr>
          <w:trHeight w:val="325"/>
        </w:trPr>
        <w:tc>
          <w:tcPr>
            <w:tcW w:w="8160" w:type="dxa"/>
            <w:vAlign w:val="bottom"/>
          </w:tcPr>
          <w:p>
            <w:pPr>
              <w:ind w:left="542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100" w:type="dxa"/>
            <w:vAlign w:val="bottom"/>
          </w:tcPr>
          <w:p>
            <w:pPr>
              <w:ind w:left="840"/>
              <w:spacing w:after="0"/>
              <w:rPr>
                <w:sz w:val="20"/>
                <w:szCs w:val="20"/>
                <w:color w:val="auto"/>
              </w:rPr>
            </w:pPr>
            <w:r>
              <w:rPr>
                <w:rFonts w:ascii="Arial" w:cs="Arial" w:eastAsia="Arial" w:hAnsi="Arial"/>
                <w:sz w:val="16"/>
                <w:szCs w:val="16"/>
                <w:color w:val="auto"/>
                <w:w w:val="96"/>
              </w:rPr>
              <w:t>B-1</w:t>
            </w:r>
          </w:p>
        </w:tc>
      </w:tr>
      <w:tr>
        <w:trPr>
          <w:trHeight w:val="493"/>
        </w:trPr>
        <w:tc>
          <w:tcPr>
            <w:tcW w:w="8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4802505</wp:posOffset>
            </wp:positionH>
            <wp:positionV relativeFrom="paragraph">
              <wp:posOffset>-499745</wp:posOffset>
            </wp:positionV>
            <wp:extent cx="797560" cy="148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9"/>
          </w:cols>
          <w:pgMar w:left="1311" w:top="480" w:right="131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gridSpan w:val="2"/>
          </w:tcPr>
          <w:p>
            <w:pPr>
              <w:spacing w:after="0"/>
              <w:rPr>
                <w:sz w:val="20"/>
                <w:szCs w:val="20"/>
                <w:color w:val="auto"/>
              </w:rPr>
            </w:pPr>
            <w:r>
              <w:rPr>
                <w:rFonts w:ascii="Arial" w:cs="Arial" w:eastAsia="Arial" w:hAnsi="Arial"/>
                <w:sz w:val="16"/>
                <w:szCs w:val="16"/>
                <w:color w:val="auto"/>
              </w:rPr>
              <w:t>4.</w:t>
            </w:r>
          </w:p>
        </w:tc>
        <w:tc>
          <w:tcPr>
            <w:tcW w:w="4020" w:type="dxa"/>
            <w:vAlign w:val="bottom"/>
          </w:tcPr>
          <w:p>
            <w:pPr>
              <w:ind w:left="220"/>
              <w:spacing w:after="0"/>
              <w:rPr>
                <w:sz w:val="20"/>
                <w:szCs w:val="20"/>
                <w:color w:val="auto"/>
              </w:rPr>
            </w:pPr>
            <w:r>
              <w:rPr>
                <w:rFonts w:ascii="Arial" w:cs="Arial" w:eastAsia="Arial" w:hAnsi="Arial"/>
                <w:sz w:val="16"/>
                <w:szCs w:val="16"/>
                <w:color w:val="auto"/>
              </w:rPr>
              <w:t>Adjusted R&amp;D Investment since 2013 Inception</w:t>
            </w:r>
          </w:p>
        </w:tc>
        <w:tc>
          <w:tcPr>
            <w:tcW w:w="58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454968"/>
              </w:rPr>
              <w:t>​</w:t>
            </w:r>
          </w:p>
        </w:tc>
        <w:tc>
          <w:tcPr>
            <w:tcW w:w="600" w:type="dxa"/>
            <w:vAlign w:val="bottom"/>
          </w:tcPr>
          <w:p>
            <w:pPr>
              <w:spacing w:after="0"/>
              <w:rPr>
                <w:sz w:val="18"/>
                <w:szCs w:val="18"/>
                <w:color w:val="auto"/>
              </w:rPr>
            </w:pPr>
          </w:p>
        </w:tc>
        <w:tc>
          <w:tcPr>
            <w:tcW w:w="3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454968"/>
              </w:rPr>
              <w:t>​</w:t>
            </w:r>
          </w:p>
        </w:tc>
        <w:tc>
          <w:tcPr>
            <w:tcW w:w="580" w:type="dxa"/>
            <w:vAlign w:val="bottom"/>
          </w:tcPr>
          <w:p>
            <w:pPr>
              <w:spacing w:after="0"/>
              <w:rPr>
                <w:sz w:val="18"/>
                <w:szCs w:val="18"/>
                <w:color w:val="auto"/>
              </w:rPr>
            </w:pPr>
          </w:p>
        </w:tc>
        <w:tc>
          <w:tcPr>
            <w:tcW w:w="32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454968"/>
              </w:rPr>
              <w:t>​</w:t>
            </w: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454968"/>
              </w:rPr>
              <w:t>​</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454968"/>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454968"/>
              </w:rPr>
              <w:t>2025</w:t>
            </w: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454968"/>
              </w:rPr>
              <w:t>2024</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454968"/>
              </w:rPr>
              <w:t>2023</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454968"/>
              </w:rPr>
              <w:t>2013 - 2022</w:t>
            </w: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454968"/>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60" w:type="dxa"/>
            <w:vAlign w:val="bottom"/>
            <w:gridSpan w:val="2"/>
            <w:shd w:val="clear" w:color="auto" w:fill="E7E7E7"/>
          </w:tcPr>
          <w:p>
            <w:pPr>
              <w:spacing w:after="0" w:line="165" w:lineRule="exact"/>
              <w:rPr>
                <w:sz w:val="20"/>
                <w:szCs w:val="20"/>
                <w:color w:val="auto"/>
              </w:rPr>
            </w:pPr>
            <w:r>
              <w:rPr>
                <w:rFonts w:ascii="Arial" w:cs="Arial" w:eastAsia="Arial" w:hAnsi="Arial"/>
                <w:sz w:val="15"/>
                <w:szCs w:val="15"/>
                <w:b w:val="1"/>
                <w:bCs w:val="1"/>
                <w:color w:val="auto"/>
              </w:rPr>
              <w:t>R&amp;D Expense as adjusted (non-GAAP)</w:t>
            </w:r>
          </w:p>
        </w:tc>
        <w:tc>
          <w:tcPr>
            <w:tcW w:w="58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w:t>
            </w:r>
          </w:p>
        </w:tc>
        <w:tc>
          <w:tcPr>
            <w:tcW w:w="600" w:type="dxa"/>
            <w:vAlign w:val="bottom"/>
            <w:shd w:val="clear" w:color="auto" w:fill="E7E7E7"/>
          </w:tcPr>
          <w:p>
            <w:pPr>
              <w:jc w:val="right"/>
              <w:ind w:right="8"/>
              <w:spacing w:after="0" w:line="165" w:lineRule="exact"/>
              <w:rPr>
                <w:sz w:val="20"/>
                <w:szCs w:val="20"/>
                <w:color w:val="auto"/>
              </w:rPr>
            </w:pPr>
            <w:r>
              <w:rPr>
                <w:rFonts w:ascii="Arial" w:cs="Arial" w:eastAsia="Arial" w:hAnsi="Arial"/>
                <w:sz w:val="15"/>
                <w:szCs w:val="15"/>
                <w:color w:val="auto"/>
              </w:rPr>
              <w:t>8,985</w:t>
            </w:r>
          </w:p>
        </w:tc>
        <w:tc>
          <w:tcPr>
            <w:tcW w:w="320" w:type="dxa"/>
            <w:vAlign w:val="bottom"/>
            <w:shd w:val="clear" w:color="auto" w:fill="E7E7E7"/>
          </w:tcPr>
          <w:p>
            <w:pPr>
              <w:jc w:val="right"/>
              <w:ind w:right="9"/>
              <w:spacing w:after="0" w:line="165" w:lineRule="exact"/>
              <w:rPr>
                <w:sz w:val="20"/>
                <w:szCs w:val="20"/>
                <w:color w:val="auto"/>
              </w:rPr>
            </w:pPr>
            <w:r>
              <w:rPr>
                <w:rFonts w:ascii="Arial" w:cs="Arial" w:eastAsia="Arial" w:hAnsi="Arial"/>
                <w:sz w:val="15"/>
                <w:szCs w:val="15"/>
                <w:color w:val="auto"/>
              </w:rPr>
              <w:t>$</w:t>
            </w:r>
          </w:p>
        </w:tc>
        <w:tc>
          <w:tcPr>
            <w:tcW w:w="58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8,056</w:t>
            </w:r>
          </w:p>
        </w:tc>
        <w:tc>
          <w:tcPr>
            <w:tcW w:w="32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w:t>
            </w:r>
          </w:p>
        </w:tc>
        <w:tc>
          <w:tcPr>
            <w:tcW w:w="680" w:type="dxa"/>
            <w:vAlign w:val="bottom"/>
            <w:shd w:val="clear" w:color="auto" w:fill="E7E7E7"/>
          </w:tcPr>
          <w:p>
            <w:pPr>
              <w:jc w:val="right"/>
              <w:ind w:right="129"/>
              <w:spacing w:after="0" w:line="165" w:lineRule="exact"/>
              <w:rPr>
                <w:sz w:val="20"/>
                <w:szCs w:val="20"/>
                <w:color w:val="auto"/>
              </w:rPr>
            </w:pPr>
            <w:r>
              <w:rPr>
                <w:rFonts w:ascii="Arial" w:cs="Arial" w:eastAsia="Arial" w:hAnsi="Arial"/>
                <w:sz w:val="15"/>
                <w:szCs w:val="15"/>
                <w:color w:val="auto"/>
              </w:rPr>
              <w:t>7,029</w:t>
            </w:r>
          </w:p>
        </w:tc>
        <w:tc>
          <w:tcPr>
            <w:tcW w:w="240" w:type="dxa"/>
            <w:vAlign w:val="bottom"/>
            <w:shd w:val="clear" w:color="auto" w:fill="E7E7E7"/>
          </w:tcPr>
          <w:p>
            <w:pPr>
              <w:jc w:val="right"/>
              <w:ind w:right="29"/>
              <w:spacing w:after="0" w:line="165" w:lineRule="exact"/>
              <w:rPr>
                <w:sz w:val="20"/>
                <w:szCs w:val="20"/>
                <w:color w:val="auto"/>
              </w:rPr>
            </w:pPr>
            <w:r>
              <w:rPr>
                <w:rFonts w:ascii="Arial" w:cs="Arial" w:eastAsia="Arial" w:hAnsi="Arial"/>
                <w:sz w:val="15"/>
                <w:szCs w:val="15"/>
                <w:color w:val="auto"/>
              </w:rPr>
              <w:t>$</w:t>
            </w:r>
          </w:p>
        </w:tc>
        <w:tc>
          <w:tcPr>
            <w:tcW w:w="62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47,590</w:t>
            </w:r>
          </w:p>
        </w:tc>
        <w:tc>
          <w:tcPr>
            <w:tcW w:w="32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w:t>
            </w:r>
          </w:p>
        </w:tc>
        <w:tc>
          <w:tcPr>
            <w:tcW w:w="62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71,660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5"/>
                <w:szCs w:val="15"/>
                <w:color w:val="auto"/>
              </w:rPr>
              <w:t>Acquired IPR&amp;D and milestones expense, as reported (GAAP)</w:t>
            </w:r>
          </w:p>
        </w:tc>
        <w:tc>
          <w:tcPr>
            <w:tcW w:w="5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5"/>
                <w:szCs w:val="15"/>
                <w:color w:val="auto"/>
              </w:rPr>
              <w:t>5,016</w:t>
            </w: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2,757</w:t>
            </w:r>
          </w:p>
        </w:tc>
        <w:tc>
          <w:tcPr>
            <w:tcW w:w="320" w:type="dxa"/>
            <w:vAlign w:val="bottom"/>
          </w:tcPr>
          <w:p>
            <w:pPr>
              <w:spacing w:after="0"/>
              <w:rPr>
                <w:sz w:val="14"/>
                <w:szCs w:val="14"/>
                <w:color w:val="auto"/>
              </w:rPr>
            </w:pPr>
          </w:p>
        </w:tc>
        <w:tc>
          <w:tcPr>
            <w:tcW w:w="680" w:type="dxa"/>
            <w:vAlign w:val="bottom"/>
          </w:tcPr>
          <w:p>
            <w:pPr>
              <w:jc w:val="right"/>
              <w:ind w:right="129"/>
              <w:spacing w:after="0"/>
              <w:rPr>
                <w:sz w:val="20"/>
                <w:szCs w:val="20"/>
                <w:color w:val="auto"/>
              </w:rPr>
            </w:pPr>
            <w:r>
              <w:rPr>
                <w:rFonts w:ascii="Arial" w:cs="Arial" w:eastAsia="Arial" w:hAnsi="Arial"/>
                <w:sz w:val="15"/>
                <w:szCs w:val="15"/>
                <w:color w:val="auto"/>
              </w:rPr>
              <w:t>778</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6,008</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14,559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tcBorders>
              <w:bottom w:val="single" w:sz="8" w:color="auto"/>
            </w:tcBorders>
            <w:gridSpan w:val="2"/>
            <w:shd w:val="clear" w:color="auto" w:fill="E7E7E7"/>
          </w:tcPr>
          <w:p>
            <w:pPr>
              <w:spacing w:after="0"/>
              <w:rPr>
                <w:sz w:val="20"/>
                <w:szCs w:val="20"/>
                <w:color w:val="auto"/>
              </w:rPr>
            </w:pPr>
            <w:r>
              <w:rPr>
                <w:rFonts w:ascii="Arial" w:cs="Arial" w:eastAsia="Arial" w:hAnsi="Arial"/>
                <w:sz w:val="15"/>
                <w:szCs w:val="15"/>
                <w:color w:val="auto"/>
              </w:rPr>
              <w:t>Calico collaboration expense/(gain), as reported (GAAP)</w:t>
            </w:r>
          </w:p>
        </w:tc>
        <w:tc>
          <w:tcPr>
            <w:tcW w:w="580" w:type="dxa"/>
            <w:vAlign w:val="bottom"/>
            <w:tcBorders>
              <w:bottom w:val="single" w:sz="8" w:color="auto"/>
            </w:tcBorders>
            <w:shd w:val="clear" w:color="auto" w:fill="E7E7E7"/>
          </w:tcPr>
          <w:p>
            <w:pPr>
              <w:spacing w:after="0"/>
              <w:rPr>
                <w:sz w:val="14"/>
                <w:szCs w:val="14"/>
                <w:color w:val="auto"/>
              </w:rPr>
            </w:pPr>
          </w:p>
        </w:tc>
        <w:tc>
          <w:tcPr>
            <w:tcW w:w="60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(217)</w:t>
            </w:r>
          </w:p>
        </w:tc>
        <w:tc>
          <w:tcPr>
            <w:tcW w:w="320" w:type="dxa"/>
            <w:vAlign w:val="bottom"/>
            <w:tcBorders>
              <w:bottom w:val="single" w:sz="8" w:color="auto"/>
            </w:tcBorders>
            <w:shd w:val="clear" w:color="auto" w:fill="E7E7E7"/>
          </w:tcPr>
          <w:p>
            <w:pPr>
              <w:spacing w:after="0"/>
              <w:rPr>
                <w:sz w:val="14"/>
                <w:szCs w:val="14"/>
                <w:color w:val="auto"/>
              </w:rPr>
            </w:pPr>
          </w:p>
        </w:tc>
        <w:tc>
          <w:tcPr>
            <w:tcW w:w="58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E7E7E7"/>
          </w:tcPr>
          <w:p>
            <w:pPr>
              <w:spacing w:after="0"/>
              <w:rPr>
                <w:sz w:val="14"/>
                <w:szCs w:val="14"/>
                <w:color w:val="auto"/>
              </w:rPr>
            </w:pPr>
          </w:p>
        </w:tc>
        <w:tc>
          <w:tcPr>
            <w:tcW w:w="680" w:type="dxa"/>
            <w:vAlign w:val="bottom"/>
            <w:tcBorders>
              <w:bottom w:val="single" w:sz="8" w:color="auto"/>
            </w:tcBorders>
            <w:shd w:val="clear" w:color="auto" w:fill="E7E7E7"/>
          </w:tcPr>
          <w:p>
            <w:pPr>
              <w:jc w:val="right"/>
              <w:ind w:right="129"/>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E7E7E7"/>
          </w:tcPr>
          <w:p>
            <w:pPr>
              <w:spacing w:after="0"/>
              <w:rPr>
                <w:sz w:val="14"/>
                <w:szCs w:val="14"/>
                <w:color w:val="auto"/>
              </w:rPr>
            </w:pPr>
          </w:p>
        </w:tc>
        <w:tc>
          <w:tcPr>
            <w:tcW w:w="62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1,750</w:t>
            </w:r>
          </w:p>
        </w:tc>
        <w:tc>
          <w:tcPr>
            <w:tcW w:w="320" w:type="dxa"/>
            <w:vAlign w:val="bottom"/>
            <w:tcBorders>
              <w:bottom w:val="single" w:sz="8" w:color="auto"/>
            </w:tcBorders>
            <w:shd w:val="clear" w:color="auto" w:fill="E7E7E7"/>
          </w:tcPr>
          <w:p>
            <w:pPr>
              <w:spacing w:after="0"/>
              <w:rPr>
                <w:sz w:val="14"/>
                <w:szCs w:val="14"/>
                <w:color w:val="auto"/>
              </w:rPr>
            </w:pPr>
          </w:p>
        </w:tc>
        <w:tc>
          <w:tcPr>
            <w:tcW w:w="62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1,533</w:t>
            </w:r>
          </w:p>
        </w:tc>
        <w:tc>
          <w:tcPr>
            <w:tcW w:w="0" w:type="dxa"/>
            <w:vAlign w:val="bottom"/>
          </w:tcPr>
          <w:p>
            <w:pPr>
              <w:spacing w:after="0"/>
              <w:rPr>
                <w:sz w:val="1"/>
                <w:szCs w:val="1"/>
                <w:color w:val="auto"/>
              </w:rPr>
            </w:pPr>
          </w:p>
        </w:tc>
      </w:tr>
      <w:tr>
        <w:trPr>
          <w:trHeight w:val="165"/>
        </w:trPr>
        <w:tc>
          <w:tcPr>
            <w:tcW w:w="2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gridSpan w:val="2"/>
          </w:tcPr>
          <w:p>
            <w:pPr>
              <w:spacing w:after="0" w:line="165" w:lineRule="exact"/>
              <w:rPr>
                <w:sz w:val="20"/>
                <w:szCs w:val="20"/>
                <w:color w:val="auto"/>
              </w:rPr>
            </w:pPr>
            <w:r>
              <w:rPr>
                <w:rFonts w:ascii="Arial" w:cs="Arial" w:eastAsia="Arial" w:hAnsi="Arial"/>
                <w:sz w:val="15"/>
                <w:szCs w:val="15"/>
                <w:b w:val="1"/>
                <w:bCs w:val="1"/>
                <w:color w:val="auto"/>
              </w:rPr>
              <w:t>As adjusted R&amp;D investment (non-GAAP)</w:t>
            </w:r>
          </w:p>
        </w:tc>
        <w:tc>
          <w:tcPr>
            <w:tcW w:w="58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8"/>
              <w:spacing w:after="0" w:line="165" w:lineRule="exact"/>
              <w:rPr>
                <w:sz w:val="20"/>
                <w:szCs w:val="20"/>
                <w:color w:val="auto"/>
              </w:rPr>
            </w:pPr>
            <w:r>
              <w:rPr>
                <w:rFonts w:ascii="Arial" w:cs="Arial" w:eastAsia="Arial" w:hAnsi="Arial"/>
                <w:sz w:val="15"/>
                <w:szCs w:val="15"/>
                <w:color w:val="auto"/>
              </w:rPr>
              <w:t>13,784</w:t>
            </w:r>
          </w:p>
        </w:tc>
        <w:tc>
          <w:tcPr>
            <w:tcW w:w="320" w:type="dxa"/>
            <w:vAlign w:val="bottom"/>
            <w:tcBorders>
              <w:bottom w:val="single" w:sz="8" w:color="auto"/>
            </w:tcBorders>
          </w:tcPr>
          <w:p>
            <w:pPr>
              <w:jc w:val="right"/>
              <w:ind w:right="9"/>
              <w:spacing w:after="0" w:line="165"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10,813</w:t>
            </w:r>
          </w:p>
        </w:tc>
        <w:tc>
          <w:tcPr>
            <w:tcW w:w="32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129"/>
              <w:spacing w:after="0" w:line="165" w:lineRule="exact"/>
              <w:rPr>
                <w:sz w:val="20"/>
                <w:szCs w:val="20"/>
                <w:color w:val="auto"/>
              </w:rPr>
            </w:pPr>
            <w:r>
              <w:rPr>
                <w:rFonts w:ascii="Arial" w:cs="Arial" w:eastAsia="Arial" w:hAnsi="Arial"/>
                <w:sz w:val="15"/>
                <w:szCs w:val="15"/>
                <w:color w:val="auto"/>
              </w:rPr>
              <w:t>7,807</w:t>
            </w:r>
          </w:p>
        </w:tc>
        <w:tc>
          <w:tcPr>
            <w:tcW w:w="240" w:type="dxa"/>
            <w:vAlign w:val="bottom"/>
            <w:tcBorders>
              <w:bottom w:val="single" w:sz="8" w:color="auto"/>
            </w:tcBorders>
          </w:tcPr>
          <w:p>
            <w:pPr>
              <w:jc w:val="right"/>
              <w:ind w:right="29"/>
              <w:spacing w:after="0" w:line="165"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55,348</w:t>
            </w:r>
          </w:p>
        </w:tc>
        <w:tc>
          <w:tcPr>
            <w:tcW w:w="32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87,752</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Performance Results for Financial Goals Reconciliations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tcPr>
          <w:p>
            <w:pPr>
              <w:ind w:left="4280"/>
              <w:spacing w:after="0"/>
              <w:rPr>
                <w:sz w:val="20"/>
                <w:szCs w:val="20"/>
                <w:color w:val="auto"/>
              </w:rPr>
            </w:pPr>
            <w:r>
              <w:rPr>
                <w:rFonts w:ascii="Arial" w:cs="Arial" w:eastAsia="Arial" w:hAnsi="Arial"/>
                <w:sz w:val="13"/>
                <w:szCs w:val="13"/>
                <w:b w:val="1"/>
                <w:bCs w:val="1"/>
                <w:color w:val="454968"/>
              </w:rPr>
              <w:t>​​​</w:t>
            </w:r>
          </w:p>
        </w:tc>
        <w:tc>
          <w:tcPr>
            <w:tcW w:w="200" w:type="dxa"/>
            <w:vAlign w:val="bottom"/>
          </w:tcPr>
          <w:p>
            <w:pPr>
              <w:spacing w:after="0"/>
              <w:rPr>
                <w:sz w:val="13"/>
                <w:szCs w:val="13"/>
                <w:color w:val="auto"/>
              </w:rPr>
            </w:pPr>
          </w:p>
        </w:tc>
        <w:tc>
          <w:tcPr>
            <w:tcW w:w="1000" w:type="dxa"/>
            <w:vAlign w:val="bottom"/>
          </w:tcPr>
          <w:p>
            <w:pPr>
              <w:jc w:val="right"/>
              <w:ind w:right="408"/>
              <w:spacing w:after="0"/>
              <w:rPr>
                <w:sz w:val="20"/>
                <w:szCs w:val="20"/>
                <w:color w:val="auto"/>
              </w:rPr>
            </w:pPr>
            <w:r>
              <w:rPr>
                <w:rFonts w:ascii="Arial" w:cs="Arial" w:eastAsia="Arial" w:hAnsi="Arial"/>
                <w:sz w:val="13"/>
                <w:szCs w:val="13"/>
                <w:b w:val="1"/>
                <w:bCs w:val="1"/>
                <w:color w:val="454968"/>
              </w:rPr>
              <w:t>Net</w:t>
            </w:r>
          </w:p>
        </w:tc>
        <w:tc>
          <w:tcPr>
            <w:tcW w:w="420" w:type="dxa"/>
            <w:vAlign w:val="bottom"/>
          </w:tcPr>
          <w:p>
            <w:pPr>
              <w:jc w:val="right"/>
              <w:ind w:right="189"/>
              <w:spacing w:after="0"/>
              <w:rPr>
                <w:sz w:val="20"/>
                <w:szCs w:val="20"/>
                <w:color w:val="auto"/>
              </w:rPr>
            </w:pPr>
            <w:r>
              <w:rPr>
                <w:rFonts w:ascii="Arial" w:cs="Arial" w:eastAsia="Arial" w:hAnsi="Arial"/>
                <w:sz w:val="13"/>
                <w:szCs w:val="13"/>
                <w:b w:val="1"/>
                <w:bCs w:val="1"/>
                <w:color w:val="454968"/>
              </w:rPr>
              <w:t>​​​</w:t>
            </w:r>
          </w:p>
        </w:tc>
        <w:tc>
          <w:tcPr>
            <w:tcW w:w="900" w:type="dxa"/>
            <w:vAlign w:val="bottom"/>
          </w:tcPr>
          <w:p>
            <w:pPr>
              <w:jc w:val="right"/>
              <w:ind w:right="108"/>
              <w:spacing w:after="0"/>
              <w:rPr>
                <w:sz w:val="20"/>
                <w:szCs w:val="20"/>
                <w:color w:val="auto"/>
              </w:rPr>
            </w:pPr>
            <w:r>
              <w:rPr>
                <w:rFonts w:ascii="Arial" w:cs="Arial" w:eastAsia="Arial" w:hAnsi="Arial"/>
                <w:sz w:val="13"/>
                <w:szCs w:val="13"/>
                <w:b w:val="1"/>
                <w:bCs w:val="1"/>
                <w:color w:val="454968"/>
              </w:rPr>
              <w:t>Operating</w:t>
            </w:r>
          </w:p>
        </w:tc>
        <w:tc>
          <w:tcPr>
            <w:tcW w:w="280" w:type="dxa"/>
            <w:vAlign w:val="bottom"/>
          </w:tcPr>
          <w:p>
            <w:pPr>
              <w:jc w:val="right"/>
              <w:ind w:right="29"/>
              <w:spacing w:after="0"/>
              <w:rPr>
                <w:sz w:val="20"/>
                <w:szCs w:val="20"/>
                <w:color w:val="auto"/>
              </w:rPr>
            </w:pPr>
            <w:r>
              <w:rPr>
                <w:rFonts w:ascii="Arial" w:cs="Arial" w:eastAsia="Arial" w:hAnsi="Arial"/>
                <w:sz w:val="13"/>
                <w:szCs w:val="13"/>
                <w:color w:val="454968"/>
              </w:rPr>
              <w:t>​​​</w:t>
            </w:r>
          </w:p>
        </w:tc>
        <w:tc>
          <w:tcPr>
            <w:tcW w:w="920" w:type="dxa"/>
            <w:vAlign w:val="bottom"/>
          </w:tcPr>
          <w:p>
            <w:pPr>
              <w:jc w:val="right"/>
              <w:ind w:right="188"/>
              <w:spacing w:after="0"/>
              <w:rPr>
                <w:sz w:val="20"/>
                <w:szCs w:val="20"/>
                <w:color w:val="auto"/>
              </w:rPr>
            </w:pPr>
            <w:r>
              <w:rPr>
                <w:rFonts w:ascii="Arial" w:cs="Arial" w:eastAsia="Arial" w:hAnsi="Arial"/>
                <w:sz w:val="13"/>
                <w:szCs w:val="13"/>
                <w:b w:val="1"/>
                <w:bCs w:val="1"/>
                <w:color w:val="454968"/>
              </w:rPr>
              <w:t>Income</w:t>
            </w:r>
          </w:p>
        </w:tc>
        <w:tc>
          <w:tcPr>
            <w:tcW w:w="300" w:type="dxa"/>
            <w:vAlign w:val="bottom"/>
          </w:tcPr>
          <w:p>
            <w:pPr>
              <w:jc w:val="right"/>
              <w:ind w:right="69"/>
              <w:spacing w:after="0"/>
              <w:rPr>
                <w:sz w:val="20"/>
                <w:szCs w:val="20"/>
                <w:color w:val="auto"/>
              </w:rPr>
            </w:pPr>
            <w:r>
              <w:rPr>
                <w:rFonts w:ascii="Arial" w:cs="Arial" w:eastAsia="Arial" w:hAnsi="Arial"/>
                <w:sz w:val="13"/>
                <w:szCs w:val="13"/>
                <w:b w:val="1"/>
                <w:bCs w:val="1"/>
                <w:color w:val="454968"/>
              </w:rPr>
              <w:t>​​​</w:t>
            </w:r>
          </w:p>
        </w:tc>
        <w:tc>
          <w:tcPr>
            <w:tcW w:w="820" w:type="dxa"/>
            <w:vAlign w:val="bottom"/>
          </w:tcPr>
          <w:p>
            <w:pPr>
              <w:jc w:val="right"/>
              <w:ind w:right="268"/>
              <w:spacing w:after="0"/>
              <w:rPr>
                <w:sz w:val="20"/>
                <w:szCs w:val="20"/>
                <w:color w:val="auto"/>
              </w:rPr>
            </w:pPr>
            <w:r>
              <w:rPr>
                <w:rFonts w:ascii="Arial" w:cs="Arial" w:eastAsia="Arial" w:hAnsi="Arial"/>
                <w:sz w:val="13"/>
                <w:szCs w:val="13"/>
                <w:b w:val="1"/>
                <w:bCs w:val="1"/>
                <w:color w:val="454968"/>
              </w:rPr>
              <w:t>Net</w:t>
            </w:r>
          </w:p>
        </w:tc>
      </w:tr>
      <w:tr>
        <w:trPr>
          <w:trHeight w:val="155"/>
        </w:trPr>
        <w:tc>
          <w:tcPr>
            <w:tcW w:w="4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454968"/>
              </w:rPr>
              <w:t>Revenues*</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454968"/>
              </w:rPr>
              <w:t>Margin</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Before Taxes</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454968"/>
              </w:rPr>
              <w:t>Earnings**</w:t>
            </w:r>
          </w:p>
        </w:tc>
      </w:tr>
      <w:tr>
        <w:trPr>
          <w:trHeight w:val="165"/>
        </w:trPr>
        <w:tc>
          <w:tcPr>
            <w:tcW w:w="4420" w:type="dxa"/>
            <w:vAlign w:val="bottom"/>
            <w:shd w:val="clear" w:color="auto" w:fill="E7E7E7"/>
          </w:tcPr>
          <w:p>
            <w:pPr>
              <w:spacing w:after="0" w:line="165" w:lineRule="exact"/>
              <w:rPr>
                <w:sz w:val="20"/>
                <w:szCs w:val="20"/>
                <w:color w:val="auto"/>
              </w:rPr>
            </w:pPr>
            <w:r>
              <w:rPr>
                <w:rFonts w:ascii="Arial" w:cs="Arial" w:eastAsia="Arial" w:hAnsi="Arial"/>
                <w:sz w:val="15"/>
                <w:szCs w:val="15"/>
                <w:b w:val="1"/>
                <w:bCs w:val="1"/>
                <w:color w:val="auto"/>
              </w:rPr>
              <w:t>As reported (GAAP)</w:t>
            </w:r>
          </w:p>
        </w:tc>
        <w:tc>
          <w:tcPr>
            <w:tcW w:w="200" w:type="dxa"/>
            <w:vAlign w:val="bottom"/>
            <w:shd w:val="clear" w:color="auto" w:fill="E7E7E7"/>
          </w:tcPr>
          <w:p>
            <w:pPr>
              <w:jc w:val="right"/>
              <w:ind w:right="6"/>
              <w:spacing w:after="0" w:line="165" w:lineRule="exact"/>
              <w:rPr>
                <w:sz w:val="20"/>
                <w:szCs w:val="20"/>
                <w:color w:val="auto"/>
              </w:rPr>
            </w:pPr>
            <w:r>
              <w:rPr>
                <w:rFonts w:ascii="Arial" w:cs="Arial" w:eastAsia="Arial" w:hAnsi="Arial"/>
                <w:sz w:val="15"/>
                <w:szCs w:val="15"/>
                <w:color w:val="auto"/>
              </w:rPr>
              <w:t>$</w:t>
            </w:r>
          </w:p>
        </w:tc>
        <w:tc>
          <w:tcPr>
            <w:tcW w:w="1000" w:type="dxa"/>
            <w:vAlign w:val="bottom"/>
            <w:shd w:val="clear" w:color="auto" w:fill="E7E7E7"/>
          </w:tcPr>
          <w:p>
            <w:pPr>
              <w:jc w:val="right"/>
              <w:ind w:right="8"/>
              <w:spacing w:after="0" w:line="165" w:lineRule="exact"/>
              <w:rPr>
                <w:sz w:val="20"/>
                <w:szCs w:val="20"/>
                <w:color w:val="auto"/>
              </w:rPr>
            </w:pPr>
            <w:r>
              <w:rPr>
                <w:rFonts w:ascii="Arial" w:cs="Arial" w:eastAsia="Arial" w:hAnsi="Arial"/>
                <w:sz w:val="15"/>
                <w:szCs w:val="15"/>
                <w:color w:val="auto"/>
              </w:rPr>
              <w:t>61,160</w:t>
            </w:r>
          </w:p>
        </w:tc>
        <w:tc>
          <w:tcPr>
            <w:tcW w:w="420" w:type="dxa"/>
            <w:vAlign w:val="bottom"/>
            <w:shd w:val="clear" w:color="auto" w:fill="E7E7E7"/>
          </w:tcPr>
          <w:p>
            <w:pPr>
              <w:jc w:val="right"/>
              <w:ind w:right="49"/>
              <w:spacing w:after="0" w:line="165" w:lineRule="exact"/>
              <w:rPr>
                <w:sz w:val="20"/>
                <w:szCs w:val="20"/>
                <w:color w:val="auto"/>
              </w:rPr>
            </w:pPr>
            <w:r>
              <w:rPr>
                <w:rFonts w:ascii="Arial" w:cs="Arial" w:eastAsia="Arial" w:hAnsi="Arial"/>
                <w:sz w:val="15"/>
                <w:szCs w:val="15"/>
                <w:color w:val="auto"/>
              </w:rPr>
              <w:t>$</w:t>
            </w:r>
          </w:p>
        </w:tc>
        <w:tc>
          <w:tcPr>
            <w:tcW w:w="90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15,075</w:t>
            </w:r>
          </w:p>
        </w:tc>
        <w:tc>
          <w:tcPr>
            <w:tcW w:w="28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w:t>
            </w:r>
          </w:p>
        </w:tc>
        <w:tc>
          <w:tcPr>
            <w:tcW w:w="92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6,597</w:t>
            </w:r>
          </w:p>
        </w:tc>
        <w:tc>
          <w:tcPr>
            <w:tcW w:w="30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w:t>
            </w:r>
          </w:p>
        </w:tc>
        <w:tc>
          <w:tcPr>
            <w:tcW w:w="82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4,226</w:t>
            </w:r>
          </w:p>
        </w:tc>
      </w:tr>
      <w:tr>
        <w:trPr>
          <w:trHeight w:val="172"/>
        </w:trPr>
        <w:tc>
          <w:tcPr>
            <w:tcW w:w="4420" w:type="dxa"/>
            <w:vAlign w:val="bottom"/>
          </w:tcPr>
          <w:p>
            <w:pPr>
              <w:spacing w:after="0"/>
              <w:rPr>
                <w:sz w:val="20"/>
                <w:szCs w:val="20"/>
                <w:color w:val="auto"/>
              </w:rPr>
            </w:pPr>
            <w:r>
              <w:rPr>
                <w:rFonts w:ascii="Arial" w:cs="Arial" w:eastAsia="Arial" w:hAnsi="Arial"/>
                <w:sz w:val="15"/>
                <w:szCs w:val="15"/>
                <w:color w:val="auto"/>
              </w:rPr>
              <w:t>Adjusted for specified items: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420" w:type="dxa"/>
            <w:vAlign w:val="bottom"/>
            <w:shd w:val="clear" w:color="auto" w:fill="E7E7E7"/>
          </w:tcPr>
          <w:p>
            <w:pPr>
              <w:ind w:left="180"/>
              <w:spacing w:after="0"/>
              <w:rPr>
                <w:sz w:val="20"/>
                <w:szCs w:val="20"/>
                <w:color w:val="auto"/>
              </w:rPr>
            </w:pPr>
            <w:r>
              <w:rPr>
                <w:rFonts w:ascii="Arial" w:cs="Arial" w:eastAsia="Arial" w:hAnsi="Arial"/>
                <w:sz w:val="15"/>
                <w:szCs w:val="15"/>
                <w:color w:val="auto"/>
              </w:rPr>
              <w:t>Intangible asset amortization</w:t>
            </w:r>
          </w:p>
        </w:tc>
        <w:tc>
          <w:tcPr>
            <w:tcW w:w="200" w:type="dxa"/>
            <w:vAlign w:val="bottom"/>
            <w:shd w:val="clear" w:color="auto" w:fill="E7E7E7"/>
          </w:tcPr>
          <w:p>
            <w:pPr>
              <w:spacing w:after="0"/>
              <w:rPr>
                <w:sz w:val="14"/>
                <w:szCs w:val="14"/>
                <w:color w:val="auto"/>
              </w:rPr>
            </w:pPr>
          </w:p>
        </w:tc>
        <w:tc>
          <w:tcPr>
            <w:tcW w:w="1000" w:type="dxa"/>
            <w:vAlign w:val="bottom"/>
            <w:shd w:val="clear" w:color="auto" w:fill="E7E7E7"/>
          </w:tcPr>
          <w:p>
            <w:pPr>
              <w:jc w:val="right"/>
              <w:ind w:right="8"/>
              <w:spacing w:after="0"/>
              <w:rPr>
                <w:sz w:val="20"/>
                <w:szCs w:val="20"/>
                <w:color w:val="auto"/>
              </w:rPr>
            </w:pPr>
            <w:r>
              <w:rPr>
                <w:rFonts w:ascii="Arial" w:cs="Arial" w:eastAsia="Arial" w:hAnsi="Arial"/>
                <w:sz w:val="15"/>
                <w:szCs w:val="15"/>
                <w:color w:val="auto"/>
              </w:rPr>
              <w:t>—</w:t>
            </w:r>
          </w:p>
        </w:tc>
        <w:tc>
          <w:tcPr>
            <w:tcW w:w="420" w:type="dxa"/>
            <w:vAlign w:val="bottom"/>
            <w:shd w:val="clear" w:color="auto" w:fill="E7E7E7"/>
          </w:tcPr>
          <w:p>
            <w:pPr>
              <w:spacing w:after="0"/>
              <w:rPr>
                <w:sz w:val="14"/>
                <w:szCs w:val="14"/>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7,377</w:t>
            </w:r>
          </w:p>
        </w:tc>
        <w:tc>
          <w:tcPr>
            <w:tcW w:w="280" w:type="dxa"/>
            <w:vAlign w:val="bottom"/>
            <w:shd w:val="clear" w:color="auto" w:fill="E7E7E7"/>
          </w:tcPr>
          <w:p>
            <w:pPr>
              <w:spacing w:after="0"/>
              <w:rPr>
                <w:sz w:val="14"/>
                <w:szCs w:val="14"/>
                <w:color w:val="auto"/>
              </w:rPr>
            </w:pPr>
          </w:p>
        </w:tc>
        <w:tc>
          <w:tcPr>
            <w:tcW w:w="9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7,377</w:t>
            </w:r>
          </w:p>
        </w:tc>
        <w:tc>
          <w:tcPr>
            <w:tcW w:w="300" w:type="dxa"/>
            <w:vAlign w:val="bottom"/>
            <w:shd w:val="clear" w:color="auto" w:fill="E7E7E7"/>
          </w:tcPr>
          <w:p>
            <w:pPr>
              <w:spacing w:after="0"/>
              <w:rPr>
                <w:sz w:val="14"/>
                <w:szCs w:val="14"/>
                <w:color w:val="auto"/>
              </w:rPr>
            </w:pPr>
          </w:p>
        </w:tc>
        <w:tc>
          <w:tcPr>
            <w:tcW w:w="8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6,221</w:t>
            </w:r>
          </w:p>
        </w:tc>
      </w:tr>
      <w:tr>
        <w:trPr>
          <w:trHeight w:val="172"/>
        </w:trPr>
        <w:tc>
          <w:tcPr>
            <w:tcW w:w="4420" w:type="dxa"/>
            <w:vAlign w:val="bottom"/>
          </w:tcPr>
          <w:p>
            <w:pPr>
              <w:ind w:left="180"/>
              <w:spacing w:after="0"/>
              <w:rPr>
                <w:sz w:val="20"/>
                <w:szCs w:val="20"/>
                <w:color w:val="auto"/>
              </w:rPr>
            </w:pPr>
            <w:r>
              <w:rPr>
                <w:rFonts w:ascii="Arial" w:cs="Arial" w:eastAsia="Arial" w:hAnsi="Arial"/>
                <w:sz w:val="15"/>
                <w:szCs w:val="15"/>
                <w:color w:val="auto"/>
              </w:rPr>
              <w:t>Acquisition and integration costs</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276</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276</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262</w:t>
            </w:r>
          </w:p>
        </w:tc>
      </w:tr>
      <w:tr>
        <w:trPr>
          <w:trHeight w:val="172"/>
        </w:trPr>
        <w:tc>
          <w:tcPr>
            <w:tcW w:w="4420" w:type="dxa"/>
            <w:vAlign w:val="bottom"/>
            <w:shd w:val="clear" w:color="auto" w:fill="E7E7E7"/>
          </w:tcPr>
          <w:p>
            <w:pPr>
              <w:ind w:left="180"/>
              <w:spacing w:after="0"/>
              <w:rPr>
                <w:sz w:val="20"/>
                <w:szCs w:val="20"/>
                <w:color w:val="auto"/>
              </w:rPr>
            </w:pPr>
            <w:r>
              <w:rPr>
                <w:rFonts w:ascii="Arial" w:cs="Arial" w:eastAsia="Arial" w:hAnsi="Arial"/>
                <w:sz w:val="15"/>
                <w:szCs w:val="15"/>
                <w:color w:val="auto"/>
              </w:rPr>
              <w:t>Acquired IPR&amp;D and milestones</w:t>
            </w:r>
          </w:p>
        </w:tc>
        <w:tc>
          <w:tcPr>
            <w:tcW w:w="200" w:type="dxa"/>
            <w:vAlign w:val="bottom"/>
            <w:shd w:val="clear" w:color="auto" w:fill="E7E7E7"/>
          </w:tcPr>
          <w:p>
            <w:pPr>
              <w:spacing w:after="0"/>
              <w:rPr>
                <w:sz w:val="14"/>
                <w:szCs w:val="14"/>
                <w:color w:val="auto"/>
              </w:rPr>
            </w:pPr>
          </w:p>
        </w:tc>
        <w:tc>
          <w:tcPr>
            <w:tcW w:w="1000" w:type="dxa"/>
            <w:vAlign w:val="bottom"/>
            <w:shd w:val="clear" w:color="auto" w:fill="E7E7E7"/>
          </w:tcPr>
          <w:p>
            <w:pPr>
              <w:jc w:val="right"/>
              <w:ind w:right="8"/>
              <w:spacing w:after="0"/>
              <w:rPr>
                <w:sz w:val="20"/>
                <w:szCs w:val="20"/>
                <w:color w:val="auto"/>
              </w:rPr>
            </w:pPr>
            <w:r>
              <w:rPr>
                <w:rFonts w:ascii="Arial" w:cs="Arial" w:eastAsia="Arial" w:hAnsi="Arial"/>
                <w:sz w:val="15"/>
                <w:szCs w:val="15"/>
                <w:color w:val="auto"/>
              </w:rPr>
              <w:t>—</w:t>
            </w:r>
          </w:p>
        </w:tc>
        <w:tc>
          <w:tcPr>
            <w:tcW w:w="420" w:type="dxa"/>
            <w:vAlign w:val="bottom"/>
            <w:shd w:val="clear" w:color="auto" w:fill="E7E7E7"/>
          </w:tcPr>
          <w:p>
            <w:pPr>
              <w:spacing w:after="0"/>
              <w:rPr>
                <w:sz w:val="14"/>
                <w:szCs w:val="14"/>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5,016</w:t>
            </w:r>
          </w:p>
        </w:tc>
        <w:tc>
          <w:tcPr>
            <w:tcW w:w="280" w:type="dxa"/>
            <w:vAlign w:val="bottom"/>
            <w:shd w:val="clear" w:color="auto" w:fill="E7E7E7"/>
          </w:tcPr>
          <w:p>
            <w:pPr>
              <w:spacing w:after="0"/>
              <w:rPr>
                <w:sz w:val="14"/>
                <w:szCs w:val="14"/>
                <w:color w:val="auto"/>
              </w:rPr>
            </w:pPr>
          </w:p>
        </w:tc>
        <w:tc>
          <w:tcPr>
            <w:tcW w:w="9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5,016</w:t>
            </w:r>
          </w:p>
        </w:tc>
        <w:tc>
          <w:tcPr>
            <w:tcW w:w="300" w:type="dxa"/>
            <w:vAlign w:val="bottom"/>
            <w:shd w:val="clear" w:color="auto" w:fill="E7E7E7"/>
          </w:tcPr>
          <w:p>
            <w:pPr>
              <w:spacing w:after="0"/>
              <w:rPr>
                <w:sz w:val="14"/>
                <w:szCs w:val="14"/>
                <w:color w:val="auto"/>
              </w:rPr>
            </w:pPr>
          </w:p>
        </w:tc>
        <w:tc>
          <w:tcPr>
            <w:tcW w:w="8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4,903</w:t>
            </w:r>
          </w:p>
        </w:tc>
      </w:tr>
      <w:tr>
        <w:trPr>
          <w:trHeight w:val="172"/>
        </w:trPr>
        <w:tc>
          <w:tcPr>
            <w:tcW w:w="4420" w:type="dxa"/>
            <w:vAlign w:val="bottom"/>
          </w:tcPr>
          <w:p>
            <w:pPr>
              <w:ind w:left="180"/>
              <w:spacing w:after="0"/>
              <w:rPr>
                <w:sz w:val="20"/>
                <w:szCs w:val="20"/>
                <w:color w:val="auto"/>
              </w:rPr>
            </w:pPr>
            <w:r>
              <w:rPr>
                <w:rFonts w:ascii="Arial" w:cs="Arial" w:eastAsia="Arial" w:hAnsi="Arial"/>
                <w:sz w:val="15"/>
                <w:szCs w:val="15"/>
                <w:color w:val="auto"/>
              </w:rPr>
              <w:t>Change in fair value of contingent consideration</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6,495</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6,309</w:t>
            </w:r>
          </w:p>
        </w:tc>
      </w:tr>
      <w:tr>
        <w:trPr>
          <w:trHeight w:val="172"/>
        </w:trPr>
        <w:tc>
          <w:tcPr>
            <w:tcW w:w="4420" w:type="dxa"/>
            <w:vAlign w:val="bottom"/>
            <w:shd w:val="clear" w:color="auto" w:fill="E7E7E7"/>
          </w:tcPr>
          <w:p>
            <w:pPr>
              <w:ind w:left="180"/>
              <w:spacing w:after="0"/>
              <w:rPr>
                <w:sz w:val="20"/>
                <w:szCs w:val="20"/>
                <w:color w:val="auto"/>
              </w:rPr>
            </w:pPr>
            <w:r>
              <w:rPr>
                <w:rFonts w:ascii="Arial" w:cs="Arial" w:eastAsia="Arial" w:hAnsi="Arial"/>
                <w:sz w:val="15"/>
                <w:szCs w:val="15"/>
                <w:color w:val="auto"/>
              </w:rPr>
              <w:t>Intangible asset impairment</w:t>
            </w:r>
          </w:p>
        </w:tc>
        <w:tc>
          <w:tcPr>
            <w:tcW w:w="200" w:type="dxa"/>
            <w:vAlign w:val="bottom"/>
            <w:shd w:val="clear" w:color="auto" w:fill="E7E7E7"/>
          </w:tcPr>
          <w:p>
            <w:pPr>
              <w:spacing w:after="0"/>
              <w:rPr>
                <w:sz w:val="14"/>
                <w:szCs w:val="14"/>
                <w:color w:val="auto"/>
              </w:rPr>
            </w:pPr>
          </w:p>
        </w:tc>
        <w:tc>
          <w:tcPr>
            <w:tcW w:w="1000" w:type="dxa"/>
            <w:vAlign w:val="bottom"/>
            <w:shd w:val="clear" w:color="auto" w:fill="E7E7E7"/>
          </w:tcPr>
          <w:p>
            <w:pPr>
              <w:jc w:val="right"/>
              <w:ind w:right="8"/>
              <w:spacing w:after="0"/>
              <w:rPr>
                <w:sz w:val="20"/>
                <w:szCs w:val="20"/>
                <w:color w:val="auto"/>
              </w:rPr>
            </w:pPr>
            <w:r>
              <w:rPr>
                <w:rFonts w:ascii="Arial" w:cs="Arial" w:eastAsia="Arial" w:hAnsi="Arial"/>
                <w:sz w:val="15"/>
                <w:szCs w:val="15"/>
                <w:color w:val="auto"/>
              </w:rPr>
              <w:t>—</w:t>
            </w:r>
          </w:p>
        </w:tc>
        <w:tc>
          <w:tcPr>
            <w:tcW w:w="420" w:type="dxa"/>
            <w:vAlign w:val="bottom"/>
            <w:shd w:val="clear" w:color="auto" w:fill="E7E7E7"/>
          </w:tcPr>
          <w:p>
            <w:pPr>
              <w:spacing w:after="0"/>
              <w:rPr>
                <w:sz w:val="14"/>
                <w:szCs w:val="14"/>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847</w:t>
            </w:r>
          </w:p>
        </w:tc>
        <w:tc>
          <w:tcPr>
            <w:tcW w:w="280" w:type="dxa"/>
            <w:vAlign w:val="bottom"/>
            <w:shd w:val="clear" w:color="auto" w:fill="E7E7E7"/>
          </w:tcPr>
          <w:p>
            <w:pPr>
              <w:spacing w:after="0"/>
              <w:rPr>
                <w:sz w:val="14"/>
                <w:szCs w:val="14"/>
                <w:color w:val="auto"/>
              </w:rPr>
            </w:pPr>
          </w:p>
        </w:tc>
        <w:tc>
          <w:tcPr>
            <w:tcW w:w="9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847</w:t>
            </w:r>
          </w:p>
        </w:tc>
        <w:tc>
          <w:tcPr>
            <w:tcW w:w="300" w:type="dxa"/>
            <w:vAlign w:val="bottom"/>
            <w:shd w:val="clear" w:color="auto" w:fill="E7E7E7"/>
          </w:tcPr>
          <w:p>
            <w:pPr>
              <w:spacing w:after="0"/>
              <w:rPr>
                <w:sz w:val="14"/>
                <w:szCs w:val="14"/>
                <w:color w:val="auto"/>
              </w:rPr>
            </w:pPr>
          </w:p>
        </w:tc>
        <w:tc>
          <w:tcPr>
            <w:tcW w:w="8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701</w:t>
            </w:r>
          </w:p>
        </w:tc>
      </w:tr>
      <w:tr>
        <w:trPr>
          <w:trHeight w:val="172"/>
        </w:trPr>
        <w:tc>
          <w:tcPr>
            <w:tcW w:w="4420" w:type="dxa"/>
            <w:vAlign w:val="bottom"/>
          </w:tcPr>
          <w:p>
            <w:pPr>
              <w:ind w:left="180"/>
              <w:spacing w:after="0"/>
              <w:rPr>
                <w:sz w:val="20"/>
                <w:szCs w:val="20"/>
                <w:color w:val="auto"/>
              </w:rPr>
            </w:pPr>
            <w:r>
              <w:rPr>
                <w:rFonts w:ascii="Arial" w:cs="Arial" w:eastAsia="Arial" w:hAnsi="Arial"/>
                <w:sz w:val="15"/>
                <w:szCs w:val="15"/>
                <w:color w:val="auto"/>
              </w:rPr>
              <w:t>Other</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146</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100</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172"/>
        </w:trPr>
        <w:tc>
          <w:tcPr>
            <w:tcW w:w="4420" w:type="dxa"/>
            <w:vAlign w:val="bottom"/>
            <w:shd w:val="clear" w:color="auto" w:fill="E7E7E7"/>
          </w:tcPr>
          <w:p>
            <w:pPr>
              <w:spacing w:after="0"/>
              <w:rPr>
                <w:sz w:val="20"/>
                <w:szCs w:val="20"/>
                <w:color w:val="auto"/>
              </w:rPr>
            </w:pPr>
            <w:r>
              <w:rPr>
                <w:rFonts w:ascii="Arial" w:cs="Arial" w:eastAsia="Arial" w:hAnsi="Arial"/>
                <w:sz w:val="15"/>
                <w:szCs w:val="15"/>
                <w:color w:val="auto"/>
              </w:rPr>
              <w:t>Adjusted for Humira net revenues</w:t>
            </w:r>
          </w:p>
        </w:tc>
        <w:tc>
          <w:tcPr>
            <w:tcW w:w="200" w:type="dxa"/>
            <w:vAlign w:val="bottom"/>
            <w:shd w:val="clear" w:color="auto" w:fill="E7E7E7"/>
          </w:tcPr>
          <w:p>
            <w:pPr>
              <w:spacing w:after="0"/>
              <w:rPr>
                <w:sz w:val="14"/>
                <w:szCs w:val="14"/>
                <w:color w:val="auto"/>
              </w:rPr>
            </w:pPr>
          </w:p>
        </w:tc>
        <w:tc>
          <w:tcPr>
            <w:tcW w:w="10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(4,540)</w:t>
            </w:r>
          </w:p>
        </w:tc>
        <w:tc>
          <w:tcPr>
            <w:tcW w:w="420" w:type="dxa"/>
            <w:vAlign w:val="bottom"/>
            <w:shd w:val="clear" w:color="auto" w:fill="E7E7E7"/>
          </w:tcPr>
          <w:p>
            <w:pPr>
              <w:spacing w:after="0"/>
              <w:rPr>
                <w:sz w:val="14"/>
                <w:szCs w:val="14"/>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E7E7E7"/>
          </w:tcPr>
          <w:p>
            <w:pPr>
              <w:spacing w:after="0"/>
              <w:rPr>
                <w:sz w:val="14"/>
                <w:szCs w:val="14"/>
                <w:color w:val="auto"/>
              </w:rPr>
            </w:pPr>
          </w:p>
        </w:tc>
        <w:tc>
          <w:tcPr>
            <w:tcW w:w="9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E7E7E7"/>
          </w:tcPr>
          <w:p>
            <w:pPr>
              <w:spacing w:after="0"/>
              <w:rPr>
                <w:sz w:val="14"/>
                <w:szCs w:val="14"/>
                <w:color w:val="auto"/>
              </w:rPr>
            </w:pPr>
          </w:p>
        </w:tc>
        <w:tc>
          <w:tcPr>
            <w:tcW w:w="8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r>
      <w:tr>
        <w:trPr>
          <w:trHeight w:val="172"/>
        </w:trPr>
        <w:tc>
          <w:tcPr>
            <w:tcW w:w="4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Adjusted for foreign exchange</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w:t>
            </w: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65"/>
        </w:trPr>
        <w:tc>
          <w:tcPr>
            <w:tcW w:w="4420" w:type="dxa"/>
            <w:vAlign w:val="bottom"/>
            <w:tcBorders>
              <w:bottom w:val="single" w:sz="8" w:color="auto"/>
            </w:tcBorders>
            <w:shd w:val="clear" w:color="auto" w:fill="E7E7E7"/>
          </w:tcPr>
          <w:p>
            <w:pPr>
              <w:spacing w:after="0" w:line="165" w:lineRule="exact"/>
              <w:rPr>
                <w:sz w:val="20"/>
                <w:szCs w:val="20"/>
                <w:color w:val="auto"/>
              </w:rPr>
            </w:pPr>
            <w:r>
              <w:rPr>
                <w:rFonts w:ascii="Arial" w:cs="Arial" w:eastAsia="Arial" w:hAnsi="Arial"/>
                <w:sz w:val="15"/>
                <w:szCs w:val="15"/>
                <w:b w:val="1"/>
                <w:bCs w:val="1"/>
                <w:color w:val="auto"/>
              </w:rPr>
              <w:t>As adjusted (non-GAAP)</w:t>
            </w:r>
          </w:p>
        </w:tc>
        <w:tc>
          <w:tcPr>
            <w:tcW w:w="200" w:type="dxa"/>
            <w:vAlign w:val="bottom"/>
            <w:tcBorders>
              <w:bottom w:val="single" w:sz="8" w:color="auto"/>
            </w:tcBorders>
            <w:shd w:val="clear" w:color="auto" w:fill="E7E7E7"/>
          </w:tcPr>
          <w:p>
            <w:pPr>
              <w:jc w:val="right"/>
              <w:ind w:right="6"/>
              <w:spacing w:after="0" w:line="165"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E7E7E7"/>
          </w:tcPr>
          <w:p>
            <w:pPr>
              <w:jc w:val="right"/>
              <w:ind w:right="8"/>
              <w:spacing w:after="0" w:line="165" w:lineRule="exact"/>
              <w:rPr>
                <w:sz w:val="20"/>
                <w:szCs w:val="20"/>
                <w:color w:val="auto"/>
              </w:rPr>
            </w:pPr>
            <w:r>
              <w:rPr>
                <w:rFonts w:ascii="Arial" w:cs="Arial" w:eastAsia="Arial" w:hAnsi="Arial"/>
                <w:sz w:val="15"/>
                <w:szCs w:val="15"/>
                <w:color w:val="auto"/>
              </w:rPr>
              <w:t>56,338</w:t>
            </w:r>
          </w:p>
        </w:tc>
        <w:tc>
          <w:tcPr>
            <w:tcW w:w="420" w:type="dxa"/>
            <w:vAlign w:val="bottom"/>
            <w:tcBorders>
              <w:bottom w:val="single" w:sz="8" w:color="auto"/>
            </w:tcBorders>
            <w:shd w:val="clear" w:color="auto" w:fill="E7E7E7"/>
          </w:tcPr>
          <w:p>
            <w:pPr>
              <w:jc w:val="right"/>
              <w:ind w:right="49"/>
              <w:spacing w:after="0" w:line="165"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rPr>
              <w:t>28,959</w:t>
            </w:r>
          </w:p>
        </w:tc>
        <w:tc>
          <w:tcPr>
            <w:tcW w:w="28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rPr>
              <w:t>26,941</w:t>
            </w:r>
          </w:p>
        </w:tc>
        <w:tc>
          <w:tcPr>
            <w:tcW w:w="30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rPr>
              <w:t>22,687</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*Net revenues are adjusted as outlined in the table to calculate the Platform Revenue performance results.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**Represents net earnings attributable to AbbVie Inc.</w:t>
      </w:r>
    </w:p>
    <w:p>
      <w:pPr>
        <w:spacing w:after="0" w:line="112"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Intangible asset impairment reflects impairment charges of $847 million related to the Resonic and Durysta intangible assets. Acquisition and integration costs primarily reflect costs related to the Capstan Therapeutics acquisition. Acquired IPR&amp;D and milestones represents initial costs and subsequent development milestones incurred to acquire rights to in-process R&amp;D projects through R&amp;D collaborations, licensing arrangements or other asset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2180" w:val="left"/>
        </w:tabs>
        <w:rPr>
          <w:sz w:val="20"/>
          <w:szCs w:val="20"/>
          <w:color w:val="auto"/>
        </w:rPr>
      </w:pPr>
      <w:r>
        <w:rPr>
          <w:rFonts w:ascii="Arial" w:cs="Arial" w:eastAsia="Arial" w:hAnsi="Arial"/>
          <w:sz w:val="16"/>
          <w:szCs w:val="16"/>
          <w:color w:val="auto"/>
        </w:rPr>
        <w:t xml:space="preserve">B-2  </w:t>
      </w:r>
      <w:r>
        <w:rPr>
          <w:sz w:val="1"/>
          <w:szCs w:val="1"/>
          <w:color w:val="auto"/>
        </w:rPr>
        <w:drawing>
          <wp:inline distT="0" distB="0" distL="0" distR="0">
            <wp:extent cx="797560" cy="14859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97560" cy="14859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5878195" cy="234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78195" cy="23495"/>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Performance Results for Financial Goals Reconciliations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tcPr>
          <w:p>
            <w:pPr>
              <w:ind w:left="4280"/>
              <w:spacing w:after="0"/>
              <w:rPr>
                <w:sz w:val="20"/>
                <w:szCs w:val="20"/>
                <w:color w:val="auto"/>
              </w:rPr>
            </w:pPr>
            <w:r>
              <w:rPr>
                <w:rFonts w:ascii="Arial" w:cs="Arial" w:eastAsia="Arial" w:hAnsi="Arial"/>
                <w:sz w:val="13"/>
                <w:szCs w:val="13"/>
                <w:b w:val="1"/>
                <w:bCs w:val="1"/>
                <w:color w:val="454968"/>
              </w:rPr>
              <w:t>​​​</w:t>
            </w:r>
          </w:p>
        </w:tc>
        <w:tc>
          <w:tcPr>
            <w:tcW w:w="200" w:type="dxa"/>
            <w:vAlign w:val="bottom"/>
          </w:tcPr>
          <w:p>
            <w:pPr>
              <w:spacing w:after="0"/>
              <w:rPr>
                <w:sz w:val="13"/>
                <w:szCs w:val="13"/>
                <w:color w:val="auto"/>
              </w:rPr>
            </w:pPr>
          </w:p>
        </w:tc>
        <w:tc>
          <w:tcPr>
            <w:tcW w:w="1000" w:type="dxa"/>
            <w:vAlign w:val="bottom"/>
          </w:tcPr>
          <w:p>
            <w:pPr>
              <w:jc w:val="right"/>
              <w:ind w:right="407"/>
              <w:spacing w:after="0"/>
              <w:rPr>
                <w:sz w:val="20"/>
                <w:szCs w:val="20"/>
                <w:color w:val="auto"/>
              </w:rPr>
            </w:pPr>
            <w:r>
              <w:rPr>
                <w:rFonts w:ascii="Arial" w:cs="Arial" w:eastAsia="Arial" w:hAnsi="Arial"/>
                <w:sz w:val="13"/>
                <w:szCs w:val="13"/>
                <w:b w:val="1"/>
                <w:bCs w:val="1"/>
                <w:color w:val="454968"/>
              </w:rPr>
              <w:t>Net</w:t>
            </w:r>
          </w:p>
        </w:tc>
        <w:tc>
          <w:tcPr>
            <w:tcW w:w="420" w:type="dxa"/>
            <w:vAlign w:val="bottom"/>
          </w:tcPr>
          <w:p>
            <w:pPr>
              <w:jc w:val="right"/>
              <w:ind w:right="189"/>
              <w:spacing w:after="0"/>
              <w:rPr>
                <w:sz w:val="20"/>
                <w:szCs w:val="20"/>
                <w:color w:val="auto"/>
              </w:rPr>
            </w:pPr>
            <w:r>
              <w:rPr>
                <w:rFonts w:ascii="Arial" w:cs="Arial" w:eastAsia="Arial" w:hAnsi="Arial"/>
                <w:sz w:val="13"/>
                <w:szCs w:val="13"/>
                <w:b w:val="1"/>
                <w:bCs w:val="1"/>
                <w:color w:val="454968"/>
              </w:rPr>
              <w:t>​​​</w:t>
            </w:r>
          </w:p>
        </w:tc>
        <w:tc>
          <w:tcPr>
            <w:tcW w:w="900" w:type="dxa"/>
            <w:vAlign w:val="bottom"/>
          </w:tcPr>
          <w:p>
            <w:pPr>
              <w:jc w:val="right"/>
              <w:ind w:right="107"/>
              <w:spacing w:after="0"/>
              <w:rPr>
                <w:sz w:val="20"/>
                <w:szCs w:val="20"/>
                <w:color w:val="auto"/>
              </w:rPr>
            </w:pPr>
            <w:r>
              <w:rPr>
                <w:rFonts w:ascii="Arial" w:cs="Arial" w:eastAsia="Arial" w:hAnsi="Arial"/>
                <w:sz w:val="13"/>
                <w:szCs w:val="13"/>
                <w:b w:val="1"/>
                <w:bCs w:val="1"/>
                <w:color w:val="454968"/>
              </w:rPr>
              <w:t>Operating</w:t>
            </w:r>
          </w:p>
        </w:tc>
        <w:tc>
          <w:tcPr>
            <w:tcW w:w="280" w:type="dxa"/>
            <w:vAlign w:val="bottom"/>
          </w:tcPr>
          <w:p>
            <w:pPr>
              <w:jc w:val="right"/>
              <w:ind w:right="29"/>
              <w:spacing w:after="0"/>
              <w:rPr>
                <w:sz w:val="20"/>
                <w:szCs w:val="20"/>
                <w:color w:val="auto"/>
              </w:rPr>
            </w:pPr>
            <w:r>
              <w:rPr>
                <w:rFonts w:ascii="Arial" w:cs="Arial" w:eastAsia="Arial" w:hAnsi="Arial"/>
                <w:sz w:val="13"/>
                <w:szCs w:val="13"/>
                <w:color w:val="454968"/>
              </w:rPr>
              <w:t>​​​</w:t>
            </w:r>
          </w:p>
        </w:tc>
        <w:tc>
          <w:tcPr>
            <w:tcW w:w="920" w:type="dxa"/>
            <w:vAlign w:val="bottom"/>
          </w:tcPr>
          <w:p>
            <w:pPr>
              <w:jc w:val="right"/>
              <w:ind w:right="187"/>
              <w:spacing w:after="0"/>
              <w:rPr>
                <w:sz w:val="20"/>
                <w:szCs w:val="20"/>
                <w:color w:val="auto"/>
              </w:rPr>
            </w:pPr>
            <w:r>
              <w:rPr>
                <w:rFonts w:ascii="Arial" w:cs="Arial" w:eastAsia="Arial" w:hAnsi="Arial"/>
                <w:sz w:val="13"/>
                <w:szCs w:val="13"/>
                <w:b w:val="1"/>
                <w:bCs w:val="1"/>
                <w:color w:val="454968"/>
              </w:rPr>
              <w:t>Income</w:t>
            </w:r>
          </w:p>
        </w:tc>
        <w:tc>
          <w:tcPr>
            <w:tcW w:w="300" w:type="dxa"/>
            <w:vAlign w:val="bottom"/>
          </w:tcPr>
          <w:p>
            <w:pPr>
              <w:jc w:val="right"/>
              <w:ind w:right="69"/>
              <w:spacing w:after="0"/>
              <w:rPr>
                <w:sz w:val="20"/>
                <w:szCs w:val="20"/>
                <w:color w:val="auto"/>
              </w:rPr>
            </w:pPr>
            <w:r>
              <w:rPr>
                <w:rFonts w:ascii="Arial" w:cs="Arial" w:eastAsia="Arial" w:hAnsi="Arial"/>
                <w:sz w:val="13"/>
                <w:szCs w:val="13"/>
                <w:b w:val="1"/>
                <w:bCs w:val="1"/>
                <w:color w:val="454968"/>
              </w:rPr>
              <w:t>​​​</w:t>
            </w:r>
          </w:p>
        </w:tc>
        <w:tc>
          <w:tcPr>
            <w:tcW w:w="820" w:type="dxa"/>
            <w:vAlign w:val="bottom"/>
          </w:tcPr>
          <w:p>
            <w:pPr>
              <w:jc w:val="right"/>
              <w:ind w:right="267"/>
              <w:spacing w:after="0"/>
              <w:rPr>
                <w:sz w:val="20"/>
                <w:szCs w:val="20"/>
                <w:color w:val="auto"/>
              </w:rPr>
            </w:pPr>
            <w:r>
              <w:rPr>
                <w:rFonts w:ascii="Arial" w:cs="Arial" w:eastAsia="Arial" w:hAnsi="Arial"/>
                <w:sz w:val="13"/>
                <w:szCs w:val="13"/>
                <w:b w:val="1"/>
                <w:bCs w:val="1"/>
                <w:color w:val="454968"/>
              </w:rPr>
              <w:t>Net</w:t>
            </w:r>
          </w:p>
        </w:tc>
      </w:tr>
      <w:tr>
        <w:trPr>
          <w:trHeight w:val="155"/>
        </w:trPr>
        <w:tc>
          <w:tcPr>
            <w:tcW w:w="4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87"/>
              <w:spacing w:after="0"/>
              <w:rPr>
                <w:sz w:val="20"/>
                <w:szCs w:val="20"/>
                <w:color w:val="auto"/>
              </w:rPr>
            </w:pPr>
            <w:r>
              <w:rPr>
                <w:rFonts w:ascii="Arial" w:cs="Arial" w:eastAsia="Arial" w:hAnsi="Arial"/>
                <w:sz w:val="13"/>
                <w:szCs w:val="13"/>
                <w:b w:val="1"/>
                <w:bCs w:val="1"/>
                <w:color w:val="454968"/>
              </w:rPr>
              <w:t>Revenues*</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87"/>
              <w:spacing w:after="0"/>
              <w:rPr>
                <w:sz w:val="20"/>
                <w:szCs w:val="20"/>
                <w:color w:val="auto"/>
              </w:rPr>
            </w:pPr>
            <w:r>
              <w:rPr>
                <w:rFonts w:ascii="Arial" w:cs="Arial" w:eastAsia="Arial" w:hAnsi="Arial"/>
                <w:sz w:val="13"/>
                <w:szCs w:val="13"/>
                <w:b w:val="1"/>
                <w:bCs w:val="1"/>
                <w:color w:val="454968"/>
              </w:rPr>
              <w:t>Margin</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Before Taxes</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454968"/>
              </w:rPr>
              <w:t>Earnings**</w:t>
            </w:r>
          </w:p>
        </w:tc>
      </w:tr>
      <w:tr>
        <w:trPr>
          <w:trHeight w:val="165"/>
        </w:trPr>
        <w:tc>
          <w:tcPr>
            <w:tcW w:w="4420" w:type="dxa"/>
            <w:vAlign w:val="bottom"/>
            <w:shd w:val="clear" w:color="auto" w:fill="E7E7E7"/>
          </w:tcPr>
          <w:p>
            <w:pPr>
              <w:spacing w:after="0" w:line="165" w:lineRule="exact"/>
              <w:rPr>
                <w:sz w:val="20"/>
                <w:szCs w:val="20"/>
                <w:color w:val="auto"/>
              </w:rPr>
            </w:pPr>
            <w:r>
              <w:rPr>
                <w:rFonts w:ascii="Arial" w:cs="Arial" w:eastAsia="Arial" w:hAnsi="Arial"/>
                <w:sz w:val="15"/>
                <w:szCs w:val="15"/>
                <w:b w:val="1"/>
                <w:bCs w:val="1"/>
                <w:color w:val="auto"/>
              </w:rPr>
              <w:t>As reported (GAAP)</w:t>
            </w:r>
          </w:p>
        </w:tc>
        <w:tc>
          <w:tcPr>
            <w:tcW w:w="200" w:type="dxa"/>
            <w:vAlign w:val="bottom"/>
            <w:shd w:val="clear" w:color="auto" w:fill="E7E7E7"/>
          </w:tcPr>
          <w:p>
            <w:pPr>
              <w:jc w:val="right"/>
              <w:ind w:right="6"/>
              <w:spacing w:after="0" w:line="165" w:lineRule="exact"/>
              <w:rPr>
                <w:sz w:val="20"/>
                <w:szCs w:val="20"/>
                <w:color w:val="auto"/>
              </w:rPr>
            </w:pPr>
            <w:r>
              <w:rPr>
                <w:rFonts w:ascii="Arial" w:cs="Arial" w:eastAsia="Arial" w:hAnsi="Arial"/>
                <w:sz w:val="15"/>
                <w:szCs w:val="15"/>
                <w:color w:val="auto"/>
              </w:rPr>
              <w:t>$</w:t>
            </w:r>
          </w:p>
        </w:tc>
        <w:tc>
          <w:tcPr>
            <w:tcW w:w="1000" w:type="dxa"/>
            <w:vAlign w:val="bottom"/>
            <w:shd w:val="clear" w:color="auto" w:fill="E7E7E7"/>
          </w:tcPr>
          <w:p>
            <w:pPr>
              <w:jc w:val="right"/>
              <w:ind w:right="7"/>
              <w:spacing w:after="0" w:line="165" w:lineRule="exact"/>
              <w:rPr>
                <w:sz w:val="20"/>
                <w:szCs w:val="20"/>
                <w:color w:val="auto"/>
              </w:rPr>
            </w:pPr>
            <w:r>
              <w:rPr>
                <w:rFonts w:ascii="Arial" w:cs="Arial" w:eastAsia="Arial" w:hAnsi="Arial"/>
                <w:sz w:val="15"/>
                <w:szCs w:val="15"/>
                <w:color w:val="auto"/>
              </w:rPr>
              <w:t>56,334</w:t>
            </w:r>
          </w:p>
        </w:tc>
        <w:tc>
          <w:tcPr>
            <w:tcW w:w="420" w:type="dxa"/>
            <w:vAlign w:val="bottom"/>
            <w:shd w:val="clear" w:color="auto" w:fill="E7E7E7"/>
          </w:tcPr>
          <w:p>
            <w:pPr>
              <w:jc w:val="right"/>
              <w:ind w:right="49"/>
              <w:spacing w:after="0" w:line="165" w:lineRule="exact"/>
              <w:rPr>
                <w:sz w:val="20"/>
                <w:szCs w:val="20"/>
                <w:color w:val="auto"/>
              </w:rPr>
            </w:pPr>
            <w:r>
              <w:rPr>
                <w:rFonts w:ascii="Arial" w:cs="Arial" w:eastAsia="Arial" w:hAnsi="Arial"/>
                <w:sz w:val="15"/>
                <w:szCs w:val="15"/>
                <w:color w:val="auto"/>
              </w:rPr>
              <w:t>$</w:t>
            </w:r>
          </w:p>
        </w:tc>
        <w:tc>
          <w:tcPr>
            <w:tcW w:w="90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9,137</w:t>
            </w:r>
          </w:p>
        </w:tc>
        <w:tc>
          <w:tcPr>
            <w:tcW w:w="28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w:t>
            </w:r>
          </w:p>
        </w:tc>
        <w:tc>
          <w:tcPr>
            <w:tcW w:w="92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3,716</w:t>
            </w:r>
          </w:p>
        </w:tc>
        <w:tc>
          <w:tcPr>
            <w:tcW w:w="30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w:t>
            </w:r>
          </w:p>
        </w:tc>
        <w:tc>
          <w:tcPr>
            <w:tcW w:w="820" w:type="dxa"/>
            <w:vAlign w:val="bottom"/>
            <w:shd w:val="clear" w:color="auto" w:fill="E7E7E7"/>
          </w:tcPr>
          <w:p>
            <w:pPr>
              <w:jc w:val="right"/>
              <w:spacing w:after="0" w:line="165" w:lineRule="exact"/>
              <w:rPr>
                <w:sz w:val="20"/>
                <w:szCs w:val="20"/>
                <w:color w:val="auto"/>
              </w:rPr>
            </w:pPr>
            <w:r>
              <w:rPr>
                <w:rFonts w:ascii="Arial" w:cs="Arial" w:eastAsia="Arial" w:hAnsi="Arial"/>
                <w:sz w:val="15"/>
                <w:szCs w:val="15"/>
                <w:color w:val="auto"/>
              </w:rPr>
              <w:t>4,278</w:t>
            </w:r>
          </w:p>
        </w:tc>
      </w:tr>
      <w:tr>
        <w:trPr>
          <w:trHeight w:val="172"/>
        </w:trPr>
        <w:tc>
          <w:tcPr>
            <w:tcW w:w="4420" w:type="dxa"/>
            <w:vAlign w:val="bottom"/>
          </w:tcPr>
          <w:p>
            <w:pPr>
              <w:spacing w:after="0"/>
              <w:rPr>
                <w:sz w:val="20"/>
                <w:szCs w:val="20"/>
                <w:color w:val="auto"/>
              </w:rPr>
            </w:pPr>
            <w:r>
              <w:rPr>
                <w:rFonts w:ascii="Arial" w:cs="Arial" w:eastAsia="Arial" w:hAnsi="Arial"/>
                <w:sz w:val="15"/>
                <w:szCs w:val="15"/>
                <w:color w:val="auto"/>
              </w:rPr>
              <w:t>Adjusted for specified items: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420" w:type="dxa"/>
            <w:vAlign w:val="bottom"/>
            <w:shd w:val="clear" w:color="auto" w:fill="E7E7E7"/>
          </w:tcPr>
          <w:p>
            <w:pPr>
              <w:ind w:left="180"/>
              <w:spacing w:after="0"/>
              <w:rPr>
                <w:sz w:val="20"/>
                <w:szCs w:val="20"/>
                <w:color w:val="auto"/>
              </w:rPr>
            </w:pPr>
            <w:r>
              <w:rPr>
                <w:rFonts w:ascii="Arial" w:cs="Arial" w:eastAsia="Arial" w:hAnsi="Arial"/>
                <w:sz w:val="15"/>
                <w:szCs w:val="15"/>
                <w:color w:val="auto"/>
              </w:rPr>
              <w:t>Intangible asset amortization</w:t>
            </w:r>
          </w:p>
        </w:tc>
        <w:tc>
          <w:tcPr>
            <w:tcW w:w="200" w:type="dxa"/>
            <w:vAlign w:val="bottom"/>
            <w:shd w:val="clear" w:color="auto" w:fill="E7E7E7"/>
          </w:tcPr>
          <w:p>
            <w:pPr>
              <w:spacing w:after="0"/>
              <w:rPr>
                <w:sz w:val="14"/>
                <w:szCs w:val="14"/>
                <w:color w:val="auto"/>
              </w:rPr>
            </w:pPr>
          </w:p>
        </w:tc>
        <w:tc>
          <w:tcPr>
            <w:tcW w:w="1000" w:type="dxa"/>
            <w:vAlign w:val="bottom"/>
            <w:shd w:val="clear" w:color="auto" w:fill="E7E7E7"/>
          </w:tcPr>
          <w:p>
            <w:pPr>
              <w:jc w:val="right"/>
              <w:ind w:right="7"/>
              <w:spacing w:after="0"/>
              <w:rPr>
                <w:sz w:val="20"/>
                <w:szCs w:val="20"/>
                <w:color w:val="auto"/>
              </w:rPr>
            </w:pPr>
            <w:r>
              <w:rPr>
                <w:rFonts w:ascii="Arial" w:cs="Arial" w:eastAsia="Arial" w:hAnsi="Arial"/>
                <w:sz w:val="15"/>
                <w:szCs w:val="15"/>
                <w:color w:val="auto"/>
              </w:rPr>
              <w:t>—</w:t>
            </w:r>
          </w:p>
        </w:tc>
        <w:tc>
          <w:tcPr>
            <w:tcW w:w="420" w:type="dxa"/>
            <w:vAlign w:val="bottom"/>
            <w:shd w:val="clear" w:color="auto" w:fill="E7E7E7"/>
          </w:tcPr>
          <w:p>
            <w:pPr>
              <w:spacing w:after="0"/>
              <w:rPr>
                <w:sz w:val="14"/>
                <w:szCs w:val="14"/>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7,622</w:t>
            </w:r>
          </w:p>
        </w:tc>
        <w:tc>
          <w:tcPr>
            <w:tcW w:w="280" w:type="dxa"/>
            <w:vAlign w:val="bottom"/>
            <w:shd w:val="clear" w:color="auto" w:fill="E7E7E7"/>
          </w:tcPr>
          <w:p>
            <w:pPr>
              <w:spacing w:after="0"/>
              <w:rPr>
                <w:sz w:val="14"/>
                <w:szCs w:val="14"/>
                <w:color w:val="auto"/>
              </w:rPr>
            </w:pPr>
          </w:p>
        </w:tc>
        <w:tc>
          <w:tcPr>
            <w:tcW w:w="9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7,622</w:t>
            </w:r>
          </w:p>
        </w:tc>
        <w:tc>
          <w:tcPr>
            <w:tcW w:w="300" w:type="dxa"/>
            <w:vAlign w:val="bottom"/>
            <w:shd w:val="clear" w:color="auto" w:fill="E7E7E7"/>
          </w:tcPr>
          <w:p>
            <w:pPr>
              <w:spacing w:after="0"/>
              <w:rPr>
                <w:sz w:val="14"/>
                <w:szCs w:val="14"/>
                <w:color w:val="auto"/>
              </w:rPr>
            </w:pPr>
          </w:p>
        </w:tc>
        <w:tc>
          <w:tcPr>
            <w:tcW w:w="8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6,461</w:t>
            </w:r>
          </w:p>
        </w:tc>
      </w:tr>
      <w:tr>
        <w:trPr>
          <w:trHeight w:val="172"/>
        </w:trPr>
        <w:tc>
          <w:tcPr>
            <w:tcW w:w="4420" w:type="dxa"/>
            <w:vAlign w:val="bottom"/>
          </w:tcPr>
          <w:p>
            <w:pPr>
              <w:ind w:left="180"/>
              <w:spacing w:after="0"/>
              <w:rPr>
                <w:sz w:val="20"/>
                <w:szCs w:val="20"/>
                <w:color w:val="auto"/>
              </w:rPr>
            </w:pPr>
            <w:r>
              <w:rPr>
                <w:rFonts w:ascii="Arial" w:cs="Arial" w:eastAsia="Arial" w:hAnsi="Arial"/>
                <w:sz w:val="15"/>
                <w:szCs w:val="15"/>
                <w:color w:val="auto"/>
              </w:rPr>
              <w:t>Acquisition and integration costs</w:t>
            </w:r>
          </w:p>
        </w:tc>
        <w:tc>
          <w:tcPr>
            <w:tcW w:w="2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1,037</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1,061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978</w:t>
            </w:r>
          </w:p>
        </w:tc>
      </w:tr>
      <w:tr>
        <w:trPr>
          <w:trHeight w:val="172"/>
        </w:trPr>
        <w:tc>
          <w:tcPr>
            <w:tcW w:w="4420" w:type="dxa"/>
            <w:vAlign w:val="bottom"/>
            <w:shd w:val="clear" w:color="auto" w:fill="E7E7E7"/>
          </w:tcPr>
          <w:p>
            <w:pPr>
              <w:ind w:left="180"/>
              <w:spacing w:after="0"/>
              <w:rPr>
                <w:sz w:val="20"/>
                <w:szCs w:val="20"/>
                <w:color w:val="auto"/>
              </w:rPr>
            </w:pPr>
            <w:r>
              <w:rPr>
                <w:rFonts w:ascii="Arial" w:cs="Arial" w:eastAsia="Arial" w:hAnsi="Arial"/>
                <w:sz w:val="15"/>
                <w:szCs w:val="15"/>
                <w:color w:val="auto"/>
              </w:rPr>
              <w:t>Acquired IPR&amp;D and milestones</w:t>
            </w:r>
          </w:p>
        </w:tc>
        <w:tc>
          <w:tcPr>
            <w:tcW w:w="200" w:type="dxa"/>
            <w:vAlign w:val="bottom"/>
            <w:shd w:val="clear" w:color="auto" w:fill="E7E7E7"/>
          </w:tcPr>
          <w:p>
            <w:pPr>
              <w:spacing w:after="0"/>
              <w:rPr>
                <w:sz w:val="14"/>
                <w:szCs w:val="14"/>
                <w:color w:val="auto"/>
              </w:rPr>
            </w:pPr>
          </w:p>
        </w:tc>
        <w:tc>
          <w:tcPr>
            <w:tcW w:w="1000" w:type="dxa"/>
            <w:vAlign w:val="bottom"/>
            <w:shd w:val="clear" w:color="auto" w:fill="E7E7E7"/>
          </w:tcPr>
          <w:p>
            <w:pPr>
              <w:jc w:val="right"/>
              <w:ind w:right="7"/>
              <w:spacing w:after="0"/>
              <w:rPr>
                <w:sz w:val="20"/>
                <w:szCs w:val="20"/>
                <w:color w:val="auto"/>
              </w:rPr>
            </w:pPr>
            <w:r>
              <w:rPr>
                <w:rFonts w:ascii="Arial" w:cs="Arial" w:eastAsia="Arial" w:hAnsi="Arial"/>
                <w:sz w:val="15"/>
                <w:szCs w:val="15"/>
                <w:color w:val="auto"/>
              </w:rPr>
              <w:t>—</w:t>
            </w:r>
          </w:p>
        </w:tc>
        <w:tc>
          <w:tcPr>
            <w:tcW w:w="420" w:type="dxa"/>
            <w:vAlign w:val="bottom"/>
            <w:shd w:val="clear" w:color="auto" w:fill="E7E7E7"/>
          </w:tcPr>
          <w:p>
            <w:pPr>
              <w:spacing w:after="0"/>
              <w:rPr>
                <w:sz w:val="14"/>
                <w:szCs w:val="14"/>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2,757</w:t>
            </w:r>
          </w:p>
        </w:tc>
        <w:tc>
          <w:tcPr>
            <w:tcW w:w="280" w:type="dxa"/>
            <w:vAlign w:val="bottom"/>
            <w:shd w:val="clear" w:color="auto" w:fill="E7E7E7"/>
          </w:tcPr>
          <w:p>
            <w:pPr>
              <w:spacing w:after="0"/>
              <w:rPr>
                <w:sz w:val="14"/>
                <w:szCs w:val="14"/>
                <w:color w:val="auto"/>
              </w:rPr>
            </w:pPr>
          </w:p>
        </w:tc>
        <w:tc>
          <w:tcPr>
            <w:tcW w:w="9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2,757</w:t>
            </w:r>
          </w:p>
        </w:tc>
        <w:tc>
          <w:tcPr>
            <w:tcW w:w="300" w:type="dxa"/>
            <w:vAlign w:val="bottom"/>
            <w:shd w:val="clear" w:color="auto" w:fill="E7E7E7"/>
          </w:tcPr>
          <w:p>
            <w:pPr>
              <w:spacing w:after="0"/>
              <w:rPr>
                <w:sz w:val="14"/>
                <w:szCs w:val="14"/>
                <w:color w:val="auto"/>
              </w:rPr>
            </w:pPr>
          </w:p>
        </w:tc>
        <w:tc>
          <w:tcPr>
            <w:tcW w:w="8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2,704</w:t>
            </w:r>
          </w:p>
        </w:tc>
      </w:tr>
      <w:tr>
        <w:trPr>
          <w:trHeight w:val="172"/>
        </w:trPr>
        <w:tc>
          <w:tcPr>
            <w:tcW w:w="4420" w:type="dxa"/>
            <w:vAlign w:val="bottom"/>
          </w:tcPr>
          <w:p>
            <w:pPr>
              <w:ind w:left="180"/>
              <w:spacing w:after="0"/>
              <w:rPr>
                <w:sz w:val="20"/>
                <w:szCs w:val="20"/>
                <w:color w:val="auto"/>
              </w:rPr>
            </w:pPr>
            <w:r>
              <w:rPr>
                <w:rFonts w:ascii="Arial" w:cs="Arial" w:eastAsia="Arial" w:hAnsi="Arial"/>
                <w:sz w:val="15"/>
                <w:szCs w:val="15"/>
                <w:color w:val="auto"/>
              </w:rPr>
              <w:t>Change in fair value of contingent consideration</w:t>
            </w:r>
          </w:p>
        </w:tc>
        <w:tc>
          <w:tcPr>
            <w:tcW w:w="2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3,771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3,673</w:t>
            </w:r>
          </w:p>
        </w:tc>
      </w:tr>
      <w:tr>
        <w:trPr>
          <w:trHeight w:val="172"/>
        </w:trPr>
        <w:tc>
          <w:tcPr>
            <w:tcW w:w="4420" w:type="dxa"/>
            <w:vAlign w:val="bottom"/>
            <w:shd w:val="clear" w:color="auto" w:fill="E7E7E7"/>
          </w:tcPr>
          <w:p>
            <w:pPr>
              <w:ind w:left="180"/>
              <w:spacing w:after="0"/>
              <w:rPr>
                <w:sz w:val="20"/>
                <w:szCs w:val="20"/>
                <w:color w:val="auto"/>
              </w:rPr>
            </w:pPr>
            <w:r>
              <w:rPr>
                <w:rFonts w:ascii="Arial" w:cs="Arial" w:eastAsia="Arial" w:hAnsi="Arial"/>
                <w:sz w:val="15"/>
                <w:szCs w:val="15"/>
                <w:color w:val="auto"/>
              </w:rPr>
              <w:t>Litigation matters</w:t>
            </w:r>
          </w:p>
        </w:tc>
        <w:tc>
          <w:tcPr>
            <w:tcW w:w="200" w:type="dxa"/>
            <w:vAlign w:val="bottom"/>
            <w:shd w:val="clear" w:color="auto" w:fill="E7E7E7"/>
          </w:tcPr>
          <w:p>
            <w:pPr>
              <w:spacing w:after="0"/>
              <w:rPr>
                <w:sz w:val="14"/>
                <w:szCs w:val="14"/>
                <w:color w:val="auto"/>
              </w:rPr>
            </w:pPr>
          </w:p>
        </w:tc>
        <w:tc>
          <w:tcPr>
            <w:tcW w:w="1000" w:type="dxa"/>
            <w:vAlign w:val="bottom"/>
            <w:shd w:val="clear" w:color="auto" w:fill="E7E7E7"/>
          </w:tcPr>
          <w:p>
            <w:pPr>
              <w:jc w:val="right"/>
              <w:ind w:right="7"/>
              <w:spacing w:after="0"/>
              <w:rPr>
                <w:sz w:val="20"/>
                <w:szCs w:val="20"/>
                <w:color w:val="auto"/>
              </w:rPr>
            </w:pPr>
            <w:r>
              <w:rPr>
                <w:rFonts w:ascii="Arial" w:cs="Arial" w:eastAsia="Arial" w:hAnsi="Arial"/>
                <w:sz w:val="15"/>
                <w:szCs w:val="15"/>
                <w:color w:val="auto"/>
              </w:rPr>
              <w:t>—</w:t>
            </w:r>
          </w:p>
        </w:tc>
        <w:tc>
          <w:tcPr>
            <w:tcW w:w="420" w:type="dxa"/>
            <w:vAlign w:val="bottom"/>
            <w:shd w:val="clear" w:color="auto" w:fill="E7E7E7"/>
          </w:tcPr>
          <w:p>
            <w:pPr>
              <w:spacing w:after="0"/>
              <w:rPr>
                <w:sz w:val="14"/>
                <w:szCs w:val="14"/>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910</w:t>
            </w:r>
          </w:p>
        </w:tc>
        <w:tc>
          <w:tcPr>
            <w:tcW w:w="280" w:type="dxa"/>
            <w:vAlign w:val="bottom"/>
            <w:shd w:val="clear" w:color="auto" w:fill="E7E7E7"/>
          </w:tcPr>
          <w:p>
            <w:pPr>
              <w:spacing w:after="0"/>
              <w:rPr>
                <w:sz w:val="14"/>
                <w:szCs w:val="14"/>
                <w:color w:val="auto"/>
              </w:rPr>
            </w:pPr>
          </w:p>
        </w:tc>
        <w:tc>
          <w:tcPr>
            <w:tcW w:w="9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910</w:t>
            </w:r>
          </w:p>
        </w:tc>
        <w:tc>
          <w:tcPr>
            <w:tcW w:w="300" w:type="dxa"/>
            <w:vAlign w:val="bottom"/>
            <w:shd w:val="clear" w:color="auto" w:fill="E7E7E7"/>
          </w:tcPr>
          <w:p>
            <w:pPr>
              <w:spacing w:after="0"/>
              <w:rPr>
                <w:sz w:val="14"/>
                <w:szCs w:val="14"/>
                <w:color w:val="auto"/>
              </w:rPr>
            </w:pPr>
          </w:p>
        </w:tc>
        <w:tc>
          <w:tcPr>
            <w:tcW w:w="8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721</w:t>
            </w:r>
          </w:p>
        </w:tc>
      </w:tr>
      <w:tr>
        <w:trPr>
          <w:trHeight w:val="172"/>
        </w:trPr>
        <w:tc>
          <w:tcPr>
            <w:tcW w:w="4420" w:type="dxa"/>
            <w:vAlign w:val="bottom"/>
          </w:tcPr>
          <w:p>
            <w:pPr>
              <w:ind w:left="180"/>
              <w:spacing w:after="0"/>
              <w:rPr>
                <w:sz w:val="20"/>
                <w:szCs w:val="20"/>
                <w:color w:val="auto"/>
              </w:rPr>
            </w:pPr>
            <w:r>
              <w:rPr>
                <w:rFonts w:ascii="Arial" w:cs="Arial" w:eastAsia="Arial" w:hAnsi="Arial"/>
                <w:sz w:val="15"/>
                <w:szCs w:val="15"/>
                <w:color w:val="auto"/>
              </w:rPr>
              <w:t>Intangible asset impairment</w:t>
            </w:r>
          </w:p>
        </w:tc>
        <w:tc>
          <w:tcPr>
            <w:tcW w:w="2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4,476</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4,476</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3,512</w:t>
            </w:r>
          </w:p>
        </w:tc>
      </w:tr>
      <w:tr>
        <w:trPr>
          <w:trHeight w:val="172"/>
        </w:trPr>
        <w:tc>
          <w:tcPr>
            <w:tcW w:w="4420" w:type="dxa"/>
            <w:vAlign w:val="bottom"/>
            <w:shd w:val="clear" w:color="auto" w:fill="E7E7E7"/>
          </w:tcPr>
          <w:p>
            <w:pPr>
              <w:ind w:left="180"/>
              <w:spacing w:after="0"/>
              <w:rPr>
                <w:sz w:val="20"/>
                <w:szCs w:val="20"/>
                <w:color w:val="auto"/>
              </w:rPr>
            </w:pPr>
            <w:r>
              <w:rPr>
                <w:rFonts w:ascii="Arial" w:cs="Arial" w:eastAsia="Arial" w:hAnsi="Arial"/>
                <w:sz w:val="15"/>
                <w:szCs w:val="15"/>
                <w:color w:val="auto"/>
              </w:rPr>
              <w:t>Income tax items</w:t>
            </w:r>
          </w:p>
        </w:tc>
        <w:tc>
          <w:tcPr>
            <w:tcW w:w="200" w:type="dxa"/>
            <w:vAlign w:val="bottom"/>
            <w:shd w:val="clear" w:color="auto" w:fill="E7E7E7"/>
          </w:tcPr>
          <w:p>
            <w:pPr>
              <w:spacing w:after="0"/>
              <w:rPr>
                <w:sz w:val="14"/>
                <w:szCs w:val="14"/>
                <w:color w:val="auto"/>
              </w:rPr>
            </w:pPr>
          </w:p>
        </w:tc>
        <w:tc>
          <w:tcPr>
            <w:tcW w:w="1000" w:type="dxa"/>
            <w:vAlign w:val="bottom"/>
            <w:shd w:val="clear" w:color="auto" w:fill="E7E7E7"/>
          </w:tcPr>
          <w:p>
            <w:pPr>
              <w:jc w:val="right"/>
              <w:ind w:right="7"/>
              <w:spacing w:after="0"/>
              <w:rPr>
                <w:sz w:val="20"/>
                <w:szCs w:val="20"/>
                <w:color w:val="auto"/>
              </w:rPr>
            </w:pPr>
            <w:r>
              <w:rPr>
                <w:rFonts w:ascii="Arial" w:cs="Arial" w:eastAsia="Arial" w:hAnsi="Arial"/>
                <w:sz w:val="15"/>
                <w:szCs w:val="15"/>
                <w:color w:val="auto"/>
              </w:rPr>
              <w:t>—</w:t>
            </w:r>
          </w:p>
        </w:tc>
        <w:tc>
          <w:tcPr>
            <w:tcW w:w="420" w:type="dxa"/>
            <w:vAlign w:val="bottom"/>
            <w:shd w:val="clear" w:color="auto" w:fill="E7E7E7"/>
          </w:tcPr>
          <w:p>
            <w:pPr>
              <w:spacing w:after="0"/>
              <w:rPr>
                <w:sz w:val="14"/>
                <w:szCs w:val="14"/>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E7E7E7"/>
          </w:tcPr>
          <w:p>
            <w:pPr>
              <w:spacing w:after="0"/>
              <w:rPr>
                <w:sz w:val="14"/>
                <w:szCs w:val="14"/>
                <w:color w:val="auto"/>
              </w:rPr>
            </w:pPr>
          </w:p>
        </w:tc>
        <w:tc>
          <w:tcPr>
            <w:tcW w:w="9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E7E7E7"/>
          </w:tcPr>
          <w:p>
            <w:pPr>
              <w:spacing w:after="0"/>
              <w:rPr>
                <w:sz w:val="14"/>
                <w:szCs w:val="14"/>
                <w:color w:val="auto"/>
              </w:rPr>
            </w:pPr>
          </w:p>
        </w:tc>
        <w:tc>
          <w:tcPr>
            <w:tcW w:w="8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(1,819)</w:t>
            </w:r>
          </w:p>
        </w:tc>
      </w:tr>
      <w:tr>
        <w:trPr>
          <w:trHeight w:val="172"/>
        </w:trPr>
        <w:tc>
          <w:tcPr>
            <w:tcW w:w="4420" w:type="dxa"/>
            <w:vAlign w:val="bottom"/>
          </w:tcPr>
          <w:p>
            <w:pPr>
              <w:ind w:left="180"/>
              <w:spacing w:after="0"/>
              <w:rPr>
                <w:sz w:val="20"/>
                <w:szCs w:val="20"/>
                <w:color w:val="auto"/>
              </w:rPr>
            </w:pPr>
            <w:r>
              <w:rPr>
                <w:rFonts w:ascii="Arial" w:cs="Arial" w:eastAsia="Arial" w:hAnsi="Arial"/>
                <w:sz w:val="15"/>
                <w:szCs w:val="15"/>
                <w:color w:val="auto"/>
              </w:rPr>
              <w:t>Other</w:t>
            </w:r>
          </w:p>
        </w:tc>
        <w:tc>
          <w:tcPr>
            <w:tcW w:w="2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158</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256</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197</w:t>
            </w:r>
          </w:p>
        </w:tc>
      </w:tr>
      <w:tr>
        <w:trPr>
          <w:trHeight w:val="172"/>
        </w:trPr>
        <w:tc>
          <w:tcPr>
            <w:tcW w:w="4420" w:type="dxa"/>
            <w:vAlign w:val="bottom"/>
            <w:shd w:val="clear" w:color="auto" w:fill="E7E7E7"/>
          </w:tcPr>
          <w:p>
            <w:pPr>
              <w:spacing w:after="0"/>
              <w:rPr>
                <w:sz w:val="20"/>
                <w:szCs w:val="20"/>
                <w:color w:val="auto"/>
              </w:rPr>
            </w:pPr>
            <w:r>
              <w:rPr>
                <w:rFonts w:ascii="Arial" w:cs="Arial" w:eastAsia="Arial" w:hAnsi="Arial"/>
                <w:sz w:val="15"/>
                <w:szCs w:val="15"/>
                <w:color w:val="auto"/>
              </w:rPr>
              <w:t>Adjusted for Humira net revenues</w:t>
            </w:r>
          </w:p>
        </w:tc>
        <w:tc>
          <w:tcPr>
            <w:tcW w:w="200" w:type="dxa"/>
            <w:vAlign w:val="bottom"/>
            <w:shd w:val="clear" w:color="auto" w:fill="E7E7E7"/>
          </w:tcPr>
          <w:p>
            <w:pPr>
              <w:spacing w:after="0"/>
              <w:rPr>
                <w:sz w:val="14"/>
                <w:szCs w:val="14"/>
                <w:color w:val="auto"/>
              </w:rPr>
            </w:pPr>
          </w:p>
        </w:tc>
        <w:tc>
          <w:tcPr>
            <w:tcW w:w="10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(8,993)</w:t>
            </w:r>
          </w:p>
        </w:tc>
        <w:tc>
          <w:tcPr>
            <w:tcW w:w="420" w:type="dxa"/>
            <w:vAlign w:val="bottom"/>
            <w:shd w:val="clear" w:color="auto" w:fill="E7E7E7"/>
          </w:tcPr>
          <w:p>
            <w:pPr>
              <w:spacing w:after="0"/>
              <w:rPr>
                <w:sz w:val="14"/>
                <w:szCs w:val="14"/>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E7E7E7"/>
          </w:tcPr>
          <w:p>
            <w:pPr>
              <w:spacing w:after="0"/>
              <w:rPr>
                <w:sz w:val="14"/>
                <w:szCs w:val="14"/>
                <w:color w:val="auto"/>
              </w:rPr>
            </w:pPr>
          </w:p>
        </w:tc>
        <w:tc>
          <w:tcPr>
            <w:tcW w:w="9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E7E7E7"/>
          </w:tcPr>
          <w:p>
            <w:pPr>
              <w:spacing w:after="0"/>
              <w:rPr>
                <w:sz w:val="14"/>
                <w:szCs w:val="14"/>
                <w:color w:val="auto"/>
              </w:rPr>
            </w:pPr>
          </w:p>
        </w:tc>
        <w:tc>
          <w:tcPr>
            <w:tcW w:w="8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r>
      <w:tr>
        <w:trPr>
          <w:trHeight w:val="172"/>
        </w:trPr>
        <w:tc>
          <w:tcPr>
            <w:tcW w:w="4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Adjusted for foreign exchange</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65"/>
        </w:trPr>
        <w:tc>
          <w:tcPr>
            <w:tcW w:w="4420" w:type="dxa"/>
            <w:vAlign w:val="bottom"/>
            <w:tcBorders>
              <w:bottom w:val="single" w:sz="8" w:color="auto"/>
            </w:tcBorders>
            <w:shd w:val="clear" w:color="auto" w:fill="E7E7E7"/>
          </w:tcPr>
          <w:p>
            <w:pPr>
              <w:spacing w:after="0" w:line="165" w:lineRule="exact"/>
              <w:rPr>
                <w:sz w:val="20"/>
                <w:szCs w:val="20"/>
                <w:color w:val="auto"/>
              </w:rPr>
            </w:pPr>
            <w:r>
              <w:rPr>
                <w:rFonts w:ascii="Arial" w:cs="Arial" w:eastAsia="Arial" w:hAnsi="Arial"/>
                <w:sz w:val="15"/>
                <w:szCs w:val="15"/>
                <w:b w:val="1"/>
                <w:bCs w:val="1"/>
                <w:color w:val="auto"/>
              </w:rPr>
              <w:t>As adjusted (non-GAAP)</w:t>
            </w:r>
          </w:p>
        </w:tc>
        <w:tc>
          <w:tcPr>
            <w:tcW w:w="200" w:type="dxa"/>
            <w:vAlign w:val="bottom"/>
            <w:tcBorders>
              <w:bottom w:val="single" w:sz="8" w:color="auto"/>
            </w:tcBorders>
            <w:shd w:val="clear" w:color="auto" w:fill="E7E7E7"/>
          </w:tcPr>
          <w:p>
            <w:pPr>
              <w:jc w:val="right"/>
              <w:ind w:right="6"/>
              <w:spacing w:after="0" w:line="165"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E7E7E7"/>
          </w:tcPr>
          <w:p>
            <w:pPr>
              <w:jc w:val="right"/>
              <w:ind w:right="7"/>
              <w:spacing w:after="0" w:line="165" w:lineRule="exact"/>
              <w:rPr>
                <w:sz w:val="20"/>
                <w:szCs w:val="20"/>
                <w:color w:val="auto"/>
              </w:rPr>
            </w:pPr>
            <w:r>
              <w:rPr>
                <w:rFonts w:ascii="Arial" w:cs="Arial" w:eastAsia="Arial" w:hAnsi="Arial"/>
                <w:sz w:val="15"/>
                <w:szCs w:val="15"/>
                <w:color w:val="auto"/>
              </w:rPr>
              <w:t>47,338</w:t>
            </w:r>
          </w:p>
        </w:tc>
        <w:tc>
          <w:tcPr>
            <w:tcW w:w="420" w:type="dxa"/>
            <w:vAlign w:val="bottom"/>
            <w:tcBorders>
              <w:bottom w:val="single" w:sz="8" w:color="auto"/>
            </w:tcBorders>
            <w:shd w:val="clear" w:color="auto" w:fill="E7E7E7"/>
          </w:tcPr>
          <w:p>
            <w:pPr>
              <w:jc w:val="right"/>
              <w:ind w:right="49"/>
              <w:spacing w:after="0" w:line="165"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rPr>
              <w:t>26,219</w:t>
            </w:r>
          </w:p>
        </w:tc>
        <w:tc>
          <w:tcPr>
            <w:tcW w:w="28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rPr>
              <w:t>24,642</w:t>
            </w:r>
          </w:p>
        </w:tc>
        <w:tc>
          <w:tcPr>
            <w:tcW w:w="30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E7E7E7"/>
          </w:tcPr>
          <w:p>
            <w:pPr>
              <w:jc w:val="right"/>
              <w:spacing w:after="0" w:line="165" w:lineRule="exact"/>
              <w:rPr>
                <w:sz w:val="20"/>
                <w:szCs w:val="20"/>
                <w:color w:val="auto"/>
              </w:rPr>
            </w:pPr>
            <w:r>
              <w:rPr>
                <w:rFonts w:ascii="Arial" w:cs="Arial" w:eastAsia="Arial" w:hAnsi="Arial"/>
                <w:sz w:val="15"/>
                <w:szCs w:val="15"/>
                <w:color w:val="auto"/>
              </w:rPr>
              <w:t>20,705</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*Net revenues are adjusted as outlined in the table to calculate the Platform Revenue performance results.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**Represents net earnings attributable to AbbVie Inc.</w:t>
      </w:r>
    </w:p>
    <w:p>
      <w:pPr>
        <w:spacing w:after="0" w:line="112" w:lineRule="exact"/>
        <w:rPr>
          <w:sz w:val="20"/>
          <w:szCs w:val="20"/>
          <w:color w:val="auto"/>
        </w:rPr>
      </w:pPr>
    </w:p>
    <w:p>
      <w:pPr>
        <w:ind w:right="180"/>
        <w:spacing w:after="0" w:line="247" w:lineRule="auto"/>
        <w:rPr>
          <w:sz w:val="20"/>
          <w:szCs w:val="20"/>
          <w:color w:val="auto"/>
        </w:rPr>
      </w:pPr>
      <w:r>
        <w:rPr>
          <w:rFonts w:ascii="Arial" w:cs="Arial" w:eastAsia="Arial" w:hAnsi="Arial"/>
          <w:sz w:val="16"/>
          <w:szCs w:val="16"/>
          <w:color w:val="auto"/>
        </w:rPr>
        <w:t>Intangible asset impairment reflects a partial impairment charge related to the emraclidine intangible asset acquired as part of the Cerevel Therapeutics acquisition. Acquisition and integration costs primarily reflect costs related to the ImmunoGen and Cerevel Therapeutics acquisitions. Acquired IPR&amp;D and milestones represents initial costs and subsequent development milestones incurred to acquire rights to in-process R&amp;D projects through R&amp;D collaborations, licensing arrangements or other asset acquisitions. Income tax items primarily reflect an income tax benefit related to the settlement of income tax examinations, partially offset by changes in income tax reserves. Litigation matters primarily include charges related to actual and potential settlements of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8160" w:type="dxa"/>
            <w:vAlign w:val="bottom"/>
          </w:tcPr>
          <w:p>
            <w:pPr>
              <w:ind w:left="5420"/>
              <w:spacing w:after="0"/>
              <w:rPr>
                <w:sz w:val="20"/>
                <w:szCs w:val="20"/>
                <w:color w:val="auto"/>
              </w:rPr>
            </w:pPr>
            <w:r>
              <w:rPr>
                <w:rFonts w:ascii="Arial" w:cs="Arial" w:eastAsia="Arial" w:hAnsi="Arial"/>
                <w:sz w:val="16"/>
                <w:szCs w:val="16"/>
                <w:i w:val="1"/>
                <w:iCs w:val="1"/>
                <w:color w:val="auto"/>
              </w:rPr>
              <w:t xml:space="preserve">2026 Proxy Statement   </w:t>
            </w:r>
            <w:r>
              <w:rPr>
                <w:rFonts w:ascii="Arial" w:cs="Arial" w:eastAsia="Arial" w:hAnsi="Arial"/>
                <w:sz w:val="24"/>
                <w:szCs w:val="24"/>
                <w:color w:val="auto"/>
              </w:rPr>
              <w:t>|</w:t>
            </w:r>
          </w:p>
        </w:tc>
        <w:tc>
          <w:tcPr>
            <w:tcW w:w="1100" w:type="dxa"/>
            <w:vAlign w:val="bottom"/>
          </w:tcPr>
          <w:p>
            <w:pPr>
              <w:ind w:left="840"/>
              <w:spacing w:after="0"/>
              <w:rPr>
                <w:sz w:val="20"/>
                <w:szCs w:val="20"/>
                <w:color w:val="auto"/>
              </w:rPr>
            </w:pPr>
            <w:r>
              <w:rPr>
                <w:rFonts w:ascii="Arial" w:cs="Arial" w:eastAsia="Arial" w:hAnsi="Arial"/>
                <w:sz w:val="16"/>
                <w:szCs w:val="16"/>
                <w:color w:val="auto"/>
                <w:w w:val="96"/>
              </w:rPr>
              <w:t>B-3</w:t>
            </w:r>
          </w:p>
        </w:tc>
      </w:tr>
      <w:tr>
        <w:trPr>
          <w:trHeight w:val="493"/>
        </w:trPr>
        <w:tc>
          <w:tcPr>
            <w:tcW w:w="8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-499745</wp:posOffset>
            </wp:positionV>
            <wp:extent cx="797560" cy="148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97560" cy="148590"/>
                    </a:xfrm>
                    <a:prstGeom prst="rect">
                      <a:avLst/>
                    </a:prstGeom>
                    <a:noFill/>
                  </pic:spPr>
                </pic:pic>
              </a:graphicData>
            </a:graphic>
          </wp:anchor>
        </w:drawing>
      </w:r>
    </w:p>
    <w:p>
      <w:pPr>
        <w:sectPr>
          <w:pgSz w:w="11900" w:h="16838" w:orient="portrait"/>
          <w:cols w:equalWidth="0" w:num="1">
            <w:col w:w="9260"/>
          </w:cols>
          <w:pgMar w:left="1320" w:top="480" w:right="1319" w:bottom="1440"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382270</wp:posOffset>
            </wp:positionH>
            <wp:positionV relativeFrom="page">
              <wp:posOffset>88900</wp:posOffset>
            </wp:positionV>
            <wp:extent cx="6776720" cy="892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76720" cy="8926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382270</wp:posOffset>
            </wp:positionH>
            <wp:positionV relativeFrom="page">
              <wp:posOffset>88900</wp:posOffset>
            </wp:positionV>
            <wp:extent cx="6776720" cy="89344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76720" cy="89344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lvl w:ilvl="1">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1"/>
      <w:numFmt w:val="bullet"/>
      <w:start w:val="1"/>
    </w:lvl>
  </w:abstractNum>
  <w:abstractNum w:abstractNumId="18">
    <w:nsid w:val="1381823A"/>
    <w:multiLevelType w:val="hybridMultilevel"/>
    <w:lvl w:ilvl="0">
      <w:lvlJc w:val="left"/>
      <w:lvlText w:val="2"/>
      <w:numFmt w:val="bullet"/>
      <w:start w:val="1"/>
    </w:lvl>
  </w:abstractNum>
  <w:abstractNum w:abstractNumId="19">
    <w:nsid w:val="5DB70AE5"/>
    <w:multiLevelType w:val="hybridMultilevel"/>
    <w:lvl w:ilvl="0">
      <w:lvlJc w:val="left"/>
      <w:lvlText w:val="3"/>
      <w:numFmt w:val="bullet"/>
      <w:start w:val="1"/>
    </w:lvl>
  </w:abstractNum>
  <w:abstractNum w:abstractNumId="20">
    <w:nsid w:val="100F8FCA"/>
    <w:multiLevelType w:val="hybridMultilevel"/>
    <w:lvl w:ilvl="0">
      <w:lvlJc w:val="left"/>
      <w:lvlText w:val="\emdash "/>
      <w:numFmt w:val="bullet"/>
      <w:start w:val="1"/>
    </w:lvl>
  </w:abstractNum>
  <w:abstractNum w:abstractNumId="21">
    <w:nsid w:val="6590700B"/>
    <w:multiLevelType w:val="hybridMultilevel"/>
    <w:lvl w:ilvl="0">
      <w:lvlJc w:val="left"/>
      <w:lvlText w:val="\emdash "/>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1."/>
      <w:numFmt w:val="upperLetter"/>
      <w:start w:val="2"/>
    </w:lvl>
  </w:abstractNum>
  <w:abstractNum w:abstractNumId="39">
    <w:nsid w:val="A0382C5"/>
    <w:multiLevelType w:val="hybridMultilevel"/>
    <w:lvl w:ilvl="0">
      <w:lvlJc w:val="left"/>
      <w:lvlText w:val="%1."/>
      <w:numFmt w:val="upperLetter"/>
      <w:start w:val="18"/>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1."/>
      <w:numFmt w:val="upperLetter"/>
      <w:start w:val="20"/>
    </w:lvl>
  </w:abstractNum>
  <w:abstractNum w:abstractNumId="42">
    <w:nsid w:val="3B0FD379"/>
    <w:multiLevelType w:val="hybridMultilevel"/>
    <w:lvl w:ilvl="0">
      <w:lvlJc w:val="left"/>
      <w:lvlText w:val="%1."/>
      <w:numFmt w:val="upperLetter"/>
      <w:start w:val="18"/>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1)"/>
      <w:numFmt w:val="decimal"/>
      <w:start w:val="1"/>
    </w:lvl>
  </w:abstractNum>
  <w:abstractNum w:abstractNumId="45">
    <w:nsid w:val="60B6DF70"/>
    <w:multiLevelType w:val="hybridMultilevel"/>
    <w:lvl w:ilvl="0">
      <w:lvlJc w:val="left"/>
      <w:lvlText w:val="(%1)"/>
      <w:numFmt w:val="decimal"/>
      <w:start w:val="2"/>
    </w:lvl>
  </w:abstractNum>
  <w:abstractNum w:abstractNumId="46">
    <w:nsid w:val="6A5EE64"/>
    <w:multiLevelType w:val="hybridMultilevel"/>
    <w:lvl w:ilvl="0">
      <w:lvlJc w:val="left"/>
      <w:lvlText w:val="(%1)"/>
      <w:numFmt w:val="decimal"/>
      <w:start w:val="3"/>
    </w:lvl>
  </w:abstractNum>
  <w:abstractNum w:abstractNumId="47">
    <w:nsid w:val="14330624"/>
    <w:multiLevelType w:val="hybridMultilevel"/>
    <w:lvl w:ilvl="0">
      <w:lvlJc w:val="left"/>
      <w:lvlText w:val="%1."/>
      <w:numFmt w:val="upperLetter"/>
      <w:start w:val="10"/>
    </w:lvl>
  </w:abstractNum>
  <w:abstractNum w:abstractNumId="48">
    <w:nsid w:val="7FFFCA11"/>
    <w:multiLevelType w:val="hybridMultilevel"/>
    <w:lvl w:ilvl="0">
      <w:lvlJc w:val="left"/>
      <w:lvlText w:val="(%1)"/>
      <w:numFmt w:val="decimal"/>
      <w:start w:val="6"/>
    </w:lvl>
  </w:abstractNum>
  <w:abstractNum w:abstractNumId="49">
    <w:nsid w:val="1A27709E"/>
    <w:multiLevelType w:val="hybridMultilevel"/>
    <w:lvl w:ilvl="0">
      <w:lvlJc w:val="left"/>
      <w:lvlText w:val="(%1)"/>
      <w:numFmt w:val="decimal"/>
      <w:start w:val="1"/>
    </w:lvl>
  </w:abstractNum>
  <w:abstractNum w:abstractNumId="50">
    <w:nsid w:val="71EA1109"/>
    <w:multiLevelType w:val="hybridMultilevel"/>
    <w:lvl w:ilvl="0">
      <w:lvlJc w:val="left"/>
      <w:lvlText w:val="*"/>
      <w:numFmt w:val="bullet"/>
      <w:start w:val="1"/>
    </w:lvl>
  </w:abstractNum>
  <w:abstractNum w:abstractNumId="51">
    <w:nsid w:val="100F59DC"/>
    <w:multiLevelType w:val="hybridMultilevel"/>
    <w:lvl w:ilvl="0">
      <w:lvlJc w:val="left"/>
      <w:lvlText w:val="(%1)"/>
      <w:numFmt w:val="decimal"/>
      <w:start w:val="1"/>
    </w:lvl>
  </w:abstractNum>
  <w:abstractNum w:abstractNumId="52">
    <w:nsid w:val="7FB7E0AA"/>
    <w:multiLevelType w:val="hybridMultilevel"/>
    <w:lvl w:ilvl="0">
      <w:lvlJc w:val="left"/>
      <w:lvlText w:val="3"/>
      <w:numFmt w:val="bullet"/>
      <w:start w:val="1"/>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X"/>
      <w:numFmt w:val="bullet"/>
      <w:start w:val="1"/>
    </w:lvl>
  </w:abstractNum>
  <w:abstractNum w:abstractNumId="55">
    <w:nsid w:val="94211F2"/>
    <w:multiLevelType w:val="hybridMultilevel"/>
    <w:lvl w:ilvl="0">
      <w:lvlJc w:val="left"/>
      <w:lvlText w:val="*"/>
      <w:numFmt w:val="bullet"/>
      <w:start w:val="1"/>
    </w:lvl>
  </w:abstractNum>
  <w:abstractNum w:abstractNumId="56">
    <w:nsid w:val="885E1B"/>
    <w:multiLevelType w:val="hybridMultilevel"/>
    <w:lvl w:ilvl="0">
      <w:lvlJc w:val="left"/>
      <w:lvlText w:val="**"/>
      <w:numFmt w:val="bullet"/>
      <w:start w:val="1"/>
    </w:lvl>
  </w:abstractNum>
  <w:abstractNum w:abstractNumId="57">
    <w:nsid w:val="76272110"/>
    <w:multiLevelType w:val="hybridMultilevel"/>
    <w:lvl w:ilvl="0">
      <w:lvlJc w:val="left"/>
      <w:lvlText w:val="***"/>
      <w:numFmt w:val="bullet"/>
      <w:start w:val="1"/>
    </w:lvl>
  </w:abstractNum>
  <w:abstractNum w:abstractNumId="58">
    <w:nsid w:val="4C04A8AF"/>
    <w:multiLevelType w:val="hybridMultilevel"/>
    <w:lvl w:ilvl="0">
      <w:lvlJc w:val="left"/>
      <w:lvlText w:val="●"/>
      <w:numFmt w:val="bullet"/>
      <w:start w:val="1"/>
    </w:lvl>
    <w:lvl w:ilvl="1">
      <w:lvlJc w:val="left"/>
      <w:lvlText w:val="●"/>
      <w:numFmt w:val="bullet"/>
      <w:start w:val="1"/>
    </w:lvl>
  </w:abstractNum>
  <w:abstractNum w:abstractNumId="59">
    <w:nsid w:val="1716703B"/>
    <w:multiLevelType w:val="hybridMultilevel"/>
    <w:lvl w:ilvl="0">
      <w:lvlJc w:val="left"/>
      <w:lvlText w:val="●"/>
      <w:numFmt w:val="bullet"/>
      <w:start w:val="1"/>
    </w:lvl>
  </w:abstractNum>
  <w:abstractNum w:abstractNumId="60">
    <w:nsid w:val="14E17E33"/>
    <w:multiLevelType w:val="hybridMultilevel"/>
    <w:lvl w:ilvl="0">
      <w:lvlJc w:val="left"/>
      <w:lvlText w:val="\emdash "/>
      <w:numFmt w:val="bullet"/>
      <w:start w:val="1"/>
    </w:lvl>
  </w:abstractNum>
  <w:abstractNum w:abstractNumId="61">
    <w:nsid w:val="3222E7CD"/>
    <w:multiLevelType w:val="hybridMultilevel"/>
    <w:lvl w:ilvl="0">
      <w:lvlJc w:val="left"/>
      <w:lvlText w:val="(%1)"/>
      <w:numFmt w:val="decimal"/>
      <w:start w:val="1"/>
    </w:lvl>
  </w:abstractNum>
  <w:abstractNum w:abstractNumId="62">
    <w:nsid w:val="74DE0EE3"/>
    <w:multiLevelType w:val="hybridMultilevel"/>
    <w:lvl w:ilvl="0">
      <w:lvlJc w:val="left"/>
      <w:lvlText w:val="(%1)"/>
      <w:numFmt w:val="decimal"/>
      <w:start w:val="3"/>
    </w:lvl>
  </w:abstractNum>
  <w:abstractNum w:abstractNumId="63">
    <w:nsid w:val="68EBC550"/>
    <w:multiLevelType w:val="hybridMultilevel"/>
    <w:lvl w:ilvl="0">
      <w:lvlJc w:val="left"/>
      <w:lvlText w:val="●"/>
      <w:numFmt w:val="bullet"/>
      <w:start w:val="1"/>
    </w:lvl>
  </w:abstractNum>
  <w:abstractNum w:abstractNumId="64">
    <w:nsid w:val="2DF6D648"/>
    <w:multiLevelType w:val="hybridMultilevel"/>
    <w:lvl w:ilvl="0">
      <w:lvlJc w:val="left"/>
      <w:lvlText w:val="●"/>
      <w:numFmt w:val="bullet"/>
      <w:start w:val="1"/>
    </w:lvl>
  </w:abstractNum>
  <w:abstractNum w:abstractNumId="65">
    <w:nsid w:val="46B7D447"/>
    <w:multiLevelType w:val="hybridMultilevel"/>
    <w:lvl w:ilvl="0">
      <w:lvlJc w:val="left"/>
      <w:lvlText w:val="●"/>
      <w:numFmt w:val="bullet"/>
      <w:start w:val="1"/>
    </w:lvl>
  </w:abstractNum>
  <w:abstractNum w:abstractNumId="66">
    <w:nsid w:val="4A2AC315"/>
    <w:multiLevelType w:val="hybridMultilevel"/>
    <w:lvl w:ilvl="0">
      <w:lvlJc w:val="left"/>
      <w:lvlText w:val="(%1)"/>
      <w:numFmt w:val="decimal"/>
      <w:start w:val="1"/>
    </w:lvl>
  </w:abstractNum>
  <w:abstractNum w:abstractNumId="67">
    <w:nsid w:val="39EE015C"/>
    <w:multiLevelType w:val="hybridMultilevel"/>
    <w:lvl w:ilvl="0">
      <w:lvlJc w:val="left"/>
      <w:lvlText w:val="●"/>
      <w:numFmt w:val="bullet"/>
      <w:start w:val="1"/>
    </w:lvl>
  </w:abstractNum>
  <w:abstractNum w:abstractNumId="68">
    <w:nsid w:val="57FC4FBB"/>
    <w:multiLevelType w:val="hybridMultilevel"/>
    <w:lvl w:ilvl="0">
      <w:lvlJc w:val="left"/>
      <w:lvlText w:val="(%1)"/>
      <w:numFmt w:val="decimal"/>
      <w:start w:val="1"/>
    </w:lvl>
  </w:abstractNum>
  <w:abstractNum w:abstractNumId="69">
    <w:nsid w:val="CC1016F"/>
    <w:multiLevelType w:val="hybridMultilevel"/>
    <w:lvl w:ilvl="0">
      <w:lvlJc w:val="left"/>
      <w:lvlText w:val="(%1)"/>
      <w:numFmt w:val="decimal"/>
      <w:start w:val="1"/>
    </w:lvl>
  </w:abstractNum>
  <w:abstractNum w:abstractNumId="70">
    <w:nsid w:val="43F18422"/>
    <w:multiLevelType w:val="hybridMultilevel"/>
    <w:lvl w:ilvl="0">
      <w:lvlJc w:val="left"/>
      <w:lvlText w:val="●"/>
      <w:numFmt w:val="bullet"/>
      <w:start w:val="1"/>
    </w:lvl>
  </w:abstractNum>
  <w:abstractNum w:abstractNumId="71">
    <w:nsid w:val="60EF0119"/>
    <w:multiLevelType w:val="hybridMultilevel"/>
    <w:lvl w:ilvl="0">
      <w:lvlJc w:val="left"/>
      <w:lvlText w:val="●"/>
      <w:numFmt w:val="bullet"/>
      <w:start w:val="1"/>
    </w:lvl>
  </w:abstractNum>
  <w:abstractNum w:abstractNumId="72">
    <w:nsid w:val="26F324BA"/>
    <w:multiLevelType w:val="hybridMultilevel"/>
    <w:lvl w:ilvl="0">
      <w:lvlJc w:val="left"/>
      <w:lvlText w:val="(%1)"/>
      <w:numFmt w:val="decimal"/>
      <w:start w:val="1"/>
    </w:lvl>
  </w:abstractNum>
  <w:abstractNum w:abstractNumId="73">
    <w:nsid w:val="7F01579B"/>
    <w:multiLevelType w:val="hybridMultilevel"/>
    <w:lvl w:ilvl="0">
      <w:lvlJc w:val="left"/>
      <w:lvlText w:val="(%1)"/>
      <w:numFmt w:val="decimal"/>
      <w:start w:val="3"/>
    </w:lvl>
  </w:abstractNum>
  <w:abstractNum w:abstractNumId="74">
    <w:nsid w:val="49DA307D"/>
    <w:multiLevelType w:val="hybridMultilevel"/>
    <w:lvl w:ilvl="0">
      <w:lvlJc w:val="left"/>
      <w:lvlText w:val="%1."/>
      <w:numFmt w:val="upperLetter"/>
      <w:start w:val="18"/>
    </w:lvl>
  </w:abstractNum>
  <w:abstractNum w:abstractNumId="75">
    <w:nsid w:val="7055A5F5"/>
    <w:multiLevelType w:val="hybridMultilevel"/>
    <w:lvl w:ilvl="0">
      <w:lvlJc w:val="left"/>
      <w:lvlText w:val="%1."/>
      <w:numFmt w:val="upperLetter"/>
      <w:start w:val="18"/>
    </w:lvl>
  </w:abstractNum>
  <w:abstractNum w:abstractNumId="76">
    <w:nsid w:val="5FB8370B"/>
    <w:multiLevelType w:val="hybridMultilevel"/>
    <w:lvl w:ilvl="0">
      <w:lvlJc w:val="left"/>
      <w:lvlText w:val="(%1)"/>
      <w:numFmt w:val="decimal"/>
      <w:start w:val="5"/>
    </w:lvl>
  </w:abstractNum>
  <w:abstractNum w:abstractNumId="77">
    <w:nsid w:val="50801EE1"/>
    <w:multiLevelType w:val="hybridMultilevel"/>
    <w:lvl w:ilvl="0">
      <w:lvlJc w:val="left"/>
      <w:lvlText w:val="(%1)"/>
      <w:numFmt w:val="decimal"/>
      <w:start w:val="6"/>
    </w:lvl>
  </w:abstractNum>
  <w:abstractNum w:abstractNumId="78">
    <w:nsid w:val="488AC1A"/>
    <w:multiLevelType w:val="hybridMultilevel"/>
    <w:lvl w:ilvl="0">
      <w:lvlJc w:val="left"/>
      <w:lvlText w:val="%1."/>
      <w:numFmt w:val="upperLetter"/>
      <w:start w:val="18"/>
    </w:lvl>
  </w:abstractNum>
  <w:abstractNum w:abstractNumId="79">
    <w:nsid w:val="5FB8011C"/>
    <w:multiLevelType w:val="hybridMultilevel"/>
    <w:lvl w:ilvl="0">
      <w:lvlJc w:val="left"/>
      <w:lvlText w:val="(%1)"/>
      <w:numFmt w:val="decimal"/>
      <w:start w:val="1"/>
    </w:lvl>
  </w:abstractNum>
  <w:abstractNum w:abstractNumId="80">
    <w:nsid w:val="6AA78F7F"/>
    <w:multiLevelType w:val="hybridMultilevel"/>
    <w:lvl w:ilvl="0">
      <w:lvlJc w:val="left"/>
      <w:lvlText w:val="(%1)"/>
      <w:numFmt w:val="decimal"/>
      <w:start w:val="4"/>
    </w:lvl>
  </w:abstractNum>
  <w:abstractNum w:abstractNumId="81">
    <w:nsid w:val="7672BD23"/>
    <w:multiLevelType w:val="hybridMultilevel"/>
    <w:lvl w:ilvl="0">
      <w:lvlJc w:val="left"/>
      <w:lvlText w:val="(%1)"/>
      <w:numFmt w:val="decimal"/>
      <w:start w:val="2"/>
    </w:lvl>
  </w:abstractNum>
  <w:abstractNum w:abstractNumId="82">
    <w:nsid w:val="6FC75AF8"/>
    <w:multiLevelType w:val="hybridMultilevel"/>
    <w:lvl w:ilvl="0">
      <w:lvlJc w:val="left"/>
      <w:lvlText w:val="(%1)"/>
      <w:numFmt w:val="lowerLetter"/>
      <w:start w:val="1"/>
    </w:lvl>
  </w:abstractNum>
  <w:abstractNum w:abstractNumId="83">
    <w:nsid w:val="6A5F7029"/>
    <w:multiLevelType w:val="hybridMultilevel"/>
    <w:lvl w:ilvl="0">
      <w:lvlJc w:val="left"/>
      <w:lvlText w:val="(%1)"/>
      <w:numFmt w:val="lowerLetter"/>
      <w:start w:val="3"/>
    </w:lvl>
  </w:abstractNum>
  <w:abstractNum w:abstractNumId="84">
    <w:nsid w:val="7D5E18F8"/>
    <w:multiLevelType w:val="hybridMultilevel"/>
    <w:lvl w:ilvl="0">
      <w:lvlJc w:val="left"/>
      <w:lvlText w:val="%1."/>
      <w:numFmt w:val="upperLetter"/>
      <w:start w:val="1"/>
    </w:lvl>
  </w:abstractNum>
  <w:abstractNum w:abstractNumId="85">
    <w:nsid w:val="5F3534A4"/>
    <w:multiLevelType w:val="hybridMultilevel"/>
    <w:lvl w:ilvl="0">
      <w:lvlJc w:val="left"/>
      <w:lvlText w:val="●"/>
      <w:numFmt w:val="bullet"/>
      <w:start w:val="1"/>
    </w:lvl>
  </w:abstractNum>
  <w:abstractNum w:abstractNumId="86">
    <w:nsid w:val="73A1821B"/>
    <w:multiLevelType w:val="hybridMultilevel"/>
    <w:lvl w:ilvl="0">
      <w:lvlJc w:val="left"/>
      <w:lvlText w:val="●"/>
      <w:numFmt w:val="bullet"/>
      <w:start w:val="1"/>
    </w:lvl>
  </w:abstractNum>
  <w:abstractNum w:abstractNumId="87">
    <w:nsid w:val="7DE67713"/>
    <w:multiLevelType w:val="hybridMultilevel"/>
    <w:lvl w:ilvl="0">
      <w:lvlJc w:val="left"/>
      <w:lvlText w:val="●"/>
      <w:numFmt w:val="bullet"/>
      <w:start w:val="1"/>
    </w:lvl>
  </w:abstractNum>
  <w:abstractNum w:abstractNumId="88">
    <w:nsid w:val="555C55B5"/>
    <w:multiLevelType w:val="hybridMultilevel"/>
    <w:lvl w:ilvl="0">
      <w:lvlJc w:val="left"/>
      <w:lvlText w:val="(%1)"/>
      <w:numFmt w:val="decimal"/>
      <w:start w:val="1"/>
    </w:lvl>
  </w:abstractNum>
  <w:abstractNum w:abstractNumId="89">
    <w:nsid w:val="3FA62ACA"/>
    <w:multiLevelType w:val="hybridMultilevel"/>
    <w:lvl w:ilvl="0">
      <w:lvlJc w:val="left"/>
      <w:lvlText w:val="(%1)"/>
      <w:numFmt w:val="decimal"/>
      <w:start w:val="1"/>
    </w:lvl>
  </w:abstractNum>
  <w:abstractNum w:abstractNumId="90">
    <w:nsid w:val="14FCE74E"/>
    <w:multiLevelType w:val="hybridMultilevel"/>
    <w:lvl w:ilvl="0">
      <w:lvlJc w:val="left"/>
      <w:lvlText w:val="(%1)"/>
      <w:numFmt w:val="lowerLetter"/>
      <w:start w:val="1"/>
    </w:lvl>
    <w:lvl w:ilvl="1">
      <w:lvlJc w:val="left"/>
      <w:lvlText w:val="(%2)"/>
      <w:numFmt w:val="decimal"/>
      <w:start w:val="1"/>
    </w:lvl>
  </w:abstractNum>
  <w:abstractNum w:abstractNumId="91">
    <w:nsid w:val="6A3DD3E8"/>
    <w:multiLevelType w:val="hybridMultilevel"/>
    <w:lvl w:ilvl="0">
      <w:lvlJc w:val="left"/>
      <w:lvlText w:val="(%1)"/>
      <w:numFmt w:val="decimal"/>
      <w:start w:val="2"/>
    </w:lvl>
  </w:abstractNum>
  <w:abstractNum w:abstractNumId="92">
    <w:nsid w:val="71C91298"/>
    <w:multiLevelType w:val="hybridMultilevel"/>
    <w:lvl w:ilvl="0">
      <w:lvlJc w:val="left"/>
      <w:lvlText w:val="(%1)"/>
      <w:numFmt w:val="lowerLetter"/>
      <w:start w:val="3"/>
    </w:lvl>
  </w:abstractNum>
  <w:abstractNum w:abstractNumId="93">
    <w:nsid w:val="9DAF632"/>
    <w:multiLevelType w:val="hybridMultilevel"/>
    <w:lvl w:ilvl="0">
      <w:lvlJc w:val="left"/>
      <w:lvlText w:val="(%1)"/>
      <w:numFmt w:val="lowerLetter"/>
      <w:start w:val="4"/>
    </w:lvl>
  </w:abstractNum>
  <w:abstractNum w:abstractNumId="94">
    <w:nsid w:val="53299938"/>
    <w:multiLevelType w:val="hybridMultilevel"/>
    <w:lvl w:ilvl="0">
      <w:lvlJc w:val="left"/>
      <w:lvlText w:val="(%1)"/>
      <w:numFmt w:val="lowerLetter"/>
      <w:start w:val="5"/>
    </w:lvl>
  </w:abstractNum>
  <w:abstractNum w:abstractNumId="95">
    <w:nsid w:val="1FBFE8E0"/>
    <w:multiLevelType w:val="hybridMultilevel"/>
    <w:lvl w:ilvl="0">
      <w:lvlJc w:val="left"/>
      <w:lvlText w:val="●"/>
      <w:numFmt w:val="bullet"/>
      <w:start w:val="1"/>
    </w:lvl>
  </w:abstractNum>
  <w:abstractNum w:abstractNumId="96">
    <w:nsid w:val="5092CA79"/>
    <w:multiLevelType w:val="hybridMultilevel"/>
    <w:lvl w:ilvl="0">
      <w:lvlJc w:val="left"/>
      <w:lvlText w:val="●"/>
      <w:numFmt w:val="bullet"/>
      <w:start w:val="1"/>
    </w:lvl>
  </w:abstractNum>
  <w:abstractNum w:abstractNumId="97">
    <w:nsid w:val="1D545C4D"/>
    <w:multiLevelType w:val="hybridMultilevel"/>
    <w:lvl w:ilvl="0">
      <w:lvlJc w:val="left"/>
      <w:lvlText w:val="(%1)"/>
      <w:numFmt w:val="decimal"/>
      <w:start w:val="1"/>
    </w:lvl>
  </w:abstractNum>
  <w:abstractNum w:abstractNumId="98">
    <w:nsid w:val="59ADEA3D"/>
    <w:multiLevelType w:val="hybridMultilevel"/>
    <w:lvl w:ilvl="0">
      <w:lvlJc w:val="left"/>
      <w:lvlText w:val="●"/>
      <w:numFmt w:val="bullet"/>
      <w:start w:val="1"/>
    </w:lvl>
  </w:abstractNum>
  <w:abstractNum w:abstractNumId="99">
    <w:nsid w:val="288F1A34"/>
    <w:multiLevelType w:val="hybridMultilevel"/>
    <w:lvl w:ilvl="0">
      <w:lvlJc w:val="left"/>
      <w:lvlText w:val="●"/>
      <w:numFmt w:val="bullet"/>
      <w:start w:val="1"/>
    </w:lvl>
  </w:abstractNum>
  <w:abstractNum w:abstractNumId="100">
    <w:nsid w:val="2A155DBC"/>
    <w:multiLevelType w:val="hybridMultilevel"/>
    <w:lvl w:ilvl="0">
      <w:lvlJc w:val="left"/>
      <w:lvlText w:val="●"/>
      <w:numFmt w:val="bullet"/>
      <w:start w:val="1"/>
    </w:lvl>
  </w:abstractNum>
  <w:abstractNum w:abstractNumId="101">
    <w:nsid w:val="1D9F6E5F"/>
    <w:multiLevelType w:val="hybridMultilevel"/>
    <w:lvl w:ilvl="0">
      <w:lvlJc w:val="left"/>
      <w:lvlText w:val="●"/>
      <w:numFmt w:val="bullet"/>
      <w:start w:val="1"/>
    </w:lvl>
  </w:abstractNum>
  <w:abstractNum w:abstractNumId="102">
    <w:nsid w:val="97E1B4E"/>
    <w:multiLevelType w:val="hybridMultilevel"/>
    <w:lvl w:ilvl="0">
      <w:lvlJc w:val="left"/>
      <w:lvlText w:val="●"/>
      <w:numFmt w:val="bullet"/>
      <w:start w:val="1"/>
    </w:lvl>
  </w:abstractNum>
  <w:abstractNum w:abstractNumId="103">
    <w:nsid w:val="51088277"/>
    <w:multiLevelType w:val="hybridMultilevel"/>
    <w:lvl w:ilvl="0">
      <w:lvlJc w:val="left"/>
      <w:lvlText w:val="1"/>
      <w:numFmt w:val="bullet"/>
      <w:start w:val="1"/>
    </w:lvl>
  </w:abstractNum>
  <w:abstractNum w:abstractNumId="104">
    <w:nsid w:val="1CA0C5FA"/>
    <w:multiLevelType w:val="hybridMultilevel"/>
    <w:lvl w:ilvl="0">
      <w:lvlJc w:val="left"/>
      <w:lvlText w:val="●"/>
      <w:numFmt w:val="bullet"/>
      <w:start w:val="1"/>
    </w:lvl>
  </w:abstractNum>
  <w:abstractNum w:abstractNumId="105">
    <w:nsid w:val="53584BCB"/>
    <w:multiLevelType w:val="hybridMultilevel"/>
    <w:lvl w:ilvl="0">
      <w:lvlJc w:val="left"/>
      <w:lvlText w:val="1"/>
      <w:numFmt w:val="bullet"/>
      <w:start w:val="1"/>
    </w:lvl>
  </w:abstractNum>
  <w:abstractNum w:abstractNumId="106">
    <w:nsid w:val="415E286C"/>
    <w:multiLevelType w:val="hybridMultilevel"/>
    <w:lvl w:ilvl="0">
      <w:lvlJc w:val="left"/>
      <w:lvlText w:val="2"/>
      <w:numFmt w:val="bullet"/>
      <w:start w:val="1"/>
    </w:lvl>
  </w:abstractNum>
  <w:abstractNum w:abstractNumId="107">
    <w:nsid w:val="7C58FD05"/>
    <w:multiLevelType w:val="hybridMultilevel"/>
    <w:lvl w:ilvl="0">
      <w:lvlJc w:val="left"/>
      <w:lvlText w:val="●"/>
      <w:numFmt w:val="bullet"/>
      <w:start w:val="1"/>
    </w:lvl>
  </w:abstractNum>
  <w:abstractNum w:abstractNumId="108">
    <w:nsid w:val="23D86AAC"/>
    <w:multiLevelType w:val="hybridMultilevel"/>
    <w:lvl w:ilvl="0">
      <w:lvlJc w:val="left"/>
      <w:lvlText w:val="●"/>
      <w:numFmt w:val="bullet"/>
      <w:start w:val="1"/>
    </w:lvl>
  </w:abstractNum>
  <w:abstractNum w:abstractNumId="109">
    <w:nsid w:val="45E6D486"/>
    <w:multiLevelType w:val="hybridMultilevel"/>
    <w:lvl w:ilvl="0">
      <w:lvlJc w:val="left"/>
      <w:lvlText w:val="●"/>
      <w:numFmt w:val="bullet"/>
      <w:start w:val="1"/>
    </w:lvl>
  </w:abstractNum>
  <w:abstractNum w:abstractNumId="110">
    <w:nsid w:val="5C10FE21"/>
    <w:multiLevelType w:val="hybridMultilevel"/>
    <w:lvl w:ilvl="0">
      <w:lvlJc w:val="left"/>
      <w:lvlText w:val="●"/>
      <w:numFmt w:val="bullet"/>
      <w:start w:val="1"/>
    </w:lvl>
  </w:abstractNum>
  <w:abstractNum w:abstractNumId="111">
    <w:nsid w:val="E7FFA2B"/>
    <w:multiLevelType w:val="hybridMultilevel"/>
    <w:lvl w:ilvl="0">
      <w:lvlJc w:val="left"/>
      <w:lvlText w:val="%1."/>
      <w:numFmt w:val="decimal"/>
      <w:start w:val="1"/>
    </w:lvl>
  </w:abstractNum>
  <w:abstractNum w:abstractNumId="112">
    <w:nsid w:val="3C5991AA"/>
    <w:multiLevelType w:val="hybridMultilevel"/>
    <w:lvl w:ilvl="0">
      <w:lvlJc w:val="left"/>
      <w:lvlText w:val="%1."/>
      <w:numFmt w:val="decimal"/>
      <w:start w:val="2"/>
    </w:lvl>
  </w:abstractNum>
  <w:abstractNum w:abstractNumId="113">
    <w:nsid w:val="4BD8591A"/>
    <w:multiLevelType w:val="hybridMultilevel"/>
    <w:lvl w:ilvl="0">
      <w:lvlJc w:val="left"/>
      <w:lvlText w:val="1"/>
      <w:numFmt w:val="bullet"/>
      <w:start w:val="1"/>
    </w:lvl>
  </w:abstractNum>
  <w:abstractNum w:abstractNumId="114">
    <w:nsid w:val="78DF6A55"/>
    <w:multiLevelType w:val="hybridMultilevel"/>
    <w:lvl w:ilvl="0">
      <w:lvlJc w:val="left"/>
      <w:lvlText w:val="5"/>
      <w:numFmt w:val="bullet"/>
      <w:start w:val="1"/>
    </w:lvl>
  </w:abstractNum>
  <w:abstractNum w:abstractNumId="115">
    <w:nsid w:val="39B7AAA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2026-03-23T16:04:38Z</dcterms:created>
  <dcterms:modified xsi:type="dcterms:W3CDTF">2026-03-23T16:04:38Z</dcterms:modified>
</cp:coreProperties>
</file>