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5,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001-35565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32-0375147</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180" w:space="720"/>
            <w:col w:w="2760" w:space="720"/>
            <w:col w:w="2980"/>
          </w:cols>
          <w:pgMar w:left="240" w:top="544" w:right="299" w:bottom="0" w:gutter="0" w:footer="0" w:header="0"/>
          <w:type w:val="continuous"/>
        </w:sectPr>
      </w:pP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60"/>
          </w:cols>
          <w:pgMar w:left="240" w:top="544" w:right="299" w:bottom="0" w:gutter="0" w:footer="0" w:header="0"/>
          <w:type w:val="continuous"/>
        </w:sect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680" w:firstLine="8"/>
        <w:spacing w:after="0" w:line="563" w:lineRule="auto"/>
        <w:tabs>
          <w:tab w:leader="none" w:pos="15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Arial" w:cs="Arial" w:eastAsia="Arial" w:hAnsi="Arial"/>
          <w:sz w:val="16"/>
          <w:szCs w:val="16"/>
          <w:color w:val="auto"/>
        </w:rPr>
      </w:pPr>
    </w:p>
    <w:p>
      <w:pPr>
        <w:jc w:val="both"/>
        <w:ind w:right="3080"/>
        <w:spacing w:after="0" w:line="624" w:lineRule="auto"/>
        <w:rPr>
          <w:rFonts w:ascii="Arial" w:cs="Arial" w:eastAsia="Arial" w:hAnsi="Arial"/>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100"/>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20" w:firstLine="648"/>
        <w:spacing w:after="0" w:line="287" w:lineRule="auto"/>
        <w:rPr>
          <w:sz w:val="20"/>
          <w:szCs w:val="20"/>
          <w:color w:val="auto"/>
        </w:rPr>
      </w:pPr>
      <w:r>
        <w:rPr>
          <w:rFonts w:ascii="Arial" w:cs="Arial" w:eastAsia="Arial" w:hAnsi="Arial"/>
          <w:sz w:val="16"/>
          <w:szCs w:val="16"/>
          <w:color w:val="auto"/>
        </w:rPr>
        <w:t>On May 5, 2015, AbbVie Inc., and Morgan Stanley &amp; Co. LLC, Barclays Capital Inc., Deutsche Bank Securities Inc. and Merrill Lynch, Pierce, Fenner &amp; Smith Incorporated, for themselves and as representatives of the several other underwriters named therein, entered into an underwriting agreement (the “Underwriting Agreement”), for the issuance and sale of $16.7 billion aggregate principal amount of senior notes, consisting of $3,000,000,000 aggregate principal amount of its 1.800% senior notes due 2018 (the “2018 Notes”), $3,750,000,000 aggregate principal amount of its 2.500% senior notes due 2020 (the “2020 Notes”), $1,000,000,000 aggregate principal amount of its 3.200% senior notes due 2022 (the “2022 Notes”), $3,750,000,000 aggregate principal amount of its 3.600% senior notes due 2025 (the “2025 Notes”), $2,500,000,000 aggregate principal amount of its 4.500% senior notes due 2035 (the “2035 Notes”) and $2,700,000,000 aggregate principal amount of its 4.700% senior notes due 2045 (the “2045 Notes” and together with the 2018 Notes, the 2020 Notes, the 2022 Notes, the 2025 Notes and the 2035 Notes, the “Notes”). The Notes are being issued pursuant to the Prospectus Supplement, dated May 5, 2015 and filed with the Securities and Exchange Commission (the “SEC”) on May 7, 2015, and the Prospectus dated April 27, 2015, filed as part of the shelf registration statement (File No. 333-203677) that became effective under the Securities Act of 1933, as amended, when filed with the SEC on April 27, 2015 (the “Registration Statement”). Please refer to the Prospectus Supplement dated May 5, 2015 for additional information regarding the Notes offering and the terms and conditions of the Notes. Closing of the Notes offering is subject to customary conditions and is scheduled for May 14, 2015.</w:t>
      </w:r>
    </w:p>
    <w:p>
      <w:pPr>
        <w:spacing w:after="0" w:line="169"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AbbVie intends to use the net proceeds from the Notes offering to fund the cash component of the acquisition consideration in connection with the acquisition of Pharmacyclics, Inc. (the “Pharmacyclics acquisition”), to finance the repurchase from time to time of shares of AbbVie’s common stock for cash in connection with such acquisition, whether pursuant to an accelerated share repurchase program or otherwise and regardless of whether consummated substantially concurrently with or following the consummation of such acquisition and to pay related fees and expenses, and the remainder, if any, for general corporate purposes. The Notes offering is not contingent on the completion of such acquisition. However, if the consummation of the acquisition does not occur on or before February 3, 2016 or AbbVie notifies the trustee in respect of the Notes that the merger agreement in connection with the Pharmacyclics acquisition has been terminated in accordance with its terms prior to the consummation of the Pharmacyclics acquisition, AbbVie will be required to redeem the Notes at a redemption price equal to 101% of their principal amount plus accrued and unpaid interest, if any, up to, but excluding the applicable special mandatory redemption date.</w:t>
      </w:r>
    </w:p>
    <w:p>
      <w:pPr>
        <w:spacing w:after="0" w:line="182"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The foregoing description does not purport to be complete and is qualified in its entirety by reference to the full text of the Underwriting Agreement attached hereto as Exhibit 1.1 and incorporated herein by reference and into the Registration Statement.</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160" w:firstLine="450"/>
        <w:spacing w:after="0" w:line="286" w:lineRule="auto"/>
        <w:rPr>
          <w:sz w:val="20"/>
          <w:szCs w:val="20"/>
          <w:color w:val="auto"/>
        </w:rPr>
      </w:pPr>
      <w:r>
        <w:rPr>
          <w:rFonts w:ascii="Arial" w:cs="Arial" w:eastAsia="Arial" w:hAnsi="Arial"/>
          <w:sz w:val="17"/>
          <w:szCs w:val="17"/>
          <w:color w:val="auto"/>
        </w:rPr>
        <w:t>Many of the underwriters in respect of the Underwriting Agreement and/or their affiliates have in the past performed, and may in the future from time to time perform, investment banking, financial advisory, lending and/or commercial banking services, or other services for AbbVie and its subsidiaries, for which they have received, and may in the future receive, customary compensation and expense reimbursement.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The representations, warranties and covenants of each party set forth in the agreements described in this Form 8-K have been made only for purposes of, and were and are solely for the benefit of the parties to, the applicable agreement, may be subject to limitations agreed upon by the contracting parties, including being qualified by confidential disclosures made for the purposes of allocating contractual risk between the parties to the agreement instead of establishing these matters as facts, and may be subject to standards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materiality applicable to the contracting parties that differ from those applicable to investors. In addition, certain representations and warranties were made only as of the date of the applicable agreement or such other date as is specified in the agreement. Moreover, information concerning the subject matter of the representations and warranties may change after the date of the applicable agreement, which subsequent information may or may not be fully reflected in the parties’ public disclosures. Accordingly, such agreements are included with this filing only to provide investors with information regarding the terms of those agreements, and not to provide investors with any other factual information regarding the parties, their respective affiliates or their respective businesses. These agreements should not be read alone, but should instead be read in conjunction with the periodic and current reports and statements that the Company and/or its subsidiaries file with the SEC.</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u w:val="single" w:color="auto"/>
          <w:color w:val="auto"/>
        </w:rPr>
        <w:t>Exhibits</w:t>
      </w:r>
      <w:r>
        <w:rPr>
          <w:rFonts w:ascii="Arial" w:cs="Arial" w:eastAsia="Arial" w:hAnsi="Arial"/>
          <w:sz w:val="16"/>
          <w:szCs w:val="16"/>
          <w:color w:val="auto"/>
        </w:rPr>
        <w:t>. The following exhibits are provided as part of this Form 8-K: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10380" w:type="dxa"/>
            <w:vAlign w:val="bottom"/>
            <w:tcBorders>
              <w:bottom w:val="single" w:sz="8" w:color="auto"/>
            </w:tcBorders>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10780" w:type="dxa"/>
            <w:vAlign w:val="bottom"/>
            <w:gridSpan w:val="2"/>
          </w:tcPr>
          <w:p>
            <w:pPr>
              <w:ind w:left="400"/>
              <w:spacing w:after="0"/>
              <w:rPr>
                <w:sz w:val="20"/>
                <w:szCs w:val="20"/>
                <w:color w:val="auto"/>
              </w:rPr>
            </w:pPr>
            <w:r>
              <w:rPr>
                <w:rFonts w:ascii="Arial" w:cs="Arial" w:eastAsia="Arial" w:hAnsi="Arial"/>
                <w:sz w:val="18"/>
                <w:szCs w:val="18"/>
                <w:color w:val="auto"/>
                <w:w w:val="98"/>
              </w:rPr>
              <w:t>Underwriting Agreement, dated as of May 5, 2015, by and among AbbVie Inc., and Morgan Stanley &amp; Co. LLC, Barclays Capital Inc.,</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400"/>
              <w:spacing w:after="0"/>
              <w:rPr>
                <w:sz w:val="20"/>
                <w:szCs w:val="20"/>
                <w:color w:val="auto"/>
              </w:rPr>
            </w:pPr>
            <w:r>
              <w:rPr>
                <w:rFonts w:ascii="Arial" w:cs="Arial" w:eastAsia="Arial" w:hAnsi="Arial"/>
                <w:sz w:val="18"/>
                <w:szCs w:val="18"/>
                <w:color w:val="auto"/>
                <w:w w:val="93"/>
              </w:rPr>
              <w:t>Deutsche Bank Securities Inc. and Merrill Lynch, Pierce, Fenner &amp; Smith Incorporated, as representatives of the several other underwriters</w:t>
            </w:r>
          </w:p>
        </w:tc>
      </w:tr>
      <w:tr>
        <w:trPr>
          <w:trHeight w:val="230"/>
        </w:trPr>
        <w:tc>
          <w:tcPr>
            <w:tcW w:w="640" w:type="dxa"/>
            <w:vAlign w:val="bottom"/>
          </w:tcPr>
          <w:p>
            <w:pPr>
              <w:spacing w:after="0"/>
              <w:rPr>
                <w:sz w:val="20"/>
                <w:szCs w:val="20"/>
                <w:color w:val="auto"/>
              </w:rPr>
            </w:pPr>
          </w:p>
        </w:tc>
        <w:tc>
          <w:tcPr>
            <w:tcW w:w="10780" w:type="dxa"/>
            <w:vAlign w:val="bottom"/>
            <w:gridSpan w:val="2"/>
          </w:tcPr>
          <w:p>
            <w:pPr>
              <w:ind w:left="400"/>
              <w:spacing w:after="0"/>
              <w:rPr>
                <w:sz w:val="20"/>
                <w:szCs w:val="20"/>
                <w:color w:val="auto"/>
              </w:rPr>
            </w:pPr>
            <w:r>
              <w:rPr>
                <w:rFonts w:ascii="Arial" w:cs="Arial" w:eastAsia="Arial" w:hAnsi="Arial"/>
                <w:sz w:val="18"/>
                <w:szCs w:val="18"/>
                <w:color w:val="auto"/>
              </w:rPr>
              <w:t>named therein.</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Some statements in this Current Report on Form 8-K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the likelihood that the transaction is consummated, the expected benefits of the transaction,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in AbbVie’s 2014 Annual Report on Form 10-K, which has been filed with the Securities and Exchange Commission and the risks described under “Risk Factors” beginning on page 13 of our Registration Statement on Form S-4, as amended (File No. 333-202921). AbbVie undertakes no obligation to release publicly any revisions to forward-looking statements as a result of subsequent events or developments, except as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00" w:firstLine="8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180" w:type="dxa"/>
            <w:vAlign w:val="bottom"/>
            <w:gridSpan w:val="2"/>
          </w:tcPr>
          <w:p>
            <w:pPr>
              <w:ind w:left="5940"/>
              <w:spacing w:after="0"/>
              <w:rPr>
                <w:sz w:val="20"/>
                <w:szCs w:val="20"/>
                <w:color w:val="auto"/>
              </w:rPr>
            </w:pPr>
            <w:r>
              <w:rPr>
                <w:rFonts w:ascii="Arial" w:cs="Arial" w:eastAsia="Arial" w:hAnsi="Arial"/>
                <w:sz w:val="18"/>
                <w:szCs w:val="18"/>
                <w:b w:val="1"/>
                <w:bCs w:val="1"/>
                <w:color w:val="auto"/>
              </w:rPr>
              <w:t>ABBVIE INC.</w:t>
            </w:r>
          </w:p>
        </w:tc>
        <w:tc>
          <w:tcPr>
            <w:tcW w:w="4180" w:type="dxa"/>
            <w:vAlign w:val="bottom"/>
          </w:tcPr>
          <w:p>
            <w:pPr>
              <w:spacing w:after="0"/>
              <w:rPr>
                <w:sz w:val="20"/>
                <w:szCs w:val="20"/>
                <w:color w:val="auto"/>
              </w:rPr>
            </w:pPr>
          </w:p>
        </w:tc>
      </w:tr>
      <w:tr>
        <w:trPr>
          <w:trHeight w:val="432"/>
        </w:trPr>
        <w:tc>
          <w:tcPr>
            <w:tcW w:w="6560" w:type="dxa"/>
            <w:vAlign w:val="bottom"/>
          </w:tcPr>
          <w:p>
            <w:pPr>
              <w:ind w:left="59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J. Chase</w:t>
            </w:r>
          </w:p>
        </w:tc>
      </w:tr>
      <w:tr>
        <w:trPr>
          <w:trHeight w:val="195"/>
        </w:trPr>
        <w:tc>
          <w:tcPr>
            <w:tcW w:w="65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ind w:left="120"/>
              <w:spacing w:after="0" w:line="195" w:lineRule="exact"/>
              <w:rPr>
                <w:sz w:val="20"/>
                <w:szCs w:val="20"/>
                <w:color w:val="auto"/>
              </w:rPr>
            </w:pPr>
            <w:r>
              <w:rPr>
                <w:rFonts w:ascii="Arial" w:cs="Arial" w:eastAsia="Arial" w:hAnsi="Arial"/>
                <w:sz w:val="18"/>
                <w:szCs w:val="18"/>
                <w:color w:val="auto"/>
              </w:rPr>
              <w:t>William J. Chase</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Date: May 7, 2015</w:t>
            </w: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 Officer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EXECUTED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ABBVIE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$3,000,000,000 1.800% Notes due 2018</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$3,750,000,000 2.500% Notes due 2020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$1,000,000,000 3.200% Notes due 2022</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$3,750,000,000 3.600% Notes due 2025</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$2,500,000,000 4.500% Notes due 2035</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$2,700,000,000 4.700% Notes due 2045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AbbVie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Morgan Stanley &amp; Co. LLC, Merrill Lynch, Pierce, Fenner &amp; Smith Incorporated, Barclays Capital Inc. and Deutsche Bank Securities Inc. (together, the “</w:t>
      </w:r>
      <w:r>
        <w:rPr>
          <w:rFonts w:ascii="Arial" w:cs="Arial" w:eastAsia="Arial" w:hAnsi="Arial"/>
          <w:sz w:val="18"/>
          <w:szCs w:val="18"/>
          <w:b w:val="1"/>
          <w:bCs w:val="1"/>
          <w:color w:val="auto"/>
        </w:rPr>
        <w:t>Representatives</w:t>
      </w:r>
      <w:r>
        <w:rPr>
          <w:rFonts w:ascii="Arial" w:cs="Arial" w:eastAsia="Arial" w:hAnsi="Arial"/>
          <w:sz w:val="18"/>
          <w:szCs w:val="18"/>
          <w:color w:val="auto"/>
        </w:rPr>
        <w:t>”) and the other several underwriters named in Schedule II hereto (together with the Representatives, the “</w:t>
      </w:r>
      <w:r>
        <w:rPr>
          <w:rFonts w:ascii="Arial" w:cs="Arial" w:eastAsia="Arial" w:hAnsi="Arial"/>
          <w:sz w:val="18"/>
          <w:szCs w:val="18"/>
          <w:b w:val="1"/>
          <w:bCs w:val="1"/>
          <w:color w:val="auto"/>
        </w:rPr>
        <w:t>Underwriters</w:t>
      </w:r>
      <w:r>
        <w:rPr>
          <w:rFonts w:ascii="Arial" w:cs="Arial" w:eastAsia="Arial" w:hAnsi="Arial"/>
          <w:sz w:val="18"/>
          <w:szCs w:val="18"/>
          <w:color w:val="auto"/>
        </w:rPr>
        <w:t>”) pursuant to this Underwriting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the principal amount of its debt securities identified in Schedule I hereto (the “</w:t>
      </w:r>
      <w:r>
        <w:rPr>
          <w:rFonts w:ascii="Arial" w:cs="Arial" w:eastAsia="Arial" w:hAnsi="Arial"/>
          <w:sz w:val="18"/>
          <w:szCs w:val="18"/>
          <w:b w:val="1"/>
          <w:bCs w:val="1"/>
          <w:color w:val="auto"/>
        </w:rPr>
        <w:t>Securities</w:t>
      </w:r>
      <w:r>
        <w:rPr>
          <w:rFonts w:ascii="Arial" w:cs="Arial" w:eastAsia="Arial" w:hAnsi="Arial"/>
          <w:sz w:val="18"/>
          <w:szCs w:val="18"/>
          <w:color w:val="auto"/>
        </w:rPr>
        <w:t>”), to be issued pursuant to the indenture dated as of November 8, 2012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Supplemental Indenture No. 1</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November 8, 2012 (“</w:t>
      </w:r>
      <w:r>
        <w:rPr>
          <w:rFonts w:ascii="Arial" w:cs="Arial" w:eastAsia="Arial" w:hAnsi="Arial"/>
          <w:sz w:val="18"/>
          <w:szCs w:val="18"/>
          <w:b w:val="1"/>
          <w:bCs w:val="1"/>
          <w:color w:val="auto"/>
        </w:rPr>
        <w:t>Supplemental Indenture No. 1</w:t>
      </w:r>
      <w:r>
        <w:rPr>
          <w:rFonts w:ascii="Arial" w:cs="Arial" w:eastAsia="Arial" w:hAnsi="Arial"/>
          <w:sz w:val="18"/>
          <w:szCs w:val="18"/>
          <w:color w:val="auto"/>
        </w:rPr>
        <w:t>”) among the Company and the Trustee and the Supplemental Indenture No. 2 dated as of May 14, 2015 among the Company and the Trustee (the “</w:t>
      </w:r>
      <w:r>
        <w:rPr>
          <w:rFonts w:ascii="Arial" w:cs="Arial" w:eastAsia="Arial" w:hAnsi="Arial"/>
          <w:sz w:val="18"/>
          <w:szCs w:val="18"/>
          <w:b w:val="1"/>
          <w:bCs w:val="1"/>
          <w:color w:val="auto"/>
        </w:rPr>
        <w:t>Supplemental Indenture No. 2</w:t>
      </w:r>
      <w:r>
        <w:rPr>
          <w:rFonts w:ascii="Arial" w:cs="Arial" w:eastAsia="Arial" w:hAnsi="Arial"/>
          <w:sz w:val="18"/>
          <w:szCs w:val="18"/>
          <w:color w:val="auto"/>
        </w:rPr>
        <w:t>,” and together with the Base Indenture and the Supplemental Indenture No. 1,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(the file number of which is set forth in Schedule I hereto) on Form S-3, relating to securities (the “</w:t>
      </w:r>
      <w:r>
        <w:rPr>
          <w:rFonts w:ascii="Arial" w:cs="Arial" w:eastAsia="Arial" w:hAnsi="Arial"/>
          <w:sz w:val="17"/>
          <w:szCs w:val="17"/>
          <w:b w:val="1"/>
          <w:bCs w:val="1"/>
          <w:color w:val="auto"/>
        </w:rPr>
        <w:t>Shelf Securities</w:t>
      </w:r>
      <w:r>
        <w:rPr>
          <w:rFonts w:ascii="Arial" w:cs="Arial" w:eastAsia="Arial" w:hAnsi="Arial"/>
          <w:sz w:val="17"/>
          <w:szCs w:val="17"/>
          <w:color w:val="auto"/>
        </w:rPr>
        <w:t>”), including the Securities,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including all exhibits thereto (but excluding Form T-1),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covering the Shelf Securities dated April 27, 2015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and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 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and relating to the offering of the Securities,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documents and pricing information set forth opposite the caption “Time of Sale Prospectus” in Schedule 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on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66"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Pursuant to an Agreement and Plan of Reorganization, dated March 4, 2015 (the “</w:t>
      </w:r>
      <w:r>
        <w:rPr>
          <w:rFonts w:ascii="Arial" w:cs="Arial" w:eastAsia="Arial" w:hAnsi="Arial"/>
          <w:sz w:val="16"/>
          <w:szCs w:val="16"/>
          <w:b w:val="1"/>
          <w:bCs w:val="1"/>
          <w:color w:val="auto"/>
        </w:rPr>
        <w:t>Pharmacyclics Merger Agreement</w:t>
      </w:r>
      <w:r>
        <w:rPr>
          <w:rFonts w:ascii="Arial" w:cs="Arial" w:eastAsia="Arial" w:hAnsi="Arial"/>
          <w:sz w:val="16"/>
          <w:szCs w:val="16"/>
          <w:color w:val="auto"/>
        </w:rPr>
        <w:t>”), by and among the Company, Oxford Amherst Corporation, a Delaware corporation (“</w:t>
      </w:r>
      <w:r>
        <w:rPr>
          <w:rFonts w:ascii="Arial" w:cs="Arial" w:eastAsia="Arial" w:hAnsi="Arial"/>
          <w:sz w:val="16"/>
          <w:szCs w:val="16"/>
          <w:b w:val="1"/>
          <w:bCs w:val="1"/>
          <w:color w:val="auto"/>
        </w:rPr>
        <w:t>Purchaser</w:t>
      </w:r>
      <w:r>
        <w:rPr>
          <w:rFonts w:ascii="Arial" w:cs="Arial" w:eastAsia="Arial" w:hAnsi="Arial"/>
          <w:sz w:val="16"/>
          <w:szCs w:val="16"/>
          <w:color w:val="auto"/>
        </w:rPr>
        <w:t>”), Oxford Amherst LLC, a Delaware limited liability company (“</w:t>
      </w:r>
      <w:r>
        <w:rPr>
          <w:rFonts w:ascii="Arial" w:cs="Arial" w:eastAsia="Arial" w:hAnsi="Arial"/>
          <w:sz w:val="16"/>
          <w:szCs w:val="16"/>
          <w:b w:val="1"/>
          <w:bCs w:val="1"/>
          <w:color w:val="auto"/>
        </w:rPr>
        <w:t>Merger Sub</w:t>
      </w:r>
      <w:r>
        <w:rPr>
          <w:rFonts w:ascii="Arial" w:cs="Arial" w:eastAsia="Arial" w:hAnsi="Arial"/>
          <w:sz w:val="16"/>
          <w:szCs w:val="16"/>
          <w:color w:val="auto"/>
        </w:rPr>
        <w:t xml:space="preserve"> </w:t>
      </w:r>
      <w:r>
        <w:rPr>
          <w:rFonts w:ascii="Arial" w:cs="Arial" w:eastAsia="Arial" w:hAnsi="Arial"/>
          <w:sz w:val="16"/>
          <w:szCs w:val="16"/>
          <w:b w:val="1"/>
          <w:bCs w:val="1"/>
          <w:color w:val="auto"/>
        </w:rPr>
        <w:t>2</w:t>
      </w:r>
      <w:r>
        <w:rPr>
          <w:rFonts w:ascii="Arial" w:cs="Arial" w:eastAsia="Arial" w:hAnsi="Arial"/>
          <w:sz w:val="16"/>
          <w:szCs w:val="16"/>
          <w:color w:val="auto"/>
        </w:rPr>
        <w:t>”) and Pharmacyclics, Inc., a Delaware corporation (“</w:t>
      </w:r>
      <w:r>
        <w:rPr>
          <w:rFonts w:ascii="Arial" w:cs="Arial" w:eastAsia="Arial" w:hAnsi="Arial"/>
          <w:sz w:val="16"/>
          <w:szCs w:val="16"/>
          <w:b w:val="1"/>
          <w:bCs w:val="1"/>
          <w:color w:val="auto"/>
        </w:rPr>
        <w:t>Pharmacyclics</w:t>
      </w:r>
      <w:r>
        <w:rPr>
          <w:rFonts w:ascii="Arial" w:cs="Arial" w:eastAsia="Arial" w:hAnsi="Arial"/>
          <w:sz w:val="16"/>
          <w:szCs w:val="16"/>
          <w:color w:val="auto"/>
        </w:rPr>
        <w:t>”), as amended by Amendment No. 1 to the Pharmacyclics Merger Agreement, dated</w:t>
      </w:r>
      <w:r>
        <w:rPr>
          <w:rFonts w:ascii="Arial" w:cs="Arial" w:eastAsia="Arial" w:hAnsi="Arial"/>
          <w:sz w:val="16"/>
          <w:szCs w:val="16"/>
          <w:b w:val="1"/>
          <w:bCs w:val="1"/>
          <w:color w:val="auto"/>
        </w:rPr>
        <w:t xml:space="preserve"> </w:t>
      </w:r>
      <w:r>
        <w:rPr>
          <w:rFonts w:ascii="Arial" w:cs="Arial" w:eastAsia="Arial" w:hAnsi="Arial"/>
          <w:sz w:val="16"/>
          <w:szCs w:val="16"/>
          <w:color w:val="auto"/>
        </w:rPr>
        <w:t>March 22, 2015, and subject to the conditions contained therein, Purchaser will be merged with and into Pharmacyclics (the “</w:t>
      </w:r>
      <w:r>
        <w:rPr>
          <w:rFonts w:ascii="Arial" w:cs="Arial" w:eastAsia="Arial" w:hAnsi="Arial"/>
          <w:sz w:val="16"/>
          <w:szCs w:val="16"/>
          <w:b w:val="1"/>
          <w:bCs w:val="1"/>
          <w:color w:val="auto"/>
        </w:rPr>
        <w:t>First Merger</w:t>
      </w:r>
      <w:r>
        <w:rPr>
          <w:rFonts w:ascii="Arial" w:cs="Arial" w:eastAsia="Arial" w:hAnsi="Arial"/>
          <w:sz w:val="16"/>
          <w:szCs w:val="16"/>
          <w:color w:val="auto"/>
        </w:rPr>
        <w:t>”), with</w:t>
      </w:r>
    </w:p>
    <w:p>
      <w:pPr>
        <w:sectPr>
          <w:pgSz w:w="11900" w:h="16876" w:orient="portrait"/>
          <w:cols w:equalWidth="0" w:num="1">
            <w:col w:w="11420"/>
          </w:cols>
          <w:pgMar w:left="240" w:top="121" w:right="239" w:bottom="0" w:gutter="0" w:footer="0" w:header="0"/>
        </w:sectPr>
      </w:pPr>
    </w:p>
    <w:bookmarkStart w:id="3" w:name="page4"/>
    <w:bookmarkEnd w:id="3"/>
    <w:p>
      <w:pPr>
        <w:ind w:right="200"/>
        <w:spacing w:after="0" w:line="264" w:lineRule="auto"/>
        <w:rPr>
          <w:sz w:val="20"/>
          <w:szCs w:val="20"/>
          <w:color w:val="auto"/>
        </w:rPr>
      </w:pPr>
      <w:r>
        <w:rPr>
          <w:rFonts w:ascii="Arial" w:cs="Arial" w:eastAsia="Arial" w:hAnsi="Arial"/>
          <w:sz w:val="18"/>
          <w:szCs w:val="18"/>
          <w:color w:val="auto"/>
        </w:rPr>
        <w:t>Pharmacyclics surviving the First Merger, and immediately following the First Merger, Pharmacyclics will be merged with and into Merger Sub 2 (together with the First Merger, the “</w:t>
      </w:r>
      <w:r>
        <w:rPr>
          <w:rFonts w:ascii="Arial" w:cs="Arial" w:eastAsia="Arial" w:hAnsi="Arial"/>
          <w:sz w:val="18"/>
          <w:szCs w:val="18"/>
          <w:b w:val="1"/>
          <w:bCs w:val="1"/>
          <w:color w:val="auto"/>
        </w:rPr>
        <w:t>Merger</w:t>
      </w:r>
      <w:r>
        <w:rPr>
          <w:rFonts w:ascii="Arial" w:cs="Arial" w:eastAsia="Arial" w:hAnsi="Arial"/>
          <w:sz w:val="18"/>
          <w:szCs w:val="18"/>
          <w:color w:val="auto"/>
        </w:rPr>
        <w:t>”), with Merger Sub 2 continuing as the surviving entity and as a wholly owned subsidiary of the Company (the “</w:t>
      </w:r>
      <w:r>
        <w:rPr>
          <w:rFonts w:ascii="Arial" w:cs="Arial" w:eastAsia="Arial" w:hAnsi="Arial"/>
          <w:sz w:val="18"/>
          <w:szCs w:val="18"/>
          <w:b w:val="1"/>
          <w:bCs w:val="1"/>
          <w:color w:val="auto"/>
        </w:rPr>
        <w:t>Pharmacyclics Acquisition</w:t>
      </w:r>
      <w:r>
        <w:rPr>
          <w:rFonts w:ascii="Arial" w:cs="Arial" w:eastAsia="Arial" w:hAnsi="Arial"/>
          <w:sz w:val="18"/>
          <w:szCs w:val="18"/>
          <w:color w:val="auto"/>
        </w:rPr>
        <w:t>”).</w:t>
      </w:r>
    </w:p>
    <w:p>
      <w:pPr>
        <w:spacing w:after="0" w:line="181" w:lineRule="exact"/>
        <w:rPr>
          <w:sz w:val="20"/>
          <w:szCs w:val="20"/>
          <w:color w:val="auto"/>
        </w:rPr>
      </w:pPr>
    </w:p>
    <w:p>
      <w:pPr>
        <w:ind w:left="1180" w:hanging="524"/>
        <w:spacing w:after="0"/>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Representatives that:</w:t>
      </w:r>
    </w:p>
    <w:p>
      <w:pPr>
        <w:spacing w:after="0" w:line="248" w:lineRule="exact"/>
        <w:rPr>
          <w:rFonts w:ascii="Arial" w:cs="Arial" w:eastAsia="Arial" w:hAnsi="Arial"/>
          <w:sz w:val="16"/>
          <w:szCs w:val="16"/>
          <w:color w:val="auto"/>
        </w:rPr>
      </w:pPr>
    </w:p>
    <w:p>
      <w:pPr>
        <w:ind w:left="660" w:right="120" w:firstLine="645"/>
        <w:spacing w:after="0" w:line="264" w:lineRule="auto"/>
        <w:tabs>
          <w:tab w:leader="none" w:pos="1954"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No Stop Order; Status as a Well-Known Seasoned Issuer</w:t>
      </w:r>
      <w:r>
        <w:rPr>
          <w:rFonts w:ascii="Arial" w:cs="Arial" w:eastAsia="Arial" w:hAnsi="Arial"/>
          <w:sz w:val="18"/>
          <w:szCs w:val="18"/>
          <w:color w:val="auto"/>
        </w:rPr>
        <w:t>. The Registration Statement has become effective; no stop order suspending the effectiveness of the Registration Statement is in effect, and no proceedings for such purpose are pending before or, to the knowledge of the Company, threatened by the Commission.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87" w:lineRule="exact"/>
        <w:rPr>
          <w:sz w:val="20"/>
          <w:szCs w:val="20"/>
          <w:color w:val="auto"/>
        </w:rPr>
      </w:pPr>
    </w:p>
    <w:p>
      <w:pPr>
        <w:ind w:left="660" w:firstLine="645"/>
        <w:spacing w:after="0" w:line="267" w:lineRule="auto"/>
        <w:tabs>
          <w:tab w:leader="none" w:pos="1964"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Prospectus and Disclosure at Time of Sale</w:t>
      </w:r>
      <w:r>
        <w:rPr>
          <w:rFonts w:ascii="Arial" w:cs="Arial" w:eastAsia="Arial" w:hAnsi="Arial"/>
          <w:sz w:val="17"/>
          <w:szCs w:val="17"/>
          <w:color w:val="auto"/>
        </w:rPr>
        <w:t>.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in order to make the statements therein not misleading, (iii) the Registration Statement as of the date hereof does not contain any untrue statement of a material fact or omit to state a material fact required to be stated therein or necessary in order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in order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in order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Representatives expressly for use therein or (B) that part of the Registration Statement that constitutes the Statement of Eligibility (Form T-1) under the Trust Indenture Act of 1939, as amended (the “</w:t>
      </w:r>
      <w:r>
        <w:rPr>
          <w:rFonts w:ascii="Arial" w:cs="Arial" w:eastAsia="Arial" w:hAnsi="Arial"/>
          <w:sz w:val="17"/>
          <w:szCs w:val="17"/>
          <w:b w:val="1"/>
          <w:bCs w:val="1"/>
          <w:color w:val="auto"/>
        </w:rPr>
        <w:t>Trust Indenture Act</w:t>
      </w:r>
      <w:r>
        <w:rPr>
          <w:rFonts w:ascii="Arial" w:cs="Arial" w:eastAsia="Arial" w:hAnsi="Arial"/>
          <w:sz w:val="17"/>
          <w:szCs w:val="17"/>
          <w:color w:val="auto"/>
        </w:rPr>
        <w:t>”), of the Trustee;</w:t>
      </w:r>
    </w:p>
    <w:p>
      <w:pPr>
        <w:spacing w:after="0" w:line="187" w:lineRule="exact"/>
        <w:rPr>
          <w:rFonts w:ascii="Arial" w:cs="Arial" w:eastAsia="Arial" w:hAnsi="Arial"/>
          <w:sz w:val="17"/>
          <w:szCs w:val="17"/>
          <w:color w:val="auto"/>
        </w:rPr>
      </w:pPr>
    </w:p>
    <w:p>
      <w:pPr>
        <w:ind w:left="660" w:right="160" w:firstLine="645"/>
        <w:spacing w:after="0" w:line="255" w:lineRule="auto"/>
        <w:tabs>
          <w:tab w:leader="none" w:pos="196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Ineligible Issuer</w:t>
      </w:r>
      <w:r>
        <w:rPr>
          <w:rFonts w:ascii="Arial" w:cs="Arial" w:eastAsia="Arial" w:hAnsi="Arial"/>
          <w:sz w:val="18"/>
          <w:szCs w:val="18"/>
          <w:color w:val="auto"/>
        </w:rPr>
        <w:t>. The Company is not an “ineligible issuer” in connection with the offering pursuant to Rules 164, 405 and 433 under the Securities Act. Any free writing prospectus that the Company is required to file pursuant to Rule 433(d) under the Securities Act in connection with the offering of the Securities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as of its date and at all times through the completion of the offering of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Securities complies or will comply in all material respects with the requirements of the Securities Act and the applicable rules and regulations of the Commission thereunder; Except for the free writing prospectuses, if any, identified in Schedule I hereto, and electronic road shows, if any, each furnished to you before first use, the Company has not prepared, used or referred to, and will not, without your prior consent, prepare, use or refer to, any free writing prospectus in connection with the offering of the Securities;</w:t>
      </w:r>
    </w:p>
    <w:p>
      <w:pPr>
        <w:spacing w:after="0" w:line="187" w:lineRule="exact"/>
        <w:rPr>
          <w:sz w:val="20"/>
          <w:szCs w:val="20"/>
          <w:color w:val="auto"/>
        </w:rPr>
      </w:pPr>
    </w:p>
    <w:p>
      <w:pPr>
        <w:ind w:left="660" w:firstLine="645"/>
        <w:spacing w:after="0" w:line="255" w:lineRule="auto"/>
        <w:tabs>
          <w:tab w:leader="none" w:pos="19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Securities Act and the Exchange Act and the rules and regulations of the Commission thereunder, as applicable, and, when read together with the other information in the Prospectus, (a) at the time the Registration Statement became effective, (b) at the earlier of the time the Prospectus was first used and the Applicable Time and (c) at the Closing Time did not contain an untrue statement of a material fact or omit to state a material fact required to be stated therein or necessary in order to make the statements therein, in light of the circumstances under which they were made, not misleading;</w:t>
      </w:r>
    </w:p>
    <w:p>
      <w:pPr>
        <w:spacing w:after="0" w:line="189" w:lineRule="exact"/>
        <w:rPr>
          <w:rFonts w:ascii="Arial" w:cs="Arial" w:eastAsia="Arial" w:hAnsi="Arial"/>
          <w:sz w:val="18"/>
          <w:szCs w:val="18"/>
          <w:color w:val="auto"/>
        </w:rPr>
      </w:pPr>
    </w:p>
    <w:p>
      <w:pPr>
        <w:ind w:left="660" w:right="40" w:firstLine="645"/>
        <w:spacing w:after="0" w:line="270" w:lineRule="auto"/>
        <w:tabs>
          <w:tab w:leader="none" w:pos="1967"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 in Company Business</w:t>
      </w:r>
      <w:r>
        <w:rPr>
          <w:rFonts w:ascii="Arial" w:cs="Arial" w:eastAsia="Arial" w:hAnsi="Arial"/>
          <w:sz w:val="17"/>
          <w:szCs w:val="17"/>
          <w:color w:val="auto"/>
        </w:rPr>
        <w:t>. Neither the Company nor any of its subsidiaries has sustained since the date of the latest audited financial statements included or incorporated by reference in the Registration Statement, Time of Sale Prospectus and the Prospectus any loss or interference with its business from fire, explosion, flood or other calamity, whether or not covered by insurance, or from any labor dispute or court or governmental action, order or decree, in each case which is material to the Company and its subsidiaries taken as a whole, otherwise than as set forth or contemplated in the Registration Statement, the Time of Sale Prospectus or the Prospectus; and, since the respective dates as of which information is given in the Registration Statement, the Time of Sale Prospectus and the Prospectus, there has not been any material change in the consolidated capital stock or any material increase in the consolidated long-term debt of the Company and its subsidiaries, taken as a whole, or any material adverse change, or any development involving a prospective material adverse change, in or affecting the business, financial position, shareholders’ equity or results of operations of the Company and its subsidiaries, taken as a whole, otherwise than as set forth or contemplated in the Time of Sale Prospectus;</w:t>
      </w:r>
    </w:p>
    <w:p>
      <w:pPr>
        <w:sectPr>
          <w:pgSz w:w="11900" w:h="16838" w:orient="portrait"/>
          <w:cols w:equalWidth="0" w:num="1">
            <w:col w:w="11420"/>
          </w:cols>
          <w:pgMar w:left="240" w:top="125" w:right="239" w:bottom="0" w:gutter="0" w:footer="0" w:header="0"/>
        </w:sectPr>
      </w:pPr>
    </w:p>
    <w:bookmarkStart w:id="4" w:name="page5"/>
    <w:bookmarkEnd w:id="4"/>
    <w:p>
      <w:pPr>
        <w:ind w:left="4" w:firstLine="645"/>
        <w:spacing w:after="0" w:line="276" w:lineRule="auto"/>
        <w:tabs>
          <w:tab w:leader="none" w:pos="130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incorporated and is validly existing as a corporation in good standing under the laws of the State of Delaware, has the corporate power and authority to own its properties and conduct its business as described in the Time of Sale Prospectus, and is duly qualified to transact business and is in good standing in each jurisdiction in which the conduct of its business or the ownership or leasing of its property requires such qualification, except where failure to be so qualified or in good standing would not, in the aggregate, have a material adverse effect upon the Company and its subsidiaries, taken as a whole;</w:t>
      </w:r>
    </w:p>
    <w:p>
      <w:pPr>
        <w:spacing w:after="0" w:line="172" w:lineRule="exact"/>
        <w:rPr>
          <w:rFonts w:ascii="Arial" w:cs="Arial" w:eastAsia="Arial" w:hAnsi="Arial"/>
          <w:sz w:val="17"/>
          <w:szCs w:val="17"/>
          <w:color w:val="auto"/>
        </w:rPr>
      </w:pPr>
    </w:p>
    <w:p>
      <w:pPr>
        <w:jc w:val="both"/>
        <w:ind w:left="4" w:right="100" w:firstLine="645"/>
        <w:spacing w:after="0" w:line="259" w:lineRule="auto"/>
        <w:tabs>
          <w:tab w:leader="none" w:pos="132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Good Standing of Subsidiaries</w:t>
      </w:r>
      <w:r>
        <w:rPr>
          <w:rFonts w:ascii="Arial" w:cs="Arial" w:eastAsia="Arial" w:hAnsi="Arial"/>
          <w:sz w:val="18"/>
          <w:szCs w:val="18"/>
          <w:color w:val="auto"/>
        </w:rPr>
        <w:t>. Each of the “significant subsidiaries” of the Company (as such term is defined in Rule 1-02(w) of Regulation S-X promulgated under the Securities Act) has been duly organized, is validly existing as a corporation in good standing under the laws of the jurisdiction of its organization, is duly qualified to transact business and is in good standing in each jurisdiction in which the conduct of its business or the ownership or leasing of its property requires such qualification, except</w:t>
      </w: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80"/>
        <w:spacing w:after="0" w:line="277" w:lineRule="auto"/>
        <w:rPr>
          <w:sz w:val="20"/>
          <w:szCs w:val="20"/>
          <w:color w:val="auto"/>
        </w:rPr>
      </w:pPr>
      <w:r>
        <w:rPr>
          <w:rFonts w:ascii="Arial" w:cs="Arial" w:eastAsia="Arial" w:hAnsi="Arial"/>
          <w:sz w:val="18"/>
          <w:szCs w:val="18"/>
          <w:color w:val="auto"/>
        </w:rPr>
        <w:t>where failure to be so qualified or in good standing would not, in the aggregate, have a material adverse effect upon the Company and its subsidiaries, taken as a whole;</w:t>
      </w:r>
    </w:p>
    <w:p>
      <w:pPr>
        <w:spacing w:after="0" w:line="170" w:lineRule="exact"/>
        <w:rPr>
          <w:sz w:val="20"/>
          <w:szCs w:val="20"/>
          <w:color w:val="auto"/>
        </w:rPr>
      </w:pPr>
    </w:p>
    <w:p>
      <w:pPr>
        <w:ind w:left="1304" w:hanging="655"/>
        <w:spacing w:after="0"/>
        <w:tabs>
          <w:tab w:leader="none" w:pos="1304"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Authorization of this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left="4" w:right="40" w:firstLine="645"/>
        <w:spacing w:after="0" w:line="273" w:lineRule="auto"/>
        <w:tabs>
          <w:tab w:leader="none" w:pos="1322"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Authorization of the Securities</w:t>
      </w:r>
      <w:r>
        <w:rPr>
          <w:rFonts w:ascii="Arial" w:cs="Arial" w:eastAsia="Arial" w:hAnsi="Arial"/>
          <w:sz w:val="17"/>
          <w:szCs w:val="17"/>
          <w:color w:val="auto"/>
        </w:rPr>
        <w:t>. The Securities have been duly authorized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fraudulent transfer, reorganization, moratorium and similar laws relating to or affecting creditors’ rights generally and general principles of equity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will be entitled to the benefits of the Indenture, subject to the Enforceability Exceptions and except as rights to indemnification and contribution may be limited under applicable law;</w:t>
      </w:r>
    </w:p>
    <w:p>
      <w:pPr>
        <w:spacing w:after="0" w:line="178" w:lineRule="exact"/>
        <w:rPr>
          <w:rFonts w:ascii="Arial" w:cs="Arial" w:eastAsia="Arial" w:hAnsi="Arial"/>
          <w:sz w:val="17"/>
          <w:szCs w:val="17"/>
          <w:color w:val="auto"/>
        </w:rPr>
      </w:pPr>
    </w:p>
    <w:p>
      <w:pPr>
        <w:ind w:left="4" w:right="120" w:firstLine="645"/>
        <w:spacing w:after="0" w:line="259" w:lineRule="auto"/>
        <w:tabs>
          <w:tab w:leader="none" w:pos="130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Authorization of the Indenture</w:t>
      </w:r>
      <w:r>
        <w:rPr>
          <w:rFonts w:ascii="Arial" w:cs="Arial" w:eastAsia="Arial" w:hAnsi="Arial"/>
          <w:sz w:val="18"/>
          <w:szCs w:val="18"/>
          <w:color w:val="auto"/>
        </w:rPr>
        <w:t>. The Indenture has been duly authorized and, assuming due execution and delivery by the Trustee, when executed and delivered by the Company, will be a valid and binding agreement of the Company, enforceable in accordance with its terms, subject to the Enforceability Exceptions. The Indenture and the Securities will conform to the descriptions thereof contained in the Time of Sale Prospectus as amended or supplemented with respect to such Securities;</w:t>
      </w:r>
    </w:p>
    <w:p>
      <w:pPr>
        <w:spacing w:after="0" w:line="186" w:lineRule="exact"/>
        <w:rPr>
          <w:rFonts w:ascii="Arial" w:cs="Arial" w:eastAsia="Arial" w:hAnsi="Arial"/>
          <w:sz w:val="18"/>
          <w:szCs w:val="18"/>
          <w:color w:val="auto"/>
        </w:rPr>
      </w:pPr>
    </w:p>
    <w:p>
      <w:pPr>
        <w:ind w:left="4" w:right="200" w:firstLine="645"/>
        <w:spacing w:after="0" w:line="291" w:lineRule="auto"/>
        <w:tabs>
          <w:tab w:leader="none" w:pos="130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w:t>
      </w:r>
      <w:r>
        <w:rPr>
          <w:rFonts w:ascii="Arial" w:cs="Arial" w:eastAsia="Arial" w:hAnsi="Arial"/>
          <w:sz w:val="16"/>
          <w:szCs w:val="16"/>
          <w:color w:val="auto"/>
        </w:rPr>
        <w:t>. The issue and sale of the Securities and the compliance by the Company with all of the provisions of the Securities, the Indenture and this Agreement, and the consummation of the transactions herein and therein contemplated, will not</w:t>
      </w:r>
    </w:p>
    <w:p>
      <w:pPr>
        <w:ind w:left="4" w:right="100" w:hanging="4"/>
        <w:spacing w:after="0" w:line="287" w:lineRule="auto"/>
        <w:tabs>
          <w:tab w:leader="none" w:pos="219"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incorporation or by-laws, each as amended, of the Company or (iii) result in a violation of any applicable law, statute or any order, rule or regulation of any court or governmental agency or body having jurisdiction over the Company or any of its subsidiaries, or any of their respective properties, in any such case described in clause (i) or (iii) the effects of which would, individually or in the aggregate, be materially adverse to the Company and its subsidiaries, taken as a whole;</w:t>
      </w:r>
    </w:p>
    <w:p>
      <w:pPr>
        <w:spacing w:after="0" w:line="170" w:lineRule="exact"/>
        <w:rPr>
          <w:rFonts w:ascii="Arial" w:cs="Arial" w:eastAsia="Arial" w:hAnsi="Arial"/>
          <w:sz w:val="16"/>
          <w:szCs w:val="16"/>
          <w:color w:val="auto"/>
        </w:rPr>
      </w:pPr>
    </w:p>
    <w:p>
      <w:pPr>
        <w:ind w:left="4" w:right="160" w:firstLine="645"/>
        <w:spacing w:after="0" w:line="276" w:lineRule="auto"/>
        <w:tabs>
          <w:tab w:leader="none" w:pos="1322"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consent, approval, authorization, order, registration or qualification of or with any such court or governmental agency or body is required for the issue and sale of the Securities or the consummation by the Company of the transactions contemplated by this Agreement, the Securities or the Indenture except such as have already been obtained or may be required by the securities or Blue Sky laws of the various states in connection with the offer and sale of the Securities and except as would not, individually or in the aggregate, be materially adverse to the Company’s ability to consummate the transactions contemplated by this</w:t>
      </w:r>
    </w:p>
    <w:p>
      <w:pPr>
        <w:spacing w:after="0" w:line="17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the Securities or the Indenture or perform its obligations thereunder, as applicable;</w:t>
      </w:r>
    </w:p>
    <w:p>
      <w:pPr>
        <w:spacing w:after="0" w:line="225" w:lineRule="exact"/>
        <w:rPr>
          <w:sz w:val="20"/>
          <w:szCs w:val="20"/>
          <w:color w:val="auto"/>
        </w:rPr>
      </w:pPr>
    </w:p>
    <w:p>
      <w:pPr>
        <w:ind w:left="4" w:right="20" w:firstLine="645"/>
        <w:spacing w:after="0" w:line="293"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Other than as set forth in the Time of Sale Prospectus, there are no legal or governmental proceedings pending to which the Company or any of its subsidiaries is a party or of which any property of the Company or any of its subsidiaries is the subject (including, without limitation, any proceedings before the United States Food and Drug Administration or comparable Federal, state, local or foreign governmental bodies) that, individually or in the aggregate, would reasonably be expected to have a material adverse effect on the business, financial position, shareholders’ equity or results of operations of the Company and its subsidiaries, taken as a whole; and, to the Company’s knowledge, no such proceedings are threatened or contemplated by governmental authorities or threatened by others;</w:t>
      </w:r>
    </w:p>
    <w:p>
      <w:pPr>
        <w:spacing w:after="0" w:line="164" w:lineRule="exact"/>
        <w:rPr>
          <w:rFonts w:ascii="Arial" w:cs="Arial" w:eastAsia="Arial" w:hAnsi="Arial"/>
          <w:sz w:val="16"/>
          <w:szCs w:val="16"/>
          <w:color w:val="auto"/>
        </w:rPr>
      </w:pPr>
    </w:p>
    <w:p>
      <w:pPr>
        <w:ind w:left="4" w:right="300" w:firstLine="645"/>
        <w:spacing w:after="0" w:line="264" w:lineRule="auto"/>
        <w:tabs>
          <w:tab w:leader="none" w:pos="130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4" w:firstLine="645"/>
        <w:spacing w:after="0" w:line="289" w:lineRule="auto"/>
        <w:tabs>
          <w:tab w:leader="none" w:pos="130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Except as noted therein, (i) the consolidated financial statements of the Company, and the related notes thereto, contained in the Time of Sale Prospectus present fairly in all material respects the consolidated financial position of the Company and its consolidated subsidiaries as of the dates indicated and the results of their operations and changes in their combined cash flows for the periods specified; (ii) such financial statements have been prepared in conformity with accounting principles generally accepted in the United States applied on a consistent basis; (iii) the selected financial data of the Company and its subsidiaries contained in the Time of Sale Prospectus present fairly the information shown therein and have been compiled on a basis consistent with that of the audited financial statements of the Company contained in the Time of Sale Prospectus; and (iv) the pro forma financial information of the Company, and the related notes thereto, contained in the Registration Statement, the Time of Sale Prospectus and the Prospectus presents fairly the information contained therein, has been prepared in conformity with generally accepted accounting principles applied on a consistent basis throughout the periods involved and in accordance with the requirements of</w:t>
      </w:r>
    </w:p>
    <w:p>
      <w:pPr>
        <w:sectPr>
          <w:pgSz w:w="11900" w:h="16838" w:orient="portrait"/>
          <w:cols w:equalWidth="0" w:num="1">
            <w:col w:w="10744"/>
          </w:cols>
          <w:pgMar w:left="896" w:top="125" w:right="259" w:bottom="0" w:gutter="0" w:footer="0" w:header="0"/>
        </w:sectPr>
      </w:pPr>
    </w:p>
    <w:bookmarkStart w:id="5" w:name="page6"/>
    <w:bookmarkEnd w:id="5"/>
    <w:p>
      <w:pPr>
        <w:spacing w:after="0" w:line="11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Article 11 of Regulation S-X, and the assumptions used in the preparation thereof are reasonable and the adjustments used therein are appropriate to give effect to the transactions and circumstances referred to therein, except to the extent disclosed therein;</w:t>
      </w:r>
    </w:p>
    <w:p>
      <w:pPr>
        <w:spacing w:after="0" w:line="170" w:lineRule="exact"/>
        <w:rPr>
          <w:sz w:val="20"/>
          <w:szCs w:val="20"/>
          <w:color w:val="auto"/>
        </w:rPr>
      </w:pPr>
    </w:p>
    <w:p>
      <w:pPr>
        <w:ind w:left="4" w:right="40" w:firstLine="645"/>
        <w:spacing w:after="0" w:line="259" w:lineRule="auto"/>
        <w:tabs>
          <w:tab w:leader="none" w:pos="1308"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Arial" w:cs="Arial" w:eastAsia="Arial" w:hAnsi="Arial"/>
          <w:sz w:val="18"/>
          <w:szCs w:val="18"/>
          <w:b w:val="1"/>
          <w:bCs w:val="1"/>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and its subsidiaries (i) make and keep accurate books and records in all material respects and</w:t>
      </w:r>
    </w:p>
    <w:p>
      <w:pPr>
        <w:spacing w:after="0" w:line="46" w:lineRule="exact"/>
        <w:rPr>
          <w:rFonts w:ascii="Arial" w:cs="Arial" w:eastAsia="Arial" w:hAnsi="Arial"/>
          <w:sz w:val="16"/>
          <w:szCs w:val="16"/>
          <w:color w:val="auto"/>
        </w:rPr>
      </w:pPr>
    </w:p>
    <w:p>
      <w:pPr>
        <w:ind w:left="4" w:right="220" w:hanging="4"/>
        <w:spacing w:after="0" w:line="261"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internal accounting controls which provide reasonable assurance that (A) transactions are executed in accordance with management’s authorization, (B) transactions are recorded</w:t>
      </w:r>
    </w:p>
    <w:p>
      <w:pPr>
        <w:spacing w:after="0" w:line="18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80"/>
        <w:spacing w:after="0" w:line="264" w:lineRule="auto"/>
        <w:rPr>
          <w:sz w:val="20"/>
          <w:szCs w:val="20"/>
          <w:color w:val="auto"/>
        </w:rPr>
      </w:pPr>
      <w:r>
        <w:rPr>
          <w:rFonts w:ascii="Arial" w:cs="Arial" w:eastAsia="Arial" w:hAnsi="Arial"/>
          <w:sz w:val="18"/>
          <w:szCs w:val="18"/>
          <w:color w:val="auto"/>
        </w:rPr>
        <w:t>as necessary to permit preparation of their financial statements and to maintain accountability for their assets, (C) access to their assets is permitted only in accordance with management’s authorization and (D) the reported accountability for their assets is compared with existing assets at reasonable intervals and appropriate action is taken with respect to any difference;</w:t>
      </w:r>
    </w:p>
    <w:p>
      <w:pPr>
        <w:spacing w:after="0" w:line="181" w:lineRule="exact"/>
        <w:rPr>
          <w:sz w:val="20"/>
          <w:szCs w:val="20"/>
          <w:color w:val="auto"/>
        </w:rPr>
      </w:pPr>
    </w:p>
    <w:p>
      <w:pPr>
        <w:ind w:left="4" w:right="20" w:firstLine="645"/>
        <w:spacing w:after="0" w:line="273" w:lineRule="auto"/>
        <w:tabs>
          <w:tab w:leader="none" w:pos="131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Disclosure Controls</w:t>
      </w:r>
      <w:r>
        <w:rPr>
          <w:rFonts w:ascii="Arial" w:cs="Arial" w:eastAsia="Arial" w:hAnsi="Arial"/>
          <w:sz w:val="17"/>
          <w:szCs w:val="17"/>
          <w:color w:val="auto"/>
        </w:rPr>
        <w:t>. The Company has established, maintains and will maintain disclosure controls and procedures (as defined in Rule 13a-15(e) of the Exchange Act) which are designed to ensure that information required to be disclosed by the Company in the reports that it files or submits under the Exchange Act is recorded, processed, summarized and reported in accordance with the Exchange Act and the rules and regulations thereunder. The Company has carried out evaluations, and the Company will carry out evaluations, under the supervision and with the participation of the Company’s management, of the effectiveness of the design and operation of the Company’s disclosure controls and procedures in accordance with Rule 13a-15 of the Exchange Act;</w:t>
      </w:r>
    </w:p>
    <w:p>
      <w:pPr>
        <w:spacing w:after="0" w:line="178" w:lineRule="exact"/>
        <w:rPr>
          <w:rFonts w:ascii="Arial" w:cs="Arial" w:eastAsia="Arial" w:hAnsi="Arial"/>
          <w:sz w:val="17"/>
          <w:szCs w:val="17"/>
          <w:color w:val="auto"/>
        </w:rPr>
      </w:pPr>
    </w:p>
    <w:p>
      <w:pPr>
        <w:ind w:left="4" w:right="20" w:firstLine="645"/>
        <w:spacing w:after="0" w:line="289" w:lineRule="auto"/>
        <w:tabs>
          <w:tab w:leader="none" w:pos="131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Independent Registered Public Accounting Firm</w:t>
      </w:r>
      <w:r>
        <w:rPr>
          <w:rFonts w:ascii="Arial" w:cs="Arial" w:eastAsia="Arial" w:hAnsi="Arial"/>
          <w:sz w:val="16"/>
          <w:szCs w:val="16"/>
          <w:color w:val="auto"/>
        </w:rPr>
        <w:t>. (i) Deloitte &amp; Touche LLP, which has audited and reported on certain financial statements of the Company and its subsidiaries prior to December 31, 2013, is an independent registered public accounting firm with respect to the Company and its subsidiaries as required by the Securities Act and the Exchange Act and the rules and regulations of the Commission and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(ii) Ernst &amp; Young LLP, which has audited and reported on certain financial statements of the Company and its subsidiaries for the year ended December 31, 2014, is an independent registered public accounting firm with respect to the Company and its subsidiaries as required by the Securities Act and the Exchange Act and the rules and regulations of the Commission and the PCAOB and (iii) PricewaterhouseCoopers LLP, which has audited and reported on certain financial statements of Pharmacyclics and its subsidiaries, is to the Company’s knowledge, an independent registered public accounting firm with respect to Pharmacyclics and its subsidiaries as required by the Securities Act and the Exchange Act and the rules and regulations of the Commission and the PCAOB.</w:t>
      </w:r>
    </w:p>
    <w:p>
      <w:pPr>
        <w:spacing w:after="0" w:line="166" w:lineRule="exact"/>
        <w:rPr>
          <w:rFonts w:ascii="Arial" w:cs="Arial" w:eastAsia="Arial" w:hAnsi="Arial"/>
          <w:sz w:val="16"/>
          <w:szCs w:val="16"/>
          <w:color w:val="auto"/>
        </w:rPr>
      </w:pPr>
    </w:p>
    <w:p>
      <w:pPr>
        <w:ind w:left="4" w:right="300" w:firstLine="645"/>
        <w:spacing w:after="0" w:line="264" w:lineRule="auto"/>
        <w:tabs>
          <w:tab w:leader="none" w:pos="130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Filing of Prospectus</w:t>
      </w:r>
      <w:r>
        <w:rPr>
          <w:rFonts w:ascii="Arial" w:cs="Arial" w:eastAsia="Arial" w:hAnsi="Arial"/>
          <w:sz w:val="18"/>
          <w:szCs w:val="18"/>
          <w:color w:val="auto"/>
        </w:rPr>
        <w:t>.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left="4" w:right="140" w:firstLine="645"/>
        <w:spacing w:after="0" w:line="264" w:lineRule="auto"/>
        <w:tabs>
          <w:tab w:leader="none" w:pos="130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Pending Proceedings and Examinations</w:t>
      </w:r>
      <w:r>
        <w:rPr>
          <w:rFonts w:ascii="Arial" w:cs="Arial" w:eastAsia="Arial" w:hAnsi="Arial"/>
          <w:sz w:val="18"/>
          <w:szCs w:val="18"/>
          <w:color w:val="auto"/>
        </w:rPr>
        <w:t>. The Registration Statement is not the subject of a pending proceeding or examination under Section 8(d) or 8(e) of the Securities Act, and the Company is not the subject of a pending proceeding under Section 8A of the Securities Act in connection with the offering of the Securities.</w:t>
      </w:r>
    </w:p>
    <w:p>
      <w:pPr>
        <w:spacing w:after="0" w:line="181" w:lineRule="exact"/>
        <w:rPr>
          <w:rFonts w:ascii="Arial" w:cs="Arial" w:eastAsia="Arial" w:hAnsi="Arial"/>
          <w:sz w:val="18"/>
          <w:szCs w:val="18"/>
          <w:color w:val="auto"/>
        </w:rPr>
      </w:pPr>
    </w:p>
    <w:p>
      <w:pPr>
        <w:ind w:left="4" w:firstLine="645"/>
        <w:spacing w:after="0" w:line="257" w:lineRule="auto"/>
        <w:tabs>
          <w:tab w:leader="none" w:pos="130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Anti-Corruption</w:t>
      </w:r>
      <w:r>
        <w:rPr>
          <w:rFonts w:ascii="Arial" w:cs="Arial" w:eastAsia="Arial" w:hAnsi="Arial"/>
          <w:sz w:val="18"/>
          <w:szCs w:val="18"/>
          <w:color w:val="auto"/>
        </w:rPr>
        <w:t>. None of the Company, its subsidiaries, affiliates, directors or officers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18"/>
          <w:szCs w:val="18"/>
          <w:b w:val="1"/>
          <w:bCs w:val="1"/>
          <w:color w:val="auto"/>
        </w:rPr>
        <w:t>government official</w:t>
      </w:r>
      <w:r>
        <w:rPr>
          <w:rFonts w:ascii="Arial" w:cs="Arial" w:eastAsia="Arial" w:hAnsi="Arial"/>
          <w:sz w:val="18"/>
          <w:szCs w:val="18"/>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spacing w:after="0" w:line="312" w:lineRule="auto"/>
        <w:rPr>
          <w:sz w:val="20"/>
          <w:szCs w:val="20"/>
          <w:color w:val="auto"/>
        </w:rPr>
      </w:pPr>
      <w:r>
        <w:rPr>
          <w:rFonts w:ascii="Arial" w:cs="Arial" w:eastAsia="Arial" w:hAnsi="Arial"/>
          <w:sz w:val="16"/>
          <w:szCs w:val="16"/>
          <w:color w:val="auto"/>
        </w:rPr>
        <w:t>political office) to improperly influence official action or secure an improper advantage; and the Company and its subsidiaries and affiliates have conducted their businesses in compliance with applicable anti-corruption laws and have instituted and maintained policies and procedures designed to promote and achieve compliance with such laws and with the representation and warranty contained in this paragraph;</w:t>
      </w:r>
    </w:p>
    <w:p>
      <w:pPr>
        <w:spacing w:after="0" w:line="147" w:lineRule="exact"/>
        <w:rPr>
          <w:sz w:val="20"/>
          <w:szCs w:val="20"/>
          <w:color w:val="auto"/>
        </w:rPr>
      </w:pPr>
    </w:p>
    <w:p>
      <w:pPr>
        <w:ind w:left="4" w:right="140" w:firstLine="645"/>
        <w:spacing w:after="0" w:line="264" w:lineRule="auto"/>
        <w:tabs>
          <w:tab w:leader="none" w:pos="132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81" w:lineRule="exact"/>
        <w:rPr>
          <w:rFonts w:ascii="Arial" w:cs="Arial" w:eastAsia="Arial" w:hAnsi="Arial"/>
          <w:sz w:val="18"/>
          <w:szCs w:val="18"/>
          <w:color w:val="auto"/>
        </w:rPr>
      </w:pPr>
    </w:p>
    <w:p>
      <w:pPr>
        <w:ind w:left="4" w:right="60" w:firstLine="645"/>
        <w:spacing w:after="0" w:line="270" w:lineRule="auto"/>
        <w:tabs>
          <w:tab w:leader="none" w:pos="130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Arial" w:cs="Arial" w:eastAsia="Arial" w:hAnsi="Arial"/>
          <w:sz w:val="17"/>
          <w:szCs w:val="17"/>
          <w:b w:val="1"/>
          <w:bCs w:val="1"/>
          <w:color w:val="auto"/>
        </w:rPr>
        <w:t>USA</w:t>
      </w:r>
      <w:r>
        <w:rPr>
          <w:rFonts w:ascii="Arial" w:cs="Arial" w:eastAsia="Arial" w:hAnsi="Arial"/>
          <w:sz w:val="17"/>
          <w:szCs w:val="17"/>
          <w:color w:val="auto"/>
        </w:rPr>
        <w:t xml:space="preserve"> </w:t>
      </w:r>
      <w:r>
        <w:rPr>
          <w:rFonts w:ascii="Arial" w:cs="Arial" w:eastAsia="Arial" w:hAnsi="Arial"/>
          <w:sz w:val="17"/>
          <w:szCs w:val="17"/>
          <w:b w:val="1"/>
          <w:bCs w:val="1"/>
          <w:color w:val="auto"/>
        </w:rPr>
        <w:t>PATRIOT Act</w:t>
      </w:r>
      <w:r>
        <w:rPr>
          <w:rFonts w:ascii="Arial" w:cs="Arial" w:eastAsia="Arial" w:hAnsi="Arial"/>
          <w:sz w:val="17"/>
          <w:szCs w:val="17"/>
          <w:color w:val="auto"/>
        </w:rPr>
        <w:t>”), and the applicable anti-money laundering statutes of jurisdictions where the Company and its subsidiaries conduct business, the</w:t>
      </w:r>
      <w:r>
        <w:rPr>
          <w:rFonts w:ascii="Arial" w:cs="Arial" w:eastAsia="Arial" w:hAnsi="Arial"/>
          <w:sz w:val="17"/>
          <w:szCs w:val="17"/>
          <w:b w:val="1"/>
          <w:bCs w:val="1"/>
          <w:color w:val="auto"/>
        </w:rPr>
        <w:t xml:space="preserve"> </w:t>
      </w:r>
      <w:r>
        <w:rPr>
          <w:rFonts w:ascii="Arial" w:cs="Arial" w:eastAsia="Arial" w:hAnsi="Arial"/>
          <w:sz w:val="17"/>
          <w:szCs w:val="17"/>
          <w:color w:val="auto"/>
        </w:rPr>
        <w:t>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 except for any such action, suit or proceeding, individually or in the aggregate, as would not have a material adverse effect on the Company and its subsidiaries, taken as a whole;</w:t>
      </w:r>
    </w:p>
    <w:p>
      <w:pPr>
        <w:spacing w:after="0" w:line="181" w:lineRule="exact"/>
        <w:rPr>
          <w:rFonts w:ascii="Arial" w:cs="Arial" w:eastAsia="Arial" w:hAnsi="Arial"/>
          <w:sz w:val="17"/>
          <w:szCs w:val="17"/>
          <w:color w:val="auto"/>
        </w:rPr>
      </w:pPr>
    </w:p>
    <w:p>
      <w:pPr>
        <w:ind w:left="4" w:right="60" w:firstLine="645"/>
        <w:spacing w:after="0" w:line="312" w:lineRule="auto"/>
        <w:tabs>
          <w:tab w:leader="none" w:pos="130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(i) To the Company’s knowledge, none of the Company, its subsidiaries or any of their respective officers or directors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xml:space="preserve">”) that is an Embargoed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subsidiary of the Company becomes an Embargoed Person pursuant to clause (B)(3) of the definition thereof as a result of a country or territory becoming subject to any applicable Sanctions program after the</w:t>
      </w:r>
    </w:p>
    <w:p>
      <w:pPr>
        <w:sectPr>
          <w:pgSz w:w="11900" w:h="16952" w:orient="portrait"/>
          <w:cols w:equalWidth="0" w:num="1">
            <w:col w:w="10764"/>
          </w:cols>
          <w:pgMar w:left="896" w:top="125" w:right="239" w:bottom="0" w:gutter="0" w:footer="0" w:header="0"/>
        </w:sectPr>
      </w:pPr>
    </w:p>
    <w:bookmarkStart w:id="6" w:name="page7"/>
    <w:bookmarkEnd w:id="6"/>
    <w:p>
      <w:pPr>
        <w:spacing w:after="0" w:line="114"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Closing Date, such Person shall not be an Embargoed Person so long as the Company is taking reasonable steps to either obtain an appropriate license for transacting business in such country or territory or to cause such Person to no longer reside, be organized or chartered or have a place of business in such country or territory and such Person’s residing, being organized or chartered or having a place of business in such country or territory would not be reasonably expected to have a material adverse effect on the Company and its subsidiaries, taken as a whole;</w:t>
      </w:r>
    </w:p>
    <w:p>
      <w:pPr>
        <w:spacing w:after="0" w:line="150" w:lineRule="exact"/>
        <w:rPr>
          <w:sz w:val="20"/>
          <w:szCs w:val="20"/>
          <w:color w:val="auto"/>
        </w:rPr>
      </w:pPr>
    </w:p>
    <w:p>
      <w:pPr>
        <w:ind w:left="1300" w:right="20" w:firstLine="782"/>
        <w:spacing w:after="0" w:line="273" w:lineRule="auto"/>
        <w:tabs>
          <w:tab w:leader="none" w:pos="27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Embargoed Person</w:t>
      </w:r>
      <w:r>
        <w:rPr>
          <w:rFonts w:ascii="Arial" w:cs="Arial" w:eastAsia="Arial" w:hAnsi="Arial"/>
          <w:sz w:val="17"/>
          <w:szCs w:val="17"/>
          <w:color w:val="auto"/>
        </w:rPr>
        <w:t>” means (A) any country or territory that is the target of a sanctions program administered by U.S. Department of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(B) any Person that (1) is or is owned or controlled by a Person publicly identified on the most current list of “Specially Designated Nationals and Blocked Persons” published by OFAC, (2) is the target of a sanctions program or sanctions list administered by OFAC, the State Department of the United States, the European Union or Her Majesty’s Treasury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(3) resides, is organized or chartered, or has a place of business in a country or territory that is the subject of a Sanctions program administered by OFAC that prohibits dealing with the government of such country or territory (unless such Person has an appropriate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license to transact business in such country or territory or otherwise is permitted to reside, be organized or chartered or maintain a place of business in such country or territory without violating any Sanctions); and</w:t>
      </w:r>
    </w:p>
    <w:p>
      <w:pPr>
        <w:spacing w:after="0" w:line="170" w:lineRule="exact"/>
        <w:rPr>
          <w:sz w:val="20"/>
          <w:szCs w:val="20"/>
          <w:color w:val="auto"/>
        </w:rPr>
      </w:pPr>
    </w:p>
    <w:p>
      <w:pPr>
        <w:ind w:left="1300" w:right="40" w:firstLine="782"/>
        <w:spacing w:after="0" w:line="308" w:lineRule="auto"/>
        <w:tabs>
          <w:tab w:leader="none" w:pos="2753" w:val="left"/>
        </w:tabs>
        <w:numPr>
          <w:ilvl w:val="1"/>
          <w:numId w:val="14"/>
        </w:numPr>
        <w:rPr>
          <w:rFonts w:ascii="Arial" w:cs="Arial" w:eastAsia="Arial" w:hAnsi="Arial"/>
          <w:sz w:val="17"/>
          <w:szCs w:val="17"/>
          <w:color w:val="auto"/>
        </w:rPr>
      </w:pPr>
      <w:r>
        <w:rPr>
          <w:rFonts w:ascii="Arial" w:cs="Arial" w:eastAsia="Arial" w:hAnsi="Arial"/>
          <w:sz w:val="17"/>
          <w:szCs w:val="17"/>
          <w:color w:val="auto"/>
        </w:rPr>
        <w:t>Except as permitted by Sanctions, the Company will not, directly or indirectly, use the proceeds of the offering, or lend, contribute or otherwise make available such proceeds to any subsidiary, joint venture partner or other Person:</w:t>
      </w:r>
    </w:p>
    <w:p>
      <w:pPr>
        <w:spacing w:after="0" w:line="146" w:lineRule="exact"/>
        <w:rPr>
          <w:rFonts w:ascii="Arial" w:cs="Arial" w:eastAsia="Arial" w:hAnsi="Arial"/>
          <w:sz w:val="17"/>
          <w:szCs w:val="17"/>
          <w:color w:val="auto"/>
        </w:rPr>
      </w:pPr>
    </w:p>
    <w:p>
      <w:pPr>
        <w:ind w:left="2080" w:right="100" w:firstLine="910"/>
        <w:spacing w:after="0" w:line="277" w:lineRule="auto"/>
        <w:tabs>
          <w:tab w:leader="none" w:pos="358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2080" w:right="680" w:firstLine="910"/>
        <w:spacing w:after="0" w:line="277" w:lineRule="auto"/>
        <w:tabs>
          <w:tab w:leader="none" w:pos="3578" w:val="left"/>
        </w:tabs>
        <w:numPr>
          <w:ilvl w:val="2"/>
          <w:numId w:val="1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right="180" w:firstLine="851"/>
        <w:spacing w:after="0" w:line="312"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Agreements to Sell and Purchase</w:t>
      </w:r>
      <w:r>
        <w:rPr>
          <w:rFonts w:ascii="Arial" w:cs="Arial" w:eastAsia="Arial" w:hAnsi="Arial"/>
          <w:sz w:val="16"/>
          <w:szCs w:val="16"/>
          <w:color w:val="auto"/>
        </w:rPr>
        <w:t>. The Company hereby agrees to sell to the several Underwriters, and each Underwriter, upon the basis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representations and warranties herein contained, but subject to the conditions hereinafter stated, agrees, severally and not jointly, to purchase from the Company, at purchase prices as set forth on Schedule I, in the respective principal amounts of Securities as set forth opposite its name in Schedule II hereto.</w:t>
      </w:r>
    </w:p>
    <w:p>
      <w:pPr>
        <w:spacing w:after="0" w:line="146" w:lineRule="exact"/>
        <w:rPr>
          <w:rFonts w:ascii="Arial" w:cs="Arial" w:eastAsia="Arial" w:hAnsi="Arial"/>
          <w:sz w:val="16"/>
          <w:szCs w:val="16"/>
          <w:color w:val="auto"/>
        </w:rPr>
      </w:pPr>
    </w:p>
    <w:p>
      <w:pPr>
        <w:ind w:right="120" w:firstLine="851"/>
        <w:spacing w:after="0" w:line="259"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Terms of Offering</w:t>
      </w:r>
      <w:r>
        <w:rPr>
          <w:rFonts w:ascii="Arial" w:cs="Arial" w:eastAsia="Arial" w:hAnsi="Arial"/>
          <w:sz w:val="18"/>
          <w:szCs w:val="18"/>
          <w:color w:val="auto"/>
        </w:rPr>
        <w:t>. The Representatives have advised the Company that the Underwriters will make a public offering of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proportions of the Securities purchased by the Underwriters hereunder as soon after the Registration Statement and this Agreement have become effective as in the judgment of the Representatives is advisable. The Company is further advised by you that the Securities are to be offered to the public upon the terms set forth in the Prospectus.</w:t>
      </w:r>
    </w:p>
    <w:p>
      <w:pPr>
        <w:spacing w:after="0" w:line="186" w:lineRule="exact"/>
        <w:rPr>
          <w:rFonts w:ascii="Arial" w:cs="Arial" w:eastAsia="Arial" w:hAnsi="Arial"/>
          <w:sz w:val="18"/>
          <w:szCs w:val="18"/>
          <w:color w:val="auto"/>
        </w:rPr>
      </w:pPr>
    </w:p>
    <w:p>
      <w:pPr>
        <w:ind w:right="120" w:firstLine="851"/>
        <w:spacing w:after="0" w:line="259"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Securities for the respective accounts of the several Underwriters at 10:00 a.m., New York City time, on May 14, 2015, or at such other time on the same or such other date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Payment for the Securities shall be made against delivery, and the Securities shall be registered in such names and in such denominations as the Representatives shall request in writing not later than one full business day prior to the Closing Date. The Securities shall be delivered to the Representatives on the Closing Date for the respective accounts of the several Underwriters, with any transfer taxes payable in connection with the transfer of the Securities to the Underwriters duly paid, against payment of the purchase price therefor plus accrued interest, if any, to the date of payment and delivery.</w:t>
      </w:r>
    </w:p>
    <w:p>
      <w:pPr>
        <w:spacing w:after="0" w:line="154" w:lineRule="exact"/>
        <w:rPr>
          <w:sz w:val="20"/>
          <w:szCs w:val="20"/>
          <w:color w:val="auto"/>
        </w:rPr>
      </w:pPr>
    </w:p>
    <w:p>
      <w:pPr>
        <w:ind w:right="40" w:firstLine="851"/>
        <w:spacing w:after="0" w:line="279"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Conditions to the Underwriters’ Obligations</w:t>
      </w:r>
      <w:r>
        <w:rPr>
          <w:rFonts w:ascii="Arial" w:cs="Arial" w:eastAsia="Arial" w:hAnsi="Arial"/>
          <w:sz w:val="17"/>
          <w:szCs w:val="17"/>
          <w:color w:val="auto"/>
        </w:rPr>
        <w:t>. The several obligations of the Underwriters to purchase and pay for the Securities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are subject, in the discretion of the Representatives, to the condition that all representations and warranties and other statements of the Company in this Agreement are, at and as of the Closing Date, true and correct, the condition that each of them shall have performed in all material respects all of their respective obligations hereunder theretofore to be performed and to the following additional conditions: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4" w:lineRule="auto"/>
        <w:tabs>
          <w:tab w:leader="none" w:pos="195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Effectiveness of Registration Statement; Filing of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The Registration Statement has become effective and at the Closing Time and no stop order suspending the effectiveness of the Registration Statement shall have been issued under the Securities Act or proceedings therefor initiated or, to the knowledge of the Company, threatened by the Commission, and any request on the part of the Commission for additional information shall have been complied with to the reasonable satisfaction of counsel to the Underwriters. The filings required under Rule 424(b) shall have been filed with the Commission in the manner and within the time period required by Rule 424(b) (or a post-effective amendment providing such information shall have been filed and become effective in accordance with the requirements of Rule 430B). The Final Term Sheet (as defined herein) and any other material required to be filed by the Company pursuant to Rule 433(d) under the rules and regulations under the Securities Act shall have been timely filed.</w:t>
      </w:r>
    </w:p>
    <w:p>
      <w:pPr>
        <w:spacing w:after="0" w:line="192" w:lineRule="exact"/>
        <w:rPr>
          <w:rFonts w:ascii="Arial" w:cs="Arial" w:eastAsia="Arial" w:hAnsi="Arial"/>
          <w:sz w:val="18"/>
          <w:szCs w:val="18"/>
          <w:color w:val="auto"/>
        </w:rPr>
      </w:pPr>
    </w:p>
    <w:p>
      <w:pPr>
        <w:ind w:left="660" w:right="220" w:firstLine="645"/>
        <w:spacing w:after="0" w:line="264"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Opinion of Counsel for the Underwriters</w:t>
      </w:r>
      <w:r>
        <w:rPr>
          <w:rFonts w:ascii="Arial" w:cs="Arial" w:eastAsia="Arial" w:hAnsi="Arial"/>
          <w:sz w:val="18"/>
          <w:szCs w:val="18"/>
          <w:color w:val="auto"/>
        </w:rPr>
        <w:t>. The Underwriters shall have received on the Closing Date an opinion of Davis Polk &amp; Wardwell LLP, counsel for the Underwriters, dated the Closing Date, with respect to such matters as may be reasonably requested by the Underwriters;</w:t>
      </w:r>
    </w:p>
    <w:p>
      <w:pPr>
        <w:spacing w:after="0" w:line="181" w:lineRule="exact"/>
        <w:rPr>
          <w:rFonts w:ascii="Arial" w:cs="Arial" w:eastAsia="Arial" w:hAnsi="Arial"/>
          <w:sz w:val="18"/>
          <w:szCs w:val="18"/>
          <w:color w:val="auto"/>
        </w:rPr>
      </w:pPr>
    </w:p>
    <w:p>
      <w:pPr>
        <w:ind w:left="660" w:right="180" w:firstLine="645"/>
        <w:spacing w:after="0" w:line="264"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Opinion of the Company’s Internal Counsel</w:t>
      </w:r>
      <w:r>
        <w:rPr>
          <w:rFonts w:ascii="Arial" w:cs="Arial" w:eastAsia="Arial" w:hAnsi="Arial"/>
          <w:sz w:val="18"/>
          <w:szCs w:val="18"/>
          <w:color w:val="auto"/>
        </w:rPr>
        <w:t>. The Underwriters shall have received on the Closing Date an opinion of Kathleen Sheil Scheidt, Vice President, Securities &amp; Benefits and Legal Operations and Assistant Secretary (or such other person who shall be a senior legal officer of the Company on the Closing Date), dated the Closing Date;</w:t>
      </w:r>
    </w:p>
    <w:p>
      <w:pPr>
        <w:spacing w:after="0" w:line="181" w:lineRule="exact"/>
        <w:rPr>
          <w:rFonts w:ascii="Arial" w:cs="Arial" w:eastAsia="Arial" w:hAnsi="Arial"/>
          <w:sz w:val="18"/>
          <w:szCs w:val="18"/>
          <w:color w:val="auto"/>
        </w:rPr>
      </w:pPr>
    </w:p>
    <w:p>
      <w:pPr>
        <w:ind w:left="660" w:right="200" w:firstLine="645"/>
        <w:spacing w:after="0" w:line="308" w:lineRule="auto"/>
        <w:tabs>
          <w:tab w:leader="none" w:pos="196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Opinion of Counsel for the Company</w:t>
      </w:r>
      <w:r>
        <w:rPr>
          <w:rFonts w:ascii="Arial" w:cs="Arial" w:eastAsia="Arial" w:hAnsi="Arial"/>
          <w:sz w:val="17"/>
          <w:szCs w:val="17"/>
          <w:color w:val="auto"/>
        </w:rPr>
        <w:t>. The Underwriters shall have received on the Closing Date an opinion of Wachtell, Lipton, Rosen &amp; Katz, outside counsel for the Company, dated the Closing Date and a negative assurance letter, dated the Closing Date;</w:t>
      </w:r>
    </w:p>
    <w:p>
      <w:pPr>
        <w:sectPr>
          <w:pgSz w:w="11900" w:h="16953" w:orient="portrait"/>
          <w:cols w:equalWidth="0" w:num="1">
            <w:col w:w="11420"/>
          </w:cols>
          <w:pgMar w:left="240" w:top="125" w:right="239" w:bottom="0" w:gutter="0" w:footer="0" w:header="0"/>
        </w:sectPr>
      </w:pPr>
    </w:p>
    <w:bookmarkStart w:id="7" w:name="page8"/>
    <w:bookmarkEnd w:id="7"/>
    <w:p>
      <w:pPr>
        <w:spacing w:after="0" w:line="92" w:lineRule="exact"/>
        <w:rPr>
          <w:sz w:val="20"/>
          <w:szCs w:val="20"/>
          <w:color w:val="auto"/>
        </w:rPr>
      </w:pPr>
    </w:p>
    <w:p>
      <w:pPr>
        <w:ind w:left="4" w:firstLine="645"/>
        <w:spacing w:after="0" w:line="255"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Accountant’s Comfort Letter (Deloitte &amp; Touche LLP)</w:t>
      </w:r>
      <w:r>
        <w:rPr>
          <w:rFonts w:ascii="Arial" w:cs="Arial" w:eastAsia="Arial" w:hAnsi="Arial"/>
          <w:sz w:val="18"/>
          <w:szCs w:val="18"/>
          <w:color w:val="auto"/>
        </w:rPr>
        <w:t>. The Underwriters shall have received on each of the date hereof and the Closing Date a letter, dated the date hereof or the Closing Date, as applicable, in form and substance satisfactory to the Underwriters, from Deloitte &amp; Touche LLP, the accountants who certified the Company’s combined financial statements for the years ended December 31, 2012, December 31, 2011 and December 31, 2010 included or incorporated by reference in the Registration Statement, the Time of Sale Prospectus and the Prospectus, which is an independent registered public accounting firm with respect to the Company and its subsidiaries as of March 15, 2013 and during the period covered by the combined financial statements on which they reported within the meaning of the Securities Act and the applicable rules and regulations of the Commission thereunder;</w:t>
      </w:r>
    </w:p>
    <w:p>
      <w:pPr>
        <w:spacing w:after="0" w:line="189" w:lineRule="exact"/>
        <w:rPr>
          <w:rFonts w:ascii="Arial" w:cs="Arial" w:eastAsia="Arial" w:hAnsi="Arial"/>
          <w:sz w:val="18"/>
          <w:szCs w:val="18"/>
          <w:color w:val="auto"/>
        </w:rPr>
      </w:pPr>
    </w:p>
    <w:p>
      <w:pPr>
        <w:ind w:left="4" w:right="160" w:firstLine="645"/>
        <w:spacing w:after="0" w:line="276" w:lineRule="auto"/>
        <w:tabs>
          <w:tab w:leader="none" w:pos="130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Accountant’s Comfort Letter (Ernst &amp; Young LLP)</w:t>
      </w:r>
      <w:r>
        <w:rPr>
          <w:rFonts w:ascii="Arial" w:cs="Arial" w:eastAsia="Arial" w:hAnsi="Arial"/>
          <w:sz w:val="17"/>
          <w:szCs w:val="17"/>
          <w:color w:val="auto"/>
        </w:rPr>
        <w:t>. The Underwriters shall have received on each of the date hereof and the Closing Date a letter, dated the date hereof or the Closing Date, as applicable, in form and substance satisfactory to the Underwriters, from Ernst &amp; Young LLP, independent public accountants with respect to the Company’s consolidated financial statements and certain financial information for the years ended December 31, 2013 and December 31, 2014, containing statements and information of the type ordinarily included in accountants’ “comfort letters” to underwriters with respect to the financial statements and certain financial information</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 xml:space="preserve">contained in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170" w:lineRule="exact"/>
        <w:rPr>
          <w:sz w:val="20"/>
          <w:szCs w:val="20"/>
          <w:color w:val="auto"/>
        </w:rPr>
      </w:pPr>
    </w:p>
    <w:p>
      <w:pPr>
        <w:ind w:left="4" w:right="20" w:firstLine="969"/>
        <w:spacing w:after="0" w:line="255" w:lineRule="auto"/>
        <w:tabs>
          <w:tab w:leader="none" w:pos="132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Accountant’s Comfort Letter (PricewaterhouseCoopers LLP)</w:t>
      </w:r>
      <w:r>
        <w:rPr>
          <w:rFonts w:ascii="Arial" w:cs="Arial" w:eastAsia="Arial" w:hAnsi="Arial"/>
          <w:sz w:val="18"/>
          <w:szCs w:val="18"/>
          <w:color w:val="auto"/>
        </w:rPr>
        <w:t xml:space="preserve">. The Underwriters shall have received on each of the date hereof and the Closing Date a letter, dated the date hereof or the Closing Date, as applicable, in form and substance satisfactory to the Underwriters, from PricewaterhouseCoopers LLP, independent public accountants for Pharmacyclics, containing statements and information of the type ordinarily included in accountants’ “comfort letters” to underwriters with respect to the financial statements and certain financial information contained in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193" w:lineRule="exact"/>
        <w:rPr>
          <w:rFonts w:ascii="Arial" w:cs="Arial" w:eastAsia="Arial" w:hAnsi="Arial"/>
          <w:sz w:val="18"/>
          <w:szCs w:val="18"/>
          <w:color w:val="auto"/>
        </w:rPr>
      </w:pPr>
    </w:p>
    <w:p>
      <w:pPr>
        <w:ind w:left="4" w:firstLine="969"/>
        <w:spacing w:after="0" w:line="287" w:lineRule="auto"/>
        <w:tabs>
          <w:tab w:leader="none" w:pos="130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i w:val="1"/>
          <w:iCs w:val="1"/>
          <w:color w:val="auto"/>
        </w:rPr>
        <w:t>.</w:t>
      </w:r>
      <w:r>
        <w:rPr>
          <w:rFonts w:ascii="Arial" w:cs="Arial" w:eastAsia="Arial" w:hAnsi="Arial"/>
          <w:sz w:val="16"/>
          <w:szCs w:val="16"/>
          <w:color w:val="auto"/>
        </w:rPr>
        <w:t xml:space="preserve"> (i) Neither the Company nor any of its subsidiaries shall have sustained since the date of the latest financial statements included in the Time of Sale Prospectus any loss or interference with its business from fire, explosion, flood or other calamity, whether or not covered by insurance, or from any labor dispute or court or governmental action, order or decree, otherwise than as set forth or contemplated in the Registration Statement, the Time of Sale Prospectus and the Prospectus, and (ii) since the respective dates as of which information is given in the Registration Statement, the Time of Sale Prospectus and the Prospectus, there shall not have been any change in the consolidated capital stock or any increase in the consolidated long-term debt of the Company and its subsidiaries, taken as a whole, or any change, or any development involving a prospective change, in or affecting the business, financial position, shareholders’ equity or results of operations of the Company and its subsidiaries, taken as a whole, otherwise than as set forth or contemplated in the Registration Statement, the Time of Sale Prospectus and the Prospectus, the effect of which, in any such case described in clause (i) or (ii), is in the reasonable judgment of the Representatives so material and adverse as to make it impracticable or inadvisable to proceed with the offering or the delivery of the Securities on the terms and in the manner contemplated in the Registration Statement, the Time of Sale Prospectus and the Prospectus;</w:t>
      </w:r>
    </w:p>
    <w:p>
      <w:pPr>
        <w:spacing w:after="0" w:line="172" w:lineRule="exact"/>
        <w:rPr>
          <w:rFonts w:ascii="Arial" w:cs="Arial" w:eastAsia="Arial" w:hAnsi="Arial"/>
          <w:sz w:val="16"/>
          <w:szCs w:val="16"/>
          <w:color w:val="auto"/>
        </w:rPr>
      </w:pPr>
    </w:p>
    <w:p>
      <w:pPr>
        <w:jc w:val="both"/>
        <w:ind w:left="4" w:right="200" w:firstLine="969"/>
        <w:spacing w:after="0" w:line="279" w:lineRule="auto"/>
        <w:tabs>
          <w:tab w:leader="none" w:pos="132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 Downgrade</w:t>
      </w:r>
      <w:r>
        <w:rPr>
          <w:rFonts w:ascii="Arial" w:cs="Arial" w:eastAsia="Arial" w:hAnsi="Arial"/>
          <w:sz w:val="17"/>
          <w:szCs w:val="17"/>
          <w:color w:val="auto"/>
        </w:rPr>
        <w:t>. On or after the date of this Agreement (i) no downgrading shall have occurred, nor shall any notice have been given of any intended or potential downgrading, in the rating accorded the Company (if any) or any of the securities of the Company or any of its subsidiaries by Moody’s Investor Services or Standard &amp; Poor’s Ratings Service and (ii) neither organization shall have publicly announced that it has under surveillance or review, with possible negative implications, its rating of any of the Company’s debt securities;</w:t>
      </w:r>
    </w:p>
    <w:p>
      <w:pPr>
        <w:spacing w:after="0" w:line="171" w:lineRule="exact"/>
        <w:rPr>
          <w:rFonts w:ascii="Arial" w:cs="Arial" w:eastAsia="Arial" w:hAnsi="Arial"/>
          <w:sz w:val="17"/>
          <w:szCs w:val="17"/>
          <w:color w:val="auto"/>
        </w:rPr>
      </w:pPr>
    </w:p>
    <w:p>
      <w:pPr>
        <w:jc w:val="both"/>
        <w:ind w:left="4" w:right="120" w:firstLine="969"/>
        <w:spacing w:after="0" w:line="259" w:lineRule="auto"/>
        <w:tabs>
          <w:tab w:leader="none" w:pos="13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shall have furnished or caused to be furnished to the Representatives on the Closing Date a certificate of officers of the Company, satisfactory to the Representatives as to the accuracy of the representations and warranties of the Company herein at and as of the Closing Date, as to the performance by the Company of all of its respective obligations hereunder to be performed at or prior to the Closing Date and as to the matters set forth in 5(h) and 5(i); and</w:t>
      </w:r>
    </w:p>
    <w:p>
      <w:pPr>
        <w:spacing w:after="0" w:line="186" w:lineRule="exact"/>
        <w:rPr>
          <w:rFonts w:ascii="Arial" w:cs="Arial" w:eastAsia="Arial" w:hAnsi="Arial"/>
          <w:sz w:val="18"/>
          <w:szCs w:val="18"/>
          <w:color w:val="auto"/>
        </w:rPr>
      </w:pPr>
    </w:p>
    <w:p>
      <w:pPr>
        <w:ind w:left="4" w:right="500" w:firstLine="969"/>
        <w:spacing w:after="0" w:line="277" w:lineRule="auto"/>
        <w:tabs>
          <w:tab w:leader="none" w:pos="13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On the date of the Prospectus at a time prior to the execution of this Agreement, on the effective date of any</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40"/>
        <w:spacing w:after="0" w:line="264" w:lineRule="auto"/>
        <w:rPr>
          <w:sz w:val="20"/>
          <w:szCs w:val="20"/>
          <w:color w:val="auto"/>
        </w:rPr>
      </w:pPr>
      <w:r>
        <w:rPr>
          <w:rFonts w:ascii="Arial" w:cs="Arial" w:eastAsia="Arial" w:hAnsi="Arial"/>
          <w:sz w:val="18"/>
          <w:szCs w:val="18"/>
          <w:color w:val="auto"/>
        </w:rPr>
        <w:t>post-effective amendment to the Registration Statement filed subsequent to the date of this Agreement and on the Closing Date, the Company shall have furnished to you a certificate, dated the respective dates of delivery thereof, of William J. Chase, Chief Financial Officer of the Company, in form and substance satisfactory to you and covering such matters as you may reasonably request.</w:t>
      </w:r>
    </w:p>
    <w:p>
      <w:pPr>
        <w:spacing w:after="0" w:line="181" w:lineRule="exact"/>
        <w:rPr>
          <w:sz w:val="20"/>
          <w:szCs w:val="20"/>
          <w:color w:val="auto"/>
        </w:rPr>
      </w:pPr>
    </w:p>
    <w:p>
      <w:pPr>
        <w:ind w:left="524" w:hanging="524"/>
        <w:spacing w:after="0"/>
        <w:tabs>
          <w:tab w:leader="none" w:pos="52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to each Underwriter as follows:</w:t>
      </w:r>
    </w:p>
    <w:p>
      <w:pPr>
        <w:spacing w:after="0" w:line="225" w:lineRule="exact"/>
        <w:rPr>
          <w:rFonts w:ascii="Arial" w:cs="Arial" w:eastAsia="Arial" w:hAnsi="Arial"/>
          <w:sz w:val="18"/>
          <w:szCs w:val="18"/>
          <w:color w:val="auto"/>
        </w:rPr>
      </w:pPr>
    </w:p>
    <w:p>
      <w:pPr>
        <w:ind w:left="4" w:firstLine="969"/>
        <w:spacing w:after="0" w:line="287"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Regulations and Commission Requests</w:t>
      </w:r>
      <w:r>
        <w:rPr>
          <w:rFonts w:ascii="Arial" w:cs="Arial" w:eastAsia="Arial" w:hAnsi="Arial"/>
          <w:sz w:val="16"/>
          <w:szCs w:val="16"/>
          <w:color w:val="auto"/>
        </w:rPr>
        <w:t>. The Company will comply with the requirements of Rule 430B and will notify the Representatives immediately, and confirm the notice in writing, (i) when any post-effective amendment to the Registration Statement or new registration statement relating to the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relating to the Registration Statement or the Prospectus, (iv) of the issuance by the Commission of any stop order suspending the effectiveness of the Registration Statement or such new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or of any examination pursuant to Section 8(e) of the Securities Act concerning the Registration Statement and (v) if the Company becomes the subject of a proceeding under Section 8A of the Securities Act in connection with the offering of the Securities. The Company will effect the filings required under Rule 424(b), in the manner and within the time period required by Rule 424(b), and will take such steps as it deems necessary to</w:t>
      </w:r>
    </w:p>
    <w:p>
      <w:pPr>
        <w:sectPr>
          <w:pgSz w:w="11900" w:h="16930" w:orient="portrait"/>
          <w:cols w:equalWidth="0" w:num="1">
            <w:col w:w="10744"/>
          </w:cols>
          <w:pgMar w:left="896" w:top="341" w:right="259" w:bottom="0" w:gutter="0" w:footer="0" w:header="0"/>
        </w:sectPr>
      </w:pPr>
    </w:p>
    <w:bookmarkStart w:id="8" w:name="page9"/>
    <w:bookmarkEnd w:id="8"/>
    <w:p>
      <w:pPr>
        <w:spacing w:after="0" w:line="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181" w:lineRule="exact"/>
        <w:rPr>
          <w:sz w:val="20"/>
          <w:szCs w:val="20"/>
          <w:color w:val="auto"/>
        </w:rPr>
      </w:pPr>
    </w:p>
    <w:p>
      <w:pPr>
        <w:ind w:right="160" w:firstLine="969"/>
        <w:spacing w:after="0" w:line="259"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Delivery of Prospectus</w:t>
      </w:r>
      <w:r>
        <w:rPr>
          <w:rFonts w:ascii="Arial" w:cs="Arial" w:eastAsia="Arial" w:hAnsi="Arial"/>
          <w:sz w:val="18"/>
          <w:szCs w:val="18"/>
          <w:color w:val="auto"/>
        </w:rPr>
        <w:t>. To furnish to the Representatives in New York City, without charge, prior to 10:00 a.m. New York City time on the second business day next succeeding the date of this Agreement and during the period mentioned in Section 6(e) or (f), as many copies of the Time of Sale Prospectus, the Prospectus, any documents incorporated by reference therein and any supplements and amendments thereto as the Representatives may reasonably request;</w:t>
      </w:r>
    </w:p>
    <w:p>
      <w:pPr>
        <w:spacing w:after="0" w:line="186" w:lineRule="exact"/>
        <w:rPr>
          <w:rFonts w:ascii="Arial" w:cs="Arial" w:eastAsia="Arial" w:hAnsi="Arial"/>
          <w:sz w:val="18"/>
          <w:szCs w:val="18"/>
          <w:color w:val="auto"/>
        </w:rPr>
      </w:pPr>
    </w:p>
    <w:p>
      <w:pPr>
        <w:ind w:right="40" w:firstLine="969"/>
        <w:spacing w:after="0" w:line="259" w:lineRule="auto"/>
        <w:tabs>
          <w:tab w:leader="none" w:pos="130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w:t>
      </w:r>
      <w:r>
        <w:rPr>
          <w:rFonts w:ascii="Arial" w:cs="Arial" w:eastAsia="Arial" w:hAnsi="Arial"/>
          <w:sz w:val="18"/>
          <w:szCs w:val="18"/>
          <w:color w:val="auto"/>
        </w:rPr>
        <w:t>. Before amending or supplementing the Registration Statement, the Time of Sale Prospectus or the Prospectus during any period when a prospectus relating to the Securities is required to be delivered under the Act, to furnish to the Representatives a copy of each such proposed amendment or supplement and not to file any such proposed amendment or supplement to which the Representatives reasonably object, except as may be required by applicable law;</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969"/>
        <w:spacing w:after="0" w:line="25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To furnish to the Representatives a copy of each proposed free writing prospectus to be prepared by or on behalf of, used by, or referred to by the Company and not to use or refer to any proposed free writing prospectus to which the Representatives reasonably object;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8" w:lineRule="exact"/>
        <w:rPr>
          <w:rFonts w:ascii="Arial" w:cs="Arial" w:eastAsia="Arial" w:hAnsi="Arial"/>
          <w:sz w:val="18"/>
          <w:szCs w:val="18"/>
          <w:color w:val="auto"/>
        </w:rPr>
      </w:pPr>
    </w:p>
    <w:p>
      <w:pPr>
        <w:ind w:right="20" w:firstLine="969"/>
        <w:spacing w:after="0" w:line="269" w:lineRule="auto"/>
        <w:tabs>
          <w:tab w:leader="none" w:pos="130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Continued Compliance with Securities Laws</w:t>
      </w:r>
      <w:r>
        <w:rPr>
          <w:rFonts w:ascii="Arial" w:cs="Arial" w:eastAsia="Arial" w:hAnsi="Arial"/>
          <w:sz w:val="17"/>
          <w:szCs w:val="17"/>
          <w:color w:val="auto"/>
        </w:rPr>
        <w:t xml:space="preserv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amendments or supplements comply with Section 6(c) hereof;</w:t>
      </w:r>
    </w:p>
    <w:p>
      <w:pPr>
        <w:spacing w:after="0" w:line="182" w:lineRule="exact"/>
        <w:rPr>
          <w:rFonts w:ascii="Arial" w:cs="Arial" w:eastAsia="Arial" w:hAnsi="Arial"/>
          <w:sz w:val="17"/>
          <w:szCs w:val="17"/>
          <w:color w:val="auto"/>
        </w:rPr>
      </w:pPr>
    </w:p>
    <w:p>
      <w:pPr>
        <w:ind w:firstLine="969"/>
        <w:spacing w:after="0" w:line="287" w:lineRule="auto"/>
        <w:tabs>
          <w:tab w:leader="none" w:pos="130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Filing of Amendments</w:t>
      </w:r>
      <w:r>
        <w:rPr>
          <w:rFonts w:ascii="Arial" w:cs="Arial" w:eastAsia="Arial" w:hAnsi="Arial"/>
          <w:sz w:val="16"/>
          <w:szCs w:val="16"/>
          <w:color w:val="auto"/>
        </w:rPr>
        <w:t xml:space="preserve">. 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Underwriters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(unless such amendment or supplement shall be made more than six months after the date of this Agreement, in which case at the sole expense of the Underwriters), to the Underwriters and to the dealers (whose names and addresses you will furnish to the Company) to which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amendments or supplements comply with Section 6(c) hereof;</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969"/>
        <w:spacing w:after="0" w:line="302" w:lineRule="auto"/>
        <w:tabs>
          <w:tab w:leader="none" w:pos="131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Blue Sky Qualifications</w:t>
      </w:r>
      <w:r>
        <w:rPr>
          <w:rFonts w:ascii="Arial" w:cs="Arial" w:eastAsia="Arial" w:hAnsi="Arial"/>
          <w:sz w:val="16"/>
          <w:szCs w:val="16"/>
          <w:color w:val="auto"/>
        </w:rPr>
        <w:t xml:space="preserve">. To endeavor to qualify the Securities for offer and sale under the securities or Blue Sky laws of such jurisdictions as the Representatives shall reasonably request and to continue such qualifications, if any, in effect so long as required for the underwriting of the Securities by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qualify as a foreign corporation or to file a general consent to service of process in any jurisdiction or subject itself to taxation in a jurisdiction in which it is not otherwise subject;</w:t>
      </w:r>
    </w:p>
    <w:p>
      <w:pPr>
        <w:spacing w:after="0" w:line="154" w:lineRule="exact"/>
        <w:rPr>
          <w:rFonts w:ascii="Arial" w:cs="Arial" w:eastAsia="Arial" w:hAnsi="Arial"/>
          <w:sz w:val="16"/>
          <w:szCs w:val="16"/>
          <w:color w:val="auto"/>
        </w:rPr>
      </w:pPr>
    </w:p>
    <w:p>
      <w:pPr>
        <w:ind w:right="260" w:firstLine="969"/>
        <w:spacing w:after="0" w:line="312" w:lineRule="auto"/>
        <w:tabs>
          <w:tab w:leader="none" w:pos="130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Earning Statement</w:t>
      </w:r>
      <w:r>
        <w:rPr>
          <w:rFonts w:ascii="Arial" w:cs="Arial" w:eastAsia="Arial" w:hAnsi="Arial"/>
          <w:sz w:val="16"/>
          <w:szCs w:val="16"/>
          <w:color w:val="auto"/>
        </w:rPr>
        <w:t>. 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46" w:lineRule="exact"/>
        <w:rPr>
          <w:rFonts w:ascii="Arial" w:cs="Arial" w:eastAsia="Arial" w:hAnsi="Arial"/>
          <w:sz w:val="16"/>
          <w:szCs w:val="16"/>
          <w:color w:val="auto"/>
        </w:rPr>
      </w:pPr>
    </w:p>
    <w:p>
      <w:pPr>
        <w:ind w:right="80" w:firstLine="969"/>
        <w:spacing w:after="0" w:line="286" w:lineRule="auto"/>
        <w:tabs>
          <w:tab w:leader="none" w:pos="131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Whether or not the transactions contemplated in this Agreement are consummated or this Agreement is terminated, to pay or cause to be paid the following: (i) the fees, disbursements and expenses of the counsel and accountants for the Company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 (b)(1), if applicable), amendments and supplements thereto and the mailing and delivering of copies thereof to the Underwriters and dealers; (ii) the cost of printing or producing this Agreement, the Indenture, any Blue Sky survey and any other documents in connection with the offering, purchase, sale and delivery of the Securities; (iii) all expenses in connection with the qualification of the Securities for offering and sale under state securities laws as provided in Section 8(g) hereof, including the reasonable fees and disbursements of counsel for the Underwriters in connection with such qualification and in connection with the Blue Sky or legal investment memorandum; (iv) any reasonable fees charged by securities rating services for rating the Securities; (v) the fees and expenses of the Trustee and any agent of the Trustee and the fees and disbursements of counsel for any Trustee in connection with the Indenture and the Securities; and (vi) all filing fees and the reasonable fees and disbursements of counsel to the Underwriters incurred in connection with the review and qualification of the offering of the Securities by the Financial Industry Regulatory Authority, and all</w:t>
      </w:r>
    </w:p>
    <w:p>
      <w:pPr>
        <w:sectPr>
          <w:pgSz w:w="11900" w:h="16927" w:orient="portrait"/>
          <w:cols w:equalWidth="0" w:num="1">
            <w:col w:w="10740"/>
          </w:cols>
          <w:pgMar w:left="900" w:top="125" w:right="259" w:bottom="0" w:gutter="0" w:footer="0" w:header="0"/>
        </w:sectPr>
      </w:pPr>
    </w:p>
    <w:bookmarkStart w:id="9" w:name="page10"/>
    <w:bookmarkEnd w:id="9"/>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costs and expenses incident to the performance of their obligations hereunder which are not otherwise specifically provided for in this</w:t>
      </w:r>
    </w:p>
    <w:p>
      <w:pPr>
        <w:spacing w:after="0" w:line="3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Section 6. It is understood, however, that, except as provided in this Section 6, Section 7 and Section 10 hereof, the Underwriters will pay all of their own costs and expenses, including the fees of their counsel, transfer taxes on the transfer of any of the Securities by them, and any advertising expenses connected with any offers they may make;</w:t>
      </w:r>
    </w:p>
    <w:p>
      <w:pPr>
        <w:spacing w:after="0" w:line="190" w:lineRule="exact"/>
        <w:rPr>
          <w:sz w:val="20"/>
          <w:szCs w:val="20"/>
          <w:color w:val="auto"/>
        </w:rPr>
      </w:pPr>
    </w:p>
    <w:p>
      <w:pPr>
        <w:ind w:left="660" w:right="240" w:firstLine="969"/>
        <w:spacing w:after="0" w:line="277"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Not to take any action prohibited by Regulation M under the Exchange Act in connection with the distribution of the Securities contemplated hereby;</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To use the proceeds from the sale of the Securities in the manner described in the Time of Sale Prospectus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80" w:firstLine="969"/>
        <w:spacing w:after="0" w:line="264" w:lineRule="auto"/>
        <w:tabs>
          <w:tab w:leader="none" w:pos="197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During the period of one year hereafter, the Company will furnish to the Underwriters, as soon as available, a copy of each of the reports, notices or communications sent to securityholders, if not available on the Commission’s Electronic Data Gathering, Analysis and Retrieval system;</w:t>
      </w:r>
    </w:p>
    <w:p>
      <w:pPr>
        <w:spacing w:after="0" w:line="177" w:lineRule="exact"/>
        <w:rPr>
          <w:rFonts w:ascii="Arial" w:cs="Arial" w:eastAsia="Arial" w:hAnsi="Arial"/>
          <w:sz w:val="18"/>
          <w:szCs w:val="18"/>
          <w:color w:val="auto"/>
        </w:rPr>
      </w:pPr>
    </w:p>
    <w:p>
      <w:pPr>
        <w:ind w:left="660" w:firstLine="969"/>
        <w:spacing w:after="0" w:line="261"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Preparation of a Final Term Sheet</w:t>
      </w:r>
      <w:r>
        <w:rPr>
          <w:rFonts w:ascii="Arial" w:cs="Arial" w:eastAsia="Arial" w:hAnsi="Arial"/>
          <w:sz w:val="18"/>
          <w:szCs w:val="18"/>
          <w:color w:val="auto"/>
        </w:rPr>
        <w:t>. To prepare a final term sheet relating to the offering of the Securities (a “</w:t>
      </w:r>
      <w:r>
        <w:rPr>
          <w:rFonts w:ascii="Arial" w:cs="Arial" w:eastAsia="Arial" w:hAnsi="Arial"/>
          <w:sz w:val="18"/>
          <w:szCs w:val="18"/>
          <w:b w:val="1"/>
          <w:bCs w:val="1"/>
          <w:color w:val="auto"/>
        </w:rPr>
        <w:t>Final Term Sheet</w:t>
      </w:r>
      <w:r>
        <w:rPr>
          <w:rFonts w:ascii="Arial" w:cs="Arial" w:eastAsia="Arial" w:hAnsi="Arial"/>
          <w:sz w:val="18"/>
          <w:szCs w:val="18"/>
          <w:color w:val="auto"/>
        </w:rPr>
        <w:t>”), containing only information that describes the final terms of the Securities or the offering in a form consented to by the Underwriters, and to file such final term sheet within the period required by Rule 433(d)(5)(ii) under the Securities Act following the date the final terms have been established for the offering of the Securities; and</w:t>
      </w:r>
    </w:p>
    <w:p>
      <w:pPr>
        <w:spacing w:after="0" w:line="184" w:lineRule="exact"/>
        <w:rPr>
          <w:rFonts w:ascii="Arial" w:cs="Arial" w:eastAsia="Arial" w:hAnsi="Arial"/>
          <w:sz w:val="18"/>
          <w:szCs w:val="18"/>
          <w:color w:val="auto"/>
        </w:rPr>
      </w:pPr>
    </w:p>
    <w:p>
      <w:pPr>
        <w:ind w:left="660" w:right="60" w:firstLine="969"/>
        <w:spacing w:after="0" w:line="297" w:lineRule="auto"/>
        <w:tabs>
          <w:tab w:leader="none" w:pos="196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Restriction on Sale of Securities</w:t>
      </w:r>
      <w:r>
        <w:rPr>
          <w:rFonts w:ascii="Arial" w:cs="Arial" w:eastAsia="Arial" w:hAnsi="Arial"/>
          <w:sz w:val="16"/>
          <w:szCs w:val="16"/>
          <w:color w:val="auto"/>
        </w:rPr>
        <w:t>. The Company also agrees that, without the prior written consent of the Representatives on behalf of the Underwriters, it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 or securities or warrants permitted with the prior written consent of the Representatives identified in Schedule I with the authorization to release this lock-up on behalf of the Underwriters).</w:t>
      </w:r>
    </w:p>
    <w:p>
      <w:pPr>
        <w:spacing w:after="0" w:line="158" w:lineRule="exact"/>
        <w:rPr>
          <w:rFonts w:ascii="Arial" w:cs="Arial" w:eastAsia="Arial" w:hAnsi="Arial"/>
          <w:sz w:val="16"/>
          <w:szCs w:val="16"/>
          <w:color w:val="auto"/>
        </w:rPr>
      </w:pPr>
    </w:p>
    <w:p>
      <w:pPr>
        <w:ind w:firstLine="656"/>
        <w:spacing w:after="0" w:line="264" w:lineRule="auto"/>
        <w:tabs>
          <w:tab w:leader="none" w:pos="117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left="1180" w:hanging="52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Indemnity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969"/>
        <w:spacing w:after="0" w:line="286" w:lineRule="auto"/>
        <w:tabs>
          <w:tab w:leader="none" w:pos="195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will indemnify and hold harmless each Underwriter, its directors, officers and employees,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joint or several, to which such Underwriter, director, officer, employee, controlling person or affiliate may become subject under such Securities Act or otherwise, insofar as such losses, claims, damages or liabilities (or actions in respect thereof) arise out of or are based upon an untrue statement or alleged untrue statement of a material fact contained in the Registration Statement, the Time of Sale Prospectus or any amendment or supplement thereto, any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w:t>
      </w:r>
      <w:r>
        <w:rPr>
          <w:rFonts w:ascii="Arial" w:cs="Arial" w:eastAsia="Arial" w:hAnsi="Arial"/>
          <w:sz w:val="16"/>
          <w:szCs w:val="16"/>
          <w:color w:val="auto"/>
        </w:rPr>
        <w:t xml:space="preserve"> </w:t>
      </w:r>
      <w:r>
        <w:rPr>
          <w:rFonts w:ascii="Arial" w:cs="Arial" w:eastAsia="Arial" w:hAnsi="Arial"/>
          <w:sz w:val="16"/>
          <w:szCs w:val="16"/>
          <w:b w:val="1"/>
          <w:bCs w:val="1"/>
          <w:color w:val="auto"/>
        </w:rPr>
        <w:t>show</w:t>
      </w:r>
      <w:r>
        <w:rPr>
          <w:rFonts w:ascii="Arial" w:cs="Arial" w:eastAsia="Arial" w:hAnsi="Arial"/>
          <w:sz w:val="16"/>
          <w:szCs w:val="16"/>
          <w:color w:val="auto"/>
        </w:rPr>
        <w:t>”), the Prospectus or any amendment or supplement thereto, or arise out of or are based upon the omission or alleged omission to state therein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fact necessary in order to make the statements therein in the light of the circumstances under which they were made not misleading, and will reimburse each Underwriter, director, officer, employee, controlling person or affiliate for any legal or other expenses reasonably incurred by such Underwriter, director, officer, employee or controlling person in connection with investigating or defending any such loss, damage, liability,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Company shall not be liable in any such case to the extent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69" w:lineRule="auto"/>
        <w:rPr>
          <w:sz w:val="20"/>
          <w:szCs w:val="20"/>
          <w:color w:val="auto"/>
        </w:rPr>
      </w:pPr>
      <w:r>
        <w:rPr>
          <w:rFonts w:ascii="Arial" w:cs="Arial" w:eastAsia="Arial" w:hAnsi="Arial"/>
          <w:sz w:val="17"/>
          <w:szCs w:val="17"/>
          <w:color w:val="auto"/>
        </w:rPr>
        <w:t>that any such loss, harm, damage or liability arises out of or is based upon an untrue statement or alleged untrue statement or omission or alleged omission made in the Prospectus or any free writing prospectus or any amendment or supplement thereto in reliance upon and in conformity with Information or information relating to any Underwriter furnished to the Company in writing by such Underwriter through the Representatives expressly for use therein, and provided further, that the foregoing indemnity agreement shall not inure to the benefit of any Underwriter from whom the person asserting any such loss, liability, claim, damage or expense purchased Securities, or any person controlling such Underwriter, if the Company provides a copy of an amendment or supplement to the Prospectus or any free writing prospectus as theretofore provided to such Underwriter by the Company (with notice that such amendment or supplement contains additional or different material information from that previously provided) sufficiently far enough in advance of the time of sale in order to enable such Underwriter to convey such amendment or supplement to the purchaser of the Securities, and such amendment or supplement (x) was not conveyed by or on behalf of such Underwriter to such person at or prior to the entry into the contract of sale of the Securities by such person, and (y) would have cured the defect giving rise to such loss, liability, claim, damage or expense.</w:t>
      </w:r>
    </w:p>
    <w:p>
      <w:pPr>
        <w:spacing w:after="0" w:line="183" w:lineRule="exact"/>
        <w:rPr>
          <w:sz w:val="20"/>
          <w:szCs w:val="20"/>
          <w:color w:val="auto"/>
        </w:rPr>
      </w:pPr>
    </w:p>
    <w:p>
      <w:pPr>
        <w:ind w:left="660" w:right="80" w:firstLine="969"/>
        <w:spacing w:after="0" w:line="288" w:lineRule="auto"/>
        <w:tabs>
          <w:tab w:leader="none" w:pos="19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Underwriter will, severally and not jointly, indemnify and hold harmless the Company and its respective directors, officers and employees and each person, if any, who controls the Company within the meaning of either Section 15 of the Securities Act or Section 20 of the Exchange Act against any losses, claims, damages or liabilities to which the Company or any of its respective directors, officers, employees or controlling persons may become subject, under the Securities Act or otherwise, insofar as such losses, claims, damages or liability (or actions in respect thereof) arise out of or are based upon an untrue statement or alleged untrue statement of a material fact contained in any Registration Statement, the Time of Sale Prospectus, any preliminary prospectus, free writing prospectus, road show or the Prospectus, or any amendment or supplement thereto, or arise out of or are based upon the omission or alleged omission to state therein a material fact necessary in order to make the statements therein not misleading, in each case to the extent, but only to the extent, that such untrue statement or alleged untrue statement, or omission or alleged omission was made in any Registration Statement, the Time of Sale Prospectus, any preliminary prospectus, free writing prospectus or the Prospectus, or any such amendment or supplement, in reliance upon and conformity with written information furnished to the</w:t>
      </w:r>
    </w:p>
    <w:p>
      <w:pPr>
        <w:sectPr>
          <w:pgSz w:w="11900" w:h="16930" w:orient="portrait"/>
          <w:cols w:equalWidth="0" w:num="1">
            <w:col w:w="11420"/>
          </w:cols>
          <w:pgMar w:left="240" w:top="125" w:right="239" w:bottom="0" w:gutter="0" w:footer="0" w:header="0"/>
        </w:sectPr>
      </w:pPr>
    </w:p>
    <w:bookmarkStart w:id="10" w:name="page11"/>
    <w:bookmarkEnd w:id="10"/>
    <w:p>
      <w:pPr>
        <w:spacing w:after="0" w:line="13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Company by such Underwriter through the Representatives expressly for use therein; and each Underwriter will reimburse the Company, or any director, officer, employee or controlling person of the Company, for any legal or other expenses reasonably incurred by the Company, or any such director, officer, employee or controlling person in connection with investigating, or defending any such loss, damage, liability, action or claim as such expenses are incurred, but only with reference to information relating to such Underwriter furnished to the Company in writing by such Underwriter through you expressly for use in the Registration Statement, the Time of Sale Prospectus, any free writing prospectus or the Prospectus or any amendment or supplement thereto.</w:t>
      </w:r>
    </w:p>
    <w:p>
      <w:pPr>
        <w:spacing w:after="0" w:line="193" w:lineRule="exact"/>
        <w:rPr>
          <w:sz w:val="20"/>
          <w:szCs w:val="20"/>
          <w:color w:val="auto"/>
        </w:rPr>
      </w:pPr>
    </w:p>
    <w:p>
      <w:pPr>
        <w:ind w:right="180" w:firstLine="969"/>
        <w:spacing w:after="0" w:line="259" w:lineRule="auto"/>
        <w:tabs>
          <w:tab w:leader="none" w:pos="1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Sections 8(a) and 8(b)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which it may have to any indemnified party except to the extent such omission materially prejudices the indemnifying party. In case any such action shall be brought against any indemnified party,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w:t>
      </w:r>
    </w:p>
    <w:p>
      <w:pPr>
        <w:spacing w:after="0" w:line="178" w:lineRule="exact"/>
        <w:rPr>
          <w:sz w:val="20"/>
          <w:szCs w:val="20"/>
          <w:color w:val="auto"/>
        </w:rPr>
      </w:pPr>
    </w:p>
    <w:p>
      <w:pPr>
        <w:ind w:firstLine="969"/>
        <w:spacing w:after="0" w:line="267" w:lineRule="auto"/>
        <w:tabs>
          <w:tab w:leader="none" w:pos="13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Sections 8(a) and 8(b) is unavailable to an indemnified party or insufficient in respect of any losses, claims, damages or liabilities referred to therein (or actions in respect thereof),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or if the indemnified party failed to give notice required under Section 8(c) above, in such proportion as is appropriate to reflect not only the relative benefits referred to in clause (i) above but also the relative fault of the Company on the one hand and of the Underwriters on the second hand in connection with the statements or omissions that resulted in such losses, claims, damages or liabilities (or actions in respect thereof),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Underwriters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7 are several in proportion to the respective principal amount of Securities they have purchased hereunder, and not joint.</w:t>
      </w:r>
    </w:p>
    <w:p>
      <w:pPr>
        <w:spacing w:after="0" w:line="192" w:lineRule="exact"/>
        <w:rPr>
          <w:rFonts w:ascii="Arial" w:cs="Arial" w:eastAsia="Arial" w:hAnsi="Arial"/>
          <w:sz w:val="17"/>
          <w:szCs w:val="17"/>
          <w:color w:val="auto"/>
        </w:rPr>
      </w:pPr>
    </w:p>
    <w:p>
      <w:pPr>
        <w:ind w:right="160" w:firstLine="969"/>
        <w:spacing w:after="0" w:line="255" w:lineRule="auto"/>
        <w:tabs>
          <w:tab w:leader="none" w:pos="1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Underwriters agree that it would not be just or equitable if contribution pursuant to this Section 8 were determined by pro rata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w:t>
      </w:r>
    </w:p>
    <w:p>
      <w:pPr>
        <w:spacing w:after="0" w:line="173" w:lineRule="exact"/>
        <w:rPr>
          <w:sz w:val="20"/>
          <w:szCs w:val="20"/>
          <w:color w:val="auto"/>
        </w:rPr>
      </w:pPr>
    </w:p>
    <w:p>
      <w:pPr>
        <w:ind w:firstLine="969"/>
        <w:spacing w:after="0" w:line="268" w:lineRule="auto"/>
        <w:tabs>
          <w:tab w:leader="none" w:pos="13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indemnifying party under this Section 8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final judgment. Notwithstanding the foregoing sentence, if at any time an indemnified party shall have requested an indemnifying party to reimburse the indemnified party for fees and expenses of counsel as contemplated by this Section 8,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any statements as to or any findings of fault, culpability or failure to act by or on behalf of any indemnified party.</w:t>
      </w:r>
    </w:p>
    <w:p>
      <w:pPr>
        <w:spacing w:after="0" w:line="187" w:lineRule="exact"/>
        <w:rPr>
          <w:rFonts w:ascii="Arial" w:cs="Arial" w:eastAsia="Arial" w:hAnsi="Arial"/>
          <w:sz w:val="17"/>
          <w:szCs w:val="17"/>
          <w:color w:val="auto"/>
        </w:rPr>
      </w:pPr>
    </w:p>
    <w:p>
      <w:pPr>
        <w:ind w:right="140" w:firstLine="969"/>
        <w:spacing w:after="0" w:line="342" w:lineRule="auto"/>
        <w:tabs>
          <w:tab w:leader="none" w:pos="131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7 and the representations, warranties and other statements of the Company contained in this Agreement shall remain operative and in full force and effect regardless of (i) any termination of this Agreement,</w:t>
      </w:r>
    </w:p>
    <w:p>
      <w:pPr>
        <w:sectPr>
          <w:pgSz w:w="11900" w:h="16975" w:orient="portrait"/>
          <w:cols w:equalWidth="0" w:num="1">
            <w:col w:w="10760"/>
          </w:cols>
          <w:pgMar w:left="900" w:top="125" w:right="239" w:bottom="0" w:gutter="0" w:footer="0" w:header="0"/>
        </w:sectPr>
      </w:pPr>
    </w:p>
    <w:bookmarkStart w:id="11" w:name="page12"/>
    <w:bookmarkEnd w:id="11"/>
    <w:p>
      <w:pPr>
        <w:ind w:left="660" w:right="160" w:hanging="4"/>
        <w:spacing w:after="0" w:line="264" w:lineRule="auto"/>
        <w:tabs>
          <w:tab w:leader="none" w:pos="9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1" w:lineRule="exact"/>
        <w:rPr>
          <w:sz w:val="20"/>
          <w:szCs w:val="20"/>
          <w:color w:val="auto"/>
        </w:rPr>
      </w:pPr>
    </w:p>
    <w:p>
      <w:pPr>
        <w:ind w:right="100" w:firstLine="656"/>
        <w:spacing w:after="0" w:line="288" w:lineRule="auto"/>
        <w:tabs>
          <w:tab w:leader="none" w:pos="1175"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Representatives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there shall have occurred (i) a suspension of trading of the Company’s common shares by the Commission or the New York Stock Exchange; (ii) a suspension or material limitation in trading in securities generally on the New York Stock Exchange;</w:t>
      </w:r>
    </w:p>
    <w:p>
      <w:pPr>
        <w:ind w:right="100" w:firstLine="8"/>
        <w:spacing w:after="0" w:line="261"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general moratorium on commercial banking activities in New York declared by either Federal or New York State authorities; (iv) a material disruption in commercial banking or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settlement, payment or clearance services in the United States; or (v) the outbreak or escalation of hostilities or the occurrence of any other calamity or crisis or any material adverse change in financial markets, if the effect of any such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187" w:lineRule="exact"/>
        <w:rPr>
          <w:sz w:val="20"/>
          <w:szCs w:val="20"/>
          <w:color w:val="auto"/>
        </w:rPr>
      </w:pPr>
    </w:p>
    <w:p>
      <w:pPr>
        <w:ind w:left="1180" w:hanging="524"/>
        <w:spacing w:after="0"/>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If, on the Closing Date, any one or more of the Underwriters shall fail or refuse to purchase the Securities that it has or they have agreed to purchase hereunder on such date, and the aggregate principal amount of the Securities which such defaulting Underwriter or Underwriters agreed but failed or refused to purchase is not more than one-tenth of the aggregate principal amount of the Securities to be purchased on such date, the other Underwriters shall be obligated severally in the proportions that the principal amount of the Securities set forth opposite their respective names in Schedule II bears to the aggregate principal amount of the Securities set forth opposite the names of all such non-defaulting Underwriters, or in such other proportions as the Representatives may specify, to purchase the portion of such Underwriters’ Securities which such defaulting Underwriter or Underwriters agreed but failed or refused to purchase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principal amount of the Securities that any Underwriter has agreed to purchase pursuant to this Agreement be increased pursuant to this Section 10 by an amount in excess of one-ninth of such principal amount of the Securities without the written consent of such Underwriter. If, on the Closing Date any Underwriter or Underwriters shall fail or refuse to purchase Securities and the aggregate principal amount of the Securities with respect to which such default occurs is more than one-tenth of the aggregate principal amount of the Securities to be purchased on such date, and arrangements satisfactory to the Representatives, the Company, for the purchase of such Securities are not made within 36 hours after such default, this Agreement shall terminate without liability on the part of any non-defaulting Underwriter and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but the Company shall then be under no further liability to any Underwriter with respect this Agreement except as provided in Section 6(i) and Section 7 hereof.</w:t>
      </w:r>
    </w:p>
    <w:p>
      <w:pPr>
        <w:spacing w:after="0" w:line="193" w:lineRule="exact"/>
        <w:rPr>
          <w:sz w:val="20"/>
          <w:szCs w:val="20"/>
          <w:color w:val="auto"/>
        </w:rPr>
      </w:pPr>
    </w:p>
    <w:p>
      <w:pPr>
        <w:ind w:right="200" w:firstLine="656"/>
        <w:spacing w:after="0" w:line="264" w:lineRule="auto"/>
        <w:tabs>
          <w:tab w:leader="none" w:pos="116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Securities, represents the entire agreement between the Company and the Underwriters with respect to the preparation of any preliminary prospectus, the Time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Sale Prospectus, the Prospectus, the conduct of the offering, and the purchase and sale of the Securities.</w:t>
      </w:r>
    </w:p>
    <w:p>
      <w:pPr>
        <w:spacing w:after="0" w:line="225" w:lineRule="exact"/>
        <w:rPr>
          <w:sz w:val="20"/>
          <w:szCs w:val="20"/>
          <w:color w:val="auto"/>
        </w:rPr>
      </w:pPr>
    </w:p>
    <w:p>
      <w:pPr>
        <w:ind w:right="20" w:firstLine="656"/>
        <w:spacing w:after="0" w:line="297" w:lineRule="auto"/>
        <w:tabs>
          <w:tab w:leader="none" w:pos="117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two or more counterparts, each of which shall be an original, with the same effect as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w:t>
      </w:r>
      <w:r>
        <w:rPr>
          <w:rFonts w:ascii="Arial" w:cs="Arial" w:eastAsia="Arial" w:hAnsi="Arial"/>
          <w:sz w:val="16"/>
          <w:szCs w:val="16"/>
          <w:b w:val="1"/>
          <w:bCs w:val="1"/>
          <w:color w:val="auto"/>
        </w:rPr>
        <w:t>portable document format</w:t>
      </w:r>
      <w:r>
        <w:rPr>
          <w:rFonts w:ascii="Arial" w:cs="Arial" w:eastAsia="Arial" w:hAnsi="Arial"/>
          <w:sz w:val="16"/>
          <w:szCs w:val="16"/>
          <w:color w:val="auto"/>
        </w:rPr>
        <w:t>” (“</w:t>
      </w:r>
      <w:r>
        <w:rPr>
          <w:rFonts w:ascii="Arial" w:cs="Arial" w:eastAsia="Arial" w:hAnsi="Arial"/>
          <w:sz w:val="16"/>
          <w:szCs w:val="16"/>
          <w:b w:val="1"/>
          <w:bCs w:val="1"/>
          <w:color w:val="auto"/>
        </w:rPr>
        <w:t>.pdf</w:t>
      </w:r>
      <w:r>
        <w:rPr>
          <w:rFonts w:ascii="Arial" w:cs="Arial" w:eastAsia="Arial" w:hAnsi="Arial"/>
          <w:sz w:val="16"/>
          <w:szCs w:val="16"/>
          <w:color w:val="auto"/>
        </w:rPr>
        <w:t>”) form, or by any other electronic means intended to preserve the original graphic and pictorial appearance of a document, will have the same effect as physical delivery of the paper document bearing the original signature.</w:t>
      </w:r>
    </w:p>
    <w:p>
      <w:pPr>
        <w:spacing w:after="0" w:line="158" w:lineRule="exact"/>
        <w:rPr>
          <w:rFonts w:ascii="Arial" w:cs="Arial" w:eastAsia="Arial" w:hAnsi="Arial"/>
          <w:sz w:val="16"/>
          <w:szCs w:val="16"/>
          <w:color w:val="auto"/>
        </w:rPr>
      </w:pPr>
    </w:p>
    <w:p>
      <w:pPr>
        <w:ind w:left="1180" w:hanging="524"/>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260" w:firstLine="656"/>
        <w:spacing w:after="0" w:line="277" w:lineRule="auto"/>
        <w:tabs>
          <w:tab w:leader="none" w:pos="117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40" w:firstLine="656"/>
        <w:spacing w:after="0" w:line="255" w:lineRule="auto"/>
        <w:tabs>
          <w:tab w:leader="none" w:pos="117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the Representatives in care of Morgan Stanley &amp; Co. LLC, 1585 Broadway, New York, New York 10036, Attention: Liability Management Group, with a copy to the Legal Department; Merrill Lynch, Pierce, Fenner &amp; Smith Incorporated, 50 Rockefeller Plaza, NY1-050-12-01, New York, New York 10020, Attention: High Grade Debt Capital Markets Transaction Management/Legal; Barclays Capital Inc., 745 Seventh Avenue, New York, New York 10019, Attention: Syndicate Registration and Deutsche Bank Securities Inc., 60 Wall Street, New York, New York 10005, Attention: Debt Capital Markets Syndicate; and if to the Company, shall be delivered, mailed or sent to AbbVie Inc., 1 North Waukegan Road, North Chicago, Illinois 60064, Attention: Treasurer.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pages follow</w:t>
      </w:r>
      <w:r>
        <w:rPr>
          <w:rFonts w:ascii="Arial" w:cs="Arial" w:eastAsia="Arial" w:hAnsi="Arial"/>
          <w:sz w:val="18"/>
          <w:szCs w:val="18"/>
          <w:b w:val="1"/>
          <w:bCs w:val="1"/>
          <w:color w:val="auto"/>
        </w:rPr>
        <w:t>]</w:t>
      </w:r>
    </w:p>
    <w:p>
      <w:pPr>
        <w:sectPr>
          <w:pgSz w:w="11900" w:h="16838" w:orient="portrait"/>
          <w:cols w:equalWidth="0" w:num="1">
            <w:col w:w="11380"/>
          </w:cols>
          <w:pgMar w:left="240" w:top="125" w:right="27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ABBVIE INC.</w:t>
      </w:r>
    </w:p>
    <w:p>
      <w:pPr>
        <w:spacing w:after="0" w:line="200" w:lineRule="exact"/>
        <w:rPr>
          <w:sz w:val="20"/>
          <w:szCs w:val="20"/>
          <w:color w:val="auto"/>
        </w:rPr>
      </w:pPr>
    </w:p>
    <w:p>
      <w:pPr>
        <w:spacing w:after="0" w:line="241" w:lineRule="exact"/>
        <w:rPr>
          <w:sz w:val="20"/>
          <w:szCs w:val="20"/>
          <w:color w:val="auto"/>
        </w:rPr>
      </w:pPr>
    </w:p>
    <w:p>
      <w:pPr>
        <w:ind w:left="5960"/>
        <w:spacing w:after="0"/>
        <w:tabs>
          <w:tab w:leader="none" w:pos="6440" w:val="left"/>
        </w:tabs>
        <w:rPr>
          <w:sz w:val="20"/>
          <w:szCs w:val="20"/>
          <w:color w:val="auto"/>
        </w:rPr>
      </w:pPr>
      <w:r>
        <w:rPr>
          <w:rFonts w:ascii="Arial" w:cs="Arial" w:eastAsia="Arial" w:hAnsi="Arial"/>
          <w:sz w:val="18"/>
          <w:szCs w:val="18"/>
          <w:color w:val="auto"/>
        </w:rPr>
        <w:t>By:</w:t>
        <w:tab/>
        <w:t>/s/ Amarendra Duvvur</w:t>
      </w:r>
    </w:p>
    <w:p>
      <w:pPr>
        <w:spacing w:after="0" w:line="23" w:lineRule="exact"/>
        <w:rPr>
          <w:sz w:val="20"/>
          <w:szCs w:val="20"/>
          <w:color w:val="auto"/>
        </w:rPr>
      </w:pPr>
    </w:p>
    <w:tbl>
      <w:tblPr>
        <w:tblLayout w:type="fixed"/>
        <w:tblInd w:w="64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Amarendra Duvvur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Vice President &amp; Treasurer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II hereto.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Morgan Stanley &amp; Co.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Yurij Slyz</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Yurij Slyz</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Executive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Barclays Capital Inc.</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Pamela Kendall</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Pamela Kendall</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McCabe</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John C. McCabe</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Flieger</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Scott Flieger</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8" w:lineRule="exact"/>
        <w:rPr>
          <w:sz w:val="20"/>
          <w:szCs w:val="20"/>
          <w:color w:val="auto"/>
        </w:rPr>
      </w:pPr>
    </w:p>
    <w:p>
      <w:pPr>
        <w:jc w:val="center"/>
        <w:ind w:left="282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jc w:val="center"/>
        <w:ind w:left="2880"/>
        <w:spacing w:after="0"/>
        <w:rPr>
          <w:sz w:val="20"/>
          <w:szCs w:val="20"/>
          <w:color w:val="auto"/>
        </w:rPr>
      </w:pPr>
      <w:r>
        <w:rPr>
          <w:rFonts w:ascii="Arial" w:cs="Arial" w:eastAsia="Arial" w:hAnsi="Arial"/>
          <w:sz w:val="18"/>
          <w:szCs w:val="18"/>
          <w:color w:val="auto"/>
        </w:rPr>
        <w:t>Incorporated</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Muller</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Douglas Muller</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Representatives to release lock-up under Section 6(n):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LLC</w:t>
      </w:r>
    </w:p>
    <w:p>
      <w:pPr>
        <w:sectPr>
          <w:pgSz w:w="11900" w:h="16838" w:orient="portrait"/>
          <w:cols w:equalWidth="0" w:num="2">
            <w:col w:w="5020" w:space="720"/>
            <w:col w:w="5680"/>
          </w:cols>
          <w:pgMar w:left="240" w:top="125" w:right="2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Incorporated</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Barclays Capital Inc.</w:t>
            </w:r>
          </w:p>
        </w:tc>
      </w:tr>
      <w:tr>
        <w:trPr>
          <w:trHeight w:val="230"/>
        </w:trPr>
        <w:tc>
          <w:tcPr>
            <w:tcW w:w="5380" w:type="dxa"/>
            <w:vAlign w:val="bottom"/>
          </w:tcPr>
          <w:p>
            <w:pPr>
              <w:spacing w:after="0"/>
              <w:rPr>
                <w:sz w:val="20"/>
                <w:szCs w:val="20"/>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Deutsche Bank Securities Inc.</w:t>
            </w:r>
          </w:p>
        </w:tc>
      </w:tr>
      <w:tr>
        <w:trPr>
          <w:trHeight w:val="418"/>
        </w:trPr>
        <w:tc>
          <w:tcPr>
            <w:tcW w:w="5380" w:type="dxa"/>
            <w:vAlign w:val="bottom"/>
          </w:tcPr>
          <w:p>
            <w:pPr>
              <w:ind w:left="360"/>
              <w:spacing w:after="0"/>
              <w:rPr>
                <w:sz w:val="20"/>
                <w:szCs w:val="20"/>
                <w:color w:val="auto"/>
              </w:rPr>
            </w:pPr>
            <w:r>
              <w:rPr>
                <w:rFonts w:ascii="Arial" w:cs="Arial" w:eastAsia="Arial" w:hAnsi="Arial"/>
                <w:sz w:val="18"/>
                <w:szCs w:val="18"/>
                <w:color w:val="auto"/>
                <w:w w:val="94"/>
              </w:rPr>
              <w:t>Representatives authorized to appoint counsel under Section 8(c):</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Morgan Stanley &amp; Co. LLC</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Incorporated</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Barclays Capital Inc.</w:t>
            </w:r>
          </w:p>
        </w:tc>
      </w:tr>
      <w:tr>
        <w:trPr>
          <w:trHeight w:val="230"/>
        </w:trPr>
        <w:tc>
          <w:tcPr>
            <w:tcW w:w="5380" w:type="dxa"/>
            <w:vAlign w:val="bottom"/>
          </w:tcPr>
          <w:p>
            <w:pPr>
              <w:spacing w:after="0"/>
              <w:rPr>
                <w:sz w:val="20"/>
                <w:szCs w:val="20"/>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Deutsche Bank Securities Inc.</w:t>
            </w: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Indenture:</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Indenture dated as of November 8, 2012, as supplemented by the</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91"/>
              </w:rPr>
              <w:t>Supplemental Indenture No. 1 dated November 8, 2012 and the Supplemental</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93"/>
              </w:rPr>
              <w:t>Indenture No. 2 dated May 14, 2015, each as between the Company and the</w:t>
            </w:r>
          </w:p>
        </w:tc>
      </w:tr>
      <w:tr>
        <w:trPr>
          <w:trHeight w:val="230"/>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Trustee</w:t>
            </w:r>
          </w:p>
        </w:tc>
        <w:tc>
          <w:tcPr>
            <w:tcW w:w="514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Trustee:</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Registration Statement File No.:</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333-203677</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Time of Sale Prospectus</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99"/>
              </w:rPr>
              <w:t>1.  Basic Prospectus dated April 27, 2015 relating to the Shelf Securities</w:t>
            </w:r>
          </w:p>
        </w:tc>
      </w:tr>
      <w:tr>
        <w:trPr>
          <w:trHeight w:val="418"/>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94"/>
              </w:rPr>
              <w:t>2.  the preliminary prospectus supplement dated May 5, 2015 relating to the</w:t>
            </w:r>
          </w:p>
        </w:tc>
      </w:tr>
      <w:tr>
        <w:trPr>
          <w:trHeight w:val="230"/>
        </w:trPr>
        <w:tc>
          <w:tcPr>
            <w:tcW w:w="5380" w:type="dxa"/>
            <w:vAlign w:val="bottom"/>
          </w:tcPr>
          <w:p>
            <w:pPr>
              <w:spacing w:after="0"/>
              <w:rPr>
                <w:sz w:val="20"/>
                <w:szCs w:val="20"/>
                <w:color w:val="auto"/>
              </w:rPr>
            </w:pPr>
          </w:p>
        </w:tc>
        <w:tc>
          <w:tcPr>
            <w:tcW w:w="6080" w:type="dxa"/>
            <w:vAlign w:val="bottom"/>
            <w:gridSpan w:val="2"/>
          </w:tcPr>
          <w:p>
            <w:pPr>
              <w:ind w:left="620"/>
              <w:spacing w:after="0"/>
              <w:rPr>
                <w:sz w:val="20"/>
                <w:szCs w:val="20"/>
                <w:color w:val="auto"/>
              </w:rPr>
            </w:pPr>
            <w:r>
              <w:rPr>
                <w:rFonts w:ascii="Arial" w:cs="Arial" w:eastAsia="Arial" w:hAnsi="Arial"/>
                <w:sz w:val="18"/>
                <w:szCs w:val="18"/>
                <w:color w:val="auto"/>
              </w:rPr>
              <w:t>Securities</w:t>
            </w:r>
          </w:p>
        </w:tc>
      </w:tr>
      <w:tr>
        <w:trPr>
          <w:trHeight w:val="418"/>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98"/>
              </w:rPr>
              <w:t>3.  free writing prospectus dated May 5, 2015, containing a description of</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620"/>
              <w:spacing w:after="0"/>
              <w:rPr>
                <w:sz w:val="20"/>
                <w:szCs w:val="20"/>
                <w:color w:val="auto"/>
              </w:rPr>
            </w:pPr>
            <w:r>
              <w:rPr>
                <w:rFonts w:ascii="Arial" w:cs="Arial" w:eastAsia="Arial" w:hAnsi="Arial"/>
                <w:sz w:val="18"/>
                <w:szCs w:val="18"/>
                <w:color w:val="auto"/>
                <w:w w:val="96"/>
              </w:rPr>
              <w:t>certain terms filed by the Company under Rule 433(d) of the Securities</w:t>
            </w:r>
          </w:p>
        </w:tc>
      </w:tr>
      <w:tr>
        <w:trPr>
          <w:trHeight w:val="230"/>
        </w:trPr>
        <w:tc>
          <w:tcPr>
            <w:tcW w:w="5380" w:type="dxa"/>
            <w:vAlign w:val="bottom"/>
          </w:tcPr>
          <w:p>
            <w:pPr>
              <w:spacing w:after="0"/>
              <w:rPr>
                <w:sz w:val="20"/>
                <w:szCs w:val="20"/>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Act</w:t>
            </w:r>
          </w:p>
        </w:tc>
        <w:tc>
          <w:tcPr>
            <w:tcW w:w="5140" w:type="dxa"/>
            <w:vAlign w:val="bottom"/>
          </w:tcPr>
          <w:p>
            <w:pPr>
              <w:spacing w:after="0"/>
              <w:rPr>
                <w:sz w:val="20"/>
                <w:szCs w:val="20"/>
                <w:color w:val="auto"/>
              </w:rPr>
            </w:pP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Securities to be purchased:</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1.800% Notes due 2018</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2.500%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2020</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3.200%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2022</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3.600%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2025</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4.500%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2035</w:t>
            </w:r>
          </w:p>
        </w:tc>
      </w:tr>
      <w:tr>
        <w:trPr>
          <w:trHeight w:val="230"/>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4.700%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2045</w:t>
            </w: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$3,000,000,000 of 1.800% Notes due 2018</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$3,750,000,000 of 2.500% Notes due 2020</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$1,000,000,000 of 3.200% Notes due 2022</w:t>
            </w:r>
          </w:p>
        </w:tc>
      </w:tr>
      <w:tr>
        <w:trPr>
          <w:trHeight w:val="216"/>
        </w:trPr>
        <w:tc>
          <w:tcPr>
            <w:tcW w:w="53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$3,750,000,000 of 3.600% Notes due 2025</w:t>
            </w:r>
          </w:p>
        </w:tc>
      </w:tr>
      <w:tr>
        <w:trPr>
          <w:trHeight w:val="230"/>
        </w:trPr>
        <w:tc>
          <w:tcPr>
            <w:tcW w:w="5380" w:type="dxa"/>
            <w:vAlign w:val="bottom"/>
          </w:tcPr>
          <w:p>
            <w:pPr>
              <w:spacing w:after="0"/>
              <w:rPr>
                <w:sz w:val="20"/>
                <w:szCs w:val="20"/>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$2,500,000,000 of 4.500% Notes due 2035</w:t>
            </w:r>
          </w:p>
        </w:tc>
      </w:tr>
      <w:tr>
        <w:trPr>
          <w:trHeight w:val="432"/>
        </w:trPr>
        <w:tc>
          <w:tcPr>
            <w:tcW w:w="538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1</w:t>
            </w:r>
          </w:p>
        </w:tc>
        <w:tc>
          <w:tcPr>
            <w:tcW w:w="5140" w:type="dxa"/>
            <w:vAlign w:val="bottom"/>
          </w:tcPr>
          <w:p>
            <w:pPr>
              <w:spacing w:after="0"/>
              <w:rPr>
                <w:sz w:val="24"/>
                <w:szCs w:val="24"/>
                <w:color w:val="auto"/>
              </w:rPr>
            </w:pPr>
          </w:p>
        </w:tc>
      </w:tr>
      <w:tr>
        <w:trPr>
          <w:trHeight w:val="132"/>
        </w:trPr>
        <w:tc>
          <w:tcPr>
            <w:tcW w:w="5380" w:type="dxa"/>
            <w:vAlign w:val="bottom"/>
            <w:tcBorders>
              <w:bottom w:val="single" w:sz="8" w:color="010101"/>
            </w:tcBorders>
          </w:tcPr>
          <w:p>
            <w:pPr>
              <w:spacing w:after="0"/>
              <w:rPr>
                <w:sz w:val="11"/>
                <w:szCs w:val="11"/>
                <w:color w:val="auto"/>
              </w:rPr>
            </w:pPr>
          </w:p>
        </w:tc>
        <w:tc>
          <w:tcPr>
            <w:tcW w:w="6080" w:type="dxa"/>
            <w:vAlign w:val="bottom"/>
            <w:tcBorders>
              <w:bottom w:val="single" w:sz="8" w:color="010101"/>
            </w:tcBorders>
            <w:gridSpan w:val="2"/>
          </w:tcPr>
          <w:p>
            <w:pPr>
              <w:spacing w:after="0"/>
              <w:rPr>
                <w:sz w:val="11"/>
                <w:szCs w:val="11"/>
                <w:color w:val="auto"/>
              </w:rPr>
            </w:pPr>
          </w:p>
        </w:tc>
      </w:tr>
      <w:tr>
        <w:trPr>
          <w:trHeight w:val="780"/>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$2,700,000,000 of 4.700% Notes due 2045</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Purchase Price:</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99.648% of the principal amount of the 1.800% Notes due 2018</w:t>
            </w:r>
          </w:p>
        </w:tc>
      </w:tr>
      <w:tr>
        <w:trPr>
          <w:trHeight w:val="432"/>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99.240% of the principal amount of the 2.500% Notes due 2020</w:t>
            </w:r>
          </w:p>
        </w:tc>
      </w:tr>
      <w:tr>
        <w:trPr>
          <w:trHeight w:val="432"/>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99.403% of the principal amount of the 3.200% Notes due 2022</w:t>
            </w:r>
          </w:p>
        </w:tc>
      </w:tr>
      <w:tr>
        <w:trPr>
          <w:trHeight w:val="432"/>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99.375% of the principal amount of the 3.600% Notes due 2025</w:t>
            </w:r>
          </w:p>
        </w:tc>
      </w:tr>
      <w:tr>
        <w:trPr>
          <w:trHeight w:val="432"/>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98.434% of the principal amount of the 4.500% Notes due 2035</w:t>
            </w:r>
          </w:p>
        </w:tc>
      </w:tr>
      <w:tr>
        <w:trPr>
          <w:trHeight w:val="432"/>
        </w:trPr>
        <w:tc>
          <w:tcPr>
            <w:tcW w:w="5380" w:type="dxa"/>
            <w:vAlign w:val="bottom"/>
          </w:tcPr>
          <w:p>
            <w:pPr>
              <w:spacing w:after="0"/>
              <w:rPr>
                <w:sz w:val="24"/>
                <w:szCs w:val="24"/>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99.077% of the principal amount of the 4.700% Notes due 2045</w:t>
            </w: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Maturity:</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1.800% Notes due 2018: May 14, 2018</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2.500%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2020: May 14, 2020</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3.200%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2022: November 6, 2022</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3.600%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2025: May 14, 2025</w:t>
            </w:r>
          </w:p>
        </w:tc>
      </w:tr>
      <w:tr>
        <w:trPr>
          <w:trHeight w:val="216"/>
        </w:trPr>
        <w:tc>
          <w:tcPr>
            <w:tcW w:w="53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4.500%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2035: May 14, 2035</w:t>
            </w:r>
          </w:p>
        </w:tc>
      </w:tr>
      <w:tr>
        <w:trPr>
          <w:trHeight w:val="230"/>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4.700%</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2045: May 14, 2045</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Interest Rate:</w:t>
            </w: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96"/>
              </w:rPr>
              <w:t>1.800% Notes due 2018: 1.800% per annum, accruing from May 14, 2015</w:t>
            </w:r>
          </w:p>
        </w:tc>
      </w:tr>
      <w:tr>
        <w:trPr>
          <w:trHeight w:val="432"/>
        </w:trPr>
        <w:tc>
          <w:tcPr>
            <w:tcW w:w="538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2.500%</w:t>
            </w:r>
          </w:p>
        </w:tc>
        <w:tc>
          <w:tcPr>
            <w:tcW w:w="5140" w:type="dxa"/>
            <w:vAlign w:val="bottom"/>
          </w:tcPr>
          <w:p>
            <w:pPr>
              <w:ind w:left="20"/>
              <w:spacing w:after="0"/>
              <w:rPr>
                <w:sz w:val="20"/>
                <w:szCs w:val="20"/>
                <w:color w:val="auto"/>
              </w:rPr>
            </w:pPr>
            <w:r>
              <w:rPr>
                <w:rFonts w:ascii="Arial" w:cs="Arial" w:eastAsia="Arial" w:hAnsi="Arial"/>
                <w:sz w:val="18"/>
                <w:szCs w:val="18"/>
                <w:color w:val="auto"/>
                <w:w w:val="97"/>
              </w:rPr>
              <w:t>Notes due 2020: 2.500% per annum, accruing from May 14, 2015</w:t>
            </w:r>
          </w:p>
        </w:tc>
      </w:tr>
      <w:tr>
        <w:trPr>
          <w:trHeight w:val="432"/>
        </w:trPr>
        <w:tc>
          <w:tcPr>
            <w:tcW w:w="538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3.200%</w:t>
            </w:r>
          </w:p>
        </w:tc>
        <w:tc>
          <w:tcPr>
            <w:tcW w:w="5140" w:type="dxa"/>
            <w:vAlign w:val="bottom"/>
          </w:tcPr>
          <w:p>
            <w:pPr>
              <w:ind w:left="20"/>
              <w:spacing w:after="0"/>
              <w:rPr>
                <w:sz w:val="20"/>
                <w:szCs w:val="20"/>
                <w:color w:val="auto"/>
              </w:rPr>
            </w:pPr>
            <w:r>
              <w:rPr>
                <w:rFonts w:ascii="Arial" w:cs="Arial" w:eastAsia="Arial" w:hAnsi="Arial"/>
                <w:sz w:val="18"/>
                <w:szCs w:val="18"/>
                <w:color w:val="auto"/>
                <w:w w:val="97"/>
              </w:rPr>
              <w:t>Notes due 2022: 3.200% per annum, accruing from May 14, 2015</w:t>
            </w:r>
          </w:p>
        </w:tc>
      </w:tr>
      <w:tr>
        <w:trPr>
          <w:trHeight w:val="432"/>
        </w:trPr>
        <w:tc>
          <w:tcPr>
            <w:tcW w:w="538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3.600%</w:t>
            </w:r>
          </w:p>
        </w:tc>
        <w:tc>
          <w:tcPr>
            <w:tcW w:w="5140" w:type="dxa"/>
            <w:vAlign w:val="bottom"/>
          </w:tcPr>
          <w:p>
            <w:pPr>
              <w:ind w:left="20"/>
              <w:spacing w:after="0"/>
              <w:rPr>
                <w:sz w:val="20"/>
                <w:szCs w:val="20"/>
                <w:color w:val="auto"/>
              </w:rPr>
            </w:pPr>
            <w:r>
              <w:rPr>
                <w:rFonts w:ascii="Arial" w:cs="Arial" w:eastAsia="Arial" w:hAnsi="Arial"/>
                <w:sz w:val="18"/>
                <w:szCs w:val="18"/>
                <w:color w:val="auto"/>
                <w:w w:val="97"/>
              </w:rPr>
              <w:t>Notes due 2025: 3.600% per annum, accruing from May 14, 2015</w:t>
            </w:r>
          </w:p>
        </w:tc>
      </w:tr>
      <w:tr>
        <w:trPr>
          <w:trHeight w:val="432"/>
        </w:trPr>
        <w:tc>
          <w:tcPr>
            <w:tcW w:w="538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w w:val="91"/>
              </w:rPr>
              <w:t>4.500%</w:t>
            </w:r>
          </w:p>
        </w:tc>
        <w:tc>
          <w:tcPr>
            <w:tcW w:w="5140" w:type="dxa"/>
            <w:vAlign w:val="bottom"/>
          </w:tcPr>
          <w:p>
            <w:pPr>
              <w:ind w:left="20"/>
              <w:spacing w:after="0"/>
              <w:rPr>
                <w:sz w:val="20"/>
                <w:szCs w:val="20"/>
                <w:color w:val="auto"/>
              </w:rPr>
            </w:pPr>
            <w:r>
              <w:rPr>
                <w:rFonts w:ascii="Arial" w:cs="Arial" w:eastAsia="Arial" w:hAnsi="Arial"/>
                <w:sz w:val="18"/>
                <w:szCs w:val="18"/>
                <w:color w:val="auto"/>
                <w:w w:val="97"/>
              </w:rPr>
              <w:t>Notes due 2035: 4.500% per annum, accruing from May 14,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-4503420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-4503420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w w:val="96"/>
              </w:rPr>
              <w:t>4.700% Notes due 2045: 4.700% per annum, accruing from May 14, 2015</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280" w:type="dxa"/>
            <w:vAlign w:val="bottom"/>
          </w:tcPr>
          <w:p>
            <w:pPr>
              <w:ind w:left="1560"/>
              <w:spacing w:after="0"/>
              <w:rPr>
                <w:sz w:val="20"/>
                <w:szCs w:val="20"/>
                <w:color w:val="auto"/>
              </w:rPr>
            </w:pPr>
            <w:r>
              <w:rPr>
                <w:rFonts w:ascii="Arial" w:cs="Arial" w:eastAsia="Arial" w:hAnsi="Arial"/>
                <w:sz w:val="18"/>
                <w:szCs w:val="18"/>
                <w:color w:val="auto"/>
              </w:rPr>
              <w:t>1.800% Notes due 2018: May 14 and November 14, commencing</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November 14, 2015</w:t>
            </w:r>
          </w:p>
        </w:tc>
      </w:tr>
      <w:tr>
        <w:trPr>
          <w:trHeight w:val="432"/>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2.500% Notes due 2020: May 14 and</w:t>
            </w:r>
          </w:p>
        </w:tc>
      </w:tr>
      <w:tr>
        <w:trPr>
          <w:trHeight w:val="432"/>
        </w:trPr>
        <w:tc>
          <w:tcPr>
            <w:tcW w:w="4180" w:type="dxa"/>
            <w:vAlign w:val="bottom"/>
          </w:tcPr>
          <w:p>
            <w:pPr>
              <w:spacing w:after="0"/>
              <w:rPr>
                <w:sz w:val="24"/>
                <w:szCs w:val="24"/>
                <w:color w:val="auto"/>
              </w:rPr>
            </w:pPr>
          </w:p>
        </w:tc>
        <w:tc>
          <w:tcPr>
            <w:tcW w:w="7280" w:type="dxa"/>
            <w:vAlign w:val="bottom"/>
          </w:tcPr>
          <w:p>
            <w:pPr>
              <w:ind w:left="1480"/>
              <w:spacing w:after="0"/>
              <w:rPr>
                <w:sz w:val="20"/>
                <w:szCs w:val="20"/>
                <w:color w:val="auto"/>
              </w:rPr>
            </w:pPr>
            <w:r>
              <w:rPr>
                <w:rFonts w:ascii="Arial" w:cs="Arial" w:eastAsia="Arial" w:hAnsi="Arial"/>
                <w:sz w:val="18"/>
                <w:szCs w:val="18"/>
                <w:color w:val="auto"/>
              </w:rPr>
              <w:t>2</w:t>
            </w:r>
          </w:p>
        </w:tc>
      </w:tr>
      <w:tr>
        <w:trPr>
          <w:trHeight w:val="132"/>
        </w:trPr>
        <w:tc>
          <w:tcPr>
            <w:tcW w:w="4180" w:type="dxa"/>
            <w:vAlign w:val="bottom"/>
            <w:tcBorders>
              <w:bottom w:val="single" w:sz="8" w:color="010101"/>
            </w:tcBorders>
          </w:tcPr>
          <w:p>
            <w:pPr>
              <w:spacing w:after="0"/>
              <w:rPr>
                <w:sz w:val="11"/>
                <w:szCs w:val="11"/>
                <w:color w:val="auto"/>
              </w:rPr>
            </w:pPr>
          </w:p>
        </w:tc>
        <w:tc>
          <w:tcPr>
            <w:tcW w:w="7280" w:type="dxa"/>
            <w:vAlign w:val="bottom"/>
            <w:tcBorders>
              <w:bottom w:val="single" w:sz="8" w:color="010101"/>
            </w:tcBorders>
          </w:tcPr>
          <w:p>
            <w:pPr>
              <w:spacing w:after="0"/>
              <w:rPr>
                <w:sz w:val="11"/>
                <w:szCs w:val="11"/>
                <w:color w:val="auto"/>
              </w:rPr>
            </w:pPr>
          </w:p>
        </w:tc>
      </w:tr>
      <w:tr>
        <w:trPr>
          <w:trHeight w:val="780"/>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November 14, commencing November 14, 2015</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w w:val="93"/>
              </w:rPr>
              <w:t>3.200% Notes due 2022: May 6 and November 6, commencing November 6,</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2015</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3.600% Notes due 2025: May 14 and November 14, commencing</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November 14, 2015</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4.500% Notes due 2035: May 14 and November 14, commencing</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November 14, 2015</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4.700% Notes due 2045: May 14 and November 14, commencing</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November 14, 2015</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Closing Date and Time:</w:t>
            </w:r>
          </w:p>
        </w:tc>
        <w:tc>
          <w:tcPr>
            <w:tcW w:w="7280" w:type="dxa"/>
            <w:vAlign w:val="bottom"/>
          </w:tcPr>
          <w:p>
            <w:pPr>
              <w:ind w:left="1560"/>
              <w:spacing w:after="0"/>
              <w:rPr>
                <w:sz w:val="20"/>
                <w:szCs w:val="20"/>
                <w:color w:val="auto"/>
              </w:rPr>
            </w:pPr>
            <w:r>
              <w:rPr>
                <w:rFonts w:ascii="Arial" w:cs="Arial" w:eastAsia="Arial" w:hAnsi="Arial"/>
                <w:sz w:val="18"/>
                <w:szCs w:val="18"/>
                <w:color w:val="auto"/>
              </w:rPr>
              <w:t>May 14, 2015, 9:00 a.m.</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Closing Location:</w:t>
            </w:r>
          </w:p>
        </w:tc>
        <w:tc>
          <w:tcPr>
            <w:tcW w:w="7280" w:type="dxa"/>
            <w:vAlign w:val="bottom"/>
          </w:tcPr>
          <w:p>
            <w:pPr>
              <w:ind w:left="1560"/>
              <w:spacing w:after="0"/>
              <w:rPr>
                <w:sz w:val="20"/>
                <w:szCs w:val="20"/>
                <w:color w:val="auto"/>
              </w:rPr>
            </w:pPr>
            <w:r>
              <w:rPr>
                <w:rFonts w:ascii="Arial" w:cs="Arial" w:eastAsia="Arial" w:hAnsi="Arial"/>
                <w:sz w:val="18"/>
                <w:szCs w:val="18"/>
                <w:color w:val="auto"/>
              </w:rPr>
              <w:t>Davis Polk &amp; Wardwell LLP</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450 Lexington Avenue</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New York, New York 10017</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Address for Notices to Underwriters:</w:t>
            </w:r>
          </w:p>
        </w:tc>
        <w:tc>
          <w:tcPr>
            <w:tcW w:w="7280" w:type="dxa"/>
            <w:vAlign w:val="bottom"/>
          </w:tcPr>
          <w:p>
            <w:pPr>
              <w:ind w:left="1560"/>
              <w:spacing w:after="0"/>
              <w:rPr>
                <w:sz w:val="20"/>
                <w:szCs w:val="20"/>
                <w:color w:val="auto"/>
              </w:rPr>
            </w:pPr>
            <w:r>
              <w:rPr>
                <w:rFonts w:ascii="Arial" w:cs="Arial" w:eastAsia="Arial" w:hAnsi="Arial"/>
                <w:sz w:val="18"/>
                <w:szCs w:val="18"/>
                <w:color w:val="auto"/>
              </w:rPr>
              <w:t>Morgan Stanley &amp; Co. LLC</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1585 Broadway</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New York, NY 10036</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Attention: Investment Banking Division</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Facsimile: (212) 761-0260</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4180" w:type="dxa"/>
            <w:vAlign w:val="bottom"/>
          </w:tcPr>
          <w:p>
            <w:pPr>
              <w:spacing w:after="0"/>
              <w:rPr>
                <w:sz w:val="18"/>
                <w:szCs w:val="18"/>
                <w:color w:val="auto"/>
              </w:rPr>
            </w:pPr>
          </w:p>
        </w:tc>
        <w:tc>
          <w:tcPr>
            <w:tcW w:w="7280" w:type="dxa"/>
            <w:vAlign w:val="bottom"/>
          </w:tcPr>
          <w:p>
            <w:pPr>
              <w:ind w:left="2460"/>
              <w:spacing w:after="0"/>
              <w:rPr>
                <w:sz w:val="20"/>
                <w:szCs w:val="20"/>
                <w:color w:val="auto"/>
              </w:rPr>
            </w:pPr>
            <w:r>
              <w:rPr>
                <w:rFonts w:ascii="Arial" w:cs="Arial" w:eastAsia="Arial" w:hAnsi="Arial"/>
                <w:sz w:val="18"/>
                <w:szCs w:val="18"/>
                <w:color w:val="auto"/>
              </w:rPr>
              <w:t>Incorporated</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50 Rockefeller Plaza,</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NY1-050-12-01</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New York, New York 10020</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Attention: High Grade Debt Capital Markets</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Transaction Management/Legal</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Facsimile: (212) 901-7881</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Barclays Capital Inc.</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745 Seventh Avenue</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New York, New York 10019</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Attention: Syndicate Registration</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Facsimile: (646) 834-8133</w:t>
            </w:r>
          </w:p>
        </w:tc>
      </w:tr>
      <w:tr>
        <w:trPr>
          <w:trHeight w:val="418"/>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60 Wall Street</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New York, New York 10005</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Attention: Debt Capital Markets Syndicate</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Facsimile: (212) 797-2202, with a copy to</w:t>
            </w:r>
          </w:p>
        </w:tc>
      </w:tr>
      <w:tr>
        <w:trPr>
          <w:trHeight w:val="432"/>
        </w:trPr>
        <w:tc>
          <w:tcPr>
            <w:tcW w:w="4180" w:type="dxa"/>
            <w:vAlign w:val="bottom"/>
          </w:tcPr>
          <w:p>
            <w:pPr>
              <w:spacing w:after="0"/>
              <w:rPr>
                <w:sz w:val="24"/>
                <w:szCs w:val="24"/>
                <w:color w:val="auto"/>
              </w:rPr>
            </w:pPr>
          </w:p>
        </w:tc>
        <w:tc>
          <w:tcPr>
            <w:tcW w:w="7280" w:type="dxa"/>
            <w:vAlign w:val="bottom"/>
          </w:tcPr>
          <w:p>
            <w:pPr>
              <w:ind w:left="1480"/>
              <w:spacing w:after="0"/>
              <w:rPr>
                <w:sz w:val="20"/>
                <w:szCs w:val="20"/>
                <w:color w:val="auto"/>
              </w:rPr>
            </w:pPr>
            <w:r>
              <w:rPr>
                <w:rFonts w:ascii="Arial" w:cs="Arial" w:eastAsia="Arial" w:hAnsi="Arial"/>
                <w:sz w:val="18"/>
                <w:szCs w:val="18"/>
                <w:color w:val="auto"/>
              </w:rPr>
              <w:t>3</w:t>
            </w:r>
          </w:p>
        </w:tc>
      </w:tr>
      <w:tr>
        <w:trPr>
          <w:trHeight w:val="132"/>
        </w:trPr>
        <w:tc>
          <w:tcPr>
            <w:tcW w:w="4180" w:type="dxa"/>
            <w:vAlign w:val="bottom"/>
            <w:tcBorders>
              <w:bottom w:val="single" w:sz="8" w:color="010101"/>
            </w:tcBorders>
          </w:tcPr>
          <w:p>
            <w:pPr>
              <w:spacing w:after="0"/>
              <w:rPr>
                <w:sz w:val="11"/>
                <w:szCs w:val="11"/>
                <w:color w:val="auto"/>
              </w:rPr>
            </w:pPr>
          </w:p>
        </w:tc>
        <w:tc>
          <w:tcPr>
            <w:tcW w:w="7280" w:type="dxa"/>
            <w:vAlign w:val="bottom"/>
            <w:tcBorders>
              <w:bottom w:val="single" w:sz="8" w:color="010101"/>
            </w:tcBorders>
          </w:tcPr>
          <w:p>
            <w:pPr>
              <w:spacing w:after="0"/>
              <w:rPr>
                <w:sz w:val="11"/>
                <w:szCs w:val="11"/>
                <w:color w:val="auto"/>
              </w:rPr>
            </w:pPr>
          </w:p>
        </w:tc>
      </w:tr>
      <w:tr>
        <w:trPr>
          <w:trHeight w:val="780"/>
        </w:trPr>
        <w:tc>
          <w:tcPr>
            <w:tcW w:w="418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General Counsel, (212) 797-4561</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Address for Notices to the Company:</w:t>
            </w:r>
          </w:p>
        </w:tc>
        <w:tc>
          <w:tcPr>
            <w:tcW w:w="7280" w:type="dxa"/>
            <w:vAlign w:val="bottom"/>
          </w:tcPr>
          <w:p>
            <w:pPr>
              <w:ind w:left="1560"/>
              <w:spacing w:after="0"/>
              <w:rPr>
                <w:sz w:val="20"/>
                <w:szCs w:val="20"/>
                <w:color w:val="auto"/>
              </w:rPr>
            </w:pPr>
            <w:r>
              <w:rPr>
                <w:rFonts w:ascii="Arial" w:cs="Arial" w:eastAsia="Arial" w:hAnsi="Arial"/>
                <w:sz w:val="18"/>
                <w:szCs w:val="18"/>
                <w:color w:val="auto"/>
              </w:rPr>
              <w:t>AbbVie Inc.</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1 North Waukegan Road</w:t>
            </w:r>
          </w:p>
        </w:tc>
      </w:tr>
      <w:tr>
        <w:trPr>
          <w:trHeight w:val="216"/>
        </w:trPr>
        <w:tc>
          <w:tcPr>
            <w:tcW w:w="4180" w:type="dxa"/>
            <w:vAlign w:val="bottom"/>
          </w:tcPr>
          <w:p>
            <w:pPr>
              <w:spacing w:after="0"/>
              <w:rPr>
                <w:sz w:val="18"/>
                <w:szCs w:val="18"/>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North Chicago, Illinois 60064</w:t>
            </w:r>
          </w:p>
        </w:tc>
      </w:tr>
      <w:tr>
        <w:trPr>
          <w:trHeight w:val="230"/>
        </w:trPr>
        <w:tc>
          <w:tcPr>
            <w:tcW w:w="41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Arial" w:cs="Arial" w:eastAsia="Arial" w:hAnsi="Arial"/>
                <w:sz w:val="18"/>
                <w:szCs w:val="18"/>
                <w:color w:val="auto"/>
              </w:rPr>
              <w:t>Attention: Treasurer</w:t>
            </w:r>
          </w:p>
        </w:tc>
      </w:tr>
      <w:tr>
        <w:trPr>
          <w:trHeight w:val="432"/>
        </w:trPr>
        <w:tc>
          <w:tcPr>
            <w:tcW w:w="4180" w:type="dxa"/>
            <w:vAlign w:val="bottom"/>
          </w:tcPr>
          <w:p>
            <w:pPr>
              <w:spacing w:after="0"/>
              <w:rPr>
                <w:sz w:val="24"/>
                <w:szCs w:val="24"/>
                <w:color w:val="auto"/>
              </w:rPr>
            </w:pPr>
          </w:p>
        </w:tc>
        <w:tc>
          <w:tcPr>
            <w:tcW w:w="7280" w:type="dxa"/>
            <w:vAlign w:val="bottom"/>
          </w:tcPr>
          <w:p>
            <w:pPr>
              <w:ind w:left="1480"/>
              <w:spacing w:after="0"/>
              <w:rPr>
                <w:sz w:val="20"/>
                <w:szCs w:val="20"/>
                <w:color w:val="auto"/>
              </w:rPr>
            </w:pPr>
            <w:r>
              <w:rPr>
                <w:rFonts w:ascii="Arial" w:cs="Arial" w:eastAsia="Arial" w:hAnsi="Arial"/>
                <w:sz w:val="18"/>
                <w:szCs w:val="18"/>
                <w:color w:val="auto"/>
              </w:rPr>
              <w:t>4</w:t>
            </w:r>
          </w:p>
        </w:tc>
      </w:tr>
      <w:tr>
        <w:trPr>
          <w:trHeight w:val="132"/>
        </w:trPr>
        <w:tc>
          <w:tcPr>
            <w:tcW w:w="4180" w:type="dxa"/>
            <w:vAlign w:val="bottom"/>
            <w:tcBorders>
              <w:bottom w:val="single" w:sz="8" w:color="010101"/>
            </w:tcBorders>
          </w:tcPr>
          <w:p>
            <w:pPr>
              <w:spacing w:after="0"/>
              <w:rPr>
                <w:sz w:val="11"/>
                <w:szCs w:val="11"/>
                <w:color w:val="auto"/>
              </w:rPr>
            </w:pPr>
          </w:p>
        </w:tc>
        <w:tc>
          <w:tcPr>
            <w:tcW w:w="7280" w:type="dxa"/>
            <w:vAlign w:val="bottom"/>
            <w:tcBorders>
              <w:bottom w:val="single" w:sz="8" w:color="010101"/>
            </w:tcBorders>
          </w:tcPr>
          <w:p>
            <w:pPr>
              <w:spacing w:after="0"/>
              <w:rPr>
                <w:sz w:val="11"/>
                <w:szCs w:val="11"/>
                <w:color w:val="auto"/>
              </w:rPr>
            </w:pPr>
          </w:p>
        </w:tc>
      </w:tr>
      <w:tr>
        <w:trPr>
          <w:trHeight w:val="780"/>
        </w:trPr>
        <w:tc>
          <w:tcPr>
            <w:tcW w:w="4180" w:type="dxa"/>
            <w:vAlign w:val="bottom"/>
          </w:tcPr>
          <w:p>
            <w:pPr>
              <w:spacing w:after="0"/>
              <w:rPr>
                <w:sz w:val="24"/>
                <w:szCs w:val="24"/>
                <w:color w:val="auto"/>
              </w:rPr>
            </w:pPr>
          </w:p>
        </w:tc>
        <w:tc>
          <w:tcPr>
            <w:tcW w:w="7280" w:type="dxa"/>
            <w:vAlign w:val="bottom"/>
          </w:tcPr>
          <w:p>
            <w:pPr>
              <w:ind w:left="5020"/>
              <w:spacing w:after="0"/>
              <w:rPr>
                <w:sz w:val="20"/>
                <w:szCs w:val="20"/>
                <w:color w:val="auto"/>
              </w:rPr>
            </w:pPr>
            <w:r>
              <w:rPr>
                <w:rFonts w:ascii="Arial" w:cs="Arial" w:eastAsia="Arial" w:hAnsi="Arial"/>
                <w:sz w:val="18"/>
                <w:szCs w:val="18"/>
                <w:b w:val="1"/>
                <w:bCs w:val="1"/>
                <w:color w:val="auto"/>
              </w:rPr>
              <w:t>SCHEDULE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-9117330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-9117330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-2076450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-2076450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Amount of</w:t>
            </w: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2018 Notes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2020 Notes to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2022 Notes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2025 Notes to</w:t>
            </w: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2035 Notes to</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2045 Notes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 Purchased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be Purchased</w:t>
            </w: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be Purchased</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 Purchased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825,000,000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Incorporated</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660,000,000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825,000,000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w w:val="87"/>
              </w:rPr>
              <w:t>825,000,000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550,000,000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228,750,000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228,750,000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w w:val="87"/>
              </w:rPr>
              <w:t>228,750,000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228,750,000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228,750,000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w w:val="87"/>
              </w:rPr>
              <w:t>228,750,000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228,750,000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228,750,000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w w:val="87"/>
              </w:rPr>
              <w:t>228,750,000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86,250,000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86,250,000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86,250,000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57,500,000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86,250,000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86,250,000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86,250,000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57,500,000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86,250,000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86,250,000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86,250,000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57,500,000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84,000,000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42,000,000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28,000,000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42,000,000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42,000,000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28,000,000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3,000,000,000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3,750,000,000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1,000,000,000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3,750,000,000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2,500,000,000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9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Letter"/>
      <w:start w:val="4"/>
    </w:lvl>
  </w:abstractNum>
  <w:abstractNum w:abstractNumId="4">
    <w:nsid w:val="436C6125"/>
    <w:multiLevelType w:val="hybridMultilevel"/>
    <w:lvl w:ilvl="0">
      <w:lvlJc w:val="left"/>
      <w:lvlText w:val="(%1)"/>
      <w:numFmt w:val="lowerLetter"/>
      <w:start w:val="6"/>
    </w:lvl>
  </w:abstractNum>
  <w:abstractNum w:abstractNumId="5">
    <w:nsid w:val="628C895D"/>
    <w:multiLevelType w:val="hybridMultilevel"/>
    <w:lvl w:ilvl="0">
      <w:lvlJc w:val="left"/>
      <w:lvlText w:val="%1"/>
      <w:numFmt w:val="lowerLetter"/>
      <w:start w:val="1"/>
    </w:lvl>
    <w:lvl w:ilvl="1">
      <w:lvlJc w:val="left"/>
      <w:lvlText w:val="(%2)"/>
      <w:numFmt w:val="lowerLetter"/>
      <w:start w:val="8"/>
    </w:lvl>
  </w:abstractNum>
  <w:abstractNum w:abstractNumId="6">
    <w:nsid w:val="333AB105"/>
    <w:multiLevelType w:val="hybridMultilevel"/>
    <w:lvl w:ilvl="0">
      <w:lvlJc w:val="left"/>
      <w:lvlText w:val="(%1)"/>
      <w:numFmt w:val="lowerLetter"/>
      <w:start w:val="9"/>
    </w:lvl>
    <w:lvl w:ilvl="1">
      <w:lvlJc w:val="left"/>
      <w:lvlText w:val="(%2)"/>
      <w:numFmt w:val="lowerLetter"/>
      <w:start w:val="12"/>
    </w:lvl>
  </w:abstractNum>
  <w:abstractNum w:abstractNumId="7">
    <w:nsid w:val="721DA317"/>
    <w:multiLevelType w:val="hybridMultilevel"/>
    <w:lvl w:ilvl="0">
      <w:lvlJc w:val="left"/>
      <w:lvlText w:val="(%1)"/>
      <w:numFmt w:val="lowerLetter"/>
      <w:start w:val="13"/>
    </w:lvl>
  </w:abstractNum>
  <w:abstractNum w:abstractNumId="8">
    <w:nsid w:val="2443A858"/>
    <w:multiLevelType w:val="hybridMultilevel"/>
    <w:lvl w:ilvl="0">
      <w:lvlJc w:val="left"/>
      <w:lvlText w:val="%1"/>
      <w:numFmt w:val="lowerLetter"/>
      <w:start w:val="1"/>
    </w:lvl>
    <w:lvl w:ilvl="1">
      <w:lvlJc w:val="left"/>
      <w:lvlText w:val="(%2)"/>
      <w:numFmt w:val="lowerLetter"/>
      <w:start w:val="16"/>
    </w:lvl>
  </w:abstractNum>
  <w:abstractNum w:abstractNumId="9">
    <w:nsid w:val="2D1D5AE9"/>
    <w:multiLevelType w:val="hybridMultilevel"/>
    <w:lvl w:ilvl="0">
      <w:lvlJc w:val="left"/>
      <w:lvlText w:val="(%1)"/>
      <w:numFmt w:val="lowerLetter"/>
      <w:start w:val="35"/>
    </w:lvl>
    <w:lvl w:ilvl="1">
      <w:lvlJc w:val="left"/>
      <w:lvlText w:val="%2"/>
      <w:numFmt w:val="lowerLetter"/>
      <w:start w:val="1"/>
    </w:lvl>
  </w:abstractNum>
  <w:abstractNum w:abstractNumId="10">
    <w:nsid w:val="6763845E"/>
    <w:multiLevelType w:val="hybridMultilevel"/>
    <w:lvl w:ilvl="0">
      <w:lvlJc w:val="left"/>
      <w:lvlText w:val="(%1)"/>
      <w:numFmt w:val="lowerLetter"/>
      <w:start w:val="18"/>
    </w:lvl>
  </w:abstractNum>
  <w:abstractNum w:abstractNumId="11">
    <w:nsid w:val="75A2A8D4"/>
    <w:multiLevelType w:val="hybridMultilevel"/>
    <w:lvl w:ilvl="0">
      <w:lvlJc w:val="left"/>
      <w:lvlText w:val="(%1)"/>
      <w:numFmt w:val="lowerLetter"/>
      <w:start w:val="23"/>
    </w:lvl>
  </w:abstractNum>
  <w:abstractNum w:abstractNumId="12">
    <w:nsid w:val="8EDBDAB"/>
    <w:multiLevelType w:val="hybridMultilevel"/>
    <w:lvl w:ilvl="0">
      <w:lvlJc w:val="left"/>
      <w:lvlText w:val="(%1)"/>
      <w:numFmt w:val="lowerRoman"/>
      <w:start w:val="2"/>
    </w:lvl>
  </w:abstractNum>
  <w:abstractNum w:abstractNumId="13">
    <w:nsid w:val="79838CB2"/>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4">
    <w:nsid w:val="4353D0CD"/>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5">
    <w:nsid w:val="B03E0C6"/>
    <w:multiLevelType w:val="hybridMultilevel"/>
    <w:lvl w:ilvl="0">
      <w:lvlJc w:val="left"/>
      <w:lvlText w:val="%1."/>
      <w:numFmt w:val="decimal"/>
      <w:start w:val="5"/>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5"/>
    </w:lvl>
  </w:abstractNum>
  <w:abstractNum w:abstractNumId="18">
    <w:nsid w:val="71F32454"/>
    <w:multiLevelType w:val="hybridMultilevel"/>
    <w:lvl w:ilvl="0">
      <w:lvlJc w:val="left"/>
      <w:lvlText w:val="(%1)"/>
      <w:numFmt w:val="lowerLetter"/>
      <w:start w:val="7"/>
    </w:lvl>
  </w:abstractNum>
  <w:abstractNum w:abstractNumId="19">
    <w:nsid w:val="2CA88611"/>
    <w:multiLevelType w:val="hybridMultilevel"/>
    <w:lvl w:ilvl="0">
      <w:lvlJc w:val="left"/>
      <w:lvlText w:val="%1."/>
      <w:numFmt w:val="decimal"/>
      <w:start w:val="6"/>
    </w:lvl>
    <w:lvl w:ilvl="1">
      <w:lvlJc w:val="left"/>
      <w:lvlText w:val="(%2)"/>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Letter"/>
      <w:start w:val="4"/>
    </w:lvl>
  </w:abstractNum>
  <w:abstractNum w:abstractNumId="22">
    <w:nsid w:val="3A95F874"/>
    <w:multiLevelType w:val="hybridMultilevel"/>
    <w:lvl w:ilvl="0">
      <w:lvlJc w:val="left"/>
      <w:lvlText w:val="(%1)"/>
      <w:numFmt w:val="lowerLetter"/>
      <w:start w:val="7"/>
    </w:lvl>
  </w:abstractNum>
  <w:abstractNum w:abstractNumId="23">
    <w:nsid w:val="8138641"/>
    <w:multiLevelType w:val="hybridMultilevel"/>
    <w:lvl w:ilvl="0">
      <w:lvlJc w:val="left"/>
      <w:lvlText w:val="(%1)"/>
      <w:numFmt w:val="lowerLetter"/>
      <w:start w:val="10"/>
    </w:lvl>
  </w:abstractNum>
  <w:abstractNum w:abstractNumId="24">
    <w:nsid w:val="1E7FF521"/>
    <w:multiLevelType w:val="hybridMultilevel"/>
    <w:lvl w:ilvl="0">
      <w:lvlJc w:val="left"/>
      <w:lvlText w:val="%1"/>
      <w:numFmt w:val="decimal"/>
      <w:start w:val="1"/>
    </w:lvl>
    <w:lvl w:ilvl="1">
      <w:lvlJc w:val="left"/>
      <w:lvlText w:val="(%2)"/>
      <w:numFmt w:val="lowerLetter"/>
      <w:start w:val="12"/>
    </w:lvl>
  </w:abstractNum>
  <w:abstractNum w:abstractNumId="25">
    <w:nsid w:val="7C3DBD3D"/>
    <w:multiLevelType w:val="hybridMultilevel"/>
    <w:lvl w:ilvl="0">
      <w:lvlJc w:val="left"/>
      <w:lvlText w:val="%1."/>
      <w:numFmt w:val="decimal"/>
      <w:start w:val="7"/>
    </w:lvl>
    <w:lvl w:ilvl="1">
      <w:lvlJc w:val="left"/>
      <w:lvlText w:val="(%2)"/>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3"/>
    </w:lvl>
  </w:abstractNum>
  <w:abstractNum w:abstractNumId="28">
    <w:nsid w:val="22221A70"/>
    <w:multiLevelType w:val="hybridMultilevel"/>
    <w:lvl w:ilvl="0">
      <w:lvlJc w:val="left"/>
      <w:lvlText w:val="(%1)"/>
      <w:numFmt w:val="lowerLetter"/>
      <w:start w:val="4"/>
    </w:lvl>
  </w:abstractNum>
  <w:abstractNum w:abstractNumId="29">
    <w:nsid w:val="4516DDE9"/>
    <w:multiLevelType w:val="hybridMultilevel"/>
    <w:lvl w:ilvl="0">
      <w:lvlJc w:val="left"/>
      <w:lvlText w:val="(%1)"/>
      <w:numFmt w:val="lowerLetter"/>
      <w:start w:val="6"/>
    </w:lvl>
  </w:abstractNum>
  <w:abstractNum w:abstractNumId="30">
    <w:nsid w:val="3006C83E"/>
    <w:multiLevelType w:val="hybridMultilevel"/>
    <w:lvl w:ilvl="0">
      <w:lvlJc w:val="left"/>
      <w:lvlText w:val="(%1)"/>
      <w:numFmt w:val="lowerRoman"/>
      <w:start w:val="2"/>
    </w:lvl>
  </w:abstractNum>
  <w:abstractNum w:abstractNumId="31">
    <w:nsid w:val="614FD4A1"/>
    <w:multiLevelType w:val="hybridMultilevel"/>
    <w:lvl w:ilvl="0">
      <w:lvlJc w:val="left"/>
      <w:lvlText w:val="%1"/>
      <w:numFmt w:val="lowerRoman"/>
      <w:start w:val="1"/>
    </w:lvl>
    <w:lvl w:ilvl="1">
      <w:lvlJc w:val="left"/>
      <w:lvlText w:val="%2."/>
      <w:numFmt w:val="decimal"/>
      <w:start w:val="9"/>
    </w:lvl>
  </w:abstractNum>
  <w:abstractNum w:abstractNumId="32">
    <w:nsid w:val="419AC241"/>
    <w:multiLevelType w:val="hybridMultilevel"/>
    <w:lvl w:ilvl="0">
      <w:lvlJc w:val="left"/>
      <w:lvlText w:val="(%1)"/>
      <w:numFmt w:val="lowerRoman"/>
      <w:start w:val="3"/>
    </w:lvl>
    <w:lvl w:ilvl="1">
      <w:lvlJc w:val="left"/>
      <w:lvlText w:val="%2"/>
      <w:numFmt w:val="decimal"/>
      <w:start w:val="1"/>
    </w:lvl>
  </w:abstractNum>
  <w:abstractNum w:abstractNumId="33">
    <w:nsid w:val="5577F8E1"/>
    <w:multiLevelType w:val="hybridMultilevel"/>
    <w:lvl w:ilvl="0">
      <w:lvlJc w:val="left"/>
      <w:lvlText w:val="%1."/>
      <w:numFmt w:val="decimal"/>
      <w:start w:val="10"/>
    </w:lvl>
  </w:abstractNum>
  <w:abstractNum w:abstractNumId="34">
    <w:nsid w:val="440BADFC"/>
    <w:multiLevelType w:val="hybridMultilevel"/>
    <w:lvl w:ilvl="0">
      <w:lvlJc w:val="left"/>
      <w:lvlText w:val="%1."/>
      <w:numFmt w:val="decimal"/>
      <w:start w:val="11"/>
    </w:lvl>
  </w:abstractNum>
  <w:abstractNum w:abstractNumId="35">
    <w:nsid w:val="507236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2019-12-09T01:47:10Z</dcterms:created>
  <dcterms:modified xsi:type="dcterms:W3CDTF">2019-12-09T01:47:10Z</dcterms:modified>
</cp:coreProperties>
</file>