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-601345</wp:posOffset>
            </wp:positionV>
            <wp:extent cx="8255" cy="601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-608965</wp:posOffset>
            </wp:positionV>
            <wp:extent cx="8255" cy="6096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-584835</wp:posOffset>
            </wp:positionV>
            <wp:extent cx="1268730" cy="56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56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125" cy="173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Hudson Thomas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NORTH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ABBV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36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R&amp;D and CSO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9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2,530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105.92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37,267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02/17/2031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37,267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37,267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to buy)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-3536315</wp:posOffset>
            </wp:positionV>
            <wp:extent cx="7034530" cy="36347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63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1"/>
        <w:spacing w:after="0" w:line="265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 share award granted to the reporting person on February 15, 2018. The award is subject to performance-vesting restrictions based on earnings per share and relative total shareholder return.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2021.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1"/>
        <w:spacing w:after="0" w:line="265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 vesting restricted stock unit award granted to the reporting person on February 15, 2018.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2021.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1"/>
        <w:spacing w:after="0" w:line="265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 vesting restricted stock unit award granted to the reporting person on February 21, 2019.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2021.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1"/>
        <w:spacing w:after="0" w:line="265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 vesting restricted stock unit award granted to the reporting person on February 20, 2020.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2021.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the AbbVie 2013 Incentive Stock Program in a transaction exempt from Section 16 under Rule 16b-3. The option becomes exercisable in annual increments of 12,423 on February 18, 2022 12,422 on February 18, 2023, and 12,422 on February 18, 2024.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Steven L. Scrogham,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 for Thomas J. Hudson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1947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2021-02-22T17:19:11Z</dcterms:created>
  <dcterms:modified xsi:type="dcterms:W3CDTF">2021-02-22T17:19:11Z</dcterms:modified>
</cp:coreProperties>
</file>